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AA672D" w14:textId="77777777" w:rsidR="00E32A9A" w:rsidRPr="00AE07A7" w:rsidRDefault="00E32A9A" w:rsidP="00E32A9A">
      <w:pPr>
        <w:rPr>
          <w:rFonts w:cstheme="majorBidi"/>
          <w:sz w:val="26"/>
          <w:szCs w:val="26"/>
        </w:rPr>
      </w:pPr>
      <w:r w:rsidRPr="00AE07A7">
        <w:rPr>
          <w:rFonts w:cstheme="majorBidi"/>
          <w:sz w:val="26"/>
          <w:szCs w:val="26"/>
        </w:rPr>
        <w:t>Critically outline the main themes presented in 1 and 2 Maccabees. In your answer, please also refer to the differences between 1 and 2 Maccabees.</w:t>
      </w:r>
    </w:p>
    <w:p w14:paraId="661F4A7C" w14:textId="31050056" w:rsidR="00CA7353" w:rsidRDefault="00CA7353">
      <w:pPr>
        <w:rPr>
          <w:szCs w:val="24"/>
        </w:rPr>
      </w:pPr>
    </w:p>
    <w:p w14:paraId="34DDF115" w14:textId="6A810389" w:rsidR="00E32A9A" w:rsidRDefault="00E32A9A" w:rsidP="777EA97E">
      <w:pPr>
        <w:rPr>
          <w:rFonts w:cs="Arial"/>
        </w:rPr>
      </w:pPr>
      <w:r>
        <w:t xml:space="preserve">1 and 2 Maccabees are religious texts that are set during the Greek ruling </w:t>
      </w:r>
      <w:r w:rsidR="008A6AF3">
        <w:t xml:space="preserve">between </w:t>
      </w:r>
      <w:r w:rsidR="008A6AF3" w:rsidRPr="008A6AF3">
        <w:t>335 to 65 BCE</w:t>
      </w:r>
      <w:r w:rsidR="008A6AF3">
        <w:t xml:space="preserve"> </w:t>
      </w:r>
      <w:r>
        <w:t xml:space="preserve">and describe the suppression of the Jews by </w:t>
      </w:r>
      <w:r w:rsidRPr="777EA97E">
        <w:rPr>
          <w:rFonts w:cs="Arial"/>
        </w:rPr>
        <w:t xml:space="preserve">Antiochus IV through Hellenization and the Maccabean revolt that resulted in this suppression. </w:t>
      </w:r>
      <w:r w:rsidR="00DF410A">
        <w:rPr>
          <w:rFonts w:cs="Arial"/>
        </w:rPr>
        <w:t>The texts are extremely important to Jewish history,</w:t>
      </w:r>
      <w:r w:rsidR="00DF410A" w:rsidRPr="00DF410A">
        <w:t xml:space="preserve"> </w:t>
      </w:r>
      <w:r w:rsidR="00DF410A">
        <w:t>as the “Maccabees are precious testimony to a revolutionary era in Jewish history”,</w:t>
      </w:r>
      <w:r w:rsidR="00DF410A">
        <w:rPr>
          <w:rStyle w:val="FootnoteReference"/>
        </w:rPr>
        <w:footnoteReference w:id="1"/>
      </w:r>
      <w:r w:rsidR="00DF410A">
        <w:rPr>
          <w:rFonts w:cs="Arial"/>
        </w:rPr>
        <w:t xml:space="preserve"> despite them not being included in the Jewish Bible. </w:t>
      </w:r>
      <w:r w:rsidRPr="777EA97E">
        <w:rPr>
          <w:rFonts w:cs="Arial"/>
        </w:rPr>
        <w:t>The two texts are assumed to have different authors due to the difference in writing</w:t>
      </w:r>
      <w:r w:rsidR="2441B26B" w:rsidRPr="777EA97E">
        <w:rPr>
          <w:rFonts w:cs="Arial"/>
        </w:rPr>
        <w:t xml:space="preserve"> styles</w:t>
      </w:r>
      <w:r w:rsidRPr="777EA97E">
        <w:rPr>
          <w:rFonts w:cs="Arial"/>
        </w:rPr>
        <w:t xml:space="preserve"> and are assumed to be written </w:t>
      </w:r>
      <w:r w:rsidR="05EE5824" w:rsidRPr="777EA97E">
        <w:rPr>
          <w:rFonts w:cs="Arial"/>
        </w:rPr>
        <w:t>at</w:t>
      </w:r>
      <w:r w:rsidRPr="777EA97E">
        <w:rPr>
          <w:rFonts w:cs="Arial"/>
        </w:rPr>
        <w:t xml:space="preserve"> different times</w:t>
      </w:r>
      <w:r w:rsidR="00AF0103">
        <w:rPr>
          <w:rFonts w:cs="Arial"/>
        </w:rPr>
        <w:t>, with 1 Maccabees being written first</w:t>
      </w:r>
      <w:r w:rsidRPr="777EA97E">
        <w:rPr>
          <w:rFonts w:cs="Arial"/>
        </w:rPr>
        <w:t xml:space="preserve"> and in difference locations</w:t>
      </w:r>
      <w:r w:rsidR="00AF0103">
        <w:rPr>
          <w:rFonts w:cs="Arial"/>
        </w:rPr>
        <w:t>, with 2 Maccabees being written in amongst a Hellenized city and therefore witnessing more of the issues that the Jewish people were facing</w:t>
      </w:r>
      <w:r w:rsidRPr="777EA97E">
        <w:rPr>
          <w:rFonts w:cs="Arial"/>
        </w:rPr>
        <w:t>.</w:t>
      </w:r>
      <w:r w:rsidR="00AF0103">
        <w:rPr>
          <w:rFonts w:cs="Arial"/>
        </w:rPr>
        <w:t xml:space="preserve"> The difference in the time of writing would have an impact on what the author writes as the Jewish people were further scrutinised over a large </w:t>
      </w:r>
      <w:proofErr w:type="gramStart"/>
      <w:r w:rsidR="00AF0103">
        <w:rPr>
          <w:rFonts w:cs="Arial"/>
        </w:rPr>
        <w:t>period of time</w:t>
      </w:r>
      <w:proofErr w:type="gramEnd"/>
      <w:r w:rsidR="00AF0103">
        <w:rPr>
          <w:rFonts w:cs="Arial"/>
        </w:rPr>
        <w:t>. Furthermore, the location of the texts would have impacted their views also, as 2 Maccabees would have been a witness to a far greater loss of Jewish culture.</w:t>
      </w:r>
      <w:r w:rsidRPr="777EA97E">
        <w:rPr>
          <w:rFonts w:cs="Arial"/>
        </w:rPr>
        <w:t xml:space="preserve"> Factors such as these will be explored when looking at the differences of the two texts. Furthermore, the themes of 1 and 2 Maccabees will be discussed, focusing on the discussion of the </w:t>
      </w:r>
      <w:r w:rsidR="008A6AF3">
        <w:rPr>
          <w:rFonts w:cs="Arial"/>
        </w:rPr>
        <w:t>g</w:t>
      </w:r>
      <w:r w:rsidRPr="777EA97E">
        <w:rPr>
          <w:rFonts w:cs="Arial"/>
        </w:rPr>
        <w:t>ymnasium, circumcision, as well as some of</w:t>
      </w:r>
      <w:r w:rsidR="2DA80E0C" w:rsidRPr="777EA97E">
        <w:rPr>
          <w:rFonts w:cs="Arial"/>
        </w:rPr>
        <w:t xml:space="preserve"> the</w:t>
      </w:r>
      <w:r w:rsidRPr="777EA97E">
        <w:rPr>
          <w:rFonts w:cs="Arial"/>
        </w:rPr>
        <w:t xml:space="preserve"> themes that are only </w:t>
      </w:r>
      <w:r w:rsidR="67CE1210" w:rsidRPr="777EA97E">
        <w:rPr>
          <w:rFonts w:cs="Arial"/>
        </w:rPr>
        <w:t>present</w:t>
      </w:r>
      <w:r w:rsidRPr="777EA97E">
        <w:rPr>
          <w:rFonts w:cs="Arial"/>
        </w:rPr>
        <w:t xml:space="preserve"> in 2 Maccabees. </w:t>
      </w:r>
    </w:p>
    <w:p w14:paraId="00407CD2" w14:textId="1DD8D5E0" w:rsidR="00321E1C" w:rsidRDefault="00321E1C" w:rsidP="00321E1C">
      <w:pPr>
        <w:pStyle w:val="Heading2"/>
      </w:pPr>
      <w:r>
        <w:t xml:space="preserve">Gymnasium </w:t>
      </w:r>
    </w:p>
    <w:p w14:paraId="4DEAC867" w14:textId="090D0930" w:rsidR="00E54FE9" w:rsidRDefault="00321E1C" w:rsidP="00321E1C">
      <w:r>
        <w:t xml:space="preserve">The building of the </w:t>
      </w:r>
      <w:r w:rsidR="008A6AF3">
        <w:t>g</w:t>
      </w:r>
      <w:r>
        <w:t xml:space="preserve">ymnasium is well documented in both 1 and 2 Maccabees, as it was highly significant to the rejection and dismissal of Jewish beliefs. </w:t>
      </w:r>
      <w:r w:rsidRPr="00321E1C">
        <w:t>1 Mac</w:t>
      </w:r>
      <w:r>
        <w:t>cabees</w:t>
      </w:r>
      <w:r w:rsidRPr="00321E1C">
        <w:t xml:space="preserve"> 1:14-15 </w:t>
      </w:r>
      <w:r>
        <w:t xml:space="preserve">describes the incident by stating that </w:t>
      </w:r>
    </w:p>
    <w:p w14:paraId="6490C75C" w14:textId="18C0D03B" w:rsidR="00E54FE9" w:rsidRPr="00E54FE9" w:rsidRDefault="00321E1C" w:rsidP="00E54FE9">
      <w:pPr>
        <w:ind w:left="680" w:right="680"/>
      </w:pPr>
      <w:r w:rsidRPr="00E54FE9">
        <w:t>they built a gymnasium in Jerusalem, according to Gentile custom, and removed the marks of circumcision, and abandoned the holy covenant. They joined with the Gentiles and sold themselves to do evil</w:t>
      </w:r>
      <w:r w:rsidR="00E54FE9" w:rsidRPr="00E54FE9">
        <w:t>.</w:t>
      </w:r>
    </w:p>
    <w:p w14:paraId="4FE2CC57" w14:textId="56930E25" w:rsidR="00321E1C" w:rsidRDefault="00321E1C" w:rsidP="00321E1C">
      <w:r>
        <w:t xml:space="preserve">The main theme throughout 1 Maccabees was that the Jewish people were being punished by God for acting like Gentiles and becoming Hellenized. This view is clear to see through this quote as the author has described the act as “evil”. </w:t>
      </w:r>
      <w:r w:rsidR="00963AD7">
        <w:t xml:space="preserve">Furthermore, when discussing the </w:t>
      </w:r>
      <w:r w:rsidR="008A6AF3">
        <w:t>g</w:t>
      </w:r>
      <w:r w:rsidR="00963AD7">
        <w:t>ymnasium and the issue with circumcision “</w:t>
      </w:r>
      <w:r w:rsidR="00963AD7" w:rsidRPr="777EA97E">
        <w:rPr>
          <w:rFonts w:cs="Arial"/>
        </w:rPr>
        <w:t>from the viewpoint of 1 Maccabees, both of these were boundary markers that distinguished Judeans from Gentiles”</w:t>
      </w:r>
      <w:r w:rsidR="00963AD7" w:rsidRPr="777EA97E">
        <w:rPr>
          <w:rStyle w:val="FootnoteReference"/>
          <w:rFonts w:cs="Arial"/>
        </w:rPr>
        <w:footnoteReference w:id="2"/>
      </w:r>
      <w:r w:rsidR="00963AD7" w:rsidRPr="777EA97E">
        <w:rPr>
          <w:rFonts w:cs="Arial"/>
        </w:rPr>
        <w:t xml:space="preserve">. </w:t>
      </w:r>
      <w:r w:rsidR="00D77545" w:rsidRPr="777EA97E">
        <w:rPr>
          <w:rFonts w:cs="Arial"/>
        </w:rPr>
        <w:t>This distinction was crucial as the Jewish people at the time were being scrutinised for not embracing Greek culture.</w:t>
      </w:r>
    </w:p>
    <w:p w14:paraId="2291BE6E" w14:textId="7E4FBFA9" w:rsidR="00321E1C" w:rsidRDefault="00321E1C" w:rsidP="777EA97E">
      <w:pPr>
        <w:rPr>
          <w:rFonts w:cs="Arial"/>
        </w:rPr>
      </w:pPr>
      <w:r>
        <w:lastRenderedPageBreak/>
        <w:t xml:space="preserve">2 Maccabees also </w:t>
      </w:r>
      <w:r w:rsidR="002B66DF">
        <w:t>continues</w:t>
      </w:r>
      <w:r>
        <w:t xml:space="preserve"> with the narrative that the </w:t>
      </w:r>
      <w:r w:rsidR="7ACB92AE">
        <w:t>g</w:t>
      </w:r>
      <w:r>
        <w:t xml:space="preserve">ymnasium was against Jewish belief. When discussing the people who agreed with the </w:t>
      </w:r>
      <w:r w:rsidR="1527F32A">
        <w:t>g</w:t>
      </w:r>
      <w:r>
        <w:t>ymnasium, 2 Maccabees states that</w:t>
      </w:r>
      <w:r w:rsidR="002B66DF">
        <w:t xml:space="preserve"> they</w:t>
      </w:r>
      <w:r w:rsidRPr="777EA97E">
        <w:rPr>
          <w:rFonts w:cs="Arial"/>
          <w:color w:val="0070C0"/>
        </w:rPr>
        <w:t xml:space="preserve"> </w:t>
      </w:r>
      <w:r w:rsidRPr="777EA97E">
        <w:rPr>
          <w:rFonts w:cs="Arial"/>
        </w:rPr>
        <w:t xml:space="preserve">“valued as nothing the customs their fathers honoured and coveted only Greek </w:t>
      </w:r>
      <w:proofErr w:type="spellStart"/>
      <w:r w:rsidRPr="777EA97E">
        <w:rPr>
          <w:rFonts w:cs="Arial"/>
        </w:rPr>
        <w:t>honors</w:t>
      </w:r>
      <w:proofErr w:type="spellEnd"/>
      <w:r w:rsidRPr="777EA97E">
        <w:rPr>
          <w:rFonts w:cs="Arial"/>
        </w:rPr>
        <w:t xml:space="preserve"> as worthy of attainment” (2 </w:t>
      </w:r>
      <w:proofErr w:type="spellStart"/>
      <w:r w:rsidRPr="777EA97E">
        <w:rPr>
          <w:rFonts w:cs="Arial"/>
        </w:rPr>
        <w:t>Macc</w:t>
      </w:r>
      <w:proofErr w:type="spellEnd"/>
      <w:r w:rsidRPr="777EA97E">
        <w:rPr>
          <w:rFonts w:cs="Arial"/>
        </w:rPr>
        <w:t xml:space="preserve"> </w:t>
      </w:r>
      <w:r w:rsidR="002B66DF" w:rsidRPr="777EA97E">
        <w:rPr>
          <w:rFonts w:cs="Arial"/>
        </w:rPr>
        <w:t>4:19).</w:t>
      </w:r>
      <w:r w:rsidR="236409F8" w:rsidRPr="777EA97E">
        <w:rPr>
          <w:rFonts w:cs="Arial"/>
        </w:rPr>
        <w:t xml:space="preserve"> </w:t>
      </w:r>
      <w:r w:rsidR="00695DE7" w:rsidRPr="777EA97E">
        <w:rPr>
          <w:rFonts w:cs="Arial"/>
        </w:rPr>
        <w:t>Along with this quote,</w:t>
      </w:r>
      <w:r w:rsidR="23FD54FE" w:rsidRPr="777EA97E">
        <w:rPr>
          <w:rFonts w:cs="Arial"/>
        </w:rPr>
        <w:t xml:space="preserve"> the objection of the </w:t>
      </w:r>
      <w:r w:rsidR="3DB0D91C" w:rsidRPr="777EA97E">
        <w:rPr>
          <w:rFonts w:cs="Arial"/>
        </w:rPr>
        <w:t>g</w:t>
      </w:r>
      <w:r w:rsidR="23FD54FE" w:rsidRPr="777EA97E">
        <w:rPr>
          <w:rFonts w:cs="Arial"/>
        </w:rPr>
        <w:t>ymnasium by</w:t>
      </w:r>
      <w:r w:rsidR="00695DE7" w:rsidRPr="777EA97E">
        <w:rPr>
          <w:rFonts w:cs="Arial"/>
        </w:rPr>
        <w:t xml:space="preserve"> 2 Maccabees is further supported by the fact that it “describes the adoption of the new way of life as </w:t>
      </w:r>
      <w:proofErr w:type="spellStart"/>
      <w:r w:rsidR="00695DE7" w:rsidRPr="777EA97E">
        <w:rPr>
          <w:rFonts w:cs="Arial"/>
        </w:rPr>
        <w:t>Hellenismos</w:t>
      </w:r>
      <w:proofErr w:type="spellEnd"/>
      <w:r w:rsidR="00695DE7" w:rsidRPr="777EA97E">
        <w:rPr>
          <w:rFonts w:cs="Arial"/>
        </w:rPr>
        <w:t>, exemplified in enthusiasm for the gymnasium and the Greek hat”, which can be seen in 2 Maccabees 4:13.</w:t>
      </w:r>
      <w:r w:rsidR="00695DE7" w:rsidRPr="777EA97E">
        <w:rPr>
          <w:rStyle w:val="FootnoteReference"/>
          <w:rFonts w:cs="Arial"/>
        </w:rPr>
        <w:footnoteReference w:id="3"/>
      </w:r>
      <w:r w:rsidR="002B66DF" w:rsidRPr="777EA97E">
        <w:rPr>
          <w:rFonts w:cs="Arial"/>
        </w:rPr>
        <w:t xml:space="preserve"> </w:t>
      </w:r>
      <w:r w:rsidR="00695DE7" w:rsidRPr="777EA97E">
        <w:rPr>
          <w:rFonts w:cs="Arial"/>
        </w:rPr>
        <w:t xml:space="preserve">However, </w:t>
      </w:r>
      <w:r w:rsidR="002B66DF" w:rsidRPr="777EA97E">
        <w:rPr>
          <w:rFonts w:cs="Arial"/>
        </w:rPr>
        <w:t>many</w:t>
      </w:r>
      <w:r w:rsidR="00695DE7" w:rsidRPr="777EA97E">
        <w:rPr>
          <w:rFonts w:cs="Arial"/>
        </w:rPr>
        <w:t xml:space="preserve"> </w:t>
      </w:r>
      <w:r w:rsidR="002B66DF" w:rsidRPr="777EA97E">
        <w:rPr>
          <w:rFonts w:cs="Arial"/>
        </w:rPr>
        <w:t xml:space="preserve">accounts of </w:t>
      </w:r>
      <w:r w:rsidR="7901277F" w:rsidRPr="777EA97E">
        <w:rPr>
          <w:rFonts w:cs="Arial"/>
        </w:rPr>
        <w:t xml:space="preserve">the </w:t>
      </w:r>
      <w:r w:rsidR="002B66DF" w:rsidRPr="777EA97E">
        <w:rPr>
          <w:rFonts w:cs="Arial"/>
        </w:rPr>
        <w:t>Hellenization of the Jews that are seen in 1 Maccabees are not seen in 2 Maccabees’ texts. However, “later historians would point to the establishment of a gymnasium in Jerusalem as a grave offense, but it is difficult to follow the logic of these attacks. At the time, most would have welcomed it”,</w:t>
      </w:r>
      <w:r w:rsidR="002B66DF" w:rsidRPr="777EA97E">
        <w:rPr>
          <w:rStyle w:val="FootnoteReference"/>
          <w:rFonts w:cs="Arial"/>
        </w:rPr>
        <w:footnoteReference w:id="4"/>
      </w:r>
      <w:r w:rsidR="002B66DF" w:rsidRPr="777EA97E">
        <w:rPr>
          <w:rFonts w:cs="Arial"/>
        </w:rPr>
        <w:t xml:space="preserve"> but this welcoming is not reflected in 2 Maccabees were as other non-Jewish actions, such as the reversal of circumcisions, are ignored. This could suggest that the </w:t>
      </w:r>
      <w:r w:rsidR="040955F5" w:rsidRPr="777EA97E">
        <w:rPr>
          <w:rFonts w:cs="Arial"/>
        </w:rPr>
        <w:t>g</w:t>
      </w:r>
      <w:r w:rsidR="002B66DF" w:rsidRPr="777EA97E">
        <w:rPr>
          <w:rFonts w:cs="Arial"/>
        </w:rPr>
        <w:t>ymnasium was so great of an offence that it had to be documented by 2 Maccabees, or perhaps because it was one of the first rejections of Jewish beliefs by Antiochus IV, and the author became more Hellenized as the texts go on.</w:t>
      </w:r>
    </w:p>
    <w:p w14:paraId="35F05381" w14:textId="6443CDA1" w:rsidR="005219E7" w:rsidRDefault="005219E7" w:rsidP="005219E7">
      <w:pPr>
        <w:pStyle w:val="Heading2"/>
      </w:pPr>
      <w:r>
        <w:t xml:space="preserve">Circumcision </w:t>
      </w:r>
    </w:p>
    <w:p w14:paraId="700D8BE4" w14:textId="7472B14A" w:rsidR="005219E7" w:rsidRDefault="005219E7" w:rsidP="777EA97E">
      <w:pPr>
        <w:rPr>
          <w:rFonts w:cs="Arial"/>
        </w:rPr>
      </w:pPr>
      <w:r>
        <w:t>A definitive mo</w:t>
      </w:r>
      <w:r w:rsidR="2433247C">
        <w:t>ment</w:t>
      </w:r>
      <w:r>
        <w:t xml:space="preserve"> during the Greek rule was the </w:t>
      </w:r>
      <w:r w:rsidR="18DFF8F2">
        <w:t xml:space="preserve">cultural trend of the </w:t>
      </w:r>
      <w:r>
        <w:t>reversal of circumcision</w:t>
      </w:r>
      <w:r w:rsidR="5189F8AD">
        <w:t>s</w:t>
      </w:r>
      <w:r>
        <w:t xml:space="preserve"> of Jewish boys </w:t>
      </w:r>
      <w:r w:rsidR="201C42ED">
        <w:t>which then resulted in a mass number of</w:t>
      </w:r>
      <w:r>
        <w:t xml:space="preserve"> for</w:t>
      </w:r>
      <w:r w:rsidR="3561C7A8">
        <w:t>ced</w:t>
      </w:r>
      <w:r>
        <w:t xml:space="preserve"> circumcision</w:t>
      </w:r>
      <w:r w:rsidR="18579D8C">
        <w:t>s</w:t>
      </w:r>
      <w:r>
        <w:t xml:space="preserve"> of </w:t>
      </w:r>
      <w:r w:rsidR="57BD3D24">
        <w:t xml:space="preserve">male </w:t>
      </w:r>
      <w:r>
        <w:t>Jewish</w:t>
      </w:r>
      <w:r w:rsidRPr="777EA97E">
        <w:rPr>
          <w:color w:val="FF0000"/>
        </w:rPr>
        <w:t xml:space="preserve"> </w:t>
      </w:r>
      <w:r w:rsidR="433F2852" w:rsidRPr="00E54FE9">
        <w:t>babies</w:t>
      </w:r>
      <w:r>
        <w:t xml:space="preserve">. This occurrence is acknowledged in 1 Maccabees, as it states that “Mattathias and his friends went around and tore down the alter; they forcibly circumcised all the uncircumcised boys that they found within the borders of Israel” (1 </w:t>
      </w:r>
      <w:proofErr w:type="spellStart"/>
      <w:r>
        <w:t>Macc</w:t>
      </w:r>
      <w:proofErr w:type="spellEnd"/>
      <w:r>
        <w:t xml:space="preserve"> 2:45-46).</w:t>
      </w:r>
      <w:r w:rsidR="005B141B">
        <w:t xml:space="preserve"> Circumcision was stopped as nudity was common in Greek culture. This alone was disrespectful toward</w:t>
      </w:r>
      <w:r w:rsidR="7157A4E1">
        <w:t>s</w:t>
      </w:r>
      <w:r w:rsidR="005B141B">
        <w:t xml:space="preserve"> Jewish beliefs, as “nudity in public bore associations of illicit sexuality or, at the very least, a distraction from the life of holiness that rabbinical texts enjoined”.</w:t>
      </w:r>
      <w:r w:rsidR="005B141B">
        <w:rPr>
          <w:rStyle w:val="FootnoteReference"/>
        </w:rPr>
        <w:footnoteReference w:id="5"/>
      </w:r>
      <w:r w:rsidR="005B141B">
        <w:t xml:space="preserve"> However, “d</w:t>
      </w:r>
      <w:r w:rsidR="005B141B" w:rsidRPr="005B141B">
        <w:t>espite these accounts, there is considerable doubt about whether forced circumcision was ever historically practiced in ancient Judaism, especially in the Hasmonean state</w:t>
      </w:r>
      <w:r w:rsidR="005B141B">
        <w:t>”.</w:t>
      </w:r>
      <w:r w:rsidR="005B141B">
        <w:rPr>
          <w:rStyle w:val="FootnoteReference"/>
        </w:rPr>
        <w:footnoteReference w:id="6"/>
      </w:r>
      <w:r w:rsidR="00905383">
        <w:t xml:space="preserve"> This d</w:t>
      </w:r>
      <w:r w:rsidR="2C580D58">
        <w:t>oubt</w:t>
      </w:r>
      <w:r w:rsidR="00905383">
        <w:t xml:space="preserve"> of the forced circumcisions could be seen to be supported by the missing accounts of these occurrences in 2 Maccabees. </w:t>
      </w:r>
      <w:r w:rsidR="00905383" w:rsidRPr="00905383">
        <w:t>“2 Maccabees, which provides some specific about Jews in the gymnasium and is even more condemnatory, says nothing about nudity, let alone about the camouflage of circumcision”</w:t>
      </w:r>
      <w:r w:rsidR="71D49B42" w:rsidRPr="00905383">
        <w:t>.</w:t>
      </w:r>
      <w:r>
        <w:rPr>
          <w:rStyle w:val="FootnoteReference"/>
        </w:rPr>
        <w:footnoteReference w:id="7"/>
      </w:r>
      <w:r w:rsidR="00905383">
        <w:t xml:space="preserve"> There are a few reasons why this was not included in 2 Maccabees. </w:t>
      </w:r>
    </w:p>
    <w:p w14:paraId="320AE3F2" w14:textId="345DAF4B" w:rsidR="005219E7" w:rsidRDefault="00905383" w:rsidP="777EA97E">
      <w:pPr>
        <w:rPr>
          <w:rFonts w:cs="Arial"/>
        </w:rPr>
      </w:pPr>
      <w:r>
        <w:t>As just stated, there is</w:t>
      </w:r>
      <w:r w:rsidR="2585A3F2">
        <w:t xml:space="preserve"> a</w:t>
      </w:r>
      <w:r>
        <w:t xml:space="preserve"> debate on </w:t>
      </w:r>
      <w:r w:rsidR="423893D6">
        <w:t>whether</w:t>
      </w:r>
      <w:r>
        <w:t xml:space="preserve"> the accounts </w:t>
      </w:r>
      <w:r w:rsidR="3F8652AB">
        <w:t>of circumcision</w:t>
      </w:r>
      <w:r>
        <w:t xml:space="preserve"> did occur, as many people </w:t>
      </w:r>
      <w:r w:rsidR="02E653AB">
        <w:t>believe that</w:t>
      </w:r>
      <w:r>
        <w:t xml:space="preserve"> “t</w:t>
      </w:r>
      <w:r w:rsidRPr="00905383">
        <w:t xml:space="preserve">he circumcising enacted by Mattathias and his army in 1 </w:t>
      </w:r>
      <w:proofErr w:type="spellStart"/>
      <w:r w:rsidRPr="00905383">
        <w:t>Macc</w:t>
      </w:r>
      <w:proofErr w:type="spellEnd"/>
      <w:r w:rsidRPr="00905383">
        <w:t xml:space="preserve"> 2:46 often stands as a kind of prelude to the later coercive methods of the Hasmoneans</w:t>
      </w:r>
      <w:r>
        <w:t>”.</w:t>
      </w:r>
      <w:r w:rsidR="005219E7">
        <w:rPr>
          <w:rStyle w:val="FootnoteReference"/>
        </w:rPr>
        <w:footnoteReference w:id="8"/>
      </w:r>
      <w:r>
        <w:t xml:space="preserve"> The accounts therefore would serve the purpose of showing the violence that was committed and would not depict a real </w:t>
      </w:r>
      <w:r w:rsidR="1CBAFA98">
        <w:t>event</w:t>
      </w:r>
      <w:r>
        <w:t xml:space="preserve">. However, </w:t>
      </w:r>
      <w:r w:rsidR="00603A6A">
        <w:t xml:space="preserve">according to </w:t>
      </w:r>
      <w:r w:rsidR="2280D44F">
        <w:t>1 Maccabees</w:t>
      </w:r>
      <w:r w:rsidR="00603A6A">
        <w:t xml:space="preserve">, </w:t>
      </w:r>
      <w:r w:rsidR="00603A6A" w:rsidRPr="777EA97E">
        <w:rPr>
          <w:rFonts w:cs="Arial"/>
        </w:rPr>
        <w:t>“the circumcision ban remained, amounting to a ban on Judaism”</w:t>
      </w:r>
      <w:r w:rsidR="00603A6A" w:rsidRPr="777EA97E">
        <w:rPr>
          <w:rStyle w:val="FootnoteReference"/>
          <w:rFonts w:cs="Arial"/>
        </w:rPr>
        <w:footnoteReference w:id="9"/>
      </w:r>
      <w:r w:rsidR="00603A6A" w:rsidRPr="777EA97E">
        <w:rPr>
          <w:rFonts w:cs="Arial"/>
        </w:rPr>
        <w:t xml:space="preserve">. </w:t>
      </w:r>
      <w:r w:rsidR="00DA2AE1" w:rsidRPr="777EA97E">
        <w:rPr>
          <w:rFonts w:cs="Arial"/>
        </w:rPr>
        <w:t>Therefore,</w:t>
      </w:r>
      <w:r w:rsidR="00603A6A" w:rsidRPr="777EA97E">
        <w:rPr>
          <w:rFonts w:cs="Arial"/>
        </w:rPr>
        <w:t xml:space="preserve"> the ban on circumcision </w:t>
      </w:r>
      <w:r w:rsidR="00DA2AE1" w:rsidRPr="777EA97E">
        <w:rPr>
          <w:rFonts w:cs="Arial"/>
        </w:rPr>
        <w:t>would have been a main catalys</w:t>
      </w:r>
      <w:r w:rsidR="0E891BA1" w:rsidRPr="777EA97E">
        <w:rPr>
          <w:rFonts w:cs="Arial"/>
        </w:rPr>
        <w:t>t</w:t>
      </w:r>
      <w:r w:rsidR="00DA2AE1" w:rsidRPr="777EA97E">
        <w:rPr>
          <w:rFonts w:cs="Arial"/>
        </w:rPr>
        <w:t xml:space="preserve"> for the ban on Judaism, making it unlikely that the ban did not occur. This, however, does not mean that forced circumcision </w:t>
      </w:r>
      <w:proofErr w:type="gramStart"/>
      <w:r w:rsidR="097B7FF5" w:rsidRPr="777EA97E">
        <w:rPr>
          <w:rFonts w:cs="Arial"/>
        </w:rPr>
        <w:t xml:space="preserve">actually </w:t>
      </w:r>
      <w:r w:rsidR="00DA2AE1" w:rsidRPr="777EA97E">
        <w:rPr>
          <w:rFonts w:cs="Arial"/>
        </w:rPr>
        <w:t>did</w:t>
      </w:r>
      <w:proofErr w:type="gramEnd"/>
      <w:r w:rsidR="00DA2AE1" w:rsidRPr="777EA97E">
        <w:rPr>
          <w:rFonts w:cs="Arial"/>
        </w:rPr>
        <w:t xml:space="preserve"> occur, only that the issue surrounding circumcision did exist. </w:t>
      </w:r>
    </w:p>
    <w:p w14:paraId="7CBE7238" w14:textId="77777777" w:rsidR="00E54FE9" w:rsidRDefault="4347ED52" w:rsidP="005219E7">
      <w:r>
        <w:t xml:space="preserve">An </w:t>
      </w:r>
      <w:r w:rsidR="00975309">
        <w:t xml:space="preserve">alternative </w:t>
      </w:r>
      <w:r w:rsidR="0DEC4A8F">
        <w:t>explanation</w:t>
      </w:r>
      <w:r w:rsidR="00975309">
        <w:t xml:space="preserve"> as to why there is no mention of circumcision in 2 Maccabees is the location and time in which it was being written. The author of 2 Maccabees is thought to have been influenced by Hellenistic views, as his writings do not denounce non-Jewish rulers and </w:t>
      </w:r>
      <w:r w:rsidR="621BA6F6">
        <w:t xml:space="preserve">he </w:t>
      </w:r>
      <w:r w:rsidR="00975309">
        <w:t>does not write about inner Jewish disputes.</w:t>
      </w:r>
      <w:r w:rsidR="00975309">
        <w:rPr>
          <w:rStyle w:val="FootnoteReference"/>
        </w:rPr>
        <w:footnoteReference w:id="10"/>
      </w:r>
      <w:r w:rsidR="00A65B64">
        <w:t xml:space="preserve"> </w:t>
      </w:r>
      <w:r w:rsidR="00445C02">
        <w:t>An example of this Hellenistic influence can be seen th</w:t>
      </w:r>
      <w:r w:rsidR="235C210B">
        <w:t>r</w:t>
      </w:r>
      <w:r w:rsidR="00445C02">
        <w:t xml:space="preserve">ough </w:t>
      </w:r>
      <w:r w:rsidR="00445C02" w:rsidRPr="00A65B64">
        <w:t>Mark Harding</w:t>
      </w:r>
      <w:r w:rsidR="00445C02">
        <w:t xml:space="preserve">’s work. He states that </w:t>
      </w:r>
    </w:p>
    <w:p w14:paraId="67CBC0B1" w14:textId="3A467A01" w:rsidR="00E54FE9" w:rsidRPr="00E54FE9" w:rsidRDefault="000D28E2" w:rsidP="00E54FE9">
      <w:pPr>
        <w:ind w:left="680" w:right="680"/>
      </w:pPr>
      <w:r w:rsidRPr="00E54FE9">
        <w:t>w</w:t>
      </w:r>
      <w:r w:rsidR="00A65B64" w:rsidRPr="00E54FE9">
        <w:t>hereas 1 Maccabees holds Jewish ‘renegades’ responsible for this development, the writer of 2 Maccabees is under no misapprehension that it was the high priest Jason who was responsible for the introduction of Greek ways</w:t>
      </w:r>
      <w:r w:rsidR="00A65B64" w:rsidRPr="00E54FE9">
        <w:rPr>
          <w:rStyle w:val="FootnoteReference"/>
        </w:rPr>
        <w:footnoteReference w:id="11"/>
      </w:r>
      <w:r w:rsidR="00445C02" w:rsidRPr="00E54FE9">
        <w:t xml:space="preserve"> </w:t>
      </w:r>
    </w:p>
    <w:p w14:paraId="5C191D7F" w14:textId="1B2EA710" w:rsidR="00975309" w:rsidRDefault="00691E6F" w:rsidP="005219E7">
      <w:r>
        <w:t>T</w:t>
      </w:r>
      <w:r w:rsidR="000D28E2">
        <w:t>he lack of acknowledgement that there w</w:t>
      </w:r>
      <w:r w:rsidR="19CB53A2">
        <w:t>ere</w:t>
      </w:r>
      <w:r w:rsidR="000D28E2">
        <w:t xml:space="preserve"> issues in the Jewish community shows that the writer of 2 Maccabees was attempting to keep Jewish people together by uniting them against a common enemy, rather than documenting the issues in the Jewish communities.</w:t>
      </w:r>
      <w:r w:rsidR="00AB7F89">
        <w:t xml:space="preserve"> </w:t>
      </w:r>
      <w:r w:rsidR="000D28E2">
        <w:t>Due to the Greek s</w:t>
      </w:r>
      <w:r w:rsidR="7AEB36DF">
        <w:t>urroundings</w:t>
      </w:r>
      <w:r w:rsidR="000D28E2">
        <w:t xml:space="preserve"> that 2 Maccabees was in, 1 Maccabees had more freedom to speak about events, whereas 2 Maccabees would have had to cens</w:t>
      </w:r>
      <w:r w:rsidR="7F9B0E02">
        <w:t>or</w:t>
      </w:r>
      <w:r w:rsidR="000D28E2">
        <w:t xml:space="preserve"> themselves </w:t>
      </w:r>
      <w:proofErr w:type="gramStart"/>
      <w:r w:rsidR="000D28E2">
        <w:t>in order to</w:t>
      </w:r>
      <w:proofErr w:type="gramEnd"/>
      <w:r w:rsidR="000D28E2">
        <w:t xml:space="preserve"> </w:t>
      </w:r>
      <w:r w:rsidR="00E35CD8">
        <w:t>ensure</w:t>
      </w:r>
      <w:r w:rsidR="000D28E2">
        <w:t xml:space="preserve"> safety.</w:t>
      </w:r>
    </w:p>
    <w:p w14:paraId="18AFE2D2" w14:textId="473D52BC" w:rsidR="00734A00" w:rsidRDefault="00734A00" w:rsidP="00734A00">
      <w:pPr>
        <w:pStyle w:val="Heading2"/>
      </w:pPr>
      <w:r>
        <w:t>Themes in 2 Maccabees</w:t>
      </w:r>
    </w:p>
    <w:p w14:paraId="169BDEC0" w14:textId="427BC49D" w:rsidR="004B1D39" w:rsidRPr="00694C72" w:rsidRDefault="004B1D39" w:rsidP="004B1D39">
      <w:pPr>
        <w:pStyle w:val="Heading3"/>
        <w:rPr>
          <w:rFonts w:ascii="Trebuchet MS" w:hAnsi="Trebuchet MS"/>
          <w:color w:val="auto"/>
          <w:u w:val="single"/>
        </w:rPr>
      </w:pPr>
      <w:r w:rsidRPr="00694C72">
        <w:rPr>
          <w:rFonts w:ascii="Trebuchet MS" w:hAnsi="Trebuchet MS"/>
          <w:color w:val="auto"/>
          <w:u w:val="single"/>
        </w:rPr>
        <w:t>Afterlife</w:t>
      </w:r>
    </w:p>
    <w:p w14:paraId="7DB8733A" w14:textId="224F58A9" w:rsidR="00734A00" w:rsidRDefault="00734A00" w:rsidP="00734A00">
      <w:r>
        <w:t>Due to the turmoil which the author of 2 Maccabees was experiencing under the Greco-Roman rule, there are themes in 2 Maccabees that are not found in the other texts. One of these themes i</w:t>
      </w:r>
      <w:r w:rsidR="7DA2F0F5">
        <w:t>s</w:t>
      </w:r>
      <w:r>
        <w:t xml:space="preserve"> the belief in the afterlife. An example of this can be seen in 2 Maccabees when the author states  </w:t>
      </w:r>
    </w:p>
    <w:p w14:paraId="3FCC4CC6" w14:textId="039BBC35" w:rsidR="0008534B" w:rsidRDefault="00734A00" w:rsidP="00734A00">
      <w:pPr>
        <w:ind w:left="680" w:right="680"/>
      </w:pPr>
      <w:r w:rsidRPr="00734A00">
        <w:t>When he was near death, he said, “One cannot but choose to die at the hands of mortals and to cherish the hope God gives of being raised again by him. But for you there will be no resurrection to life!</w:t>
      </w:r>
      <w:r>
        <w:t xml:space="preserve"> (2 </w:t>
      </w:r>
      <w:proofErr w:type="spellStart"/>
      <w:r>
        <w:t>Macc</w:t>
      </w:r>
      <w:proofErr w:type="spellEnd"/>
      <w:r>
        <w:t xml:space="preserve"> 7:14)</w:t>
      </w:r>
    </w:p>
    <w:p w14:paraId="7AE31E50" w14:textId="77777777" w:rsidR="003D0B18" w:rsidRDefault="005B522E" w:rsidP="00D855A1">
      <w:r>
        <w:t xml:space="preserve">This quote aims to provide comfort to Jewish people in a time where many of them were facing death. 2 Maccabees encourages a belief in resurrection with body and soul, as it allowed people to remain connected to their faith, and perhaps remove the Greek of belief of the </w:t>
      </w:r>
      <w:r w:rsidR="00DF410A">
        <w:t xml:space="preserve">soul being </w:t>
      </w:r>
      <w:r>
        <w:t xml:space="preserve">immortal and </w:t>
      </w:r>
      <w:r w:rsidR="00DF410A">
        <w:t xml:space="preserve">the </w:t>
      </w:r>
      <w:r>
        <w:t>loss of the physical being</w:t>
      </w:r>
      <w:r w:rsidR="00DF410A">
        <w:t xml:space="preserve"> in death</w:t>
      </w:r>
      <w:r>
        <w:t>.</w:t>
      </w:r>
      <w:r>
        <w:rPr>
          <w:rStyle w:val="FootnoteReference"/>
        </w:rPr>
        <w:footnoteReference w:id="12"/>
      </w:r>
      <w:r w:rsidR="00191603">
        <w:t xml:space="preserve"> </w:t>
      </w:r>
      <w:r w:rsidR="006A1B38">
        <w:t>Furthermore, there was a belief in the reu</w:t>
      </w:r>
      <w:r w:rsidR="05B49378">
        <w:t>nion</w:t>
      </w:r>
      <w:r w:rsidR="006A1B38">
        <w:t xml:space="preserve"> with God. This can also be seen in the texts in an account of one of the seven brothers who were martyrs</w:t>
      </w:r>
      <w:r w:rsidR="69EF4B00">
        <w:t xml:space="preserve">. When he </w:t>
      </w:r>
      <w:r w:rsidR="006A1B38">
        <w:t>was dying, he reache</w:t>
      </w:r>
      <w:r w:rsidR="4A2F7753">
        <w:t>d</w:t>
      </w:r>
      <w:r w:rsidR="006A1B38">
        <w:t xml:space="preserve"> out his hands and </w:t>
      </w:r>
      <w:r w:rsidR="62EA1935">
        <w:t>stated,</w:t>
      </w:r>
      <w:r w:rsidR="006A1B38">
        <w:t xml:space="preserve"> </w:t>
      </w:r>
      <w:r w:rsidR="006A1B38" w:rsidRPr="006A1B38">
        <w:t>“I got these from Heaven, and because of his laws I disdain them, and from him I hope to get them back again”</w:t>
      </w:r>
      <w:r w:rsidR="241908B8" w:rsidRPr="006A1B38">
        <w:t xml:space="preserve"> </w:t>
      </w:r>
      <w:r w:rsidR="006A1B38">
        <w:t xml:space="preserve">(2 </w:t>
      </w:r>
      <w:proofErr w:type="spellStart"/>
      <w:r w:rsidR="006A1B38">
        <w:t>Macc</w:t>
      </w:r>
      <w:proofErr w:type="spellEnd"/>
      <w:r w:rsidR="006A1B38">
        <w:t xml:space="preserve"> 7:11). Here could </w:t>
      </w:r>
      <w:r w:rsidR="4433A89D">
        <w:t xml:space="preserve">be </w:t>
      </w:r>
      <w:r w:rsidR="006A1B38">
        <w:t xml:space="preserve">the insinuation that he was sent </w:t>
      </w:r>
      <w:r w:rsidR="28BBA219">
        <w:t>b</w:t>
      </w:r>
      <w:r w:rsidR="006A1B38">
        <w:t xml:space="preserve">y God to help the Jewish </w:t>
      </w:r>
      <w:r w:rsidR="00225EE6">
        <w:t>people and</w:t>
      </w:r>
      <w:r w:rsidR="006A1B38">
        <w:t xml:space="preserve"> will then return to God </w:t>
      </w:r>
      <w:r w:rsidR="1C672F8A">
        <w:t xml:space="preserve">again </w:t>
      </w:r>
      <w:r w:rsidR="006A1B38">
        <w:t xml:space="preserve">in his death. </w:t>
      </w:r>
    </w:p>
    <w:p w14:paraId="4F58760B" w14:textId="3D22CB6E" w:rsidR="00D855A1" w:rsidRDefault="006A1B38" w:rsidP="00D855A1">
      <w:r>
        <w:t>On</w:t>
      </w:r>
      <w:r w:rsidR="2C0CCD09">
        <w:t>c</w:t>
      </w:r>
      <w:r>
        <w:t xml:space="preserve">e again, this was such a </w:t>
      </w:r>
      <w:r w:rsidR="18E24B28">
        <w:t>common</w:t>
      </w:r>
      <w:r>
        <w:t xml:space="preserve"> theme in 2 Maccabees, </w:t>
      </w:r>
      <w:r w:rsidR="00D855A1">
        <w:t xml:space="preserve">as the text </w:t>
      </w:r>
      <w:r w:rsidR="7E55E7CA">
        <w:t>portrays</w:t>
      </w:r>
      <w:r w:rsidR="00D855A1">
        <w:t xml:space="preserve"> the </w:t>
      </w:r>
      <w:r w:rsidR="00225EE6">
        <w:t>martyrs</w:t>
      </w:r>
      <w:r w:rsidR="00D855A1">
        <w:t xml:space="preserve"> </w:t>
      </w:r>
      <w:r w:rsidR="15692BDA">
        <w:t>as</w:t>
      </w:r>
      <w:r w:rsidR="00D855A1">
        <w:t xml:space="preserve"> heroes, where was 1 Maccabees does not. The concept of a</w:t>
      </w:r>
      <w:r w:rsidR="254D87CE">
        <w:t>n</w:t>
      </w:r>
      <w:r w:rsidR="00D855A1">
        <w:t xml:space="preserve"> afterlife is also not mentioned in 1 Maccabees as it reflects that at the time “no hope of a future life is held out; only the prospect of a glorious reputation among future generations (cf. 1 Maccabees 2:49-70)”.</w:t>
      </w:r>
      <w:r w:rsidR="00D855A1">
        <w:rPr>
          <w:rStyle w:val="FootnoteReference"/>
        </w:rPr>
        <w:footnoteReference w:id="13"/>
      </w:r>
      <w:r w:rsidR="00D855A1">
        <w:t xml:space="preserve">  </w:t>
      </w:r>
      <w:r w:rsidR="00225EE6">
        <w:t xml:space="preserve">Therefore, </w:t>
      </w:r>
      <w:r w:rsidR="46CBEE5A">
        <w:t>1 Maccabees</w:t>
      </w:r>
      <w:r w:rsidR="00225EE6">
        <w:t xml:space="preserve"> put</w:t>
      </w:r>
      <w:r w:rsidR="7A17D0BC">
        <w:t>s</w:t>
      </w:r>
      <w:r w:rsidR="00225EE6">
        <w:t xml:space="preserve"> its hope in the future generations, as the author felt that there was nothing that they could do, whereas 2 Maccabees put</w:t>
      </w:r>
      <w:r w:rsidR="004C5F27">
        <w:t>s</w:t>
      </w:r>
      <w:r w:rsidR="00225EE6">
        <w:t xml:space="preserve"> its hope in the martyrs fighting against the Greeks and </w:t>
      </w:r>
      <w:r w:rsidR="2E82C36B">
        <w:t xml:space="preserve">having </w:t>
      </w:r>
      <w:r w:rsidR="00225EE6">
        <w:t xml:space="preserve">faith in an afterlife. </w:t>
      </w:r>
      <w:r w:rsidR="00D855A1">
        <w:t xml:space="preserve">               </w:t>
      </w:r>
    </w:p>
    <w:p w14:paraId="0E2CF557" w14:textId="77777777" w:rsidR="001C24AC" w:rsidRPr="00694C72" w:rsidRDefault="001C24AC" w:rsidP="001C24AC">
      <w:pPr>
        <w:pStyle w:val="Heading3"/>
        <w:rPr>
          <w:rFonts w:ascii="Trebuchet MS" w:hAnsi="Trebuchet MS"/>
          <w:color w:val="auto"/>
          <w:u w:val="single"/>
        </w:rPr>
      </w:pPr>
      <w:r w:rsidRPr="00694C72">
        <w:rPr>
          <w:rFonts w:ascii="Trebuchet MS" w:hAnsi="Trebuchet MS"/>
          <w:color w:val="auto"/>
          <w:u w:val="single"/>
        </w:rPr>
        <w:t xml:space="preserve">Divine Deliverance </w:t>
      </w:r>
    </w:p>
    <w:p w14:paraId="237A647E" w14:textId="45F0ACD2" w:rsidR="003D0B18" w:rsidRDefault="001C24AC" w:rsidP="001C24AC">
      <w:r>
        <w:t xml:space="preserve">A final theme that </w:t>
      </w:r>
      <w:r w:rsidR="4EF973C3">
        <w:t>can be</w:t>
      </w:r>
      <w:r>
        <w:t xml:space="preserve"> seen in 2 Maccabees, and slightly in 1 Maccabees, is the idea of divine deliverance. The texts talk throughout about God being on their side, and “2 Maccabees, therefore has as its major theme the epiphanic deliverance of the Jews, with the minor theme being the fact that the Jews are good citizens”.</w:t>
      </w:r>
      <w:r>
        <w:rPr>
          <w:rStyle w:val="FootnoteReference"/>
        </w:rPr>
        <w:footnoteReference w:id="14"/>
      </w:r>
      <w:r w:rsidR="00DA158E">
        <w:t xml:space="preserve"> This belief that Jews are good citizens is also reflected by the fact that 2 Maccabees does not discuss inner Jewish disputes which was mentioned previously in this essay. In 1 Maccabees the fights and battles are stated to follow the “pattern</w:t>
      </w:r>
      <w:r w:rsidR="00DA158E" w:rsidRPr="00DA158E">
        <w:t xml:space="preserve"> of the biblical traditions of holy war</w:t>
      </w:r>
      <w:r w:rsidR="00DA158E">
        <w:t>”</w:t>
      </w:r>
      <w:r w:rsidR="00DA158E">
        <w:rPr>
          <w:rStyle w:val="FootnoteReference"/>
        </w:rPr>
        <w:footnoteReference w:id="15"/>
      </w:r>
      <w:r w:rsidR="00DA158E">
        <w:t xml:space="preserve">. </w:t>
      </w:r>
      <w:r w:rsidR="11A49C46">
        <w:t>Here is an</w:t>
      </w:r>
      <w:r w:rsidR="00DA158E">
        <w:t xml:space="preserve"> example of </w:t>
      </w:r>
      <w:r w:rsidR="500B91D7">
        <w:t xml:space="preserve">the different description of divine deliverance </w:t>
      </w:r>
      <w:r w:rsidR="6783A227">
        <w:t>in 1 and 2 Maccabees.</w:t>
      </w:r>
      <w:r w:rsidR="00DA158E">
        <w:t xml:space="preserve"> 1 Maccabees 3:8-9</w:t>
      </w:r>
      <w:r w:rsidR="6D1E6FEB">
        <w:t xml:space="preserve"> states, </w:t>
      </w:r>
      <w:r w:rsidR="00DA158E">
        <w:t xml:space="preserve">when describing </w:t>
      </w:r>
      <w:r w:rsidR="00BA7EDA">
        <w:t>Judas</w:t>
      </w:r>
      <w:r w:rsidR="0E0F2D58">
        <w:t xml:space="preserve">’ </w:t>
      </w:r>
      <w:r w:rsidR="00BA7EDA">
        <w:t>early victories</w:t>
      </w:r>
    </w:p>
    <w:p w14:paraId="7C8540C9" w14:textId="053565E3" w:rsidR="003D0B18" w:rsidRPr="003D0B18" w:rsidRDefault="00BA7EDA" w:rsidP="003D0B18">
      <w:pPr>
        <w:ind w:left="680" w:right="680"/>
      </w:pPr>
      <w:r w:rsidRPr="003D0B18">
        <w:t xml:space="preserve">he destroyed the ungodly out of the land; </w:t>
      </w:r>
      <w:proofErr w:type="gramStart"/>
      <w:r w:rsidRPr="003D0B18">
        <w:t>thus</w:t>
      </w:r>
      <w:proofErr w:type="gramEnd"/>
      <w:r w:rsidRPr="003D0B18">
        <w:t xml:space="preserve"> he turned away wrath from Israel. He was renowned to the ends of the earth he gathered in those who were perishing. </w:t>
      </w:r>
    </w:p>
    <w:p w14:paraId="1DB23280" w14:textId="296E0367" w:rsidR="000E4A1D" w:rsidRDefault="000E4A1D" w:rsidP="001C24AC">
      <w:r>
        <w:t>This is typical f</w:t>
      </w:r>
      <w:r w:rsidR="2DAD38C0">
        <w:t>or</w:t>
      </w:r>
      <w:r>
        <w:t xml:space="preserve"> traditional biblical </w:t>
      </w:r>
      <w:proofErr w:type="gramStart"/>
      <w:r>
        <w:t>writing,</w:t>
      </w:r>
      <w:proofErr w:type="gramEnd"/>
      <w:r>
        <w:t xml:space="preserve"> however</w:t>
      </w:r>
      <w:r w:rsidR="091A3A9E">
        <w:t>,</w:t>
      </w:r>
      <w:r>
        <w:t xml:space="preserve"> 2 Maccabees uses God as a reasoning for triumphs. An example of this can be seen through the quote</w:t>
      </w:r>
      <w:r w:rsidRPr="000E4A1D">
        <w:t xml:space="preserve"> </w:t>
      </w:r>
    </w:p>
    <w:p w14:paraId="088FEE30" w14:textId="063AE8A0" w:rsidR="005B522E" w:rsidRDefault="000E4A1D" w:rsidP="000E4A1D">
      <w:pPr>
        <w:ind w:left="680" w:right="680"/>
      </w:pPr>
      <w:r w:rsidRPr="000E4A1D">
        <w:t>Judas and his troops met the enemy in battle with invocations to God and prayers. So, fighting with their hands and praying to God in their hearts, they laid low at least thirty-five thousand, and were greatly gladdened by God's manifestation. (2 Macc. 15:27)</w:t>
      </w:r>
      <w:r>
        <w:t>.</w:t>
      </w:r>
    </w:p>
    <w:p w14:paraId="1CFAFCF2" w14:textId="6FC0927F" w:rsidR="000E4A1D" w:rsidRDefault="7D1562D3" w:rsidP="000E4A1D">
      <w:r>
        <w:t xml:space="preserve">Although </w:t>
      </w:r>
      <w:r w:rsidR="000E4A1D">
        <w:t>both texts are discussing the same person, the deliverance is completely different. As previously stated, the prevalence of God in 2 Maccabees</w:t>
      </w:r>
      <w:r w:rsidR="000D74AC">
        <w:t xml:space="preserve"> is to show faith </w:t>
      </w:r>
      <w:r w:rsidR="23FDBAE0">
        <w:t>as</w:t>
      </w:r>
      <w:r w:rsidR="000D74AC">
        <w:t xml:space="preserve"> a way </w:t>
      </w:r>
      <w:r w:rsidR="4B18777C">
        <w:t>how</w:t>
      </w:r>
      <w:r w:rsidR="000D74AC">
        <w:t xml:space="preserve"> people could </w:t>
      </w:r>
      <w:r w:rsidR="0E094DFD">
        <w:t xml:space="preserve">find support </w:t>
      </w:r>
      <w:r w:rsidR="000D74AC">
        <w:t xml:space="preserve">at the time. This </w:t>
      </w:r>
      <w:r w:rsidR="1AE089BE">
        <w:t xml:space="preserve">can be </w:t>
      </w:r>
      <w:r w:rsidR="000D74AC">
        <w:t>further seen through the author</w:t>
      </w:r>
      <w:r w:rsidR="0AF5D703">
        <w:t>’</w:t>
      </w:r>
      <w:r w:rsidR="000D74AC">
        <w:t xml:space="preserve">s support </w:t>
      </w:r>
      <w:r w:rsidR="2556E445">
        <w:t>of</w:t>
      </w:r>
      <w:r w:rsidR="000D74AC">
        <w:t xml:space="preserve"> martyrs that is not seen in 1 Maccabees, as the author “utilized the memory of the Maccabean martyrs to alternately support and critique the imperial aspirations of Christian rulers”.</w:t>
      </w:r>
      <w:r w:rsidR="000D74AC">
        <w:rPr>
          <w:rStyle w:val="FootnoteReference"/>
        </w:rPr>
        <w:footnoteReference w:id="16"/>
      </w:r>
      <w:r w:rsidR="000D74AC">
        <w:t xml:space="preserve"> This ultimately </w:t>
      </w:r>
      <w:r w:rsidR="2AB5893E">
        <w:t>illustrates</w:t>
      </w:r>
      <w:r w:rsidR="000D74AC">
        <w:t xml:space="preserve"> a large difference in the ways in which 1 and 2 Maccabees </w:t>
      </w:r>
      <w:r w:rsidR="63CAD0C1">
        <w:t>are</w:t>
      </w:r>
      <w:r w:rsidR="000D74AC">
        <w:t xml:space="preserve"> written, and 1 Maccabees is centred around a historical depiction of events whereas 2 Maccabees attempts to aid the Jewish people </w:t>
      </w:r>
      <w:r w:rsidR="21ED6C5C">
        <w:t>to</w:t>
      </w:r>
      <w:r w:rsidR="000D74AC">
        <w:t xml:space="preserve"> remaining a community and stand with their God. </w:t>
      </w:r>
    </w:p>
    <w:p w14:paraId="41AC6085" w14:textId="627117D8" w:rsidR="000D74AC" w:rsidRDefault="000D74AC" w:rsidP="000D74AC">
      <w:pPr>
        <w:pStyle w:val="Heading2"/>
      </w:pPr>
      <w:r>
        <w:t xml:space="preserve">Conclusion </w:t>
      </w:r>
    </w:p>
    <w:p w14:paraId="27ACB241" w14:textId="78264FC0" w:rsidR="000D74AC" w:rsidRDefault="000D74AC" w:rsidP="000D74AC">
      <w:r>
        <w:t xml:space="preserve">To conclude, although both 1 and 2 Maccabees are discussing the same or similar events, the texts </w:t>
      </w:r>
      <w:r w:rsidR="008A6AF3">
        <w:t>are almost oppo</w:t>
      </w:r>
      <w:r w:rsidR="64A5DDF9">
        <w:t>sites</w:t>
      </w:r>
      <w:r w:rsidR="008A6AF3">
        <w:t xml:space="preserve"> in how they do so. The discussion of the gymnasium and circumcision is very prevalent in 1 Maccabees, however, some of this discussion is not mentioned in 2 Maccabees. Many of the differences in the texts are</w:t>
      </w:r>
      <w:r w:rsidR="03AD6373">
        <w:t xml:space="preserve"> the</w:t>
      </w:r>
      <w:r w:rsidR="008A6AF3">
        <w:t xml:space="preserve"> result of the difference in time and location in which that are being written. Furthermore, the purpose of the texts </w:t>
      </w:r>
      <w:r w:rsidR="4DD289BA">
        <w:t>changed</w:t>
      </w:r>
      <w:r w:rsidR="008A6AF3">
        <w:t xml:space="preserve">, as the purpose of 1 Maccabees is mostly historical, </w:t>
      </w:r>
      <w:r w:rsidR="184E3DCF">
        <w:t xml:space="preserve">which can be </w:t>
      </w:r>
      <w:r w:rsidR="008A6AF3">
        <w:t xml:space="preserve">seen through its similarities to other biblical writings. </w:t>
      </w:r>
      <w:r w:rsidR="76BC88A5">
        <w:t>On the other hand</w:t>
      </w:r>
      <w:r w:rsidR="008A6AF3">
        <w:t>, 2 Maccabees was writ</w:t>
      </w:r>
      <w:r w:rsidR="04DD951C">
        <w:t>ten</w:t>
      </w:r>
      <w:r w:rsidR="008A6AF3">
        <w:t xml:space="preserve"> inside a Hellenised area, and therefore had to take a difference approach. Overall, the texts both depict very similar events, but </w:t>
      </w:r>
      <w:r w:rsidR="7CAD2F20">
        <w:t>they</w:t>
      </w:r>
      <w:r w:rsidR="008A6AF3">
        <w:t xml:space="preserve"> reflect the surroundings and realities of when they were written</w:t>
      </w:r>
      <w:r w:rsidR="68C9CBF6">
        <w:t>, which explains their differences.</w:t>
      </w:r>
    </w:p>
    <w:p w14:paraId="5F328411" w14:textId="3001767D" w:rsidR="00453751" w:rsidRDefault="00453751" w:rsidP="000D74AC"/>
    <w:p w14:paraId="432B6BFB" w14:textId="73DA5C77" w:rsidR="00453751" w:rsidRDefault="00453751" w:rsidP="000D74AC"/>
    <w:p w14:paraId="1B1A2ABB" w14:textId="55E6182E" w:rsidR="00453751" w:rsidRDefault="00453751" w:rsidP="000D74AC"/>
    <w:p w14:paraId="773A8B27" w14:textId="1BF94D55" w:rsidR="00453751" w:rsidRDefault="00453751" w:rsidP="000D74AC"/>
    <w:p w14:paraId="46187A97" w14:textId="3423BBFD" w:rsidR="00453751" w:rsidRDefault="00453751" w:rsidP="000D74AC"/>
    <w:p w14:paraId="59EF972D" w14:textId="57877103" w:rsidR="00453751" w:rsidRDefault="00453751" w:rsidP="000D74AC"/>
    <w:p w14:paraId="02076DDD" w14:textId="720E6EBB" w:rsidR="00453751" w:rsidRDefault="00453751" w:rsidP="000D74AC"/>
    <w:p w14:paraId="2EBAE5A9" w14:textId="53095A30" w:rsidR="00453751" w:rsidRDefault="00453751" w:rsidP="000D74AC"/>
    <w:p w14:paraId="21C764F6" w14:textId="2E021116" w:rsidR="00453751" w:rsidRDefault="00453751" w:rsidP="000D74AC"/>
    <w:p w14:paraId="205635B0" w14:textId="77777777" w:rsidR="00E15ADE" w:rsidRDefault="00E15ADE" w:rsidP="000D74AC"/>
    <w:p w14:paraId="2EADBB9B" w14:textId="60A714C8" w:rsidR="00453751" w:rsidRDefault="00453751" w:rsidP="000D74AC">
      <w:r>
        <w:t xml:space="preserve">Bibliography </w:t>
      </w:r>
    </w:p>
    <w:p w14:paraId="402A236B" w14:textId="77777777" w:rsidR="00892B39" w:rsidRPr="000D74AC" w:rsidRDefault="00892B39" w:rsidP="000D74AC"/>
    <w:p w14:paraId="2B9DA0AE" w14:textId="77777777" w:rsidR="00892B39" w:rsidRPr="00453751" w:rsidRDefault="00892B39" w:rsidP="00453751">
      <w:r w:rsidRPr="00453751">
        <w:t>Collins</w:t>
      </w:r>
      <w:r>
        <w:t>, John J</w:t>
      </w:r>
      <w:r w:rsidRPr="00453751">
        <w:t>. 2017. </w:t>
      </w:r>
      <w:r w:rsidRPr="00453751">
        <w:rPr>
          <w:i/>
          <w:iCs/>
        </w:rPr>
        <w:t>The Invention of Judaism. Torah and Jewish Identity from Deuteronomy to Paul.</w:t>
      </w:r>
      <w:r w:rsidRPr="00453751">
        <w:t xml:space="preserve"> (Berkeley: University </w:t>
      </w:r>
      <w:proofErr w:type="gramStart"/>
      <w:r w:rsidRPr="00453751">
        <w:t>Of</w:t>
      </w:r>
      <w:proofErr w:type="gramEnd"/>
      <w:r w:rsidRPr="00453751">
        <w:t xml:space="preserve"> California Press)</w:t>
      </w:r>
    </w:p>
    <w:p w14:paraId="592A00C3" w14:textId="77777777" w:rsidR="00892B39" w:rsidRPr="00453751" w:rsidRDefault="00892B39" w:rsidP="00453751">
      <w:r w:rsidRPr="00453751">
        <w:t>Doran, Robert. 1981. </w:t>
      </w:r>
      <w:r w:rsidRPr="00453751">
        <w:rPr>
          <w:i/>
          <w:iCs/>
        </w:rPr>
        <w:t xml:space="preserve">Temple </w:t>
      </w:r>
      <w:proofErr w:type="gramStart"/>
      <w:r w:rsidRPr="00453751">
        <w:rPr>
          <w:i/>
          <w:iCs/>
        </w:rPr>
        <w:t>Propaganda</w:t>
      </w:r>
      <w:r w:rsidRPr="00453751">
        <w:rPr>
          <w:rFonts w:ascii="Arial" w:hAnsi="Arial" w:cs="Arial"/>
          <w:i/>
          <w:iCs/>
        </w:rPr>
        <w:t> </w:t>
      </w:r>
      <w:r w:rsidRPr="00453751">
        <w:rPr>
          <w:i/>
          <w:iCs/>
        </w:rPr>
        <w:t>:</w:t>
      </w:r>
      <w:proofErr w:type="gramEnd"/>
      <w:r w:rsidRPr="00453751">
        <w:rPr>
          <w:i/>
          <w:iCs/>
        </w:rPr>
        <w:t xml:space="preserve"> The Purpose and Character of 2 Maccabees.</w:t>
      </w:r>
      <w:r w:rsidRPr="00453751">
        <w:t xml:space="preserve"> (Washington, D.C.: Catholic Biblical Association </w:t>
      </w:r>
      <w:proofErr w:type="gramStart"/>
      <w:r w:rsidRPr="00453751">
        <w:t>Of</w:t>
      </w:r>
      <w:proofErr w:type="gramEnd"/>
      <w:r w:rsidRPr="00453751">
        <w:t xml:space="preserve"> America)</w:t>
      </w:r>
    </w:p>
    <w:p w14:paraId="3B6C129B" w14:textId="77777777" w:rsidR="00892B39" w:rsidRPr="00453751" w:rsidRDefault="00892B39" w:rsidP="00453751">
      <w:proofErr w:type="spellStart"/>
      <w:r w:rsidRPr="00453751">
        <w:t>Gruen</w:t>
      </w:r>
      <w:r>
        <w:t>n</w:t>
      </w:r>
      <w:proofErr w:type="spellEnd"/>
      <w:r>
        <w:t>, Erich S</w:t>
      </w:r>
      <w:r w:rsidRPr="00453751">
        <w:t>. 2002. </w:t>
      </w:r>
      <w:r w:rsidRPr="00453751">
        <w:rPr>
          <w:i/>
          <w:iCs/>
        </w:rPr>
        <w:t xml:space="preserve">Heritage and </w:t>
      </w:r>
      <w:proofErr w:type="gramStart"/>
      <w:r w:rsidRPr="00453751">
        <w:rPr>
          <w:i/>
          <w:iCs/>
        </w:rPr>
        <w:t>Hellenism</w:t>
      </w:r>
      <w:r w:rsidRPr="00453751">
        <w:rPr>
          <w:rFonts w:ascii="Arial" w:hAnsi="Arial" w:cs="Arial"/>
          <w:i/>
          <w:iCs/>
        </w:rPr>
        <w:t> </w:t>
      </w:r>
      <w:r w:rsidRPr="00453751">
        <w:rPr>
          <w:i/>
          <w:iCs/>
        </w:rPr>
        <w:t>:</w:t>
      </w:r>
      <w:proofErr w:type="gramEnd"/>
      <w:r w:rsidRPr="00453751">
        <w:rPr>
          <w:i/>
          <w:iCs/>
        </w:rPr>
        <w:t xml:space="preserve"> The Reinvention of Jewish Tradition</w:t>
      </w:r>
      <w:r w:rsidRPr="00453751">
        <w:t> (Berkeley: University Of California Press, Cop)</w:t>
      </w:r>
    </w:p>
    <w:p w14:paraId="3C128F03" w14:textId="77777777" w:rsidR="00892B39" w:rsidRPr="00453751" w:rsidRDefault="00892B39" w:rsidP="00453751">
      <w:r w:rsidRPr="00453751">
        <w:t>Harding</w:t>
      </w:r>
      <w:r>
        <w:t>, Mark</w:t>
      </w:r>
      <w:r w:rsidRPr="00453751">
        <w:t>. 2003. </w:t>
      </w:r>
      <w:r w:rsidRPr="00453751">
        <w:rPr>
          <w:i/>
          <w:iCs/>
        </w:rPr>
        <w:t xml:space="preserve">Early Christian Life and Thought in Social </w:t>
      </w:r>
      <w:proofErr w:type="gramStart"/>
      <w:r w:rsidRPr="00453751">
        <w:rPr>
          <w:i/>
          <w:iCs/>
        </w:rPr>
        <w:t>Context</w:t>
      </w:r>
      <w:r w:rsidRPr="00453751">
        <w:rPr>
          <w:rFonts w:ascii="Arial" w:hAnsi="Arial" w:cs="Arial"/>
          <w:i/>
          <w:iCs/>
        </w:rPr>
        <w:t> </w:t>
      </w:r>
      <w:r w:rsidRPr="00453751">
        <w:rPr>
          <w:i/>
          <w:iCs/>
        </w:rPr>
        <w:t>:</w:t>
      </w:r>
      <w:proofErr w:type="gramEnd"/>
      <w:r w:rsidRPr="00453751">
        <w:rPr>
          <w:i/>
          <w:iCs/>
        </w:rPr>
        <w:t xml:space="preserve"> A Reader</w:t>
      </w:r>
      <w:r w:rsidRPr="00453751">
        <w:t> (London</w:t>
      </w:r>
      <w:r w:rsidRPr="00453751">
        <w:rPr>
          <w:rFonts w:ascii="Arial" w:hAnsi="Arial" w:cs="Arial"/>
        </w:rPr>
        <w:t> </w:t>
      </w:r>
      <w:r w:rsidRPr="00453751">
        <w:t>; New York: Sheffield Academic Press)</w:t>
      </w:r>
    </w:p>
    <w:p w14:paraId="2F05439A" w14:textId="77777777" w:rsidR="00892B39" w:rsidRPr="00453751" w:rsidRDefault="00892B39" w:rsidP="00453751">
      <w:r w:rsidRPr="00453751">
        <w:t>Himmelfarb</w:t>
      </w:r>
      <w:r>
        <w:t>, Martha</w:t>
      </w:r>
      <w:r w:rsidRPr="00453751">
        <w:t>. 1998a. “Judaism and Hellenism in 2 Maccabees,” </w:t>
      </w:r>
      <w:r w:rsidRPr="00453751">
        <w:rPr>
          <w:i/>
          <w:iCs/>
        </w:rPr>
        <w:t>Poetics Today</w:t>
      </w:r>
      <w:r w:rsidRPr="00453751">
        <w:t>, 19.1: 19 &lt;https://doi.org/10.2307/1773110&gt;</w:t>
      </w:r>
    </w:p>
    <w:p w14:paraId="77FF38CB" w14:textId="77777777" w:rsidR="00892B39" w:rsidRPr="00453751" w:rsidRDefault="00892B39" w:rsidP="00453751">
      <w:r w:rsidRPr="00453751">
        <w:t>Jenkins, Philip. 2018. “The Afterlife Evolution: Jewish Attitudes about Heaven and Hell Shaped Early Christian Theology,” </w:t>
      </w:r>
      <w:r w:rsidRPr="00453751">
        <w:rPr>
          <w:i/>
          <w:iCs/>
        </w:rPr>
        <w:t>U.S. Catholic</w:t>
      </w:r>
      <w:r w:rsidRPr="00453751">
        <w:t>, 83.6: 25–27 &lt;https://web.a.ebscohost.com/ehost/pdfviewer/pdfviewer?vid=1&amp;sid=1a13715e-1f9d-4efb-a388-b5e8cc7f9616%40sdc-v-sessmgr02&gt; [accessed 12 June 2020]</w:t>
      </w:r>
    </w:p>
    <w:p w14:paraId="1532B963" w14:textId="77777777" w:rsidR="00892B39" w:rsidRPr="00453751" w:rsidRDefault="00892B39" w:rsidP="00453751">
      <w:r w:rsidRPr="00453751">
        <w:t>Joslyn-</w:t>
      </w:r>
      <w:proofErr w:type="spellStart"/>
      <w:r w:rsidRPr="00453751">
        <w:t>Siemiatkoski</w:t>
      </w:r>
      <w:proofErr w:type="spellEnd"/>
      <w:r>
        <w:t>, D</w:t>
      </w:r>
      <w:r w:rsidRPr="00453751">
        <w:t>. 2014. </w:t>
      </w:r>
      <w:r w:rsidRPr="00453751">
        <w:rPr>
          <w:i/>
          <w:iCs/>
        </w:rPr>
        <w:t>Christian Memories of the Maccabean Martyrs.</w:t>
      </w:r>
      <w:r w:rsidRPr="00453751">
        <w:t> (Palgrave Macmillan</w:t>
      </w:r>
      <w:r>
        <w:t>)</w:t>
      </w:r>
    </w:p>
    <w:p w14:paraId="55FEC555" w14:textId="77777777" w:rsidR="00892B39" w:rsidRPr="00453751" w:rsidRDefault="00892B39" w:rsidP="00453751">
      <w:proofErr w:type="spellStart"/>
      <w:r w:rsidRPr="00453751">
        <w:t>Poliakoff</w:t>
      </w:r>
      <w:proofErr w:type="spellEnd"/>
      <w:r w:rsidRPr="00453751">
        <w:t xml:space="preserve">, Michael </w:t>
      </w:r>
      <w:proofErr w:type="spellStart"/>
      <w:r w:rsidRPr="00453751">
        <w:t>Poliakoff</w:t>
      </w:r>
      <w:proofErr w:type="spellEnd"/>
      <w:r w:rsidRPr="00453751">
        <w:t>. “‘They Should Cover Their Shame’: Attitudes Towards Nudity in Greco-Roman Judaism.” </w:t>
      </w:r>
      <w:r w:rsidRPr="00453751">
        <w:rPr>
          <w:i/>
          <w:iCs/>
        </w:rPr>
        <w:t>Source: Notes in the History of Art</w:t>
      </w:r>
      <w:r w:rsidRPr="00453751">
        <w:t>, vol. 12, no. 2, Jan. 1993, pp. 56–62, 10.1086/sou.12.2.23202936. Accessed 11 June 2020.</w:t>
      </w:r>
    </w:p>
    <w:p w14:paraId="29E53AD4" w14:textId="77777777" w:rsidR="00892B39" w:rsidRPr="00453751" w:rsidRDefault="00892B39" w:rsidP="00453751">
      <w:r w:rsidRPr="00453751">
        <w:t>Raphael</w:t>
      </w:r>
      <w:r>
        <w:t>, Simcha Paull</w:t>
      </w:r>
      <w:r w:rsidRPr="00453751">
        <w:t>. 2019. </w:t>
      </w:r>
      <w:r w:rsidRPr="00453751">
        <w:rPr>
          <w:i/>
          <w:iCs/>
        </w:rPr>
        <w:t>Jewish Views of the Afterlife</w:t>
      </w:r>
      <w:r w:rsidRPr="00453751">
        <w:t> (Lanham Rowman Et Littlefield</w:t>
      </w:r>
      <w:r>
        <w:t>)</w:t>
      </w:r>
    </w:p>
    <w:p w14:paraId="5A0E8E89" w14:textId="77777777" w:rsidR="00892B39" w:rsidRPr="00453751" w:rsidRDefault="00892B39" w:rsidP="00453751">
      <w:proofErr w:type="spellStart"/>
      <w:r w:rsidRPr="00453751">
        <w:t>Satlow</w:t>
      </w:r>
      <w:proofErr w:type="spellEnd"/>
      <w:r>
        <w:t xml:space="preserve"> Michael L</w:t>
      </w:r>
      <w:r w:rsidRPr="00453751">
        <w:t>. 2015. </w:t>
      </w:r>
      <w:r w:rsidRPr="00453751">
        <w:rPr>
          <w:i/>
          <w:iCs/>
        </w:rPr>
        <w:t>How the Bible Became Holy</w:t>
      </w:r>
      <w:r w:rsidRPr="00453751">
        <w:t> (Bognor Regis: Yale University Press)</w:t>
      </w:r>
    </w:p>
    <w:p w14:paraId="7B7F0E75" w14:textId="77777777" w:rsidR="00892B39" w:rsidRPr="00453751" w:rsidRDefault="00892B39" w:rsidP="00892B39">
      <w:proofErr w:type="spellStart"/>
      <w:r w:rsidRPr="00453751">
        <w:t>Schwarez</w:t>
      </w:r>
      <w:proofErr w:type="spellEnd"/>
      <w:r>
        <w:t>, Daniel</w:t>
      </w:r>
      <w:r w:rsidRPr="00453751">
        <w:t xml:space="preserve">. “Prof. Daniel </w:t>
      </w:r>
      <w:proofErr w:type="spellStart"/>
      <w:r w:rsidRPr="00453751">
        <w:t>Schwarez</w:t>
      </w:r>
      <w:proofErr w:type="spellEnd"/>
      <w:r w:rsidRPr="00453751">
        <w:t xml:space="preserve"> - Maccabees 1 &amp; 2 | The Lecture in </w:t>
      </w:r>
    </w:p>
    <w:p w14:paraId="545AA5E6" w14:textId="77777777" w:rsidR="00892B39" w:rsidRDefault="00892B39" w:rsidP="00453751">
      <w:r w:rsidRPr="00453751">
        <w:t xml:space="preserve">Soon, Isaac T Soon. “‘In Strength’ Not ‘by Force’: Re-Reading the Circumcision of the Uncircumcised </w:t>
      </w:r>
      <w:proofErr w:type="spellStart"/>
      <w:r w:rsidRPr="00453751">
        <w:rPr>
          <w:rFonts w:ascii="Arial" w:hAnsi="Arial" w:cs="Arial"/>
        </w:rPr>
        <w:t>Ἐ</w:t>
      </w:r>
      <w:r w:rsidRPr="00453751">
        <w:t>ν</w:t>
      </w:r>
      <w:proofErr w:type="spellEnd"/>
      <w:r w:rsidRPr="00453751">
        <w:t xml:space="preserve"> </w:t>
      </w:r>
      <w:proofErr w:type="spellStart"/>
      <w:r w:rsidRPr="00453751">
        <w:rPr>
          <w:rFonts w:ascii="Arial" w:hAnsi="Arial" w:cs="Arial"/>
        </w:rPr>
        <w:t>Ἰ</w:t>
      </w:r>
      <w:r w:rsidRPr="00453751">
        <w:t>σχύι</w:t>
      </w:r>
      <w:proofErr w:type="spellEnd"/>
      <w:r w:rsidRPr="00453751">
        <w:t xml:space="preserve"> in 1 </w:t>
      </w:r>
      <w:proofErr w:type="spellStart"/>
      <w:r w:rsidRPr="00453751">
        <w:t>Macc</w:t>
      </w:r>
      <w:proofErr w:type="spellEnd"/>
      <w:r w:rsidRPr="00453751">
        <w:t xml:space="preserve"> 2:46.” </w:t>
      </w:r>
      <w:r w:rsidRPr="00453751">
        <w:rPr>
          <w:i/>
          <w:iCs/>
        </w:rPr>
        <w:t>Journal for the Study of the Pseudepigrapha</w:t>
      </w:r>
      <w:r w:rsidRPr="00453751">
        <w:t>, vol. 29, no. 3, Mar. 2020, pp. 149–167, 10.1177/0951820720902086. Accessed 11 June 2020.</w:t>
      </w:r>
    </w:p>
    <w:p w14:paraId="349B4B16" w14:textId="77777777" w:rsidR="00892B39" w:rsidRPr="00453751" w:rsidRDefault="00892B39" w:rsidP="00453751">
      <w:r w:rsidRPr="00453751">
        <w:t>Soon</w:t>
      </w:r>
      <w:r>
        <w:t>, Isaac T</w:t>
      </w:r>
      <w:r w:rsidRPr="00453751">
        <w:t xml:space="preserve">. “‘In Strength’ Not ‘by Force’: Re-Reading the Circumcision of the Uncircumcised </w:t>
      </w:r>
      <w:proofErr w:type="spellStart"/>
      <w:r w:rsidRPr="00453751">
        <w:rPr>
          <w:rFonts w:ascii="Arial" w:hAnsi="Arial" w:cs="Arial"/>
        </w:rPr>
        <w:t>Ἐ</w:t>
      </w:r>
      <w:r w:rsidRPr="00453751">
        <w:t>ν</w:t>
      </w:r>
      <w:proofErr w:type="spellEnd"/>
      <w:r w:rsidRPr="00453751">
        <w:t xml:space="preserve"> </w:t>
      </w:r>
      <w:proofErr w:type="spellStart"/>
      <w:r w:rsidRPr="00453751">
        <w:rPr>
          <w:rFonts w:ascii="Arial" w:hAnsi="Arial" w:cs="Arial"/>
        </w:rPr>
        <w:t>Ἰ</w:t>
      </w:r>
      <w:r w:rsidRPr="00453751">
        <w:t>σχύι</w:t>
      </w:r>
      <w:proofErr w:type="spellEnd"/>
      <w:r w:rsidRPr="00453751">
        <w:t xml:space="preserve"> in 1 </w:t>
      </w:r>
      <w:proofErr w:type="spellStart"/>
      <w:r w:rsidRPr="00453751">
        <w:t>Macc</w:t>
      </w:r>
      <w:proofErr w:type="spellEnd"/>
      <w:r w:rsidRPr="00453751">
        <w:t xml:space="preserve"> 2:46.” </w:t>
      </w:r>
      <w:r w:rsidRPr="00453751">
        <w:rPr>
          <w:i/>
          <w:iCs/>
        </w:rPr>
        <w:t>Journal for the Study of the Pseudepigrapha</w:t>
      </w:r>
      <w:r w:rsidRPr="00453751">
        <w:t>, vol. 29, no. 3, Mar. 2020, pp. 149–167, 10.1177/0951820720902086. Accessed 11 June 2020.</w:t>
      </w:r>
    </w:p>
    <w:p w14:paraId="449C5F5D" w14:textId="77777777" w:rsidR="00892B39" w:rsidRPr="00453751" w:rsidRDefault="00892B39" w:rsidP="00453751">
      <w:r w:rsidRPr="00453751">
        <w:t>Williamson, Paul R. 2018. </w:t>
      </w:r>
      <w:r w:rsidRPr="00453751">
        <w:rPr>
          <w:i/>
          <w:iCs/>
        </w:rPr>
        <w:t xml:space="preserve">Death and the </w:t>
      </w:r>
      <w:proofErr w:type="gramStart"/>
      <w:r w:rsidRPr="00453751">
        <w:rPr>
          <w:i/>
          <w:iCs/>
        </w:rPr>
        <w:t>Afterlife</w:t>
      </w:r>
      <w:r w:rsidRPr="00453751">
        <w:rPr>
          <w:rFonts w:ascii="Arial" w:hAnsi="Arial" w:cs="Arial"/>
          <w:i/>
          <w:iCs/>
        </w:rPr>
        <w:t> </w:t>
      </w:r>
      <w:r w:rsidRPr="00453751">
        <w:rPr>
          <w:i/>
          <w:iCs/>
        </w:rPr>
        <w:t>:</w:t>
      </w:r>
      <w:proofErr w:type="gramEnd"/>
      <w:r w:rsidRPr="00453751">
        <w:rPr>
          <w:i/>
          <w:iCs/>
        </w:rPr>
        <w:t xml:space="preserve"> Biblical Perspectives on Ultimate Questions</w:t>
      </w:r>
      <w:r w:rsidRPr="00453751">
        <w:t> (London: Apollos, Downers Grove, Illinois)</w:t>
      </w:r>
    </w:p>
    <w:sectPr w:rsidR="00892B39" w:rsidRPr="004537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BFBDA0" w14:textId="77777777" w:rsidR="007D35AE" w:rsidRDefault="007D35AE" w:rsidP="002B66DF">
      <w:pPr>
        <w:spacing w:after="0" w:line="240" w:lineRule="auto"/>
      </w:pPr>
      <w:r>
        <w:separator/>
      </w:r>
    </w:p>
  </w:endnote>
  <w:endnote w:type="continuationSeparator" w:id="0">
    <w:p w14:paraId="66CAE378" w14:textId="77777777" w:rsidR="007D35AE" w:rsidRDefault="007D35AE" w:rsidP="002B66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45D0AA" w14:textId="77777777" w:rsidR="007D35AE" w:rsidRDefault="007D35AE" w:rsidP="002B66DF">
      <w:pPr>
        <w:spacing w:after="0" w:line="240" w:lineRule="auto"/>
      </w:pPr>
      <w:r>
        <w:separator/>
      </w:r>
    </w:p>
  </w:footnote>
  <w:footnote w:type="continuationSeparator" w:id="0">
    <w:p w14:paraId="5BA8D9F2" w14:textId="77777777" w:rsidR="007D35AE" w:rsidRDefault="007D35AE" w:rsidP="002B66DF">
      <w:pPr>
        <w:spacing w:after="0" w:line="240" w:lineRule="auto"/>
      </w:pPr>
      <w:r>
        <w:continuationSeparator/>
      </w:r>
    </w:p>
  </w:footnote>
  <w:footnote w:id="1">
    <w:p w14:paraId="72E2A31D" w14:textId="238CAFE5" w:rsidR="00DF410A" w:rsidRDefault="00DF410A">
      <w:pPr>
        <w:pStyle w:val="FootnoteText"/>
      </w:pPr>
      <w:r>
        <w:rPr>
          <w:rStyle w:val="FootnoteReference"/>
        </w:rPr>
        <w:footnoteRef/>
      </w:r>
      <w:r>
        <w:t xml:space="preserve"> </w:t>
      </w:r>
      <w:r w:rsidR="004B1D39" w:rsidRPr="004B1D39">
        <w:t>Philip</w:t>
      </w:r>
      <w:r w:rsidR="00892B39">
        <w:t xml:space="preserve"> Jenkins</w:t>
      </w:r>
      <w:r w:rsidR="004B1D39" w:rsidRPr="004B1D39">
        <w:t>. 2018. “The Afterlife Evolution: Jewish Attitudes about Heaven and Hell Shaped Early Christian Theology,” </w:t>
      </w:r>
      <w:r w:rsidR="004B1D39" w:rsidRPr="004B1D39">
        <w:rPr>
          <w:i/>
          <w:iCs/>
        </w:rPr>
        <w:t>U.S. Catholic</w:t>
      </w:r>
      <w:r w:rsidR="004B1D39" w:rsidRPr="004B1D39">
        <w:t>, 83.6: 25–27 &lt;https://web.a.ebscohost.com/ehost/pdfviewer/pdfviewer?vid=1&amp;sid=1a13715e-1f9d-4efb-a388-b5e8cc7f9616%40sdc-v-sessmgr02&gt; [accessed 12 June 2020]</w:t>
      </w:r>
    </w:p>
  </w:footnote>
  <w:footnote w:id="2">
    <w:p w14:paraId="39D06B43" w14:textId="5E69A21E" w:rsidR="004A272E" w:rsidRPr="004B3926" w:rsidRDefault="004A272E" w:rsidP="00963AD7">
      <w:pPr>
        <w:rPr>
          <w:rFonts w:cs="Arial"/>
          <w:sz w:val="20"/>
          <w:szCs w:val="20"/>
        </w:rPr>
      </w:pPr>
      <w:r w:rsidRPr="004B3926">
        <w:rPr>
          <w:rStyle w:val="FootnoteReference"/>
          <w:sz w:val="22"/>
          <w:szCs w:val="20"/>
        </w:rPr>
        <w:footnoteRef/>
      </w:r>
      <w:r w:rsidRPr="004B3926">
        <w:rPr>
          <w:sz w:val="22"/>
          <w:szCs w:val="20"/>
        </w:rPr>
        <w:t xml:space="preserve"> </w:t>
      </w:r>
      <w:bookmarkStart w:id="0" w:name="_Hlk42679869"/>
      <w:r w:rsidRPr="004B3926">
        <w:rPr>
          <w:rFonts w:cs="Arial"/>
          <w:sz w:val="20"/>
          <w:szCs w:val="20"/>
        </w:rPr>
        <w:t>John J Collins. 2017. </w:t>
      </w:r>
      <w:r w:rsidRPr="004B3926">
        <w:rPr>
          <w:rFonts w:cs="Arial"/>
          <w:i/>
          <w:iCs/>
          <w:sz w:val="20"/>
          <w:szCs w:val="20"/>
        </w:rPr>
        <w:t>The Invention of Judaism. Torah and Jewish Identity from Deuteronomy to Paul.</w:t>
      </w:r>
      <w:r w:rsidRPr="004B3926">
        <w:rPr>
          <w:rFonts w:cs="Arial"/>
          <w:sz w:val="20"/>
          <w:szCs w:val="20"/>
        </w:rPr>
        <w:t xml:space="preserve"> (Berkeley: University </w:t>
      </w:r>
      <w:proofErr w:type="gramStart"/>
      <w:r w:rsidRPr="004B3926">
        <w:rPr>
          <w:rFonts w:cs="Arial"/>
          <w:sz w:val="20"/>
          <w:szCs w:val="20"/>
        </w:rPr>
        <w:t>Of</w:t>
      </w:r>
      <w:proofErr w:type="gramEnd"/>
      <w:r w:rsidRPr="004B3926">
        <w:rPr>
          <w:rFonts w:cs="Arial"/>
          <w:sz w:val="20"/>
          <w:szCs w:val="20"/>
        </w:rPr>
        <w:t xml:space="preserve"> California Press), p. 12</w:t>
      </w:r>
      <w:bookmarkEnd w:id="0"/>
    </w:p>
  </w:footnote>
  <w:footnote w:id="3">
    <w:p w14:paraId="4450427C" w14:textId="26FBAF00" w:rsidR="00892B39" w:rsidRPr="00892B39" w:rsidRDefault="004A272E" w:rsidP="00695DE7">
      <w:pPr>
        <w:rPr>
          <w:rFonts w:cs="Arial"/>
          <w:sz w:val="20"/>
          <w:szCs w:val="20"/>
        </w:rPr>
      </w:pPr>
      <w:r w:rsidRPr="004B3926">
        <w:rPr>
          <w:rStyle w:val="FootnoteReference"/>
          <w:sz w:val="20"/>
          <w:szCs w:val="18"/>
        </w:rPr>
        <w:footnoteRef/>
      </w:r>
      <w:r w:rsidRPr="004B3926">
        <w:rPr>
          <w:sz w:val="20"/>
          <w:szCs w:val="18"/>
        </w:rPr>
        <w:t xml:space="preserve"> </w:t>
      </w:r>
      <w:r w:rsidR="00892B39">
        <w:rPr>
          <w:rFonts w:cs="Arial"/>
          <w:sz w:val="20"/>
          <w:szCs w:val="20"/>
        </w:rPr>
        <w:t>IBID</w:t>
      </w:r>
    </w:p>
  </w:footnote>
  <w:footnote w:id="4">
    <w:p w14:paraId="0FA3D109" w14:textId="6ACFA594" w:rsidR="004A272E" w:rsidRDefault="004A272E">
      <w:pPr>
        <w:pStyle w:val="FootnoteText"/>
      </w:pPr>
      <w:r>
        <w:rPr>
          <w:rStyle w:val="FootnoteReference"/>
        </w:rPr>
        <w:footnoteRef/>
      </w:r>
      <w:r>
        <w:t xml:space="preserve"> </w:t>
      </w:r>
      <w:r w:rsidRPr="004B3926">
        <w:rPr>
          <w:rFonts w:eastAsia="Times New Roman" w:cs="Arial"/>
          <w:lang w:eastAsia="en-GB"/>
        </w:rPr>
        <w:t xml:space="preserve">Michael L </w:t>
      </w:r>
      <w:proofErr w:type="spellStart"/>
      <w:r w:rsidRPr="004B3926">
        <w:rPr>
          <w:rFonts w:eastAsia="Times New Roman" w:cs="Arial"/>
          <w:lang w:eastAsia="en-GB"/>
        </w:rPr>
        <w:t>Satlow</w:t>
      </w:r>
      <w:proofErr w:type="spellEnd"/>
      <w:r w:rsidRPr="004B3926">
        <w:rPr>
          <w:rFonts w:eastAsia="Times New Roman" w:cs="Arial"/>
          <w:lang w:eastAsia="en-GB"/>
        </w:rPr>
        <w:t>. 2015. </w:t>
      </w:r>
      <w:r w:rsidRPr="004B3926">
        <w:rPr>
          <w:rFonts w:eastAsia="Times New Roman" w:cs="Arial"/>
          <w:i/>
          <w:iCs/>
          <w:lang w:eastAsia="en-GB"/>
        </w:rPr>
        <w:t>How the Bible Became Holy</w:t>
      </w:r>
      <w:r w:rsidRPr="004B3926">
        <w:rPr>
          <w:rFonts w:eastAsia="Times New Roman" w:cs="Arial"/>
          <w:lang w:eastAsia="en-GB"/>
        </w:rPr>
        <w:t> (Bognor Regis: Yale University Press), p. 126</w:t>
      </w:r>
    </w:p>
  </w:footnote>
  <w:footnote w:id="5">
    <w:p w14:paraId="2A10A86C" w14:textId="743959DE" w:rsidR="004A272E" w:rsidRDefault="004A272E">
      <w:pPr>
        <w:pStyle w:val="FootnoteText"/>
      </w:pPr>
      <w:r>
        <w:rPr>
          <w:rStyle w:val="FootnoteReference"/>
        </w:rPr>
        <w:footnoteRef/>
      </w:r>
      <w:r>
        <w:t xml:space="preserve"> </w:t>
      </w:r>
      <w:proofErr w:type="spellStart"/>
      <w:r w:rsidRPr="005B141B">
        <w:t>Poliakoff</w:t>
      </w:r>
      <w:proofErr w:type="spellEnd"/>
      <w:r w:rsidRPr="005B141B">
        <w:t>, Michael</w:t>
      </w:r>
      <w:r>
        <w:t xml:space="preserve"> </w:t>
      </w:r>
      <w:proofErr w:type="spellStart"/>
      <w:r>
        <w:t>Poliakoff</w:t>
      </w:r>
      <w:proofErr w:type="spellEnd"/>
      <w:r w:rsidRPr="005B141B">
        <w:t>. “‘They Should Cover Their Shame’: Attitudes Towards Nudity in Greco-Roman Judaism.” </w:t>
      </w:r>
      <w:r w:rsidRPr="005B141B">
        <w:rPr>
          <w:i/>
          <w:iCs/>
        </w:rPr>
        <w:t>Source: Notes in the History of Art</w:t>
      </w:r>
      <w:r w:rsidRPr="005B141B">
        <w:t>, vol. 12, no. 2, Jan. 1993, pp. 56–62, 10.1086/sou.12.2.23202936. Accessed 11 June 2020.</w:t>
      </w:r>
    </w:p>
  </w:footnote>
  <w:footnote w:id="6">
    <w:p w14:paraId="5997FC7A" w14:textId="29293C32" w:rsidR="004A272E" w:rsidRDefault="004A272E">
      <w:pPr>
        <w:pStyle w:val="FootnoteText"/>
      </w:pPr>
      <w:r>
        <w:rPr>
          <w:rStyle w:val="FootnoteReference"/>
        </w:rPr>
        <w:footnoteRef/>
      </w:r>
      <w:r>
        <w:t xml:space="preserve"> </w:t>
      </w:r>
      <w:r w:rsidRPr="005B141B">
        <w:t>Isaac T</w:t>
      </w:r>
      <w:r>
        <w:t xml:space="preserve"> Soon</w:t>
      </w:r>
      <w:r w:rsidRPr="005B141B">
        <w:t xml:space="preserve">. “‘In Strength’ Not ‘by Force’: Re-Reading the Circumcision of the Uncircumcised </w:t>
      </w:r>
      <w:proofErr w:type="spellStart"/>
      <w:r w:rsidRPr="005B141B">
        <w:rPr>
          <w:rFonts w:ascii="Arial" w:hAnsi="Arial" w:cs="Arial"/>
        </w:rPr>
        <w:t>Ἐ</w:t>
      </w:r>
      <w:r w:rsidRPr="005B141B">
        <w:t>ν</w:t>
      </w:r>
      <w:proofErr w:type="spellEnd"/>
      <w:r w:rsidRPr="005B141B">
        <w:t xml:space="preserve"> </w:t>
      </w:r>
      <w:proofErr w:type="spellStart"/>
      <w:r w:rsidRPr="005B141B">
        <w:rPr>
          <w:rFonts w:ascii="Arial" w:hAnsi="Arial" w:cs="Arial"/>
        </w:rPr>
        <w:t>Ἰ</w:t>
      </w:r>
      <w:r w:rsidRPr="005B141B">
        <w:t>σχύι</w:t>
      </w:r>
      <w:proofErr w:type="spellEnd"/>
      <w:r w:rsidRPr="005B141B">
        <w:t xml:space="preserve"> in 1 </w:t>
      </w:r>
      <w:proofErr w:type="spellStart"/>
      <w:r w:rsidRPr="005B141B">
        <w:t>Macc</w:t>
      </w:r>
      <w:proofErr w:type="spellEnd"/>
      <w:r w:rsidRPr="005B141B">
        <w:t xml:space="preserve"> 2:46.” </w:t>
      </w:r>
      <w:r w:rsidRPr="005B141B">
        <w:rPr>
          <w:i/>
          <w:iCs/>
        </w:rPr>
        <w:t>Journal for the Study of the Pseudepigrapha</w:t>
      </w:r>
      <w:r w:rsidRPr="005B141B">
        <w:t>, vol. 29, no. 3, Mar. 2020, pp. 149–167, 10.1177/0951820720902086. Accessed 11 June 2020.</w:t>
      </w:r>
    </w:p>
  </w:footnote>
  <w:footnote w:id="7">
    <w:p w14:paraId="4F808CB2" w14:textId="06B53ED6" w:rsidR="004A272E" w:rsidRDefault="004A272E">
      <w:pPr>
        <w:pStyle w:val="FootnoteText"/>
      </w:pPr>
      <w:r>
        <w:rPr>
          <w:rStyle w:val="FootnoteReference"/>
        </w:rPr>
        <w:footnoteRef/>
      </w:r>
      <w:r>
        <w:t xml:space="preserve"> </w:t>
      </w:r>
      <w:r w:rsidRPr="00905383">
        <w:t>Erich S Gruen. 2002. </w:t>
      </w:r>
      <w:r w:rsidRPr="00905383">
        <w:rPr>
          <w:i/>
          <w:iCs/>
        </w:rPr>
        <w:t xml:space="preserve">Heritage and </w:t>
      </w:r>
      <w:proofErr w:type="gramStart"/>
      <w:r w:rsidRPr="00905383">
        <w:rPr>
          <w:i/>
          <w:iCs/>
        </w:rPr>
        <w:t>Hellenism</w:t>
      </w:r>
      <w:r w:rsidRPr="00905383">
        <w:rPr>
          <w:rFonts w:ascii="Arial" w:hAnsi="Arial" w:cs="Arial"/>
          <w:i/>
          <w:iCs/>
        </w:rPr>
        <w:t> </w:t>
      </w:r>
      <w:r w:rsidRPr="00905383">
        <w:rPr>
          <w:i/>
          <w:iCs/>
        </w:rPr>
        <w:t>:</w:t>
      </w:r>
      <w:proofErr w:type="gramEnd"/>
      <w:r w:rsidRPr="00905383">
        <w:rPr>
          <w:i/>
          <w:iCs/>
        </w:rPr>
        <w:t xml:space="preserve"> The Reinvention of Jewish Tradition</w:t>
      </w:r>
      <w:r w:rsidRPr="00905383">
        <w:t> (Berkeley: University Of California Press, Cop), p. 30</w:t>
      </w:r>
    </w:p>
  </w:footnote>
  <w:footnote w:id="8">
    <w:p w14:paraId="5EA17AD8" w14:textId="21D4F3A9" w:rsidR="004A272E" w:rsidRDefault="004A272E">
      <w:pPr>
        <w:pStyle w:val="FootnoteText"/>
      </w:pPr>
      <w:r>
        <w:rPr>
          <w:rStyle w:val="FootnoteReference"/>
        </w:rPr>
        <w:footnoteRef/>
      </w:r>
      <w:r>
        <w:t xml:space="preserve"> </w:t>
      </w:r>
      <w:r w:rsidRPr="00905383">
        <w:t>Isaac T</w:t>
      </w:r>
      <w:r>
        <w:t xml:space="preserve"> Soon</w:t>
      </w:r>
      <w:r w:rsidRPr="00905383">
        <w:t xml:space="preserve">. “‘In Strength’ Not ‘by Force’: Re-Reading the Circumcision of the Uncircumcised </w:t>
      </w:r>
      <w:proofErr w:type="spellStart"/>
      <w:r w:rsidRPr="00905383">
        <w:rPr>
          <w:rFonts w:ascii="Arial" w:hAnsi="Arial" w:cs="Arial"/>
        </w:rPr>
        <w:t>Ἐ</w:t>
      </w:r>
      <w:r w:rsidRPr="00905383">
        <w:t>ν</w:t>
      </w:r>
      <w:proofErr w:type="spellEnd"/>
      <w:r w:rsidRPr="00905383">
        <w:t xml:space="preserve"> </w:t>
      </w:r>
      <w:proofErr w:type="spellStart"/>
      <w:r w:rsidRPr="00905383">
        <w:rPr>
          <w:rFonts w:ascii="Arial" w:hAnsi="Arial" w:cs="Arial"/>
        </w:rPr>
        <w:t>Ἰ</w:t>
      </w:r>
      <w:r w:rsidRPr="00905383">
        <w:t>σχύι</w:t>
      </w:r>
      <w:proofErr w:type="spellEnd"/>
      <w:r w:rsidRPr="00905383">
        <w:t xml:space="preserve"> in 1 </w:t>
      </w:r>
      <w:proofErr w:type="spellStart"/>
      <w:r w:rsidRPr="00905383">
        <w:t>Macc</w:t>
      </w:r>
      <w:proofErr w:type="spellEnd"/>
      <w:r w:rsidRPr="00905383">
        <w:t xml:space="preserve"> 2:46.” </w:t>
      </w:r>
      <w:r w:rsidRPr="00905383">
        <w:rPr>
          <w:i/>
          <w:iCs/>
        </w:rPr>
        <w:t>Journal for the Study of the Pseudepigrapha</w:t>
      </w:r>
      <w:r w:rsidRPr="00905383">
        <w:t>, vol. 29, no. 3, Mar. 2020, pp. 149–167, 10.1177/0951820720902086. Accessed 11 June 2020.</w:t>
      </w:r>
    </w:p>
  </w:footnote>
  <w:footnote w:id="9">
    <w:p w14:paraId="34E52EAE" w14:textId="4D072469" w:rsidR="004A272E" w:rsidRDefault="004A272E">
      <w:pPr>
        <w:pStyle w:val="FootnoteText"/>
      </w:pPr>
      <w:r>
        <w:rPr>
          <w:rStyle w:val="FootnoteReference"/>
        </w:rPr>
        <w:footnoteRef/>
      </w:r>
      <w:r>
        <w:t xml:space="preserve"> </w:t>
      </w:r>
      <w:r w:rsidRPr="00603A6A">
        <w:t>Mark</w:t>
      </w:r>
      <w:r>
        <w:t xml:space="preserve"> Harding</w:t>
      </w:r>
      <w:r w:rsidRPr="00603A6A">
        <w:t>. 2003. </w:t>
      </w:r>
      <w:r w:rsidRPr="00603A6A">
        <w:rPr>
          <w:i/>
          <w:iCs/>
        </w:rPr>
        <w:t xml:space="preserve">Early Christian Life and Thought in Social </w:t>
      </w:r>
      <w:proofErr w:type="gramStart"/>
      <w:r w:rsidRPr="00603A6A">
        <w:rPr>
          <w:i/>
          <w:iCs/>
        </w:rPr>
        <w:t>Context</w:t>
      </w:r>
      <w:r w:rsidRPr="00603A6A">
        <w:rPr>
          <w:rFonts w:ascii="Arial" w:hAnsi="Arial" w:cs="Arial"/>
          <w:i/>
          <w:iCs/>
        </w:rPr>
        <w:t> </w:t>
      </w:r>
      <w:r w:rsidRPr="00603A6A">
        <w:rPr>
          <w:i/>
          <w:iCs/>
        </w:rPr>
        <w:t>:</w:t>
      </w:r>
      <w:proofErr w:type="gramEnd"/>
      <w:r w:rsidRPr="00603A6A">
        <w:rPr>
          <w:i/>
          <w:iCs/>
        </w:rPr>
        <w:t xml:space="preserve"> A Reader</w:t>
      </w:r>
      <w:r w:rsidRPr="00603A6A">
        <w:t> (London</w:t>
      </w:r>
      <w:r w:rsidRPr="00603A6A">
        <w:rPr>
          <w:rFonts w:ascii="Arial" w:hAnsi="Arial" w:cs="Arial"/>
        </w:rPr>
        <w:t> </w:t>
      </w:r>
      <w:r w:rsidRPr="00603A6A">
        <w:t>; New York: Sheffield Academic Press), p. 101</w:t>
      </w:r>
    </w:p>
  </w:footnote>
  <w:footnote w:id="10">
    <w:p w14:paraId="21A0664F" w14:textId="484E1F4F" w:rsidR="004A272E" w:rsidRDefault="004A272E">
      <w:pPr>
        <w:pStyle w:val="FootnoteText"/>
      </w:pPr>
      <w:r>
        <w:rPr>
          <w:rStyle w:val="FootnoteReference"/>
        </w:rPr>
        <w:footnoteRef/>
      </w:r>
      <w:r>
        <w:t xml:space="preserve"> </w:t>
      </w:r>
      <w:r w:rsidRPr="00975309">
        <w:t>Daniel</w:t>
      </w:r>
      <w:r>
        <w:t xml:space="preserve"> </w:t>
      </w:r>
      <w:proofErr w:type="spellStart"/>
      <w:r>
        <w:t>Schwarez</w:t>
      </w:r>
      <w:proofErr w:type="spellEnd"/>
      <w:r w:rsidRPr="00975309">
        <w:t xml:space="preserve">. “Prof. Daniel </w:t>
      </w:r>
      <w:proofErr w:type="spellStart"/>
      <w:r w:rsidRPr="00975309">
        <w:t>Schwarez</w:t>
      </w:r>
      <w:proofErr w:type="spellEnd"/>
      <w:r w:rsidRPr="00975309">
        <w:t xml:space="preserve"> - Maccabees 1 &amp; 2 | The Lecture in Full.” </w:t>
      </w:r>
      <w:r w:rsidRPr="00975309">
        <w:rPr>
          <w:i/>
          <w:iCs/>
        </w:rPr>
        <w:t>YouTube</w:t>
      </w:r>
      <w:r w:rsidRPr="00975309">
        <w:t>, 28 Nov. 2018, youtu.be/5RQhysxU2GU. Accessed 11 June 2020.</w:t>
      </w:r>
    </w:p>
  </w:footnote>
  <w:footnote w:id="11">
    <w:p w14:paraId="1175F069" w14:textId="050C45C9" w:rsidR="004A272E" w:rsidRDefault="004A272E">
      <w:pPr>
        <w:pStyle w:val="FootnoteText"/>
      </w:pPr>
      <w:r>
        <w:rPr>
          <w:rStyle w:val="FootnoteReference"/>
        </w:rPr>
        <w:footnoteRef/>
      </w:r>
      <w:r>
        <w:t xml:space="preserve"> </w:t>
      </w:r>
      <w:bookmarkStart w:id="1" w:name="_Hlk42780835"/>
      <w:r w:rsidRPr="00A65B64">
        <w:t>Mark Harding</w:t>
      </w:r>
      <w:bookmarkEnd w:id="1"/>
      <w:r w:rsidRPr="00A65B64">
        <w:t>. 2003. </w:t>
      </w:r>
      <w:r w:rsidRPr="00A65B64">
        <w:rPr>
          <w:i/>
          <w:iCs/>
        </w:rPr>
        <w:t xml:space="preserve">Early Christian Life and Thought in Social </w:t>
      </w:r>
      <w:proofErr w:type="gramStart"/>
      <w:r w:rsidRPr="00A65B64">
        <w:rPr>
          <w:i/>
          <w:iCs/>
        </w:rPr>
        <w:t>Context</w:t>
      </w:r>
      <w:r w:rsidRPr="00A65B64">
        <w:rPr>
          <w:rFonts w:ascii="Arial" w:hAnsi="Arial" w:cs="Arial"/>
          <w:i/>
          <w:iCs/>
        </w:rPr>
        <w:t> </w:t>
      </w:r>
      <w:r w:rsidRPr="00A65B64">
        <w:rPr>
          <w:i/>
          <w:iCs/>
        </w:rPr>
        <w:t>:</w:t>
      </w:r>
      <w:proofErr w:type="gramEnd"/>
      <w:r w:rsidRPr="00A65B64">
        <w:rPr>
          <w:i/>
          <w:iCs/>
        </w:rPr>
        <w:t xml:space="preserve"> A Reader</w:t>
      </w:r>
      <w:r w:rsidRPr="00A65B64">
        <w:t> (London</w:t>
      </w:r>
      <w:r w:rsidRPr="00A65B64">
        <w:rPr>
          <w:rFonts w:ascii="Arial" w:hAnsi="Arial" w:cs="Arial"/>
        </w:rPr>
        <w:t> </w:t>
      </w:r>
      <w:r w:rsidRPr="00A65B64">
        <w:t>; New York: Sheffield Academic Press), p. 61</w:t>
      </w:r>
    </w:p>
  </w:footnote>
  <w:footnote w:id="12">
    <w:p w14:paraId="3E47CE2D" w14:textId="255FBCA3" w:rsidR="005B522E" w:rsidRDefault="005B522E">
      <w:pPr>
        <w:pStyle w:val="FootnoteText"/>
      </w:pPr>
      <w:r>
        <w:rPr>
          <w:rStyle w:val="FootnoteReference"/>
        </w:rPr>
        <w:footnoteRef/>
      </w:r>
      <w:r>
        <w:t xml:space="preserve"> </w:t>
      </w:r>
      <w:r w:rsidRPr="005B522E">
        <w:t>Simcha Paull Raphael. 2019. </w:t>
      </w:r>
      <w:r w:rsidRPr="005B522E">
        <w:rPr>
          <w:i/>
          <w:iCs/>
        </w:rPr>
        <w:t>Jewish Views of the Afterlife</w:t>
      </w:r>
      <w:r w:rsidRPr="005B522E">
        <w:t> (Lanham Rowman Et Littlefield), p. 110</w:t>
      </w:r>
    </w:p>
  </w:footnote>
  <w:footnote w:id="13">
    <w:p w14:paraId="7D2CB4AB" w14:textId="5143C198" w:rsidR="00D855A1" w:rsidRDefault="00D855A1" w:rsidP="00D855A1">
      <w:pPr>
        <w:pStyle w:val="FootnoteText"/>
      </w:pPr>
      <w:r>
        <w:rPr>
          <w:rStyle w:val="FootnoteReference"/>
        </w:rPr>
        <w:footnoteRef/>
      </w:r>
      <w:r>
        <w:t xml:space="preserve"> </w:t>
      </w:r>
      <w:r w:rsidRPr="004B1D39">
        <w:t>Paul R</w:t>
      </w:r>
      <w:r w:rsidR="00892B39">
        <w:t xml:space="preserve"> Williamson</w:t>
      </w:r>
      <w:r w:rsidRPr="004B1D39">
        <w:t>. 2018. </w:t>
      </w:r>
      <w:r w:rsidRPr="004B1D39">
        <w:rPr>
          <w:i/>
          <w:iCs/>
        </w:rPr>
        <w:t xml:space="preserve">Death and the </w:t>
      </w:r>
      <w:proofErr w:type="gramStart"/>
      <w:r w:rsidRPr="004B1D39">
        <w:rPr>
          <w:i/>
          <w:iCs/>
        </w:rPr>
        <w:t>Afterlife</w:t>
      </w:r>
      <w:r w:rsidRPr="004B1D39">
        <w:rPr>
          <w:rFonts w:ascii="Arial" w:hAnsi="Arial" w:cs="Arial"/>
          <w:i/>
          <w:iCs/>
        </w:rPr>
        <w:t> </w:t>
      </w:r>
      <w:r w:rsidRPr="004B1D39">
        <w:rPr>
          <w:i/>
          <w:iCs/>
        </w:rPr>
        <w:t>:</w:t>
      </w:r>
      <w:proofErr w:type="gramEnd"/>
      <w:r w:rsidRPr="004B1D39">
        <w:rPr>
          <w:i/>
          <w:iCs/>
        </w:rPr>
        <w:t xml:space="preserve"> Biblical Perspectives on Ultimate Questions</w:t>
      </w:r>
      <w:r w:rsidRPr="004B1D39">
        <w:t> (London: Apollos, Downers Grove, Illinois), p. 68</w:t>
      </w:r>
    </w:p>
  </w:footnote>
  <w:footnote w:id="14">
    <w:p w14:paraId="1E1375D5" w14:textId="5CB94A68" w:rsidR="001C24AC" w:rsidRDefault="001C24AC">
      <w:pPr>
        <w:pStyle w:val="FootnoteText"/>
      </w:pPr>
      <w:r>
        <w:rPr>
          <w:rStyle w:val="FootnoteReference"/>
        </w:rPr>
        <w:footnoteRef/>
      </w:r>
      <w:r>
        <w:t xml:space="preserve"> </w:t>
      </w:r>
      <w:r w:rsidRPr="001C24AC">
        <w:t>Robert</w:t>
      </w:r>
      <w:r w:rsidR="00892B39">
        <w:t xml:space="preserve"> Doran</w:t>
      </w:r>
      <w:r w:rsidRPr="001C24AC">
        <w:t>. 1981. </w:t>
      </w:r>
      <w:r w:rsidRPr="001C24AC">
        <w:rPr>
          <w:i/>
          <w:iCs/>
        </w:rPr>
        <w:t xml:space="preserve">Temple </w:t>
      </w:r>
      <w:proofErr w:type="gramStart"/>
      <w:r w:rsidRPr="001C24AC">
        <w:rPr>
          <w:i/>
          <w:iCs/>
        </w:rPr>
        <w:t>Propaganda</w:t>
      </w:r>
      <w:r w:rsidRPr="001C24AC">
        <w:rPr>
          <w:rFonts w:ascii="Arial" w:hAnsi="Arial" w:cs="Arial"/>
          <w:i/>
          <w:iCs/>
        </w:rPr>
        <w:t> </w:t>
      </w:r>
      <w:r w:rsidRPr="001C24AC">
        <w:rPr>
          <w:i/>
          <w:iCs/>
        </w:rPr>
        <w:t>:</w:t>
      </w:r>
      <w:proofErr w:type="gramEnd"/>
      <w:r w:rsidRPr="001C24AC">
        <w:rPr>
          <w:i/>
          <w:iCs/>
        </w:rPr>
        <w:t xml:space="preserve"> The Purpose and Character of 2 Maccabees.</w:t>
      </w:r>
      <w:r w:rsidRPr="001C24AC">
        <w:t xml:space="preserve"> (Washington, D.C.: Catholic Biblical Association </w:t>
      </w:r>
      <w:proofErr w:type="gramStart"/>
      <w:r w:rsidRPr="001C24AC">
        <w:t>Of</w:t>
      </w:r>
      <w:proofErr w:type="gramEnd"/>
      <w:r w:rsidRPr="001C24AC">
        <w:t xml:space="preserve"> America), p. 108</w:t>
      </w:r>
    </w:p>
  </w:footnote>
  <w:footnote w:id="15">
    <w:p w14:paraId="16B5A7CC" w14:textId="4627896A" w:rsidR="00DA158E" w:rsidRDefault="00DA158E">
      <w:pPr>
        <w:pStyle w:val="FootnoteText"/>
      </w:pPr>
      <w:r>
        <w:rPr>
          <w:rStyle w:val="FootnoteReference"/>
        </w:rPr>
        <w:footnoteRef/>
      </w:r>
      <w:r>
        <w:t xml:space="preserve"> </w:t>
      </w:r>
      <w:r w:rsidRPr="00DA158E">
        <w:t>Martha</w:t>
      </w:r>
      <w:r>
        <w:t xml:space="preserve"> Himmelfarb</w:t>
      </w:r>
      <w:r w:rsidRPr="00DA158E">
        <w:t>. 1998a. “Judaism and Hellenism in 2 Maccabees,” </w:t>
      </w:r>
      <w:r w:rsidRPr="00DA158E">
        <w:rPr>
          <w:i/>
          <w:iCs/>
        </w:rPr>
        <w:t>Poetics Today</w:t>
      </w:r>
      <w:r w:rsidRPr="00DA158E">
        <w:t>, 19.1: 19 &lt;https://doi.org/10.2307/1773110&gt;</w:t>
      </w:r>
    </w:p>
  </w:footnote>
  <w:footnote w:id="16">
    <w:p w14:paraId="5C2B4722" w14:textId="77777777" w:rsidR="000D74AC" w:rsidRPr="000D74AC" w:rsidRDefault="000D74AC" w:rsidP="000D74AC">
      <w:pPr>
        <w:pStyle w:val="FootnoteText"/>
      </w:pPr>
      <w:r>
        <w:rPr>
          <w:rStyle w:val="FootnoteReference"/>
        </w:rPr>
        <w:footnoteRef/>
      </w:r>
      <w:r>
        <w:t xml:space="preserve"> </w:t>
      </w:r>
      <w:r w:rsidRPr="000D74AC">
        <w:t>D Joslyn-</w:t>
      </w:r>
      <w:proofErr w:type="spellStart"/>
      <w:r w:rsidRPr="000D74AC">
        <w:t>Siemiatkoski</w:t>
      </w:r>
      <w:proofErr w:type="spellEnd"/>
      <w:r w:rsidRPr="000D74AC">
        <w:t>. 2014. </w:t>
      </w:r>
      <w:r w:rsidRPr="000D74AC">
        <w:rPr>
          <w:i/>
          <w:iCs/>
        </w:rPr>
        <w:t>Christian Memories of the Maccabean Martyrs.</w:t>
      </w:r>
      <w:r w:rsidRPr="000D74AC">
        <w:t> (Palgrave Macmillan), p. 81</w:t>
      </w:r>
    </w:p>
    <w:p w14:paraId="0354BD0B" w14:textId="77777777" w:rsidR="000D74AC" w:rsidRPr="000D74AC" w:rsidRDefault="000D74AC" w:rsidP="000D74AC">
      <w:pPr>
        <w:pStyle w:val="FootnoteText"/>
      </w:pPr>
      <w:r w:rsidRPr="000D74AC">
        <w:rPr>
          <w:rFonts w:ascii="Arial" w:hAnsi="Arial" w:cs="Arial"/>
        </w:rPr>
        <w:t>‌</w:t>
      </w:r>
    </w:p>
    <w:p w14:paraId="76A9AB0C" w14:textId="64E512BB" w:rsidR="000D74AC" w:rsidRDefault="000D74AC">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A1729BB"/>
    <w:multiLevelType w:val="hybridMultilevel"/>
    <w:tmpl w:val="6F4AC5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A9A"/>
    <w:rsid w:val="0008534B"/>
    <w:rsid w:val="000D28E2"/>
    <w:rsid w:val="000D74AC"/>
    <w:rsid w:val="000E4A1D"/>
    <w:rsid w:val="00191603"/>
    <w:rsid w:val="001A11FC"/>
    <w:rsid w:val="001C24AC"/>
    <w:rsid w:val="00220247"/>
    <w:rsid w:val="00225EE6"/>
    <w:rsid w:val="00237C8F"/>
    <w:rsid w:val="002B66DF"/>
    <w:rsid w:val="00306C8B"/>
    <w:rsid w:val="00321E1C"/>
    <w:rsid w:val="003D0B18"/>
    <w:rsid w:val="00445C02"/>
    <w:rsid w:val="00453751"/>
    <w:rsid w:val="004A272E"/>
    <w:rsid w:val="004A328D"/>
    <w:rsid w:val="004B1D39"/>
    <w:rsid w:val="004B3926"/>
    <w:rsid w:val="004C5F27"/>
    <w:rsid w:val="005219E7"/>
    <w:rsid w:val="005B141B"/>
    <w:rsid w:val="005B522E"/>
    <w:rsid w:val="00603A6A"/>
    <w:rsid w:val="006137E3"/>
    <w:rsid w:val="00691E6F"/>
    <w:rsid w:val="00694C72"/>
    <w:rsid w:val="00695DE7"/>
    <w:rsid w:val="006A1B38"/>
    <w:rsid w:val="00734A00"/>
    <w:rsid w:val="007D35AE"/>
    <w:rsid w:val="00831ACF"/>
    <w:rsid w:val="0086719C"/>
    <w:rsid w:val="0087573D"/>
    <w:rsid w:val="00892B39"/>
    <w:rsid w:val="008A6AF3"/>
    <w:rsid w:val="00905383"/>
    <w:rsid w:val="00963AD7"/>
    <w:rsid w:val="00973D8A"/>
    <w:rsid w:val="00975309"/>
    <w:rsid w:val="009D76C8"/>
    <w:rsid w:val="009E22FE"/>
    <w:rsid w:val="00A65B64"/>
    <w:rsid w:val="00AB7F89"/>
    <w:rsid w:val="00AE5114"/>
    <w:rsid w:val="00AF0103"/>
    <w:rsid w:val="00BA7EDA"/>
    <w:rsid w:val="00C4484F"/>
    <w:rsid w:val="00CA7353"/>
    <w:rsid w:val="00D77545"/>
    <w:rsid w:val="00D855A1"/>
    <w:rsid w:val="00DA158E"/>
    <w:rsid w:val="00DA2AE1"/>
    <w:rsid w:val="00DF410A"/>
    <w:rsid w:val="00E03F5A"/>
    <w:rsid w:val="00E15ADE"/>
    <w:rsid w:val="00E32A9A"/>
    <w:rsid w:val="00E35CD8"/>
    <w:rsid w:val="00E54FE9"/>
    <w:rsid w:val="00EB144C"/>
    <w:rsid w:val="00F03982"/>
    <w:rsid w:val="02E653AB"/>
    <w:rsid w:val="03005414"/>
    <w:rsid w:val="03AD6373"/>
    <w:rsid w:val="040955F5"/>
    <w:rsid w:val="04DD951C"/>
    <w:rsid w:val="05B49378"/>
    <w:rsid w:val="05EE5824"/>
    <w:rsid w:val="07074429"/>
    <w:rsid w:val="086B0F76"/>
    <w:rsid w:val="08F4DAD2"/>
    <w:rsid w:val="091A3A9E"/>
    <w:rsid w:val="097B7FF5"/>
    <w:rsid w:val="0A2952D3"/>
    <w:rsid w:val="0AF5D703"/>
    <w:rsid w:val="0C1238E0"/>
    <w:rsid w:val="0D1A0627"/>
    <w:rsid w:val="0DEC4A8F"/>
    <w:rsid w:val="0E094DFD"/>
    <w:rsid w:val="0E0F2D58"/>
    <w:rsid w:val="0E891BA1"/>
    <w:rsid w:val="104B1E75"/>
    <w:rsid w:val="105595A6"/>
    <w:rsid w:val="106604D1"/>
    <w:rsid w:val="10747636"/>
    <w:rsid w:val="11834FC9"/>
    <w:rsid w:val="11A49C46"/>
    <w:rsid w:val="1527F32A"/>
    <w:rsid w:val="15583C10"/>
    <w:rsid w:val="15692BDA"/>
    <w:rsid w:val="184E3DCF"/>
    <w:rsid w:val="18579D8C"/>
    <w:rsid w:val="186213E4"/>
    <w:rsid w:val="18CBC60B"/>
    <w:rsid w:val="18DFF8F2"/>
    <w:rsid w:val="18E24B28"/>
    <w:rsid w:val="19257194"/>
    <w:rsid w:val="19CB53A2"/>
    <w:rsid w:val="1A1C4B66"/>
    <w:rsid w:val="1A21C1D3"/>
    <w:rsid w:val="1A29E9C5"/>
    <w:rsid w:val="1A400BFA"/>
    <w:rsid w:val="1A93A492"/>
    <w:rsid w:val="1AE089BE"/>
    <w:rsid w:val="1C672F8A"/>
    <w:rsid w:val="1CBAFA98"/>
    <w:rsid w:val="201C42ED"/>
    <w:rsid w:val="20D0A18E"/>
    <w:rsid w:val="2152DAEF"/>
    <w:rsid w:val="21ED6C5C"/>
    <w:rsid w:val="2210E4D3"/>
    <w:rsid w:val="2280D44F"/>
    <w:rsid w:val="22D8B6A7"/>
    <w:rsid w:val="235C210B"/>
    <w:rsid w:val="236409F8"/>
    <w:rsid w:val="23FD54FE"/>
    <w:rsid w:val="23FDBAE0"/>
    <w:rsid w:val="241908B8"/>
    <w:rsid w:val="2433247C"/>
    <w:rsid w:val="2441B26B"/>
    <w:rsid w:val="25092DE0"/>
    <w:rsid w:val="254D87CE"/>
    <w:rsid w:val="2556E445"/>
    <w:rsid w:val="2585A3F2"/>
    <w:rsid w:val="26452264"/>
    <w:rsid w:val="28BBA219"/>
    <w:rsid w:val="28F07BFA"/>
    <w:rsid w:val="2AB5893E"/>
    <w:rsid w:val="2AF4B557"/>
    <w:rsid w:val="2C0CCD09"/>
    <w:rsid w:val="2C4A4879"/>
    <w:rsid w:val="2C580D58"/>
    <w:rsid w:val="2D55F6BD"/>
    <w:rsid w:val="2DA80E0C"/>
    <w:rsid w:val="2DAD38C0"/>
    <w:rsid w:val="2E82C36B"/>
    <w:rsid w:val="304F1B29"/>
    <w:rsid w:val="315114CF"/>
    <w:rsid w:val="3213F88D"/>
    <w:rsid w:val="3344565A"/>
    <w:rsid w:val="34C22E56"/>
    <w:rsid w:val="3561C7A8"/>
    <w:rsid w:val="3658F2BC"/>
    <w:rsid w:val="37A69B67"/>
    <w:rsid w:val="38E5B13A"/>
    <w:rsid w:val="3B90A43F"/>
    <w:rsid w:val="3C4FF8CD"/>
    <w:rsid w:val="3D8F6E4B"/>
    <w:rsid w:val="3DB0D91C"/>
    <w:rsid w:val="3F8652AB"/>
    <w:rsid w:val="3FFA915B"/>
    <w:rsid w:val="405064D3"/>
    <w:rsid w:val="406A1EB1"/>
    <w:rsid w:val="42356D52"/>
    <w:rsid w:val="423893D6"/>
    <w:rsid w:val="433F2852"/>
    <w:rsid w:val="4347ED52"/>
    <w:rsid w:val="4433A89D"/>
    <w:rsid w:val="4666CE6D"/>
    <w:rsid w:val="46CBEE5A"/>
    <w:rsid w:val="4A2F7753"/>
    <w:rsid w:val="4B18777C"/>
    <w:rsid w:val="4CD4787E"/>
    <w:rsid w:val="4CD8320E"/>
    <w:rsid w:val="4DD289BA"/>
    <w:rsid w:val="4DDD5CDE"/>
    <w:rsid w:val="4DF11DFD"/>
    <w:rsid w:val="4E5B600D"/>
    <w:rsid w:val="4EF973C3"/>
    <w:rsid w:val="4F20EAB2"/>
    <w:rsid w:val="4F63A0F3"/>
    <w:rsid w:val="500B91D7"/>
    <w:rsid w:val="5189F8AD"/>
    <w:rsid w:val="51C44FDD"/>
    <w:rsid w:val="57A8EFDA"/>
    <w:rsid w:val="57BD3D24"/>
    <w:rsid w:val="57CDCE86"/>
    <w:rsid w:val="59964098"/>
    <w:rsid w:val="604898AC"/>
    <w:rsid w:val="616DBF35"/>
    <w:rsid w:val="621BA6F6"/>
    <w:rsid w:val="62EA1935"/>
    <w:rsid w:val="62EF3E49"/>
    <w:rsid w:val="63696A86"/>
    <w:rsid w:val="63CAD0C1"/>
    <w:rsid w:val="64A5DDF9"/>
    <w:rsid w:val="677EDC79"/>
    <w:rsid w:val="6783A227"/>
    <w:rsid w:val="67CE1210"/>
    <w:rsid w:val="689456A4"/>
    <w:rsid w:val="68C9CBF6"/>
    <w:rsid w:val="68F140C6"/>
    <w:rsid w:val="69C01B22"/>
    <w:rsid w:val="69CA9C7B"/>
    <w:rsid w:val="69EE5769"/>
    <w:rsid w:val="69EF4B00"/>
    <w:rsid w:val="6A9767AB"/>
    <w:rsid w:val="6B3B1D7C"/>
    <w:rsid w:val="6B5EE23E"/>
    <w:rsid w:val="6C8D8D26"/>
    <w:rsid w:val="6CAC5E6F"/>
    <w:rsid w:val="6D1E6FEB"/>
    <w:rsid w:val="6EB938D1"/>
    <w:rsid w:val="7157A4E1"/>
    <w:rsid w:val="71D49B42"/>
    <w:rsid w:val="722735F1"/>
    <w:rsid w:val="7389EDC1"/>
    <w:rsid w:val="7408C850"/>
    <w:rsid w:val="765B9540"/>
    <w:rsid w:val="76BC88A5"/>
    <w:rsid w:val="777EA97E"/>
    <w:rsid w:val="77A088D6"/>
    <w:rsid w:val="7901277F"/>
    <w:rsid w:val="7A0B6A58"/>
    <w:rsid w:val="7A17D0BC"/>
    <w:rsid w:val="7ACB92AE"/>
    <w:rsid w:val="7AEB36DF"/>
    <w:rsid w:val="7B01A33F"/>
    <w:rsid w:val="7C2650AF"/>
    <w:rsid w:val="7CAD2F20"/>
    <w:rsid w:val="7D1562D3"/>
    <w:rsid w:val="7D1C0FFD"/>
    <w:rsid w:val="7D3B90DE"/>
    <w:rsid w:val="7DA2F0F5"/>
    <w:rsid w:val="7E55E7CA"/>
    <w:rsid w:val="7E725F65"/>
    <w:rsid w:val="7F5C87C8"/>
    <w:rsid w:val="7F9B0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49342"/>
  <w15:chartTrackingRefBased/>
  <w15:docId w15:val="{F1160B16-0F35-4849-A170-4986F7376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1E1C"/>
    <w:rPr>
      <w:rFonts w:ascii="Trebuchet MS" w:hAnsi="Trebuchet MS"/>
      <w:sz w:val="24"/>
    </w:rPr>
  </w:style>
  <w:style w:type="paragraph" w:styleId="Heading1">
    <w:name w:val="heading 1"/>
    <w:basedOn w:val="Normal"/>
    <w:next w:val="Normal"/>
    <w:link w:val="Heading1Char"/>
    <w:uiPriority w:val="9"/>
    <w:qFormat/>
    <w:rsid w:val="005B14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1E1C"/>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DF410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2A9A"/>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321E1C"/>
    <w:rPr>
      <w:rFonts w:ascii="Trebuchet MS" w:eastAsiaTheme="majorEastAsia" w:hAnsi="Trebuchet MS" w:cstheme="majorBidi"/>
      <w:sz w:val="26"/>
      <w:szCs w:val="26"/>
    </w:rPr>
  </w:style>
  <w:style w:type="paragraph" w:styleId="FootnoteText">
    <w:name w:val="footnote text"/>
    <w:basedOn w:val="Normal"/>
    <w:link w:val="FootnoteTextChar"/>
    <w:uiPriority w:val="99"/>
    <w:unhideWhenUsed/>
    <w:rsid w:val="002B66DF"/>
    <w:pPr>
      <w:spacing w:after="0" w:line="240" w:lineRule="auto"/>
    </w:pPr>
    <w:rPr>
      <w:sz w:val="20"/>
      <w:szCs w:val="20"/>
    </w:rPr>
  </w:style>
  <w:style w:type="character" w:customStyle="1" w:styleId="FootnoteTextChar">
    <w:name w:val="Footnote Text Char"/>
    <w:basedOn w:val="DefaultParagraphFont"/>
    <w:link w:val="FootnoteText"/>
    <w:uiPriority w:val="99"/>
    <w:rsid w:val="002B66DF"/>
    <w:rPr>
      <w:rFonts w:ascii="Trebuchet MS" w:hAnsi="Trebuchet MS"/>
      <w:sz w:val="20"/>
      <w:szCs w:val="20"/>
    </w:rPr>
  </w:style>
  <w:style w:type="character" w:styleId="FootnoteReference">
    <w:name w:val="footnote reference"/>
    <w:basedOn w:val="DefaultParagraphFont"/>
    <w:uiPriority w:val="99"/>
    <w:semiHidden/>
    <w:unhideWhenUsed/>
    <w:rsid w:val="002B66DF"/>
    <w:rPr>
      <w:vertAlign w:val="superscript"/>
    </w:rPr>
  </w:style>
  <w:style w:type="paragraph" w:styleId="NoSpacing">
    <w:name w:val="No Spacing"/>
    <w:uiPriority w:val="1"/>
    <w:qFormat/>
    <w:rsid w:val="005219E7"/>
    <w:pPr>
      <w:spacing w:after="0" w:line="240" w:lineRule="auto"/>
    </w:pPr>
    <w:rPr>
      <w:rFonts w:ascii="Trebuchet MS" w:hAnsi="Trebuchet MS"/>
      <w:sz w:val="24"/>
    </w:rPr>
  </w:style>
  <w:style w:type="character" w:customStyle="1" w:styleId="Heading1Char">
    <w:name w:val="Heading 1 Char"/>
    <w:basedOn w:val="DefaultParagraphFont"/>
    <w:link w:val="Heading1"/>
    <w:uiPriority w:val="9"/>
    <w:rsid w:val="005B141B"/>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5B141B"/>
    <w:rPr>
      <w:rFonts w:ascii="Times New Roman" w:hAnsi="Times New Roman" w:cs="Times New Roman"/>
      <w:szCs w:val="24"/>
    </w:rPr>
  </w:style>
  <w:style w:type="character" w:customStyle="1" w:styleId="Heading3Char">
    <w:name w:val="Heading 3 Char"/>
    <w:basedOn w:val="DefaultParagraphFont"/>
    <w:link w:val="Heading3"/>
    <w:uiPriority w:val="9"/>
    <w:rsid w:val="00DF410A"/>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F410A"/>
    <w:rPr>
      <w:color w:val="0563C1" w:themeColor="hyperlink"/>
      <w:u w:val="single"/>
    </w:rPr>
  </w:style>
  <w:style w:type="character" w:styleId="UnresolvedMention">
    <w:name w:val="Unresolved Mention"/>
    <w:basedOn w:val="DefaultParagraphFont"/>
    <w:uiPriority w:val="99"/>
    <w:semiHidden/>
    <w:unhideWhenUsed/>
    <w:rsid w:val="00DF41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6770038">
      <w:bodyDiv w:val="1"/>
      <w:marLeft w:val="0"/>
      <w:marRight w:val="0"/>
      <w:marTop w:val="0"/>
      <w:marBottom w:val="0"/>
      <w:divBdr>
        <w:top w:val="none" w:sz="0" w:space="0" w:color="auto"/>
        <w:left w:val="none" w:sz="0" w:space="0" w:color="auto"/>
        <w:bottom w:val="none" w:sz="0" w:space="0" w:color="auto"/>
        <w:right w:val="none" w:sz="0" w:space="0" w:color="auto"/>
      </w:divBdr>
    </w:div>
    <w:div w:id="248080764">
      <w:bodyDiv w:val="1"/>
      <w:marLeft w:val="0"/>
      <w:marRight w:val="0"/>
      <w:marTop w:val="0"/>
      <w:marBottom w:val="0"/>
      <w:divBdr>
        <w:top w:val="none" w:sz="0" w:space="0" w:color="auto"/>
        <w:left w:val="none" w:sz="0" w:space="0" w:color="auto"/>
        <w:bottom w:val="none" w:sz="0" w:space="0" w:color="auto"/>
        <w:right w:val="none" w:sz="0" w:space="0" w:color="auto"/>
      </w:divBdr>
      <w:divsChild>
        <w:div w:id="1570843201">
          <w:marLeft w:val="0"/>
          <w:marRight w:val="0"/>
          <w:marTop w:val="0"/>
          <w:marBottom w:val="0"/>
          <w:divBdr>
            <w:top w:val="none" w:sz="0" w:space="0" w:color="auto"/>
            <w:left w:val="none" w:sz="0" w:space="0" w:color="auto"/>
            <w:bottom w:val="none" w:sz="0" w:space="0" w:color="auto"/>
            <w:right w:val="none" w:sz="0" w:space="0" w:color="auto"/>
          </w:divBdr>
        </w:div>
      </w:divsChild>
    </w:div>
    <w:div w:id="376006353">
      <w:bodyDiv w:val="1"/>
      <w:marLeft w:val="0"/>
      <w:marRight w:val="0"/>
      <w:marTop w:val="0"/>
      <w:marBottom w:val="0"/>
      <w:divBdr>
        <w:top w:val="none" w:sz="0" w:space="0" w:color="auto"/>
        <w:left w:val="none" w:sz="0" w:space="0" w:color="auto"/>
        <w:bottom w:val="none" w:sz="0" w:space="0" w:color="auto"/>
        <w:right w:val="none" w:sz="0" w:space="0" w:color="auto"/>
      </w:divBdr>
    </w:div>
    <w:div w:id="750395550">
      <w:bodyDiv w:val="1"/>
      <w:marLeft w:val="0"/>
      <w:marRight w:val="0"/>
      <w:marTop w:val="0"/>
      <w:marBottom w:val="0"/>
      <w:divBdr>
        <w:top w:val="none" w:sz="0" w:space="0" w:color="auto"/>
        <w:left w:val="none" w:sz="0" w:space="0" w:color="auto"/>
        <w:bottom w:val="none" w:sz="0" w:space="0" w:color="auto"/>
        <w:right w:val="none" w:sz="0" w:space="0" w:color="auto"/>
      </w:divBdr>
    </w:div>
    <w:div w:id="987704913">
      <w:bodyDiv w:val="1"/>
      <w:marLeft w:val="0"/>
      <w:marRight w:val="0"/>
      <w:marTop w:val="0"/>
      <w:marBottom w:val="0"/>
      <w:divBdr>
        <w:top w:val="none" w:sz="0" w:space="0" w:color="auto"/>
        <w:left w:val="none" w:sz="0" w:space="0" w:color="auto"/>
        <w:bottom w:val="none" w:sz="0" w:space="0" w:color="auto"/>
        <w:right w:val="none" w:sz="0" w:space="0" w:color="auto"/>
      </w:divBdr>
    </w:div>
    <w:div w:id="1097405490">
      <w:bodyDiv w:val="1"/>
      <w:marLeft w:val="0"/>
      <w:marRight w:val="0"/>
      <w:marTop w:val="0"/>
      <w:marBottom w:val="0"/>
      <w:divBdr>
        <w:top w:val="none" w:sz="0" w:space="0" w:color="auto"/>
        <w:left w:val="none" w:sz="0" w:space="0" w:color="auto"/>
        <w:bottom w:val="none" w:sz="0" w:space="0" w:color="auto"/>
        <w:right w:val="none" w:sz="0" w:space="0" w:color="auto"/>
      </w:divBdr>
    </w:div>
    <w:div w:id="1148746251">
      <w:bodyDiv w:val="1"/>
      <w:marLeft w:val="0"/>
      <w:marRight w:val="0"/>
      <w:marTop w:val="0"/>
      <w:marBottom w:val="0"/>
      <w:divBdr>
        <w:top w:val="none" w:sz="0" w:space="0" w:color="auto"/>
        <w:left w:val="none" w:sz="0" w:space="0" w:color="auto"/>
        <w:bottom w:val="none" w:sz="0" w:space="0" w:color="auto"/>
        <w:right w:val="none" w:sz="0" w:space="0" w:color="auto"/>
      </w:divBdr>
    </w:div>
    <w:div w:id="1216771749">
      <w:bodyDiv w:val="1"/>
      <w:marLeft w:val="0"/>
      <w:marRight w:val="0"/>
      <w:marTop w:val="0"/>
      <w:marBottom w:val="0"/>
      <w:divBdr>
        <w:top w:val="none" w:sz="0" w:space="0" w:color="auto"/>
        <w:left w:val="none" w:sz="0" w:space="0" w:color="auto"/>
        <w:bottom w:val="none" w:sz="0" w:space="0" w:color="auto"/>
        <w:right w:val="none" w:sz="0" w:space="0" w:color="auto"/>
      </w:divBdr>
    </w:div>
    <w:div w:id="1217548446">
      <w:bodyDiv w:val="1"/>
      <w:marLeft w:val="0"/>
      <w:marRight w:val="0"/>
      <w:marTop w:val="0"/>
      <w:marBottom w:val="0"/>
      <w:divBdr>
        <w:top w:val="none" w:sz="0" w:space="0" w:color="auto"/>
        <w:left w:val="none" w:sz="0" w:space="0" w:color="auto"/>
        <w:bottom w:val="none" w:sz="0" w:space="0" w:color="auto"/>
        <w:right w:val="none" w:sz="0" w:space="0" w:color="auto"/>
      </w:divBdr>
    </w:div>
    <w:div w:id="1243445343">
      <w:bodyDiv w:val="1"/>
      <w:marLeft w:val="0"/>
      <w:marRight w:val="0"/>
      <w:marTop w:val="0"/>
      <w:marBottom w:val="0"/>
      <w:divBdr>
        <w:top w:val="none" w:sz="0" w:space="0" w:color="auto"/>
        <w:left w:val="none" w:sz="0" w:space="0" w:color="auto"/>
        <w:bottom w:val="none" w:sz="0" w:space="0" w:color="auto"/>
        <w:right w:val="none" w:sz="0" w:space="0" w:color="auto"/>
      </w:divBdr>
      <w:divsChild>
        <w:div w:id="2145535656">
          <w:marLeft w:val="0"/>
          <w:marRight w:val="0"/>
          <w:marTop w:val="0"/>
          <w:marBottom w:val="0"/>
          <w:divBdr>
            <w:top w:val="none" w:sz="0" w:space="0" w:color="auto"/>
            <w:left w:val="none" w:sz="0" w:space="0" w:color="auto"/>
            <w:bottom w:val="none" w:sz="0" w:space="0" w:color="auto"/>
            <w:right w:val="none" w:sz="0" w:space="0" w:color="auto"/>
          </w:divBdr>
        </w:div>
      </w:divsChild>
    </w:div>
    <w:div w:id="1310746268">
      <w:bodyDiv w:val="1"/>
      <w:marLeft w:val="0"/>
      <w:marRight w:val="0"/>
      <w:marTop w:val="0"/>
      <w:marBottom w:val="0"/>
      <w:divBdr>
        <w:top w:val="none" w:sz="0" w:space="0" w:color="auto"/>
        <w:left w:val="none" w:sz="0" w:space="0" w:color="auto"/>
        <w:bottom w:val="none" w:sz="0" w:space="0" w:color="auto"/>
        <w:right w:val="none" w:sz="0" w:space="0" w:color="auto"/>
      </w:divBdr>
    </w:div>
    <w:div w:id="1744526188">
      <w:bodyDiv w:val="1"/>
      <w:marLeft w:val="0"/>
      <w:marRight w:val="0"/>
      <w:marTop w:val="0"/>
      <w:marBottom w:val="0"/>
      <w:divBdr>
        <w:top w:val="none" w:sz="0" w:space="0" w:color="auto"/>
        <w:left w:val="none" w:sz="0" w:space="0" w:color="auto"/>
        <w:bottom w:val="none" w:sz="0" w:space="0" w:color="auto"/>
        <w:right w:val="none" w:sz="0" w:space="0" w:color="auto"/>
      </w:divBdr>
    </w:div>
    <w:div w:id="1848473648">
      <w:bodyDiv w:val="1"/>
      <w:marLeft w:val="0"/>
      <w:marRight w:val="0"/>
      <w:marTop w:val="0"/>
      <w:marBottom w:val="0"/>
      <w:divBdr>
        <w:top w:val="none" w:sz="0" w:space="0" w:color="auto"/>
        <w:left w:val="none" w:sz="0" w:space="0" w:color="auto"/>
        <w:bottom w:val="none" w:sz="0" w:space="0" w:color="auto"/>
        <w:right w:val="none" w:sz="0" w:space="0" w:color="auto"/>
      </w:divBdr>
    </w:div>
    <w:div w:id="1951280521">
      <w:bodyDiv w:val="1"/>
      <w:marLeft w:val="0"/>
      <w:marRight w:val="0"/>
      <w:marTop w:val="0"/>
      <w:marBottom w:val="0"/>
      <w:divBdr>
        <w:top w:val="none" w:sz="0" w:space="0" w:color="auto"/>
        <w:left w:val="none" w:sz="0" w:space="0" w:color="auto"/>
        <w:bottom w:val="none" w:sz="0" w:space="0" w:color="auto"/>
        <w:right w:val="none" w:sz="0" w:space="0" w:color="auto"/>
      </w:divBdr>
    </w:div>
    <w:div w:id="1995186083">
      <w:bodyDiv w:val="1"/>
      <w:marLeft w:val="0"/>
      <w:marRight w:val="0"/>
      <w:marTop w:val="0"/>
      <w:marBottom w:val="0"/>
      <w:divBdr>
        <w:top w:val="none" w:sz="0" w:space="0" w:color="auto"/>
        <w:left w:val="none" w:sz="0" w:space="0" w:color="auto"/>
        <w:bottom w:val="none" w:sz="0" w:space="0" w:color="auto"/>
        <w:right w:val="none" w:sz="0" w:space="0" w:color="auto"/>
      </w:divBdr>
    </w:div>
    <w:div w:id="2142456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002D4FB-A60E-41F9-8BB6-51AA3E1CD9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968031-10BF-425A-9A8C-9F8A0F2F0B5F}">
  <ds:schemaRefs>
    <ds:schemaRef ds:uri="http://schemas.microsoft.com/sharepoint/v3/contenttype/forms"/>
  </ds:schemaRefs>
</ds:datastoreItem>
</file>

<file path=customXml/itemProps3.xml><?xml version="1.0" encoding="utf-8"?>
<ds:datastoreItem xmlns:ds="http://schemas.openxmlformats.org/officeDocument/2006/customXml" ds:itemID="{7FFA92AB-C11C-4D2A-BE29-451E17E6BD12}">
  <ds:schemaRefs>
    <ds:schemaRef ds:uri="http://schemas.openxmlformats.org/officeDocument/2006/bibliography"/>
  </ds:schemaRefs>
</ds:datastoreItem>
</file>

<file path=customXml/itemProps4.xml><?xml version="1.0" encoding="utf-8"?>
<ds:datastoreItem xmlns:ds="http://schemas.openxmlformats.org/officeDocument/2006/customXml" ds:itemID="{21A83029-BEC6-4C93-A298-08FC4397244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2108</Words>
  <Characters>12022</Characters>
  <Application>Microsoft Office Word</Application>
  <DocSecurity>0</DocSecurity>
  <Lines>100</Lines>
  <Paragraphs>28</Paragraphs>
  <ScaleCrop>false</ScaleCrop>
  <Company/>
  <LinksUpToDate>false</LinksUpToDate>
  <CharactersWithSpaces>14102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Howell (1700912)</dc:creator>
  <cp:keywords/>
  <dc:description/>
  <cp:lastModifiedBy>Emily Howell (1700912)</cp:lastModifiedBy>
  <cp:revision>4</cp:revision>
  <dcterms:created xsi:type="dcterms:W3CDTF">2020-06-13T12:57:00Z</dcterms:created>
  <dcterms:modified xsi:type="dcterms:W3CDTF">2020-06-13T12:58:00Z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