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D2A60" w14:textId="25601D9E" w:rsidR="00AC5453" w:rsidRPr="00AC5453" w:rsidRDefault="00AC5453" w:rsidP="00AC5453">
      <w:pPr>
        <w:pStyle w:val="NormalWeb"/>
        <w:jc w:val="center"/>
        <w:rPr>
          <w:rStyle w:val="Strong"/>
          <w:rFonts w:eastAsiaTheme="majorEastAsia"/>
          <w:b w:val="0"/>
          <w:bCs w:val="0"/>
          <w:color w:val="000000"/>
          <w:sz w:val="32"/>
          <w:szCs w:val="32"/>
        </w:rPr>
      </w:pPr>
      <w:r w:rsidRPr="00AC5453">
        <w:rPr>
          <w:rStyle w:val="Strong"/>
          <w:rFonts w:eastAsiaTheme="majorEastAsia"/>
          <w:b w:val="0"/>
          <w:bCs w:val="0"/>
          <w:color w:val="000000"/>
          <w:sz w:val="32"/>
          <w:szCs w:val="32"/>
        </w:rPr>
        <w:t>Bibliographical exercise</w:t>
      </w:r>
      <w:r>
        <w:rPr>
          <w:rStyle w:val="Strong"/>
          <w:rFonts w:eastAsiaTheme="majorEastAsia"/>
          <w:b w:val="0"/>
          <w:bCs w:val="0"/>
          <w:color w:val="000000"/>
          <w:sz w:val="32"/>
          <w:szCs w:val="32"/>
        </w:rPr>
        <w:t xml:space="preserve"> (PHI 01044)</w:t>
      </w:r>
    </w:p>
    <w:p w14:paraId="46E35D76" w14:textId="7E4D52C4" w:rsidR="00AC5453" w:rsidRDefault="00AC5453" w:rsidP="00AC5453">
      <w:pPr>
        <w:pStyle w:val="NormalWeb"/>
        <w:rPr>
          <w:rStyle w:val="Strong"/>
          <w:rFonts w:eastAsiaTheme="majorEastAsia"/>
          <w:color w:val="000000"/>
        </w:rPr>
      </w:pPr>
      <w:r>
        <w:rPr>
          <w:rStyle w:val="Strong"/>
          <w:rFonts w:eastAsiaTheme="majorEastAsia"/>
          <w:color w:val="000000"/>
        </w:rPr>
        <w:t>Part 1:</w:t>
      </w:r>
    </w:p>
    <w:p w14:paraId="0DF4077F" w14:textId="3B7553B0" w:rsidR="00AC5453" w:rsidRPr="009F5BDE" w:rsidRDefault="00AC5453" w:rsidP="00AC5453">
      <w:pPr>
        <w:pStyle w:val="NormalWeb"/>
        <w:rPr>
          <w:rFonts w:eastAsiaTheme="majorEastAsia"/>
          <w:b/>
          <w:bCs/>
          <w:color w:val="000000"/>
        </w:rPr>
      </w:pPr>
      <w:r>
        <w:rPr>
          <w:rStyle w:val="Strong"/>
          <w:rFonts w:eastAsiaTheme="majorEastAsia"/>
          <w:color w:val="000000"/>
        </w:rPr>
        <w:t xml:space="preserve">Tabula </w:t>
      </w:r>
      <w:proofErr w:type="spellStart"/>
      <w:r>
        <w:rPr>
          <w:rStyle w:val="Strong"/>
          <w:rFonts w:eastAsiaTheme="majorEastAsia"/>
          <w:color w:val="000000"/>
        </w:rPr>
        <w:t>copiosa</w:t>
      </w:r>
      <w:proofErr w:type="spellEnd"/>
      <w:r>
        <w:rPr>
          <w:rStyle w:val="Strong"/>
          <w:rFonts w:eastAsiaTheme="majorEastAsia"/>
          <w:color w:val="000000"/>
        </w:rPr>
        <w:t xml:space="preserve"> in </w:t>
      </w:r>
      <w:proofErr w:type="spellStart"/>
      <w:r>
        <w:rPr>
          <w:rStyle w:val="Strong"/>
          <w:rFonts w:eastAsiaTheme="majorEastAsia"/>
          <w:color w:val="000000"/>
        </w:rPr>
        <w:t>quattuor</w:t>
      </w:r>
      <w:proofErr w:type="spellEnd"/>
      <w:r>
        <w:rPr>
          <w:rStyle w:val="Strong"/>
          <w:rFonts w:eastAsiaTheme="majorEastAsia"/>
          <w:color w:val="000000"/>
        </w:rPr>
        <w:t xml:space="preserve"> scripta Al | </w:t>
      </w:r>
      <w:proofErr w:type="spellStart"/>
      <w:r>
        <w:rPr>
          <w:rStyle w:val="Strong"/>
          <w:rFonts w:eastAsiaTheme="majorEastAsia"/>
          <w:color w:val="000000"/>
        </w:rPr>
        <w:t>berti</w:t>
      </w:r>
      <w:proofErr w:type="spellEnd"/>
      <w:r>
        <w:rPr>
          <w:rStyle w:val="Strong"/>
          <w:rFonts w:eastAsiaTheme="majorEastAsia"/>
          <w:color w:val="000000"/>
        </w:rPr>
        <w:t xml:space="preserve"> </w:t>
      </w:r>
      <w:proofErr w:type="spellStart"/>
      <w:r>
        <w:rPr>
          <w:rStyle w:val="Strong"/>
          <w:rFonts w:eastAsiaTheme="majorEastAsia"/>
          <w:color w:val="000000"/>
        </w:rPr>
        <w:t>magni</w:t>
      </w:r>
      <w:proofErr w:type="spellEnd"/>
      <w:r>
        <w:rPr>
          <w:rStyle w:val="Strong"/>
          <w:rFonts w:eastAsiaTheme="majorEastAsia"/>
          <w:color w:val="000000"/>
        </w:rPr>
        <w:t xml:space="preserve"> </w:t>
      </w:r>
      <w:proofErr w:type="spellStart"/>
      <w:r>
        <w:rPr>
          <w:rStyle w:val="Strong"/>
          <w:rFonts w:eastAsiaTheme="majorEastAsia"/>
          <w:color w:val="000000"/>
        </w:rPr>
        <w:t>Ratisponensis</w:t>
      </w:r>
      <w:proofErr w:type="spellEnd"/>
      <w:r>
        <w:rPr>
          <w:rStyle w:val="Strong"/>
          <w:rFonts w:eastAsiaTheme="majorEastAsia"/>
          <w:color w:val="000000"/>
        </w:rPr>
        <w:t xml:space="preserve"> </w:t>
      </w:r>
      <w:proofErr w:type="spellStart"/>
      <w:r>
        <w:rPr>
          <w:rStyle w:val="Strong"/>
          <w:rFonts w:eastAsiaTheme="majorEastAsia"/>
          <w:color w:val="000000"/>
        </w:rPr>
        <w:t>episcopisen</w:t>
      </w:r>
      <w:proofErr w:type="spellEnd"/>
      <w:r>
        <w:rPr>
          <w:rStyle w:val="Strong"/>
          <w:rFonts w:eastAsiaTheme="majorEastAsia"/>
          <w:color w:val="000000"/>
        </w:rPr>
        <w:t xml:space="preserve"> | </w:t>
      </w:r>
      <w:proofErr w:type="spellStart"/>
      <w:r>
        <w:rPr>
          <w:rStyle w:val="Strong"/>
          <w:rFonts w:eastAsiaTheme="majorEastAsia"/>
          <w:color w:val="000000"/>
        </w:rPr>
        <w:t>tentiaru</w:t>
      </w:r>
      <w:proofErr w:type="spellEnd"/>
      <w:r>
        <w:rPr>
          <w:rStyle w:val="Strong"/>
          <w:rFonts w:eastAsiaTheme="majorEastAsia"/>
          <w:color w:val="000000"/>
        </w:rPr>
        <w:t xml:space="preserve"> </w:t>
      </w:r>
      <w:proofErr w:type="spellStart"/>
      <w:r>
        <w:rPr>
          <w:rStyle w:val="Strong"/>
          <w:rFonts w:eastAsiaTheme="majorEastAsia"/>
          <w:color w:val="000000"/>
        </w:rPr>
        <w:t>libros</w:t>
      </w:r>
      <w:proofErr w:type="spellEnd"/>
      <w:r>
        <w:rPr>
          <w:rStyle w:val="Strong"/>
          <w:rFonts w:eastAsiaTheme="majorEastAsia"/>
          <w:color w:val="000000"/>
        </w:rPr>
        <w:t xml:space="preserve"> </w:t>
      </w:r>
      <w:proofErr w:type="spellStart"/>
      <w:r>
        <w:rPr>
          <w:rStyle w:val="Strong"/>
          <w:rFonts w:eastAsiaTheme="majorEastAsia"/>
          <w:color w:val="000000"/>
        </w:rPr>
        <w:t>articulatim</w:t>
      </w:r>
      <w:proofErr w:type="spellEnd"/>
      <w:r>
        <w:rPr>
          <w:rStyle w:val="Strong"/>
          <w:rFonts w:eastAsiaTheme="majorEastAsia"/>
          <w:color w:val="000000"/>
        </w:rPr>
        <w:t xml:space="preserve"> </w:t>
      </w:r>
      <w:proofErr w:type="spellStart"/>
      <w:r>
        <w:rPr>
          <w:rStyle w:val="Strong"/>
          <w:rFonts w:eastAsiaTheme="majorEastAsia"/>
          <w:color w:val="000000"/>
        </w:rPr>
        <w:t>dilucidantia</w:t>
      </w:r>
      <w:proofErr w:type="spellEnd"/>
    </w:p>
    <w:p w14:paraId="65D04004" w14:textId="77777777" w:rsidR="00AC5453" w:rsidRDefault="00AC5453" w:rsidP="00AC5453">
      <w:pPr>
        <w:pStyle w:val="NormalWeb"/>
        <w:rPr>
          <w:color w:val="000000"/>
        </w:rPr>
      </w:pPr>
      <w:r>
        <w:rPr>
          <w:color w:val="000000"/>
        </w:rPr>
        <w:t xml:space="preserve">Basel: Jacobus de </w:t>
      </w:r>
      <w:proofErr w:type="spellStart"/>
      <w:r>
        <w:rPr>
          <w:color w:val="000000"/>
        </w:rPr>
        <w:t>Pfortzen</w:t>
      </w:r>
      <w:proofErr w:type="spellEnd"/>
      <w:r>
        <w:rPr>
          <w:color w:val="000000"/>
        </w:rPr>
        <w:t>, 15 March 1506 (colophon in vol. III).</w:t>
      </w:r>
    </w:p>
    <w:p w14:paraId="0134D218" w14:textId="77777777" w:rsidR="00AC5453" w:rsidRDefault="00AC5453" w:rsidP="00AC5453">
      <w:pPr>
        <w:pStyle w:val="NormalWeb"/>
        <w:rPr>
          <w:color w:val="000000"/>
        </w:rPr>
      </w:pPr>
      <w:r>
        <w:rPr>
          <w:color w:val="000000"/>
        </w:rPr>
        <w:t>Folio.</w:t>
      </w:r>
    </w:p>
    <w:p w14:paraId="626C80C3" w14:textId="4725D700" w:rsidR="00AC5453" w:rsidRDefault="00AC5453" w:rsidP="00AC5453">
      <w:pPr>
        <w:pStyle w:val="NormalWeb"/>
        <w:rPr>
          <w:color w:val="000000"/>
        </w:rPr>
      </w:pPr>
      <w:r>
        <w:rPr>
          <w:color w:val="000000"/>
        </w:rPr>
        <w:t xml:space="preserve">The </w:t>
      </w:r>
      <w:r w:rsidR="009F5BDE">
        <w:rPr>
          <w:color w:val="000000"/>
        </w:rPr>
        <w:t>title page</w:t>
      </w:r>
      <w:r>
        <w:rPr>
          <w:color w:val="000000"/>
        </w:rPr>
        <w:t xml:space="preserve"> is printed in blackletter</w:t>
      </w:r>
      <w:r w:rsidR="009F5BDE">
        <w:rPr>
          <w:color w:val="000000"/>
        </w:rPr>
        <w:t>,</w:t>
      </w:r>
      <w:r>
        <w:rPr>
          <w:color w:val="000000"/>
        </w:rPr>
        <w:t xml:space="preserve"> with a large rubricated </w:t>
      </w:r>
      <w:r w:rsidR="009F5BDE">
        <w:rPr>
          <w:color w:val="000000"/>
        </w:rPr>
        <w:t>L</w:t>
      </w:r>
      <w:r>
        <w:rPr>
          <w:color w:val="000000"/>
        </w:rPr>
        <w:t>ombard initial and red pen flourishes. The text is arranged in two columns throughout. No imprint appears on the title</w:t>
      </w:r>
      <w:r w:rsidR="009F5BDE">
        <w:rPr>
          <w:color w:val="000000"/>
        </w:rPr>
        <w:t xml:space="preserve"> </w:t>
      </w:r>
      <w:r>
        <w:rPr>
          <w:color w:val="000000"/>
        </w:rPr>
        <w:t>page</w:t>
      </w:r>
      <w:r w:rsidR="009F5BDE">
        <w:rPr>
          <w:color w:val="000000"/>
        </w:rPr>
        <w:t>, and</w:t>
      </w:r>
      <w:r>
        <w:rPr>
          <w:color w:val="000000"/>
        </w:rPr>
        <w:t xml:space="preserve"> the printing information is supplied in the colophon of the final volume of the set.</w:t>
      </w:r>
    </w:p>
    <w:p w14:paraId="7794B2D2" w14:textId="488AA6ED" w:rsidR="00AC5453" w:rsidRDefault="00AC5453" w:rsidP="00AC5453">
      <w:pPr>
        <w:pStyle w:val="NormalWeb"/>
        <w:rPr>
          <w:color w:val="000000"/>
        </w:rPr>
      </w:pPr>
      <w:r>
        <w:rPr>
          <w:color w:val="000000"/>
        </w:rPr>
        <w:t>Colophon in vol. III</w:t>
      </w:r>
      <w:r w:rsidR="009F5BDE">
        <w:rPr>
          <w:color w:val="000000"/>
        </w:rPr>
        <w:t xml:space="preserve">: </w:t>
      </w:r>
      <w:r>
        <w:rPr>
          <w:color w:val="000000"/>
        </w:rPr>
        <w:t xml:space="preserve">Basel, Jacobus de </w:t>
      </w:r>
      <w:proofErr w:type="spellStart"/>
      <w:r>
        <w:rPr>
          <w:color w:val="000000"/>
        </w:rPr>
        <w:t>Pfortzen</w:t>
      </w:r>
      <w:proofErr w:type="spellEnd"/>
      <w:r>
        <w:rPr>
          <w:color w:val="000000"/>
        </w:rPr>
        <w:t>, 15 March 1506.</w:t>
      </w:r>
    </w:p>
    <w:p w14:paraId="1E9D22DE" w14:textId="6F34622F" w:rsidR="00AC5453" w:rsidRDefault="00AC5453" w:rsidP="00AC5453">
      <w:pPr>
        <w:pStyle w:val="NormalWeb"/>
        <w:rPr>
          <w:color w:val="000000"/>
        </w:rPr>
      </w:pPr>
      <w:r>
        <w:rPr>
          <w:color w:val="000000"/>
        </w:rPr>
        <w:t>The volume forms part of a multi-volume scholastic edition of Albertus Magnus’ commentary on Peter Lombard’s</w:t>
      </w:r>
      <w:r>
        <w:rPr>
          <w:rStyle w:val="apple-converted-space"/>
          <w:rFonts w:eastAsiaTheme="majorEastAsia"/>
          <w:color w:val="000000"/>
        </w:rPr>
        <w:t> </w:t>
      </w:r>
      <w:r>
        <w:rPr>
          <w:rStyle w:val="Emphasis"/>
          <w:rFonts w:eastAsiaTheme="majorEastAsia"/>
          <w:color w:val="000000"/>
        </w:rPr>
        <w:t>Sentences</w:t>
      </w:r>
      <w:r>
        <w:rPr>
          <w:color w:val="000000"/>
        </w:rPr>
        <w:t xml:space="preserve">. The present volume constitutes the Tabula, an extensive alphabetical analytical index to the </w:t>
      </w:r>
      <w:r w:rsidR="009D5028">
        <w:rPr>
          <w:color w:val="000000"/>
        </w:rPr>
        <w:t>four</w:t>
      </w:r>
      <w:r>
        <w:rPr>
          <w:color w:val="000000"/>
        </w:rPr>
        <w:t xml:space="preserve"> books of the commentary.</w:t>
      </w:r>
    </w:p>
    <w:p w14:paraId="0D4F6CCD" w14:textId="068CECCB" w:rsidR="00AC5453" w:rsidRDefault="00AC5453" w:rsidP="00AC5453">
      <w:pPr>
        <w:pStyle w:val="NormalWeb"/>
        <w:rPr>
          <w:color w:val="000000"/>
        </w:rPr>
      </w:pPr>
      <w:r>
        <w:rPr>
          <w:color w:val="000000"/>
        </w:rPr>
        <w:t>The gatherings are signed alphabetically in lower-case letters (a, b, c, etc.), consistent with folio format. Signatures appear at the foot of the first leaf of each gathering</w:t>
      </w:r>
      <w:r w:rsidR="0043026A">
        <w:rPr>
          <w:color w:val="000000"/>
        </w:rPr>
        <w:t>, which</w:t>
      </w:r>
      <w:r>
        <w:rPr>
          <w:color w:val="000000"/>
        </w:rPr>
        <w:t xml:space="preserve"> suggests regular folio signing. </w:t>
      </w:r>
      <w:r w:rsidR="0043026A">
        <w:rPr>
          <w:color w:val="000000"/>
        </w:rPr>
        <w:t>I needed a f</w:t>
      </w:r>
      <w:r>
        <w:rPr>
          <w:color w:val="000000"/>
        </w:rPr>
        <w:t>urther systematic collation of all quires to produce a full statement of signing</w:t>
      </w:r>
      <w:r w:rsidR="0043026A">
        <w:rPr>
          <w:color w:val="000000"/>
        </w:rPr>
        <w:t xml:space="preserve">, </w:t>
      </w:r>
      <w:r w:rsidR="00712E87">
        <w:rPr>
          <w:color w:val="000000"/>
        </w:rPr>
        <w:t>but</w:t>
      </w:r>
      <w:r w:rsidR="0043026A">
        <w:rPr>
          <w:color w:val="000000"/>
        </w:rPr>
        <w:t xml:space="preserve"> I was </w:t>
      </w:r>
      <w:r w:rsidR="00712E87">
        <w:rPr>
          <w:color w:val="000000"/>
        </w:rPr>
        <w:t>un</w:t>
      </w:r>
      <w:r w:rsidR="0043026A">
        <w:rPr>
          <w:color w:val="000000"/>
        </w:rPr>
        <w:t xml:space="preserve">able to do so. </w:t>
      </w:r>
    </w:p>
    <w:p w14:paraId="3B0DB942" w14:textId="77777777" w:rsidR="00AC5453" w:rsidRDefault="00AC5453" w:rsidP="00AC5453">
      <w:pPr>
        <w:pStyle w:val="NormalWeb"/>
        <w:rPr>
          <w:color w:val="000000"/>
        </w:rPr>
      </w:pPr>
      <w:r>
        <w:rPr>
          <w:color w:val="000000"/>
        </w:rPr>
        <w:t>Pagination appears in Arabic numerals for the main text, with scholastic divisions marked by headings such as “</w:t>
      </w:r>
      <w:proofErr w:type="spellStart"/>
      <w:r>
        <w:rPr>
          <w:color w:val="000000"/>
        </w:rPr>
        <w:t>Distinctio</w:t>
      </w:r>
      <w:proofErr w:type="spellEnd"/>
      <w:r>
        <w:rPr>
          <w:color w:val="000000"/>
        </w:rPr>
        <w:t xml:space="preserve"> XVII”. The layout is characteristic of early sixteenth-century academic folio printing: dense two-column blackletter type, marginal references, and rubricated initials.</w:t>
      </w:r>
    </w:p>
    <w:p w14:paraId="1FC498BF" w14:textId="6764E2DD" w:rsidR="00AC5453" w:rsidRDefault="00AC5453" w:rsidP="00AC5453">
      <w:pPr>
        <w:pStyle w:val="NormalWeb"/>
        <w:rPr>
          <w:color w:val="000000"/>
        </w:rPr>
      </w:pPr>
      <w:r>
        <w:rPr>
          <w:color w:val="000000"/>
        </w:rPr>
        <w:t xml:space="preserve">The copy is bound in contemporary blind-stamped pigskin over wooden boards, with surviving metal clasps. Later provenance marks include the stamp of </w:t>
      </w:r>
      <w:r w:rsidR="008B0B83">
        <w:rPr>
          <w:color w:val="000000"/>
        </w:rPr>
        <w:t xml:space="preserve">Lampeter </w:t>
      </w:r>
      <w:r>
        <w:rPr>
          <w:color w:val="000000"/>
        </w:rPr>
        <w:t>St David’s Library and a nineteenth-century printed slip of Thomas Phillips (dated 1842).</w:t>
      </w:r>
      <w:r w:rsidR="008B0B83">
        <w:rPr>
          <w:color w:val="000000"/>
        </w:rPr>
        <w:t xml:space="preserve"> It is now housed in the special collections of the Lampeter campus library of UWTSD.</w:t>
      </w:r>
    </w:p>
    <w:p w14:paraId="7E517FE6" w14:textId="7939F257" w:rsidR="00D73DE9" w:rsidRDefault="00AC5453" w:rsidP="007551C2">
      <w:pPr>
        <w:pStyle w:val="NormalWeb"/>
        <w:rPr>
          <w:color w:val="000000"/>
        </w:rPr>
      </w:pPr>
      <w:r>
        <w:rPr>
          <w:b/>
          <w:bCs/>
          <w:color w:val="000000"/>
        </w:rPr>
        <w:t>Part 2:</w:t>
      </w:r>
      <w:r>
        <w:t xml:space="preserve"> </w:t>
      </w:r>
    </w:p>
    <w:p w14:paraId="71C85697"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Basel Printing in 1506</w:t>
      </w:r>
      <w:r w:rsidRPr="00D73DE9">
        <w:rPr>
          <w:rStyle w:val="apple-converted-space"/>
          <w:rFonts w:ascii="Times New Roman" w:hAnsi="Times New Roman" w:cs="Times New Roman"/>
          <w:color w:val="0D0D0D"/>
          <w:spacing w:val="-2"/>
        </w:rPr>
        <w:t> </w:t>
      </w:r>
    </w:p>
    <w:p w14:paraId="2DAED83E"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 xml:space="preserve">This paper uses Jacobus of </w:t>
      </w:r>
      <w:proofErr w:type="spellStart"/>
      <w:r w:rsidRPr="00D73DE9">
        <w:rPr>
          <w:rFonts w:ascii="Times New Roman" w:hAnsi="Times New Roman" w:cs="Times New Roman"/>
        </w:rPr>
        <w:t>Pfortzen’s</w:t>
      </w:r>
      <w:proofErr w:type="spellEnd"/>
      <w:r w:rsidRPr="00D73DE9">
        <w:rPr>
          <w:rFonts w:ascii="Times New Roman" w:hAnsi="Times New Roman" w:cs="Times New Roman"/>
        </w:rPr>
        <w:t xml:space="preserve"> 1506</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 xml:space="preserve">Tabula </w:t>
      </w:r>
      <w:proofErr w:type="spellStart"/>
      <w:r w:rsidRPr="00D73DE9">
        <w:rPr>
          <w:rFonts w:ascii="Times New Roman" w:hAnsi="Times New Roman" w:cs="Times New Roman"/>
          <w:i/>
          <w:iCs/>
        </w:rPr>
        <w:t>copiosa</w:t>
      </w:r>
      <w:proofErr w:type="spellEnd"/>
      <w:r w:rsidRPr="00D73DE9">
        <w:rPr>
          <w:rFonts w:ascii="Times New Roman" w:hAnsi="Times New Roman" w:cs="Times New Roman"/>
          <w:i/>
          <w:iCs/>
        </w:rPr>
        <w:t> </w:t>
      </w:r>
      <w:r w:rsidRPr="00D73DE9">
        <w:rPr>
          <w:rFonts w:ascii="Times New Roman" w:hAnsi="Times New Roman" w:cs="Times New Roman"/>
        </w:rPr>
        <w:t>as a case study to explain why Basel became an important centre for theological printing in the early sixteenth century.</w:t>
      </w:r>
    </w:p>
    <w:p w14:paraId="27AA7FE4"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By 1506, Basel had emerged as one of the most important printing centres in the Holy Roman Empire. This prominence reflected a convergence of intellectual, commercial and institutional forces. The foundation of the University of Basel in 1460 created sustained demand for theological, philosophical and legal texts, and this academic infrastructure helped to support the expansion of the city’s print industry (Febvre and Martin 1997; Eisenstein 1979). The 1506 edition of</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 xml:space="preserve">Tabula </w:t>
      </w:r>
      <w:proofErr w:type="spellStart"/>
      <w:r w:rsidRPr="00D73DE9">
        <w:rPr>
          <w:rFonts w:ascii="Times New Roman" w:hAnsi="Times New Roman" w:cs="Times New Roman"/>
          <w:i/>
          <w:iCs/>
        </w:rPr>
        <w:t>copiosa</w:t>
      </w:r>
      <w:proofErr w:type="spellEnd"/>
      <w:r w:rsidRPr="00D73DE9">
        <w:rPr>
          <w:rFonts w:ascii="Times New Roman" w:hAnsi="Times New Roman" w:cs="Times New Roman"/>
          <w:i/>
          <w:iCs/>
        </w:rPr>
        <w:t xml:space="preserve"> in </w:t>
      </w:r>
      <w:proofErr w:type="spellStart"/>
      <w:r w:rsidRPr="00D73DE9">
        <w:rPr>
          <w:rFonts w:ascii="Times New Roman" w:hAnsi="Times New Roman" w:cs="Times New Roman"/>
          <w:i/>
          <w:iCs/>
        </w:rPr>
        <w:t>quattuor</w:t>
      </w:r>
      <w:proofErr w:type="spellEnd"/>
      <w:r w:rsidRPr="00D73DE9">
        <w:rPr>
          <w:rFonts w:ascii="Times New Roman" w:hAnsi="Times New Roman" w:cs="Times New Roman"/>
          <w:i/>
          <w:iCs/>
        </w:rPr>
        <w:t xml:space="preserve"> scripta Alberti </w:t>
      </w:r>
      <w:proofErr w:type="spellStart"/>
      <w:r w:rsidRPr="00D73DE9">
        <w:rPr>
          <w:rFonts w:ascii="Times New Roman" w:hAnsi="Times New Roman" w:cs="Times New Roman"/>
          <w:i/>
          <w:iCs/>
        </w:rPr>
        <w:t>magni</w:t>
      </w:r>
      <w:proofErr w:type="spellEnd"/>
      <w:r w:rsidRPr="00D73DE9">
        <w:rPr>
          <w:rFonts w:ascii="Times New Roman" w:hAnsi="Times New Roman" w:cs="Times New Roman"/>
        </w:rPr>
        <w:t xml:space="preserve">, printed by </w:t>
      </w:r>
      <w:r w:rsidRPr="00D73DE9">
        <w:rPr>
          <w:rFonts w:ascii="Times New Roman" w:hAnsi="Times New Roman" w:cs="Times New Roman"/>
        </w:rPr>
        <w:lastRenderedPageBreak/>
        <w:t xml:space="preserve">Jacobus of </w:t>
      </w:r>
      <w:proofErr w:type="spellStart"/>
      <w:r w:rsidRPr="00D73DE9">
        <w:rPr>
          <w:rFonts w:ascii="Times New Roman" w:hAnsi="Times New Roman" w:cs="Times New Roman"/>
        </w:rPr>
        <w:t>Pfortzen</w:t>
      </w:r>
      <w:proofErr w:type="spellEnd"/>
      <w:r w:rsidRPr="00D73DE9">
        <w:rPr>
          <w:rFonts w:ascii="Times New Roman" w:hAnsi="Times New Roman" w:cs="Times New Roman"/>
        </w:rPr>
        <w:t>, is best understood within this broader context of university-driven book production and theological scholarship.</w:t>
      </w:r>
    </w:p>
    <w:p w14:paraId="52F91E9A"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Basel’s geographical location also played an important role in its development as a printing hub. Situated along the Rhine, one of Europe’s major commercial arteries, Basel was strategically positioned between the German lands, France and northern Italy. The river facilitated the movement of paper, type and finished books, while the city’s participation in long-distance trade networks ensured access to both raw materials and markets (Febvre and Martin 1997). Printing was also an economic enterprise dependent on reliable supply chains and commercial distribution. Basel’s prosperity and connectivity made it an ideal location for large-scale book production.</w:t>
      </w:r>
    </w:p>
    <w:p w14:paraId="3A17CC71"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By the early sixteenth century, Basel printers were particularly associated with scholarly and theological works. Unlike some centres that focused on popular devotional texts or vernacular literature, Basel developed a reputation for producing learned folios aimed at academic audiences. This was in part due to the university’s curriculum, which remained heavily grounded in scholastic theology. Peter Lombard’s</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Sentences</w:t>
      </w:r>
      <w:r w:rsidRPr="00D73DE9">
        <w:rPr>
          <w:rStyle w:val="apple-converted-space"/>
          <w:rFonts w:ascii="Times New Roman" w:hAnsi="Times New Roman" w:cs="Times New Roman"/>
          <w:color w:val="0D0D0D"/>
          <w:spacing w:val="-2"/>
        </w:rPr>
        <w:t> </w:t>
      </w:r>
      <w:r w:rsidRPr="00D73DE9">
        <w:rPr>
          <w:rFonts w:ascii="Times New Roman" w:hAnsi="Times New Roman" w:cs="Times New Roman"/>
        </w:rPr>
        <w:t>continued to function as the foundational theological textbook in European universities. Theology students were commonly required to lecture on Lombard’s text, and the tradition of commentary upon it generated a vast and highly structured body of scholarship (Rosemann 2007). Albert the Great’s commentary on the</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Sentences</w:t>
      </w:r>
      <w:r w:rsidRPr="00D73DE9">
        <w:rPr>
          <w:rStyle w:val="apple-converted-space"/>
          <w:rFonts w:ascii="Times New Roman" w:hAnsi="Times New Roman" w:cs="Times New Roman"/>
          <w:color w:val="0D0D0D"/>
          <w:spacing w:val="-2"/>
        </w:rPr>
        <w:t> </w:t>
      </w:r>
      <w:r w:rsidRPr="00D73DE9">
        <w:rPr>
          <w:rFonts w:ascii="Times New Roman" w:hAnsi="Times New Roman" w:cs="Times New Roman"/>
        </w:rPr>
        <w:t>formed part of this authoritative tradition, and its continued printing in 1506 illustrates the persistence of scholastic intellectual frameworks in the early age of print.</w:t>
      </w:r>
    </w:p>
    <w:p w14:paraId="3E0AE45E" w14:textId="2C4F884A" w:rsidR="00D73DE9" w:rsidRPr="00D73DE9" w:rsidRDefault="00D73DE9" w:rsidP="00D73DE9">
      <w:pPr>
        <w:rPr>
          <w:rFonts w:ascii="Times New Roman" w:hAnsi="Times New Roman" w:cs="Times New Roman"/>
        </w:rPr>
      </w:pPr>
      <w:r w:rsidRPr="00D73DE9">
        <w:rPr>
          <w:rFonts w:ascii="Times New Roman" w:hAnsi="Times New Roman" w:cs="Times New Roman"/>
        </w:rPr>
        <w:t xml:space="preserve">Jacobus of </w:t>
      </w:r>
      <w:proofErr w:type="spellStart"/>
      <w:r w:rsidRPr="00D73DE9">
        <w:rPr>
          <w:rFonts w:ascii="Times New Roman" w:hAnsi="Times New Roman" w:cs="Times New Roman"/>
        </w:rPr>
        <w:t>Pfortzen</w:t>
      </w:r>
      <w:proofErr w:type="spellEnd"/>
      <w:r w:rsidRPr="00D73DE9">
        <w:rPr>
          <w:rFonts w:ascii="Times New Roman" w:hAnsi="Times New Roman" w:cs="Times New Roman"/>
        </w:rPr>
        <w:t xml:space="preserve"> </w:t>
      </w:r>
      <w:r>
        <w:rPr>
          <w:rFonts w:ascii="Times New Roman" w:hAnsi="Times New Roman" w:cs="Times New Roman"/>
        </w:rPr>
        <w:t>was</w:t>
      </w:r>
      <w:r w:rsidRPr="00D73DE9">
        <w:rPr>
          <w:rFonts w:ascii="Times New Roman" w:hAnsi="Times New Roman" w:cs="Times New Roman"/>
        </w:rPr>
        <w:t xml:space="preserve"> active in Basel in the early sixteenth century</w:t>
      </w:r>
      <w:r>
        <w:rPr>
          <w:rFonts w:ascii="Times New Roman" w:hAnsi="Times New Roman" w:cs="Times New Roman"/>
        </w:rPr>
        <w:t xml:space="preserve"> and</w:t>
      </w:r>
      <w:r w:rsidRPr="00D73DE9">
        <w:rPr>
          <w:rFonts w:ascii="Times New Roman" w:hAnsi="Times New Roman" w:cs="Times New Roman"/>
        </w:rPr>
        <w:t xml:space="preserve"> participated in th</w:t>
      </w:r>
      <w:r>
        <w:rPr>
          <w:rFonts w:ascii="Times New Roman" w:hAnsi="Times New Roman" w:cs="Times New Roman"/>
        </w:rPr>
        <w:t>e</w:t>
      </w:r>
      <w:r w:rsidRPr="00D73DE9">
        <w:rPr>
          <w:rFonts w:ascii="Times New Roman" w:hAnsi="Times New Roman" w:cs="Times New Roman"/>
        </w:rPr>
        <w:t xml:space="preserve"> scholarly book trade. Although he did not achieve the later renown of printers such as Johann </w:t>
      </w:r>
      <w:proofErr w:type="spellStart"/>
      <w:r w:rsidRPr="00D73DE9">
        <w:rPr>
          <w:rFonts w:ascii="Times New Roman" w:hAnsi="Times New Roman" w:cs="Times New Roman"/>
        </w:rPr>
        <w:t>Froben</w:t>
      </w:r>
      <w:proofErr w:type="spellEnd"/>
      <w:r w:rsidRPr="00D73DE9">
        <w:rPr>
          <w:rFonts w:ascii="Times New Roman" w:hAnsi="Times New Roman" w:cs="Times New Roman"/>
        </w:rPr>
        <w:t>, his involvement in the production of substantial theological folios indicates engagement with the academic market. Printing a substantial edition of Albert the Great required considerable capital investment. Large folio formats consumed substantial quantities of paper, required durable type, and demanded skilled compositors capable of handling complex two-column layouts and marginal apparatus. Such projects presupposed a stable readership composed primarily of institutions rather than individual casual buyers.</w:t>
      </w:r>
    </w:p>
    <w:p w14:paraId="42E7B168" w14:textId="022C5727" w:rsidR="00D73DE9" w:rsidRPr="00D73DE9" w:rsidRDefault="00D73DE9" w:rsidP="00D73DE9">
      <w:pPr>
        <w:rPr>
          <w:rFonts w:ascii="Times New Roman" w:hAnsi="Times New Roman" w:cs="Times New Roman"/>
        </w:rPr>
      </w:pPr>
      <w:r w:rsidRPr="00D73DE9">
        <w:rPr>
          <w:rFonts w:ascii="Times New Roman" w:hAnsi="Times New Roman" w:cs="Times New Roman"/>
        </w:rPr>
        <w:t>The physical characteristics of the 1506 edition underscore its academic orientation. The folio format, two-column layout, blackletter type, and structured divisions into distinctions and articles reflect continuity with late medieval manuscript traditions. Early printers frequently reproduced the visual conventions of manuscripts to maintain familiarity and authority (Eisenstein 1979). In scholastic works</w:t>
      </w:r>
      <w:r>
        <w:rPr>
          <w:rFonts w:ascii="Times New Roman" w:hAnsi="Times New Roman" w:cs="Times New Roman"/>
        </w:rPr>
        <w:t>,</w:t>
      </w:r>
      <w:r w:rsidRPr="00D73DE9">
        <w:rPr>
          <w:rFonts w:ascii="Times New Roman" w:hAnsi="Times New Roman" w:cs="Times New Roman"/>
        </w:rPr>
        <w:t xml:space="preserve"> especially, blackletter type often conveyed textual seriousness and alignment with established theological discourse. The volume’s durable construction further supports its intended long-term institutional use.</w:t>
      </w:r>
    </w:p>
    <w:p w14:paraId="4D8DB2A8"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The presence of a separate</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 xml:space="preserve">Tabula </w:t>
      </w:r>
      <w:proofErr w:type="spellStart"/>
      <w:r w:rsidRPr="00D73DE9">
        <w:rPr>
          <w:rFonts w:ascii="Times New Roman" w:hAnsi="Times New Roman" w:cs="Times New Roman"/>
          <w:i/>
          <w:iCs/>
        </w:rPr>
        <w:t>copiosa</w:t>
      </w:r>
      <w:proofErr w:type="spellEnd"/>
      <w:r w:rsidRPr="00D73DE9">
        <w:rPr>
          <w:rStyle w:val="apple-converted-space"/>
          <w:rFonts w:ascii="Times New Roman" w:hAnsi="Times New Roman" w:cs="Times New Roman"/>
          <w:color w:val="0D0D0D"/>
          <w:spacing w:val="-2"/>
        </w:rPr>
        <w:t> </w:t>
      </w:r>
      <w:r w:rsidRPr="00D73DE9">
        <w:rPr>
          <w:rFonts w:ascii="Times New Roman" w:hAnsi="Times New Roman" w:cs="Times New Roman"/>
        </w:rPr>
        <w:t>is particularly revealing. In early printed books, a</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tabula </w:t>
      </w:r>
      <w:r w:rsidRPr="00D73DE9">
        <w:rPr>
          <w:rFonts w:ascii="Times New Roman" w:hAnsi="Times New Roman" w:cs="Times New Roman"/>
        </w:rPr>
        <w:t xml:space="preserve">often functioned as an analytical index rather than a simple table of contents. It often arranged key terms and theological questions alphabetically, enabling readers to navigate extensive and intricate argumentation. Scholastic theology operated through carefully structured distinctions, objections, responses and authorities. Without an index, locating a </w:t>
      </w:r>
      <w:r w:rsidRPr="00D73DE9">
        <w:rPr>
          <w:rFonts w:ascii="Times New Roman" w:hAnsi="Times New Roman" w:cs="Times New Roman"/>
        </w:rPr>
        <w:lastRenderedPageBreak/>
        <w:t>specific topic could be laborious. The production of a detailed index reflects the increasing systematisation of knowledge in the late medieval and early modern periods (Blair 2010). As Ann Blair has shown, early modern scholars developed sophisticated tools for managing information overload, and indexing practices formed a crucial part of this intellectual infrastructure (Blair 2010).</w:t>
      </w:r>
    </w:p>
    <w:p w14:paraId="500BA2A2" w14:textId="0B671B6E" w:rsidR="00D73DE9" w:rsidRPr="00D73DE9" w:rsidRDefault="00D73DE9" w:rsidP="00D73DE9">
      <w:pPr>
        <w:rPr>
          <w:rFonts w:ascii="Times New Roman" w:hAnsi="Times New Roman" w:cs="Times New Roman"/>
        </w:rPr>
      </w:pPr>
      <w:r w:rsidRPr="00D73DE9">
        <w:rPr>
          <w:rFonts w:ascii="Times New Roman" w:hAnsi="Times New Roman" w:cs="Times New Roman"/>
        </w:rPr>
        <w:t>The existence of the</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Tabula</w:t>
      </w:r>
      <w:r w:rsidRPr="00D73DE9">
        <w:rPr>
          <w:rStyle w:val="apple-converted-space"/>
          <w:rFonts w:ascii="Times New Roman" w:hAnsi="Times New Roman" w:cs="Times New Roman"/>
          <w:color w:val="0D0D0D"/>
          <w:spacing w:val="-2"/>
        </w:rPr>
        <w:t> </w:t>
      </w:r>
      <w:r w:rsidRPr="00D73DE9">
        <w:rPr>
          <w:rFonts w:ascii="Times New Roman" w:hAnsi="Times New Roman" w:cs="Times New Roman"/>
        </w:rPr>
        <w:t>in the 1506 edition</w:t>
      </w:r>
      <w:r>
        <w:rPr>
          <w:rFonts w:ascii="Times New Roman" w:hAnsi="Times New Roman" w:cs="Times New Roman"/>
        </w:rPr>
        <w:t>,</w:t>
      </w:r>
      <w:r w:rsidRPr="00D73DE9">
        <w:rPr>
          <w:rFonts w:ascii="Times New Roman" w:hAnsi="Times New Roman" w:cs="Times New Roman"/>
        </w:rPr>
        <w:t xml:space="preserve"> therefore</w:t>
      </w:r>
      <w:r>
        <w:rPr>
          <w:rFonts w:ascii="Times New Roman" w:hAnsi="Times New Roman" w:cs="Times New Roman"/>
        </w:rPr>
        <w:t>,</w:t>
      </w:r>
      <w:r w:rsidRPr="00D73DE9">
        <w:rPr>
          <w:rFonts w:ascii="Times New Roman" w:hAnsi="Times New Roman" w:cs="Times New Roman"/>
        </w:rPr>
        <w:t xml:space="preserve"> suggests a readership deeply engaged in professional theological study. Likely purchasers included university masters, advanced theology students preparing lectures on Lombard, monastic communities maintaining teaching libraries, cathedral chapters, and affluent clerics. A multi-volume folio set would have represented a significant financial outlay. Its cost and scale make it unlikely that it was intended for casual devotional use. Instead, it functioned as a working reference text within institutional contexts.</w:t>
      </w:r>
    </w:p>
    <w:p w14:paraId="696B0541"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Basel’s importance for theological printing can thus be explained by three interconnected factors: institutional demand, commercial infrastructure, and technical capability. First, the university created a consistent need for authoritative editions of scholastic texts. Second, Basel’s position within Rhine trade networks ensured the distribution of books beyond the city itself. Third, local printers had developed the expertise required to produce large, complex folios with reliable accuracy. The 1506 edition associated with Albert the Great exemplifies the interaction of these elements.</w:t>
      </w:r>
    </w:p>
    <w:p w14:paraId="49B577BD"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 xml:space="preserve">Moreover, the date 1506 situates this edition at a transitional moment in European intellectual history. Humanism was gaining influence, and Basel would soon become closely associated with humanist scholarship, particularly through Erasmus and the </w:t>
      </w:r>
      <w:proofErr w:type="spellStart"/>
      <w:r w:rsidRPr="00D73DE9">
        <w:rPr>
          <w:rFonts w:ascii="Times New Roman" w:hAnsi="Times New Roman" w:cs="Times New Roman"/>
        </w:rPr>
        <w:t>Froben</w:t>
      </w:r>
      <w:proofErr w:type="spellEnd"/>
      <w:r w:rsidRPr="00D73DE9">
        <w:rPr>
          <w:rFonts w:ascii="Times New Roman" w:hAnsi="Times New Roman" w:cs="Times New Roman"/>
        </w:rPr>
        <w:t xml:space="preserve"> press. Yet the continued production of major scholastic commentaries shows that print culture did not immediately displace medieval intellectual traditions. Instead, printing initially could reinforce and stabilise existing academic structures by making authoritative texts more widely and consistently available (Eisenstein 1979). The Albert the Great edition stands as evidence of this continuity.</w:t>
      </w:r>
    </w:p>
    <w:p w14:paraId="51BF616E" w14:textId="56048838" w:rsidR="00D73DE9" w:rsidRPr="00D73DE9" w:rsidRDefault="00D73DE9" w:rsidP="00D73DE9">
      <w:pPr>
        <w:rPr>
          <w:rFonts w:ascii="Times New Roman" w:hAnsi="Times New Roman" w:cs="Times New Roman"/>
        </w:rPr>
      </w:pPr>
      <w:r w:rsidRPr="00D73DE9">
        <w:rPr>
          <w:rFonts w:ascii="Times New Roman" w:hAnsi="Times New Roman" w:cs="Times New Roman"/>
        </w:rPr>
        <w:t>In conclusion, the 1506</w:t>
      </w:r>
      <w:r w:rsidRPr="00D73DE9">
        <w:rPr>
          <w:rStyle w:val="apple-converted-space"/>
          <w:rFonts w:ascii="Times New Roman" w:hAnsi="Times New Roman" w:cs="Times New Roman"/>
          <w:color w:val="0D0D0D"/>
          <w:spacing w:val="-2"/>
        </w:rPr>
        <w:t> </w:t>
      </w:r>
      <w:r w:rsidRPr="00D73DE9">
        <w:rPr>
          <w:rFonts w:ascii="Times New Roman" w:hAnsi="Times New Roman" w:cs="Times New Roman"/>
          <w:i/>
          <w:iCs/>
        </w:rPr>
        <w:t xml:space="preserve">Tabula </w:t>
      </w:r>
      <w:proofErr w:type="spellStart"/>
      <w:r w:rsidRPr="00D73DE9">
        <w:rPr>
          <w:rFonts w:ascii="Times New Roman" w:hAnsi="Times New Roman" w:cs="Times New Roman"/>
          <w:i/>
          <w:iCs/>
        </w:rPr>
        <w:t>copiosa</w:t>
      </w:r>
      <w:proofErr w:type="spellEnd"/>
      <w:r w:rsidRPr="00D73DE9">
        <w:rPr>
          <w:rStyle w:val="apple-converted-space"/>
          <w:rFonts w:ascii="Times New Roman" w:hAnsi="Times New Roman" w:cs="Times New Roman"/>
          <w:color w:val="0D0D0D"/>
          <w:spacing w:val="-2"/>
        </w:rPr>
        <w:t> </w:t>
      </w:r>
      <w:r w:rsidRPr="00D73DE9">
        <w:rPr>
          <w:rFonts w:ascii="Times New Roman" w:hAnsi="Times New Roman" w:cs="Times New Roman"/>
        </w:rPr>
        <w:t xml:space="preserve">printed by Jacobus of </w:t>
      </w:r>
      <w:proofErr w:type="spellStart"/>
      <w:r w:rsidRPr="00D73DE9">
        <w:rPr>
          <w:rFonts w:ascii="Times New Roman" w:hAnsi="Times New Roman" w:cs="Times New Roman"/>
        </w:rPr>
        <w:t>Pfortzen</w:t>
      </w:r>
      <w:proofErr w:type="spellEnd"/>
      <w:r w:rsidRPr="00D73DE9">
        <w:rPr>
          <w:rFonts w:ascii="Times New Roman" w:hAnsi="Times New Roman" w:cs="Times New Roman"/>
        </w:rPr>
        <w:t xml:space="preserve"> illustrates Basel’s established role as a centre of theological and academic printing in the early sixteenth century. The city’s university, commercial position on the Rhine, and experienced printers created favourable conditions </w:t>
      </w:r>
      <w:proofErr w:type="gramStart"/>
      <w:r w:rsidRPr="00D73DE9">
        <w:rPr>
          <w:rFonts w:ascii="Times New Roman" w:hAnsi="Times New Roman" w:cs="Times New Roman"/>
        </w:rPr>
        <w:t>for the production of</w:t>
      </w:r>
      <w:proofErr w:type="gramEnd"/>
      <w:r w:rsidRPr="00D73DE9">
        <w:rPr>
          <w:rFonts w:ascii="Times New Roman" w:hAnsi="Times New Roman" w:cs="Times New Roman"/>
        </w:rPr>
        <w:t xml:space="preserve"> large scholastic folios. The detailed</w:t>
      </w:r>
      <w:r w:rsidRPr="00D73DE9">
        <w:rPr>
          <w:rStyle w:val="apple-converted-space"/>
          <w:rFonts w:ascii="Times New Roman" w:hAnsi="Times New Roman" w:cs="Times New Roman"/>
          <w:color w:val="0D0D0D"/>
          <w:spacing w:val="-2"/>
        </w:rPr>
        <w:t> </w:t>
      </w:r>
      <w:r w:rsidRPr="007551C2">
        <w:rPr>
          <w:rFonts w:ascii="Times New Roman" w:hAnsi="Times New Roman" w:cs="Times New Roman"/>
          <w:i/>
          <w:iCs/>
        </w:rPr>
        <w:t>Tabula </w:t>
      </w:r>
      <w:r w:rsidRPr="00D73DE9">
        <w:rPr>
          <w:rFonts w:ascii="Times New Roman" w:hAnsi="Times New Roman" w:cs="Times New Roman"/>
        </w:rPr>
        <w:t>reveals the demands of professional theological study and the need for effective navigational tools in complex texts. Far from being peripheral, the index formed an integral component of scholarly practice. The edition</w:t>
      </w:r>
      <w:r w:rsidR="007551C2">
        <w:rPr>
          <w:rFonts w:ascii="Times New Roman" w:hAnsi="Times New Roman" w:cs="Times New Roman"/>
        </w:rPr>
        <w:t>,</w:t>
      </w:r>
      <w:r w:rsidRPr="00D73DE9">
        <w:rPr>
          <w:rFonts w:ascii="Times New Roman" w:hAnsi="Times New Roman" w:cs="Times New Roman"/>
        </w:rPr>
        <w:t xml:space="preserve"> therefore</w:t>
      </w:r>
      <w:r w:rsidR="007551C2">
        <w:rPr>
          <w:rFonts w:ascii="Times New Roman" w:hAnsi="Times New Roman" w:cs="Times New Roman"/>
        </w:rPr>
        <w:t>,</w:t>
      </w:r>
      <w:r w:rsidRPr="00D73DE9">
        <w:rPr>
          <w:rFonts w:ascii="Times New Roman" w:hAnsi="Times New Roman" w:cs="Times New Roman"/>
        </w:rPr>
        <w:t xml:space="preserve"> reflects not only the technical capabilities of Basel’s printers but also the intellectual priorities of the institutions and readers who sustained the theological book trade.</w:t>
      </w:r>
    </w:p>
    <w:p w14:paraId="360995A6" w14:textId="77777777" w:rsidR="00D73DE9" w:rsidRPr="007551C2" w:rsidRDefault="00D73DE9" w:rsidP="00D73DE9">
      <w:pPr>
        <w:rPr>
          <w:rFonts w:ascii="Times New Roman" w:hAnsi="Times New Roman" w:cs="Times New Roman"/>
          <w:b/>
          <w:bCs/>
          <w:sz w:val="32"/>
          <w:szCs w:val="32"/>
        </w:rPr>
      </w:pPr>
      <w:r w:rsidRPr="007551C2">
        <w:rPr>
          <w:rFonts w:ascii="Times New Roman" w:hAnsi="Times New Roman" w:cs="Times New Roman"/>
          <w:b/>
          <w:bCs/>
          <w:sz w:val="32"/>
          <w:szCs w:val="32"/>
        </w:rPr>
        <w:t>Bibliography</w:t>
      </w:r>
    </w:p>
    <w:p w14:paraId="28BECF3B"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Blair, Ann. 2010.</w:t>
      </w:r>
      <w:r w:rsidRPr="00D73DE9">
        <w:rPr>
          <w:rStyle w:val="apple-converted-space"/>
          <w:rFonts w:ascii="Times New Roman" w:hAnsi="Times New Roman" w:cs="Times New Roman"/>
          <w:color w:val="0D0D0D"/>
          <w:spacing w:val="-2"/>
        </w:rPr>
        <w:t> </w:t>
      </w:r>
      <w:r w:rsidRPr="007551C2">
        <w:rPr>
          <w:rFonts w:ascii="Times New Roman" w:hAnsi="Times New Roman" w:cs="Times New Roman"/>
          <w:i/>
          <w:iCs/>
        </w:rPr>
        <w:t>Too Much to Know: Managing Scholarly Information before the Modern Age</w:t>
      </w:r>
      <w:r w:rsidRPr="00D73DE9">
        <w:rPr>
          <w:rFonts w:ascii="Times New Roman" w:hAnsi="Times New Roman" w:cs="Times New Roman"/>
        </w:rPr>
        <w:t>. New Haven: Yale University Press.</w:t>
      </w:r>
    </w:p>
    <w:p w14:paraId="3B20E0AD"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lastRenderedPageBreak/>
        <w:t>Eisenstein, Elizabeth L. 1979.</w:t>
      </w:r>
      <w:r w:rsidRPr="00D73DE9">
        <w:rPr>
          <w:rStyle w:val="apple-converted-space"/>
          <w:rFonts w:ascii="Times New Roman" w:hAnsi="Times New Roman" w:cs="Times New Roman"/>
          <w:color w:val="0D0D0D"/>
          <w:spacing w:val="-2"/>
        </w:rPr>
        <w:t> </w:t>
      </w:r>
      <w:r w:rsidRPr="007551C2">
        <w:rPr>
          <w:rFonts w:ascii="Times New Roman" w:hAnsi="Times New Roman" w:cs="Times New Roman"/>
          <w:i/>
          <w:iCs/>
        </w:rPr>
        <w:t>The Printing Press as an Agent of Change</w:t>
      </w:r>
      <w:r w:rsidRPr="00D73DE9">
        <w:rPr>
          <w:rFonts w:ascii="Times New Roman" w:hAnsi="Times New Roman" w:cs="Times New Roman"/>
        </w:rPr>
        <w:t>. Cambridge: Cambridge University Press.</w:t>
      </w:r>
    </w:p>
    <w:p w14:paraId="7758294E" w14:textId="773D5978" w:rsidR="00D73DE9" w:rsidRPr="00D73DE9" w:rsidRDefault="00D73DE9" w:rsidP="00D73DE9">
      <w:pPr>
        <w:rPr>
          <w:rFonts w:ascii="Times New Roman" w:hAnsi="Times New Roman" w:cs="Times New Roman"/>
        </w:rPr>
      </w:pPr>
      <w:r w:rsidRPr="00D73DE9">
        <w:rPr>
          <w:rFonts w:ascii="Times New Roman" w:hAnsi="Times New Roman" w:cs="Times New Roman"/>
        </w:rPr>
        <w:t xml:space="preserve">Febvre, Lucien, </w:t>
      </w:r>
      <w:r w:rsidR="007551C2">
        <w:rPr>
          <w:rFonts w:ascii="Times New Roman" w:hAnsi="Times New Roman" w:cs="Times New Roman"/>
        </w:rPr>
        <w:t>et</w:t>
      </w:r>
      <w:r w:rsidRPr="00D73DE9">
        <w:rPr>
          <w:rFonts w:ascii="Times New Roman" w:hAnsi="Times New Roman" w:cs="Times New Roman"/>
        </w:rPr>
        <w:t xml:space="preserve"> Henri-Jean Martin. 1997.</w:t>
      </w:r>
      <w:r w:rsidRPr="00D73DE9">
        <w:rPr>
          <w:rStyle w:val="apple-converted-space"/>
          <w:rFonts w:ascii="Times New Roman" w:hAnsi="Times New Roman" w:cs="Times New Roman"/>
          <w:color w:val="0D0D0D"/>
          <w:spacing w:val="-2"/>
        </w:rPr>
        <w:t> </w:t>
      </w:r>
      <w:r w:rsidRPr="007551C2">
        <w:rPr>
          <w:rFonts w:ascii="Times New Roman" w:hAnsi="Times New Roman" w:cs="Times New Roman"/>
          <w:i/>
          <w:iCs/>
        </w:rPr>
        <w:t>The Coming of the Book: The Impact of Printing 1450–1800</w:t>
      </w:r>
      <w:r w:rsidRPr="00D73DE9">
        <w:rPr>
          <w:rFonts w:ascii="Times New Roman" w:hAnsi="Times New Roman" w:cs="Times New Roman"/>
        </w:rPr>
        <w:t>. London: Verso.</w:t>
      </w:r>
    </w:p>
    <w:p w14:paraId="0C359B16" w14:textId="77777777" w:rsidR="00D73DE9" w:rsidRPr="00D73DE9" w:rsidRDefault="00D73DE9" w:rsidP="00D73DE9">
      <w:pPr>
        <w:rPr>
          <w:rFonts w:ascii="Times New Roman" w:hAnsi="Times New Roman" w:cs="Times New Roman"/>
        </w:rPr>
      </w:pPr>
      <w:r w:rsidRPr="00D73DE9">
        <w:rPr>
          <w:rFonts w:ascii="Times New Roman" w:hAnsi="Times New Roman" w:cs="Times New Roman"/>
        </w:rPr>
        <w:t>Rosemann, Philipp W. 2007.</w:t>
      </w:r>
      <w:r w:rsidRPr="00D73DE9">
        <w:rPr>
          <w:rStyle w:val="apple-converted-space"/>
          <w:rFonts w:ascii="Times New Roman" w:hAnsi="Times New Roman" w:cs="Times New Roman"/>
          <w:color w:val="0D0D0D"/>
          <w:spacing w:val="-2"/>
        </w:rPr>
        <w:t> </w:t>
      </w:r>
      <w:r w:rsidRPr="007551C2">
        <w:rPr>
          <w:rFonts w:ascii="Times New Roman" w:hAnsi="Times New Roman" w:cs="Times New Roman"/>
          <w:i/>
          <w:iCs/>
        </w:rPr>
        <w:t>The Story of a Great Medieval Book: Peter Lombard’s Sentences</w:t>
      </w:r>
      <w:r w:rsidRPr="00D73DE9">
        <w:rPr>
          <w:rFonts w:ascii="Times New Roman" w:hAnsi="Times New Roman" w:cs="Times New Roman"/>
        </w:rPr>
        <w:t>. Toronto: University of Toronto Press.</w:t>
      </w:r>
    </w:p>
    <w:p w14:paraId="1DCF78E3" w14:textId="77777777" w:rsidR="00D73DE9" w:rsidRPr="009F52F5" w:rsidRDefault="00D73DE9" w:rsidP="009F52F5">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sectPr w:rsidR="00D73DE9" w:rsidRPr="009F52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958D4" w14:textId="77777777" w:rsidR="00654138" w:rsidRDefault="00654138" w:rsidP="002823DA">
      <w:pPr>
        <w:spacing w:after="0" w:line="240" w:lineRule="auto"/>
      </w:pPr>
      <w:r>
        <w:separator/>
      </w:r>
    </w:p>
  </w:endnote>
  <w:endnote w:type="continuationSeparator" w:id="0">
    <w:p w14:paraId="753DDBCC" w14:textId="77777777" w:rsidR="00654138" w:rsidRDefault="00654138" w:rsidP="00282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159D0" w14:textId="77777777" w:rsidR="00654138" w:rsidRDefault="00654138" w:rsidP="002823DA">
      <w:pPr>
        <w:spacing w:after="0" w:line="240" w:lineRule="auto"/>
      </w:pPr>
      <w:r>
        <w:separator/>
      </w:r>
    </w:p>
  </w:footnote>
  <w:footnote w:type="continuationSeparator" w:id="0">
    <w:p w14:paraId="39FD3251" w14:textId="77777777" w:rsidR="00654138" w:rsidRDefault="00654138" w:rsidP="002823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3DA"/>
    <w:rsid w:val="001B2277"/>
    <w:rsid w:val="002823DA"/>
    <w:rsid w:val="0043026A"/>
    <w:rsid w:val="005E525E"/>
    <w:rsid w:val="00654138"/>
    <w:rsid w:val="00712E87"/>
    <w:rsid w:val="007551C2"/>
    <w:rsid w:val="008B0B83"/>
    <w:rsid w:val="009D5028"/>
    <w:rsid w:val="009F52F5"/>
    <w:rsid w:val="009F5BDE"/>
    <w:rsid w:val="00AC5453"/>
    <w:rsid w:val="00BC02AD"/>
    <w:rsid w:val="00D73DE9"/>
    <w:rsid w:val="00DF3844"/>
    <w:rsid w:val="00F429BA"/>
    <w:rsid w:val="00FF3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ED05B"/>
  <w15:chartTrackingRefBased/>
  <w15:docId w15:val="{4C9DB156-52C5-A64D-BDB1-20D46488A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2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2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2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2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3DA"/>
    <w:rPr>
      <w:rFonts w:eastAsiaTheme="majorEastAsia" w:cstheme="majorBidi"/>
      <w:color w:val="272727" w:themeColor="text1" w:themeTint="D8"/>
    </w:rPr>
  </w:style>
  <w:style w:type="paragraph" w:styleId="Title">
    <w:name w:val="Title"/>
    <w:basedOn w:val="Normal"/>
    <w:next w:val="Normal"/>
    <w:link w:val="TitleChar"/>
    <w:uiPriority w:val="10"/>
    <w:qFormat/>
    <w:rsid w:val="00282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3DA"/>
    <w:pPr>
      <w:spacing w:before="160"/>
      <w:jc w:val="center"/>
    </w:pPr>
    <w:rPr>
      <w:i/>
      <w:iCs/>
      <w:color w:val="404040" w:themeColor="text1" w:themeTint="BF"/>
    </w:rPr>
  </w:style>
  <w:style w:type="character" w:customStyle="1" w:styleId="QuoteChar">
    <w:name w:val="Quote Char"/>
    <w:basedOn w:val="DefaultParagraphFont"/>
    <w:link w:val="Quote"/>
    <w:uiPriority w:val="29"/>
    <w:rsid w:val="002823DA"/>
    <w:rPr>
      <w:i/>
      <w:iCs/>
      <w:color w:val="404040" w:themeColor="text1" w:themeTint="BF"/>
    </w:rPr>
  </w:style>
  <w:style w:type="paragraph" w:styleId="ListParagraph">
    <w:name w:val="List Paragraph"/>
    <w:basedOn w:val="Normal"/>
    <w:uiPriority w:val="34"/>
    <w:qFormat/>
    <w:rsid w:val="002823DA"/>
    <w:pPr>
      <w:ind w:left="720"/>
      <w:contextualSpacing/>
    </w:pPr>
  </w:style>
  <w:style w:type="character" w:styleId="IntenseEmphasis">
    <w:name w:val="Intense Emphasis"/>
    <w:basedOn w:val="DefaultParagraphFont"/>
    <w:uiPriority w:val="21"/>
    <w:qFormat/>
    <w:rsid w:val="002823DA"/>
    <w:rPr>
      <w:i/>
      <w:iCs/>
      <w:color w:val="0F4761" w:themeColor="accent1" w:themeShade="BF"/>
    </w:rPr>
  </w:style>
  <w:style w:type="paragraph" w:styleId="IntenseQuote">
    <w:name w:val="Intense Quote"/>
    <w:basedOn w:val="Normal"/>
    <w:next w:val="Normal"/>
    <w:link w:val="IntenseQuoteChar"/>
    <w:uiPriority w:val="30"/>
    <w:qFormat/>
    <w:rsid w:val="00282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3DA"/>
    <w:rPr>
      <w:i/>
      <w:iCs/>
      <w:color w:val="0F4761" w:themeColor="accent1" w:themeShade="BF"/>
    </w:rPr>
  </w:style>
  <w:style w:type="character" w:styleId="IntenseReference">
    <w:name w:val="Intense Reference"/>
    <w:basedOn w:val="DefaultParagraphFont"/>
    <w:uiPriority w:val="32"/>
    <w:qFormat/>
    <w:rsid w:val="002823DA"/>
    <w:rPr>
      <w:b/>
      <w:bCs/>
      <w:smallCaps/>
      <w:color w:val="0F4761" w:themeColor="accent1" w:themeShade="BF"/>
      <w:spacing w:val="5"/>
    </w:rPr>
  </w:style>
  <w:style w:type="paragraph" w:styleId="NormalWeb">
    <w:name w:val="Normal (Web)"/>
    <w:basedOn w:val="Normal"/>
    <w:uiPriority w:val="99"/>
    <w:unhideWhenUsed/>
    <w:rsid w:val="00AC54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C5453"/>
    <w:rPr>
      <w:b/>
      <w:bCs/>
    </w:rPr>
  </w:style>
  <w:style w:type="character" w:customStyle="1" w:styleId="apple-converted-space">
    <w:name w:val="apple-converted-space"/>
    <w:basedOn w:val="DefaultParagraphFont"/>
    <w:rsid w:val="00AC5453"/>
  </w:style>
  <w:style w:type="character" w:styleId="Emphasis">
    <w:name w:val="Emphasis"/>
    <w:basedOn w:val="DefaultParagraphFont"/>
    <w:uiPriority w:val="20"/>
    <w:qFormat/>
    <w:rsid w:val="00AC5453"/>
    <w:rPr>
      <w:i/>
      <w:iCs/>
    </w:rPr>
  </w:style>
  <w:style w:type="paragraph" w:customStyle="1" w:styleId="text-token-text-primary">
    <w:name w:val="text-token-text-primary"/>
    <w:basedOn w:val="Normal"/>
    <w:rsid w:val="009D50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9D5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D5028"/>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9D5028"/>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247560">
      <w:bodyDiv w:val="1"/>
      <w:marLeft w:val="0"/>
      <w:marRight w:val="0"/>
      <w:marTop w:val="0"/>
      <w:marBottom w:val="0"/>
      <w:divBdr>
        <w:top w:val="none" w:sz="0" w:space="0" w:color="auto"/>
        <w:left w:val="none" w:sz="0" w:space="0" w:color="auto"/>
        <w:bottom w:val="none" w:sz="0" w:space="0" w:color="auto"/>
        <w:right w:val="none" w:sz="0" w:space="0" w:color="auto"/>
      </w:divBdr>
    </w:div>
    <w:div w:id="475537914">
      <w:bodyDiv w:val="1"/>
      <w:marLeft w:val="0"/>
      <w:marRight w:val="0"/>
      <w:marTop w:val="0"/>
      <w:marBottom w:val="0"/>
      <w:divBdr>
        <w:top w:val="none" w:sz="0" w:space="0" w:color="auto"/>
        <w:left w:val="none" w:sz="0" w:space="0" w:color="auto"/>
        <w:bottom w:val="none" w:sz="0" w:space="0" w:color="auto"/>
        <w:right w:val="none" w:sz="0" w:space="0" w:color="auto"/>
      </w:divBdr>
    </w:div>
    <w:div w:id="606425044">
      <w:bodyDiv w:val="1"/>
      <w:marLeft w:val="0"/>
      <w:marRight w:val="0"/>
      <w:marTop w:val="0"/>
      <w:marBottom w:val="0"/>
      <w:divBdr>
        <w:top w:val="none" w:sz="0" w:space="0" w:color="auto"/>
        <w:left w:val="none" w:sz="0" w:space="0" w:color="auto"/>
        <w:bottom w:val="none" w:sz="0" w:space="0" w:color="auto"/>
        <w:right w:val="none" w:sz="0" w:space="0" w:color="auto"/>
      </w:divBdr>
    </w:div>
    <w:div w:id="1075856298">
      <w:bodyDiv w:val="1"/>
      <w:marLeft w:val="0"/>
      <w:marRight w:val="0"/>
      <w:marTop w:val="0"/>
      <w:marBottom w:val="0"/>
      <w:divBdr>
        <w:top w:val="none" w:sz="0" w:space="0" w:color="auto"/>
        <w:left w:val="none" w:sz="0" w:space="0" w:color="auto"/>
        <w:bottom w:val="none" w:sz="0" w:space="0" w:color="auto"/>
        <w:right w:val="none" w:sz="0" w:space="0" w:color="auto"/>
      </w:divBdr>
    </w:div>
    <w:div w:id="1661739631">
      <w:bodyDiv w:val="1"/>
      <w:marLeft w:val="0"/>
      <w:marRight w:val="0"/>
      <w:marTop w:val="0"/>
      <w:marBottom w:val="0"/>
      <w:divBdr>
        <w:top w:val="none" w:sz="0" w:space="0" w:color="auto"/>
        <w:left w:val="none" w:sz="0" w:space="0" w:color="auto"/>
        <w:bottom w:val="none" w:sz="0" w:space="0" w:color="auto"/>
        <w:right w:val="none" w:sz="0" w:space="0" w:color="auto"/>
      </w:divBdr>
    </w:div>
    <w:div w:id="1664354074">
      <w:bodyDiv w:val="1"/>
      <w:marLeft w:val="0"/>
      <w:marRight w:val="0"/>
      <w:marTop w:val="0"/>
      <w:marBottom w:val="0"/>
      <w:divBdr>
        <w:top w:val="none" w:sz="0" w:space="0" w:color="auto"/>
        <w:left w:val="none" w:sz="0" w:space="0" w:color="auto"/>
        <w:bottom w:val="none" w:sz="0" w:space="0" w:color="auto"/>
        <w:right w:val="none" w:sz="0" w:space="0" w:color="auto"/>
      </w:divBdr>
      <w:divsChild>
        <w:div w:id="1799109840">
          <w:marLeft w:val="0"/>
          <w:marRight w:val="0"/>
          <w:marTop w:val="0"/>
          <w:marBottom w:val="0"/>
          <w:divBdr>
            <w:top w:val="single" w:sz="2" w:space="0" w:color="auto"/>
            <w:left w:val="single" w:sz="2" w:space="0" w:color="auto"/>
            <w:bottom w:val="single" w:sz="2" w:space="0" w:color="auto"/>
            <w:right w:val="single" w:sz="2" w:space="0" w:color="auto"/>
          </w:divBdr>
          <w:divsChild>
            <w:div w:id="350030124">
              <w:marLeft w:val="0"/>
              <w:marRight w:val="0"/>
              <w:marTop w:val="0"/>
              <w:marBottom w:val="0"/>
              <w:divBdr>
                <w:top w:val="single" w:sz="2" w:space="0" w:color="auto"/>
                <w:left w:val="single" w:sz="2" w:space="0" w:color="auto"/>
                <w:bottom w:val="single" w:sz="2" w:space="0" w:color="auto"/>
                <w:right w:val="single" w:sz="2" w:space="0" w:color="auto"/>
              </w:divBdr>
              <w:divsChild>
                <w:div w:id="20205462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5185561">
          <w:marLeft w:val="0"/>
          <w:marRight w:val="0"/>
          <w:marTop w:val="0"/>
          <w:marBottom w:val="0"/>
          <w:divBdr>
            <w:top w:val="single" w:sz="2" w:space="0" w:color="auto"/>
            <w:left w:val="single" w:sz="2" w:space="0" w:color="auto"/>
            <w:bottom w:val="single" w:sz="2" w:space="0" w:color="auto"/>
            <w:right w:val="single" w:sz="2" w:space="0" w:color="auto"/>
          </w:divBdr>
          <w:divsChild>
            <w:div w:id="372458904">
              <w:marLeft w:val="0"/>
              <w:marRight w:val="0"/>
              <w:marTop w:val="0"/>
              <w:marBottom w:val="0"/>
              <w:divBdr>
                <w:top w:val="single" w:sz="2" w:space="0" w:color="auto"/>
                <w:left w:val="single" w:sz="2" w:space="0" w:color="auto"/>
                <w:bottom w:val="single" w:sz="2" w:space="0" w:color="auto"/>
                <w:right w:val="single" w:sz="2" w:space="0" w:color="auto"/>
              </w:divBdr>
              <w:divsChild>
                <w:div w:id="3744762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29895399">
          <w:marLeft w:val="0"/>
          <w:marRight w:val="0"/>
          <w:marTop w:val="0"/>
          <w:marBottom w:val="0"/>
          <w:divBdr>
            <w:top w:val="single" w:sz="2" w:space="0" w:color="auto"/>
            <w:left w:val="single" w:sz="2" w:space="0" w:color="auto"/>
            <w:bottom w:val="single" w:sz="2" w:space="0" w:color="auto"/>
            <w:right w:val="single" w:sz="2" w:space="0" w:color="auto"/>
          </w:divBdr>
          <w:divsChild>
            <w:div w:id="1002506793">
              <w:marLeft w:val="0"/>
              <w:marRight w:val="0"/>
              <w:marTop w:val="0"/>
              <w:marBottom w:val="0"/>
              <w:divBdr>
                <w:top w:val="single" w:sz="2" w:space="0" w:color="auto"/>
                <w:left w:val="single" w:sz="2" w:space="0" w:color="auto"/>
                <w:bottom w:val="single" w:sz="2" w:space="0" w:color="auto"/>
                <w:right w:val="single" w:sz="2" w:space="0" w:color="auto"/>
              </w:divBdr>
            </w:div>
          </w:divsChild>
        </w:div>
        <w:div w:id="305017602">
          <w:marLeft w:val="0"/>
          <w:marRight w:val="0"/>
          <w:marTop w:val="0"/>
          <w:marBottom w:val="0"/>
          <w:divBdr>
            <w:top w:val="single" w:sz="2" w:space="0" w:color="auto"/>
            <w:left w:val="single" w:sz="2" w:space="0" w:color="auto"/>
            <w:bottom w:val="single" w:sz="2" w:space="0" w:color="auto"/>
            <w:right w:val="single" w:sz="2" w:space="0" w:color="auto"/>
          </w:divBdr>
          <w:divsChild>
            <w:div w:id="1344093807">
              <w:marLeft w:val="0"/>
              <w:marRight w:val="0"/>
              <w:marTop w:val="0"/>
              <w:marBottom w:val="0"/>
              <w:divBdr>
                <w:top w:val="single" w:sz="2" w:space="0" w:color="auto"/>
                <w:left w:val="single" w:sz="2" w:space="0" w:color="auto"/>
                <w:bottom w:val="single" w:sz="2" w:space="0" w:color="auto"/>
                <w:right w:val="single" w:sz="2" w:space="0" w:color="auto"/>
              </w:divBdr>
            </w:div>
            <w:div w:id="1523713291">
              <w:marLeft w:val="0"/>
              <w:marRight w:val="0"/>
              <w:marTop w:val="0"/>
              <w:marBottom w:val="0"/>
              <w:divBdr>
                <w:top w:val="single" w:sz="2" w:space="0" w:color="auto"/>
                <w:left w:val="single" w:sz="2" w:space="0" w:color="auto"/>
                <w:bottom w:val="single" w:sz="2" w:space="0" w:color="auto"/>
                <w:right w:val="single" w:sz="2" w:space="0" w:color="auto"/>
              </w:divBdr>
              <w:divsChild>
                <w:div w:id="12619081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2104493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4</Pages>
  <Words>1422</Words>
  <Characters>8110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3</cp:revision>
  <dcterms:created xsi:type="dcterms:W3CDTF">2026-02-12T13:10:00Z</dcterms:created>
  <dcterms:modified xsi:type="dcterms:W3CDTF">2026-02-13T02:30:00Z</dcterms:modified>
</cp:coreProperties>
</file>