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C59FC" w14:textId="71CF7C0A" w:rsidR="00123F03" w:rsidRDefault="00E065AD" w:rsidP="009B233A">
      <w:pPr>
        <w:pStyle w:val="Heading1"/>
      </w:pPr>
      <w:r>
        <w:t xml:space="preserve">Chapter 2: </w:t>
      </w:r>
      <w:r w:rsidR="00123F03">
        <w:t>Literature Review</w:t>
      </w:r>
    </w:p>
    <w:p w14:paraId="4182BBAF" w14:textId="1572F529" w:rsidR="009B233A" w:rsidRDefault="009B233A" w:rsidP="009B233A">
      <w:pPr>
        <w:pStyle w:val="Heading2"/>
      </w:pPr>
      <w:r>
        <w:t>Introduction</w:t>
      </w:r>
    </w:p>
    <w:p w14:paraId="71E83783" w14:textId="299118C2" w:rsidR="00123F03" w:rsidRDefault="009B233A" w:rsidP="00123F03">
      <w:r>
        <w:t>This chapter provides an overview of related existing literature in accordance with the first objective of the dissertation:</w:t>
      </w:r>
    </w:p>
    <w:p w14:paraId="3E6F93AF" w14:textId="081D1BDB" w:rsidR="009B233A" w:rsidRDefault="009B233A" w:rsidP="009B233A">
      <w:pPr>
        <w:pStyle w:val="Quote"/>
        <w:numPr>
          <w:ilvl w:val="0"/>
          <w:numId w:val="1"/>
        </w:numPr>
      </w:pPr>
      <w:r w:rsidRPr="009B233A">
        <w:t>To critically review further existing literature of the topic of audit quality and individual influences upon it.</w:t>
      </w:r>
    </w:p>
    <w:p w14:paraId="5FC24C3D" w14:textId="1C854991" w:rsidR="009B233A" w:rsidRDefault="009B233A" w:rsidP="009B233A">
      <w:r>
        <w:t xml:space="preserve">It will seek to identify the most closely related existing research to the subject area of perceptions of audit quality influences from individual accountants. This will provide a direction to the rest of the dissertation </w:t>
      </w:r>
      <w:r w:rsidR="00E065AD">
        <w:t>by</w:t>
      </w:r>
      <w:r>
        <w:t xml:space="preserve"> establishing what is already know on the topic and considering the applicability of existing research to the problem at hand. </w:t>
      </w:r>
    </w:p>
    <w:p w14:paraId="269B5A07" w14:textId="017DF413" w:rsidR="009B233A" w:rsidRDefault="009B233A" w:rsidP="009B233A">
      <w:r>
        <w:t xml:space="preserve">Due to the limitations imposed by the global pandemic, </w:t>
      </w:r>
      <w:r w:rsidR="001F26FF">
        <w:t xml:space="preserve">the available literature on the topic will be solely carried out using online resources, both from the UWTSD library website and </w:t>
      </w:r>
      <w:proofErr w:type="gramStart"/>
      <w:r w:rsidR="001F26FF">
        <w:t>through the use of</w:t>
      </w:r>
      <w:proofErr w:type="gramEnd"/>
      <w:r w:rsidR="001F26FF">
        <w:t xml:space="preserve"> other search engines such as Google Scholar.</w:t>
      </w:r>
    </w:p>
    <w:p w14:paraId="58093B2B" w14:textId="6D08B277" w:rsidR="001F26FF" w:rsidRDefault="001F26FF" w:rsidP="001F26FF">
      <w:pPr>
        <w:pStyle w:val="Heading2"/>
      </w:pPr>
      <w:r>
        <w:t>Theoretical Sensitivity</w:t>
      </w:r>
    </w:p>
    <w:p w14:paraId="01B36164" w14:textId="368F402B" w:rsidR="001F26FF" w:rsidRDefault="001F26FF" w:rsidP="00770254">
      <w:r>
        <w:t>Due to the nature of the research question, that of qualitative research rather than quantitative</w:t>
      </w:r>
      <w:r w:rsidR="00AD35CB">
        <w:t>, an inductive approach is deemed suitable. Grounded Theory</w:t>
      </w:r>
      <w:r w:rsidR="00E32390">
        <w:t xml:space="preserve"> (GT)</w:t>
      </w:r>
      <w:r w:rsidR="00AD35CB">
        <w:t xml:space="preserve"> </w:t>
      </w:r>
      <w:r w:rsidR="00770254">
        <w:t xml:space="preserve">is a research methodology used in occupational science to “uncover how occupation and individuals' perception of it shift as they address issues in the social world” </w:t>
      </w:r>
      <w:sdt>
        <w:sdtPr>
          <w:id w:val="-278806693"/>
          <w:citation/>
        </w:sdtPr>
        <w:sdtEndPr/>
        <w:sdtContent>
          <w:r w:rsidR="00770254">
            <w:fldChar w:fldCharType="begin"/>
          </w:r>
          <w:r w:rsidR="00770254">
            <w:instrText xml:space="preserve">CITATION Nay12 \p 78 \l 2057 </w:instrText>
          </w:r>
          <w:r w:rsidR="00770254">
            <w:fldChar w:fldCharType="separate"/>
          </w:r>
          <w:r w:rsidR="00770254" w:rsidRPr="00770254">
            <w:rPr>
              <w:noProof/>
            </w:rPr>
            <w:t>(Nayar, 2012, p. 78)</w:t>
          </w:r>
          <w:r w:rsidR="00770254">
            <w:fldChar w:fldCharType="end"/>
          </w:r>
        </w:sdtContent>
      </w:sdt>
      <w:r w:rsidR="00770254">
        <w:t xml:space="preserve"> and assists in forming theories around more abstract subjects.</w:t>
      </w:r>
      <w:r w:rsidR="00E32390">
        <w:t xml:space="preserve"> The aim </w:t>
      </w:r>
      <w:proofErr w:type="gramStart"/>
      <w:r w:rsidR="00E32390">
        <w:t xml:space="preserve">of </w:t>
      </w:r>
      <w:r w:rsidR="00770254">
        <w:t xml:space="preserve"> </w:t>
      </w:r>
      <w:r w:rsidR="00E32390">
        <w:t>GT</w:t>
      </w:r>
      <w:proofErr w:type="gramEnd"/>
      <w:r w:rsidR="00E32390">
        <w:t xml:space="preserve"> is not to establish the truth or otherwise of an existing hypothesis but rather as an exercise in theory building, following the data to wherever it leads </w:t>
      </w:r>
      <w:sdt>
        <w:sdtPr>
          <w:id w:val="-2130779240"/>
          <w:citation/>
        </w:sdtPr>
        <w:sdtEndPr/>
        <w:sdtContent>
          <w:r w:rsidR="00E32390">
            <w:fldChar w:fldCharType="begin"/>
          </w:r>
          <w:r w:rsidR="00E32390">
            <w:instrText xml:space="preserve"> CITATION Urq10 \l 2057 </w:instrText>
          </w:r>
          <w:r w:rsidR="00E32390">
            <w:fldChar w:fldCharType="separate"/>
          </w:r>
          <w:r w:rsidR="00E32390" w:rsidRPr="00E32390">
            <w:rPr>
              <w:noProof/>
            </w:rPr>
            <w:t>(Urquhart, et al., 2010)</w:t>
          </w:r>
          <w:r w:rsidR="00E32390">
            <w:fldChar w:fldCharType="end"/>
          </w:r>
        </w:sdtContent>
      </w:sdt>
      <w:r w:rsidR="00E32390">
        <w:t>.</w:t>
      </w:r>
    </w:p>
    <w:p w14:paraId="54F3D6B2" w14:textId="54C10180" w:rsidR="00E32390" w:rsidRDefault="00770254" w:rsidP="00E32390">
      <w:pPr>
        <w:rPr>
          <w:noProof/>
        </w:rPr>
      </w:pPr>
      <w:r w:rsidRPr="00770254">
        <w:rPr>
          <w:noProof/>
        </w:rPr>
        <w:lastRenderedPageBreak/>
        <w:t xml:space="preserve">Thistoll, et al., </w:t>
      </w:r>
      <w:r>
        <w:rPr>
          <w:noProof/>
        </w:rPr>
        <w:t>(</w:t>
      </w:r>
      <w:r w:rsidRPr="00770254">
        <w:rPr>
          <w:noProof/>
        </w:rPr>
        <w:t>2016)</w:t>
      </w:r>
      <w:r>
        <w:rPr>
          <w:noProof/>
        </w:rPr>
        <w:t xml:space="preserve"> describe the need for researchers</w:t>
      </w:r>
      <w:r w:rsidR="00E32390">
        <w:rPr>
          <w:noProof/>
        </w:rPr>
        <w:t xml:space="preserve"> using GT</w:t>
      </w:r>
      <w:r>
        <w:rPr>
          <w:noProof/>
        </w:rPr>
        <w:t xml:space="preserve"> to develop </w:t>
      </w:r>
      <w:r w:rsidR="00E32390">
        <w:rPr>
          <w:noProof/>
        </w:rPr>
        <w:t>their “theoretical sensitivity” through reading existing literature and “</w:t>
      </w:r>
      <w:r w:rsidR="00E32390" w:rsidRPr="00E32390">
        <w:rPr>
          <w:noProof/>
        </w:rPr>
        <w:t>steeping him/herself as deeply as possible in a wide range of literature, both directly and perhaps less obviously, related to the field of the proposed research.</w:t>
      </w:r>
      <w:r w:rsidR="00E32390">
        <w:rPr>
          <w:noProof/>
        </w:rPr>
        <w:t xml:space="preserve">” (Ibid., p. 620). </w:t>
      </w:r>
      <w:r w:rsidR="00144A1B">
        <w:rPr>
          <w:noProof/>
        </w:rPr>
        <w:t>This approach has informed the following literature review and guided the selection of reading material.</w:t>
      </w:r>
    </w:p>
    <w:p w14:paraId="6DF8240A" w14:textId="6C2D1F04" w:rsidR="00144A1B" w:rsidRDefault="00144A1B" w:rsidP="00144A1B">
      <w:pPr>
        <w:pStyle w:val="Heading2"/>
        <w:rPr>
          <w:noProof/>
        </w:rPr>
      </w:pPr>
      <w:r>
        <w:rPr>
          <w:noProof/>
        </w:rPr>
        <w:t>What is Audit Quality?</w:t>
      </w:r>
    </w:p>
    <w:p w14:paraId="594AC754" w14:textId="4063F71F" w:rsidR="00144A1B" w:rsidRDefault="00FE2236" w:rsidP="00144A1B">
      <w:r>
        <w:t xml:space="preserve">Audit quality is a key property of any audit and is defined as “the joint probability that a given auditor will both discover a breach in the client’s accounting system and report the breach” </w:t>
      </w:r>
      <w:sdt>
        <w:sdtPr>
          <w:id w:val="6410393"/>
          <w:citation/>
        </w:sdtPr>
        <w:sdtEndPr/>
        <w:sdtContent>
          <w:r>
            <w:fldChar w:fldCharType="begin"/>
          </w:r>
          <w:r>
            <w:instrText xml:space="preserve">CITATION DeA81 \p 186 \l 2057 </w:instrText>
          </w:r>
          <w:r>
            <w:fldChar w:fldCharType="separate"/>
          </w:r>
          <w:r w:rsidRPr="00FE2236">
            <w:rPr>
              <w:noProof/>
            </w:rPr>
            <w:t>(DeAngelo, 1981, p. 186)</w:t>
          </w:r>
          <w:r>
            <w:fldChar w:fldCharType="end"/>
          </w:r>
        </w:sdtContent>
      </w:sdt>
    </w:p>
    <w:p w14:paraId="74DB8198" w14:textId="72C9A031" w:rsidR="00FE2236" w:rsidRDefault="00FE2236" w:rsidP="00FE2236">
      <w:pPr>
        <w:pStyle w:val="Heading2"/>
      </w:pPr>
      <w:r>
        <w:t xml:space="preserve">Regulatory </w:t>
      </w:r>
      <w:r w:rsidR="002F59B1">
        <w:t>Reviews</w:t>
      </w:r>
    </w:p>
    <w:p w14:paraId="61E74CF8" w14:textId="307F2DB4" w:rsidR="001F52CD" w:rsidRDefault="002F59B1" w:rsidP="001F52CD">
      <w:r>
        <w:t xml:space="preserve">For </w:t>
      </w:r>
      <w:r w:rsidR="00E065AD">
        <w:t xml:space="preserve">a </w:t>
      </w:r>
      <w:r>
        <w:t>comprehensive analysis of the current problems in audit quality, the existing work done for the UK government would seem an appropriate place to start. Over the course of 2018</w:t>
      </w:r>
      <w:r w:rsidR="00E065AD">
        <w:t>,</w:t>
      </w:r>
      <w:r>
        <w:t xml:space="preserve"> John Kingman carried out his review of the financial reporting council, the UK regulatory body for the audit industry. One of his key findings is that “</w:t>
      </w:r>
      <w:r w:rsidRPr="002F59B1">
        <w:t>it is currently almost powerless to take regulatory action, other than to issue a report voicing its concerns.</w:t>
      </w:r>
      <w:r>
        <w:t xml:space="preserve">” </w:t>
      </w:r>
      <w:sdt>
        <w:sdtPr>
          <w:id w:val="1008948560"/>
          <w:citation/>
        </w:sdtPr>
        <w:sdtEndPr/>
        <w:sdtContent>
          <w:r>
            <w:fldChar w:fldCharType="begin"/>
          </w:r>
          <w:r>
            <w:instrText xml:space="preserve">CITATION Kin18 \p 28 \l 2057 </w:instrText>
          </w:r>
          <w:r>
            <w:fldChar w:fldCharType="separate"/>
          </w:r>
          <w:r w:rsidRPr="002F59B1">
            <w:rPr>
              <w:noProof/>
            </w:rPr>
            <w:t>(Kingman, 2018, p. 28)</w:t>
          </w:r>
          <w:r>
            <w:fldChar w:fldCharType="end"/>
          </w:r>
        </w:sdtContent>
      </w:sdt>
      <w:r>
        <w:t xml:space="preserve"> This is </w:t>
      </w:r>
      <w:proofErr w:type="gramStart"/>
      <w:r>
        <w:t>due to the fact that</w:t>
      </w:r>
      <w:proofErr w:type="gramEnd"/>
      <w:r>
        <w:t xml:space="preserve"> the registration and approval of audit firms is the responsibility of the professional bodies and not a function of the regulatory oversight as part of the existing “self-regulatory model” of audit industry governance.</w:t>
      </w:r>
      <w:r w:rsidR="00421744">
        <w:t xml:space="preserve"> He points out that many Western economies have already taken this step to strengthen the powers of their regulators. Kingman also finds fault in what he finds to be the “generally backwards-looking” work of the FRC, merely looking over completed work. He suggests that a revised role for the regulator could include more far-sighted work, looking ahead for warning signs and acting on any </w:t>
      </w:r>
      <w:r w:rsidR="00421744">
        <w:lastRenderedPageBreak/>
        <w:t xml:space="preserve">intelligence pre-emptively where possible. </w:t>
      </w:r>
      <w:r w:rsidR="001F52CD">
        <w:t xml:space="preserve">The conclusion Kingman draws is that “the FRC should be replaced as soon as possible with a new independent regulator with clear statutory powers and objectives.” (Ibid. p. 9) </w:t>
      </w:r>
    </w:p>
    <w:p w14:paraId="08A884B6" w14:textId="672CA445" w:rsidR="001F52CD" w:rsidRDefault="001F52CD" w:rsidP="002B27A4">
      <w:r>
        <w:t>In between 2017 and 2019, the House of Commons Business, Energy and Industrial Strategy Committee (BEISC) carried out their “The Future of Audit” inquiry, publishing the report in March 2019. This report is a very comprehensive and wide-ranging source for the issues plaguing the audit industry in recent times</w:t>
      </w:r>
      <w:r w:rsidR="002B27A4">
        <w:t xml:space="preserve"> </w:t>
      </w:r>
      <w:sdt>
        <w:sdtPr>
          <w:id w:val="941646439"/>
          <w:citation/>
        </w:sdtPr>
        <w:sdtEndPr/>
        <w:sdtContent>
          <w:r w:rsidR="002B27A4">
            <w:fldChar w:fldCharType="begin"/>
          </w:r>
          <w:r w:rsidR="002B27A4">
            <w:instrText xml:space="preserve"> CITATION Bus19 \l 2057 </w:instrText>
          </w:r>
          <w:r w:rsidR="002B27A4">
            <w:fldChar w:fldCharType="separate"/>
          </w:r>
          <w:r w:rsidR="002B27A4" w:rsidRPr="002B27A4">
            <w:rPr>
              <w:noProof/>
            </w:rPr>
            <w:t>(BEISC, 2019)</w:t>
          </w:r>
          <w:r w:rsidR="002B27A4">
            <w:fldChar w:fldCharType="end"/>
          </w:r>
        </w:sdtContent>
      </w:sdt>
      <w:r>
        <w:t xml:space="preserve">. </w:t>
      </w:r>
      <w:r w:rsidR="002B27A4">
        <w:t>The inquiry interviewed a wide range of individuals at the top of their fields, the CEOs of the “Big 4” accounting firms, the chief executives of the FRC, ICAEW and other professional bodies and many other notables in the industry. This inquiry agreed with the earlier Kingman report as to the necessity for a stronger regulator while also identifying further room for improvement in the usefulness of audit products through “broadening of the scope of audits to provide more useful information to assist the efficient allocation of capital in the economy.” (Ibid. p. 82) Another key conclusion drawn was the need for greater segregation between audit and non-audit services to reduce the potential for conflicts of interest to arise.</w:t>
      </w:r>
    </w:p>
    <w:p w14:paraId="36A6E9B2" w14:textId="56EAF587" w:rsidR="002B27A4" w:rsidRDefault="002B27A4" w:rsidP="002B27A4">
      <w:r>
        <w:t xml:space="preserve">The final government report on the matter is the Assess, Assure and Inform </w:t>
      </w:r>
      <w:r w:rsidR="009E592E">
        <w:t xml:space="preserve">review by Donald Brydon (2019). Published in December 2019, this is the final piece of work from government sources before the dreaded lurgy rather overtook the situation and shifted priorities. This report is the most specific to this dissertation’s area of interest and makes a wide range of useful suggestions such as the director’s risk report being published prior to the scope of the audit being determined rather than requiring the audit team to entirely carry out their own risk assessments in parallel, possibly in ignorance of specific concerns the management may have identified. </w:t>
      </w:r>
      <w:r w:rsidR="00E162CC">
        <w:t>A key conclusion of Brydon’s report, in keeping with the earlier reports</w:t>
      </w:r>
      <w:r w:rsidR="00E065AD">
        <w:t>,</w:t>
      </w:r>
      <w:r w:rsidR="00E162CC">
        <w:t xml:space="preserve"> noted </w:t>
      </w:r>
      <w:r w:rsidR="00E065AD">
        <w:t xml:space="preserve">the </w:t>
      </w:r>
      <w:r w:rsidR="00E162CC">
        <w:t xml:space="preserve">need for a more </w:t>
      </w:r>
      <w:r w:rsidR="00E162CC">
        <w:lastRenderedPageBreak/>
        <w:t>forward</w:t>
      </w:r>
      <w:r w:rsidR="00E065AD">
        <w:t>-</w:t>
      </w:r>
      <w:r w:rsidR="00E162CC">
        <w:t>thinking approach and for the audit to provide greater usefulness for decision making, is the suggested requirement that audits “</w:t>
      </w:r>
      <w:r w:rsidR="00E162CC" w:rsidRPr="00E162CC">
        <w:t>should provide information that is useful to present and potential investors, lenders, creditors and other users in making rational investment, credit and other decisions and assessments about the company.</w:t>
      </w:r>
      <w:r w:rsidR="00E162CC">
        <w:t>” (Ibid. p. 24)</w:t>
      </w:r>
    </w:p>
    <w:p w14:paraId="5F19A78F" w14:textId="5476F6E9" w:rsidR="00E162CC" w:rsidRDefault="00E162CC" w:rsidP="00E162CC">
      <w:pPr>
        <w:pStyle w:val="Heading2"/>
      </w:pPr>
      <w:r>
        <w:t>The Influence of Individual Auditors</w:t>
      </w:r>
    </w:p>
    <w:p w14:paraId="4ED477F8" w14:textId="5EB98A51" w:rsidR="00123F03" w:rsidRDefault="00123F03" w:rsidP="001F52CD">
      <w:r>
        <w:t>While there have been some examinations of the impact of individuals on audit quality there are limitations on the usefulness of this work to the current question.</w:t>
      </w:r>
    </w:p>
    <w:p w14:paraId="3A7864E0" w14:textId="77777777" w:rsidR="00E366E6" w:rsidRDefault="00123F03" w:rsidP="00123F03">
      <w:pPr>
        <w:rPr>
          <w:noProof/>
        </w:rPr>
      </w:pPr>
      <w:r>
        <w:rPr>
          <w:noProof/>
        </w:rPr>
        <w:t xml:space="preserve">Three studies carried out in China have </w:t>
      </w:r>
      <w:r w:rsidR="00E162CC">
        <w:rPr>
          <w:noProof/>
        </w:rPr>
        <w:t xml:space="preserve">been able to </w:t>
      </w:r>
      <w:r>
        <w:rPr>
          <w:noProof/>
        </w:rPr>
        <w:t>examine</w:t>
      </w:r>
      <w:r w:rsidR="00E162CC">
        <w:rPr>
          <w:noProof/>
        </w:rPr>
        <w:t xml:space="preserve"> the</w:t>
      </w:r>
      <w:r>
        <w:rPr>
          <w:noProof/>
        </w:rPr>
        <w:t xml:space="preserve"> issues of individual auditors</w:t>
      </w:r>
      <w:r w:rsidR="00E162CC">
        <w:rPr>
          <w:noProof/>
        </w:rPr>
        <w:t xml:space="preserve"> and their influence</w:t>
      </w:r>
      <w:r>
        <w:rPr>
          <w:noProof/>
        </w:rPr>
        <w:t xml:space="preserve">. This is only possible due to the identities of all auditors being public knowledge as part of their reports </w:t>
      </w:r>
      <w:r w:rsidR="00E162CC">
        <w:rPr>
          <w:noProof/>
        </w:rPr>
        <w:t xml:space="preserve">requirements </w:t>
      </w:r>
      <w:r>
        <w:rPr>
          <w:noProof/>
        </w:rPr>
        <w:t xml:space="preserve">in </w:t>
      </w:r>
      <w:r w:rsidR="00E162CC">
        <w:rPr>
          <w:noProof/>
        </w:rPr>
        <w:t xml:space="preserve">the </w:t>
      </w:r>
      <w:r>
        <w:rPr>
          <w:noProof/>
        </w:rPr>
        <w:t>Chin</w:t>
      </w:r>
      <w:r w:rsidR="00E162CC">
        <w:rPr>
          <w:noProof/>
        </w:rPr>
        <w:t>ese regulatory system</w:t>
      </w:r>
      <w:r>
        <w:rPr>
          <w:noProof/>
        </w:rPr>
        <w:t>, allowing them to easily carry out analysis</w:t>
      </w:r>
      <w:r w:rsidR="00E162CC">
        <w:rPr>
          <w:noProof/>
        </w:rPr>
        <w:t xml:space="preserve"> that is specific to identified individuals. While this may present ethical issues to western researchers due to the privacy issues involved, the data in all three papers has been appropriately anonymised prior to publishing.</w:t>
      </w:r>
      <w:r>
        <w:rPr>
          <w:noProof/>
        </w:rPr>
        <w:t xml:space="preserve"> </w:t>
      </w:r>
      <w:r w:rsidR="00E162CC">
        <w:rPr>
          <w:noProof/>
        </w:rPr>
        <w:t xml:space="preserve">Unfortunately, </w:t>
      </w:r>
      <w:r>
        <w:rPr>
          <w:noProof/>
        </w:rPr>
        <w:t>this data is not fully available for western markets meaning that these studies cannot be replicated here. As such, we cannot be entirely sure how the more collectivist Chinese culture will have impacted their conclusions compared to the more individualistic western cultures</w:t>
      </w:r>
      <w:r w:rsidR="00203459">
        <w:rPr>
          <w:noProof/>
        </w:rPr>
        <w:t xml:space="preserve"> </w:t>
      </w:r>
      <w:sdt>
        <w:sdtPr>
          <w:rPr>
            <w:noProof/>
          </w:rPr>
          <w:id w:val="1552355300"/>
          <w:citation/>
        </w:sdtPr>
        <w:sdtEndPr/>
        <w:sdtContent>
          <w:r w:rsidR="00203459">
            <w:rPr>
              <w:noProof/>
            </w:rPr>
            <w:fldChar w:fldCharType="begin"/>
          </w:r>
          <w:r w:rsidR="00203459">
            <w:rPr>
              <w:noProof/>
            </w:rPr>
            <w:instrText xml:space="preserve"> CITATION Hus06 \l 2057 </w:instrText>
          </w:r>
          <w:r w:rsidR="00203459">
            <w:rPr>
              <w:noProof/>
            </w:rPr>
            <w:fldChar w:fldCharType="separate"/>
          </w:r>
          <w:r w:rsidR="00203459" w:rsidRPr="00203459">
            <w:rPr>
              <w:noProof/>
            </w:rPr>
            <w:t>(Husted &amp; Allen, 2006)</w:t>
          </w:r>
          <w:r w:rsidR="00203459">
            <w:rPr>
              <w:noProof/>
            </w:rPr>
            <w:fldChar w:fldCharType="end"/>
          </w:r>
        </w:sdtContent>
      </w:sdt>
      <w:r>
        <w:rPr>
          <w:noProof/>
        </w:rPr>
        <w:t xml:space="preserve">. </w:t>
      </w:r>
    </w:p>
    <w:p w14:paraId="17456104" w14:textId="76641DCC" w:rsidR="00B423F0" w:rsidRDefault="00123F03" w:rsidP="00123F03">
      <w:pPr>
        <w:rPr>
          <w:noProof/>
        </w:rPr>
      </w:pPr>
      <w:r>
        <w:rPr>
          <w:noProof/>
        </w:rPr>
        <w:t xml:space="preserve">One paper examines the individual traits that may influence their degree of caution in issuing their audit reports </w:t>
      </w:r>
      <w:sdt>
        <w:sdtPr>
          <w:rPr>
            <w:noProof/>
          </w:rPr>
          <w:id w:val="1192949924"/>
          <w:citation/>
        </w:sdtPr>
        <w:sdtEndPr/>
        <w:sdtContent>
          <w:r>
            <w:rPr>
              <w:noProof/>
            </w:rPr>
            <w:fldChar w:fldCharType="begin"/>
          </w:r>
          <w:r>
            <w:rPr>
              <w:noProof/>
            </w:rPr>
            <w:instrText xml:space="preserve"> CITATION Gul13 \l 2057 </w:instrText>
          </w:r>
          <w:r>
            <w:rPr>
              <w:noProof/>
            </w:rPr>
            <w:fldChar w:fldCharType="separate"/>
          </w:r>
          <w:r w:rsidRPr="008C0755">
            <w:rPr>
              <w:noProof/>
            </w:rPr>
            <w:t>(Gul, et al., 2013)</w:t>
          </w:r>
          <w:r>
            <w:rPr>
              <w:noProof/>
            </w:rPr>
            <w:fldChar w:fldCharType="end"/>
          </w:r>
        </w:sdtContent>
      </w:sdt>
      <w:r>
        <w:rPr>
          <w:noProof/>
        </w:rPr>
        <w:t xml:space="preserve">. </w:t>
      </w:r>
      <w:r w:rsidR="00B423F0">
        <w:rPr>
          <w:noProof/>
        </w:rPr>
        <w:t xml:space="preserve">The paper does acknowledge that their work is exploratory and may not be applicable outside of the </w:t>
      </w:r>
      <w:r w:rsidR="00E065AD">
        <w:rPr>
          <w:noProof/>
        </w:rPr>
        <w:t>C</w:t>
      </w:r>
      <w:r w:rsidR="00B423F0">
        <w:rPr>
          <w:noProof/>
        </w:rPr>
        <w:t xml:space="preserve">hinese business environment. </w:t>
      </w:r>
      <w:r>
        <w:rPr>
          <w:noProof/>
        </w:rPr>
        <w:t>They discover</w:t>
      </w:r>
      <w:r w:rsidR="00B423F0">
        <w:rPr>
          <w:noProof/>
        </w:rPr>
        <w:t xml:space="preserve"> some notable ideas. Firstly, that those who have a university degree were more likely to act a</w:t>
      </w:r>
      <w:r w:rsidR="00E065AD">
        <w:rPr>
          <w:noProof/>
        </w:rPr>
        <w:t>g</w:t>
      </w:r>
      <w:r w:rsidR="00B423F0">
        <w:rPr>
          <w:noProof/>
        </w:rPr>
        <w:t xml:space="preserve">gressively and with more self-assurance </w:t>
      </w:r>
      <w:r w:rsidR="00B423F0">
        <w:rPr>
          <w:noProof/>
        </w:rPr>
        <w:lastRenderedPageBreak/>
        <w:t xml:space="preserve">in issuing their audit reports; but only in those entirely taught in a </w:t>
      </w:r>
      <w:r w:rsidR="00E065AD">
        <w:rPr>
          <w:noProof/>
        </w:rPr>
        <w:t>C</w:t>
      </w:r>
      <w:r w:rsidR="00B423F0">
        <w:rPr>
          <w:noProof/>
        </w:rPr>
        <w:t>hinese environment. This finding did not hold true for those students exposed to western accounting methods during their degree. In line with this, they showed</w:t>
      </w:r>
      <w:r>
        <w:rPr>
          <w:noProof/>
        </w:rPr>
        <w:t xml:space="preserve"> that those with experience working with one of the </w:t>
      </w:r>
      <w:r w:rsidR="00B423F0">
        <w:rPr>
          <w:noProof/>
        </w:rPr>
        <w:t>western “</w:t>
      </w:r>
      <w:r>
        <w:rPr>
          <w:noProof/>
        </w:rPr>
        <w:t>Big 4</w:t>
      </w:r>
      <w:r w:rsidR="00B423F0">
        <w:rPr>
          <w:noProof/>
        </w:rPr>
        <w:t>” firms</w:t>
      </w:r>
      <w:r>
        <w:rPr>
          <w:noProof/>
        </w:rPr>
        <w:t xml:space="preserve"> tended </w:t>
      </w:r>
      <w:r w:rsidR="00B423F0">
        <w:rPr>
          <w:noProof/>
        </w:rPr>
        <w:t xml:space="preserve">more towards </w:t>
      </w:r>
      <w:r>
        <w:rPr>
          <w:noProof/>
        </w:rPr>
        <w:t>caution</w:t>
      </w:r>
      <w:r w:rsidR="00B423F0">
        <w:rPr>
          <w:noProof/>
        </w:rPr>
        <w:t>; suggesting that the western methods of auditing are already inher</w:t>
      </w:r>
      <w:r w:rsidR="00E065AD">
        <w:rPr>
          <w:noProof/>
        </w:rPr>
        <w:t>e</w:t>
      </w:r>
      <w:r w:rsidR="00B423F0">
        <w:rPr>
          <w:noProof/>
        </w:rPr>
        <w:t xml:space="preserve">ntly more cautious than the current </w:t>
      </w:r>
      <w:r w:rsidR="00E065AD">
        <w:rPr>
          <w:noProof/>
        </w:rPr>
        <w:t>C</w:t>
      </w:r>
      <w:r w:rsidR="00B423F0">
        <w:rPr>
          <w:noProof/>
        </w:rPr>
        <w:t xml:space="preserve">hinese methods. An interesting trend they noticed, however not terribly applicable to the western environment at first glance, </w:t>
      </w:r>
      <w:r w:rsidR="006B368D">
        <w:rPr>
          <w:noProof/>
        </w:rPr>
        <w:t xml:space="preserve">was that </w:t>
      </w:r>
      <w:r>
        <w:rPr>
          <w:noProof/>
        </w:rPr>
        <w:t xml:space="preserve">those with stronger political </w:t>
      </w:r>
      <w:r w:rsidR="006B368D">
        <w:rPr>
          <w:noProof/>
        </w:rPr>
        <w:t>affiliations to the Chinese Communist Party</w:t>
      </w:r>
      <w:r>
        <w:rPr>
          <w:noProof/>
        </w:rPr>
        <w:t xml:space="preserve"> tended</w:t>
      </w:r>
      <w:r w:rsidR="006B368D">
        <w:rPr>
          <w:noProof/>
        </w:rPr>
        <w:t xml:space="preserve"> more</w:t>
      </w:r>
      <w:r>
        <w:rPr>
          <w:noProof/>
        </w:rPr>
        <w:t xml:space="preserve"> toward incaution</w:t>
      </w:r>
      <w:r w:rsidR="006B368D">
        <w:rPr>
          <w:noProof/>
        </w:rPr>
        <w:t xml:space="preserve"> than their unaffiliated co-workers</w:t>
      </w:r>
      <w:r>
        <w:rPr>
          <w:noProof/>
        </w:rPr>
        <w:t xml:space="preserve">. </w:t>
      </w:r>
      <w:r w:rsidR="006B368D">
        <w:rPr>
          <w:noProof/>
        </w:rPr>
        <w:t>Gul et al. suppose that this may come from a feeling of security due to the belief that they will be more favourably treated in the event that something does go wrong. Though mostly unrelated to western markets, one could suppose that maybe the closeness of the FRC and the professional bodies in the UK, noted in the government reports, may in some way be analogous to this favoured status with Chinese regulators.</w:t>
      </w:r>
    </w:p>
    <w:p w14:paraId="3471133D" w14:textId="7E3D0FA7" w:rsidR="006B368D" w:rsidRDefault="00123F03" w:rsidP="00123F03">
      <w:pPr>
        <w:rPr>
          <w:noProof/>
        </w:rPr>
      </w:pPr>
      <w:r>
        <w:rPr>
          <w:noProof/>
        </w:rPr>
        <w:t xml:space="preserve">The other two Chinese articles both examine the possibility of contagion of bad audit quality, that is, if the idiom “one rotten apple spoils the barrel” applies to audit teams </w:t>
      </w:r>
      <w:r w:rsidRPr="00DE0DF7">
        <w:rPr>
          <w:noProof/>
        </w:rPr>
        <w:t>(Li, et al., 2017</w:t>
      </w:r>
      <w:r w:rsidR="006B368D">
        <w:rPr>
          <w:noProof/>
        </w:rPr>
        <w:t>;</w:t>
      </w:r>
      <w:r w:rsidR="006B368D" w:rsidRPr="006B368D">
        <w:rPr>
          <w:noProof/>
        </w:rPr>
        <w:t xml:space="preserve"> </w:t>
      </w:r>
      <w:r w:rsidR="006B368D" w:rsidRPr="00DE0DF7">
        <w:rPr>
          <w:noProof/>
        </w:rPr>
        <w:t>Su &amp; Wu, 201</w:t>
      </w:r>
      <w:r w:rsidR="006B368D">
        <w:rPr>
          <w:noProof/>
        </w:rPr>
        <w:t>9</w:t>
      </w:r>
      <w:r w:rsidRPr="00DE0DF7">
        <w:rPr>
          <w:noProof/>
        </w:rPr>
        <w:t>)</w:t>
      </w:r>
      <w:r>
        <w:rPr>
          <w:noProof/>
        </w:rPr>
        <w:t xml:space="preserve">. </w:t>
      </w:r>
      <w:r w:rsidR="0088042F">
        <w:rPr>
          <w:noProof/>
        </w:rPr>
        <w:t xml:space="preserve">Again, these studies make use of </w:t>
      </w:r>
      <w:r w:rsidR="00E065AD">
        <w:rPr>
          <w:noProof/>
        </w:rPr>
        <w:t>the</w:t>
      </w:r>
      <w:r w:rsidR="0088042F">
        <w:rPr>
          <w:noProof/>
        </w:rPr>
        <w:t xml:space="preserve"> wider range of available details for audit reports in the </w:t>
      </w:r>
      <w:r w:rsidR="00E065AD">
        <w:rPr>
          <w:noProof/>
        </w:rPr>
        <w:t>C</w:t>
      </w:r>
      <w:r w:rsidR="0088042F">
        <w:rPr>
          <w:noProof/>
        </w:rPr>
        <w:t xml:space="preserve">hinese market. </w:t>
      </w:r>
      <w:r w:rsidR="006B368D">
        <w:rPr>
          <w:noProof/>
        </w:rPr>
        <w:t xml:space="preserve">Li et al. </w:t>
      </w:r>
      <w:r w:rsidR="0088042F">
        <w:rPr>
          <w:noProof/>
        </w:rPr>
        <w:t xml:space="preserve">identify groups of auditors working in the same location and for the same audit firm and track their annual audit reports. They observe that when an auditor is sanctioned due to an audit failure in </w:t>
      </w:r>
      <w:r w:rsidR="00E065AD">
        <w:rPr>
          <w:noProof/>
        </w:rPr>
        <w:t xml:space="preserve">the </w:t>
      </w:r>
      <w:r w:rsidR="0088042F">
        <w:rPr>
          <w:noProof/>
        </w:rPr>
        <w:t xml:space="preserve">year, then they “are more likely to have further failures in subsequent years, and this longitudinal self-contagion lasts for up to three years” </w:t>
      </w:r>
      <w:sdt>
        <w:sdtPr>
          <w:rPr>
            <w:noProof/>
          </w:rPr>
          <w:id w:val="-595333132"/>
          <w:citation/>
        </w:sdtPr>
        <w:sdtEndPr/>
        <w:sdtContent>
          <w:r w:rsidR="0088042F">
            <w:rPr>
              <w:noProof/>
            </w:rPr>
            <w:fldChar w:fldCharType="begin"/>
          </w:r>
          <w:r w:rsidR="0088042F">
            <w:rPr>
              <w:noProof/>
            </w:rPr>
            <w:instrText xml:space="preserve">CITATION LiL17 \p 159 \l 2057 </w:instrText>
          </w:r>
          <w:r w:rsidR="0088042F">
            <w:rPr>
              <w:noProof/>
            </w:rPr>
            <w:fldChar w:fldCharType="separate"/>
          </w:r>
          <w:r w:rsidR="0088042F" w:rsidRPr="0088042F">
            <w:rPr>
              <w:noProof/>
            </w:rPr>
            <w:t>(Li, et al., 2017, p. 159)</w:t>
          </w:r>
          <w:r w:rsidR="0088042F">
            <w:rPr>
              <w:noProof/>
            </w:rPr>
            <w:fldChar w:fldCharType="end"/>
          </w:r>
        </w:sdtContent>
      </w:sdt>
      <w:r w:rsidR="0088042F">
        <w:rPr>
          <w:noProof/>
        </w:rPr>
        <w:t xml:space="preserve"> They do, however, note that in the case of auditors who: are female, have a masters degree, have a longer history of auditing or have multiple of these traits, this period of self-contagion is reduced or eliminated. They also note that the Australian </w:t>
      </w:r>
      <w:r w:rsidR="0088042F">
        <w:rPr>
          <w:noProof/>
        </w:rPr>
        <w:lastRenderedPageBreak/>
        <w:t xml:space="preserve">audit market also publishes </w:t>
      </w:r>
      <w:r w:rsidR="00EA23F7">
        <w:rPr>
          <w:noProof/>
        </w:rPr>
        <w:t xml:space="preserve">similarly extended details of the responsible auditors to the </w:t>
      </w:r>
      <w:r w:rsidR="00E065AD">
        <w:rPr>
          <w:noProof/>
        </w:rPr>
        <w:t>C</w:t>
      </w:r>
      <w:r w:rsidR="00EA23F7">
        <w:rPr>
          <w:noProof/>
        </w:rPr>
        <w:t>hinese market and they were able to show similar results in this dataset, suggesting that this allows for greater assurance that their work is more widely relevant.</w:t>
      </w:r>
    </w:p>
    <w:p w14:paraId="23A63118" w14:textId="7F003C1A" w:rsidR="00EA23F7" w:rsidRDefault="004F4743" w:rsidP="00123F03">
      <w:pPr>
        <w:rPr>
          <w:noProof/>
        </w:rPr>
      </w:pPr>
      <w:r>
        <w:rPr>
          <w:noProof/>
        </w:rPr>
        <w:t xml:space="preserve">The work of </w:t>
      </w:r>
      <w:r w:rsidR="00EA23F7">
        <w:rPr>
          <w:noProof/>
        </w:rPr>
        <w:t xml:space="preserve">Su &amp; Wu (2019) followed a similar vein </w:t>
      </w:r>
      <w:r>
        <w:rPr>
          <w:noProof/>
        </w:rPr>
        <w:t>to that of Li et al., however</w:t>
      </w:r>
      <w:r w:rsidR="00E065AD">
        <w:rPr>
          <w:noProof/>
        </w:rPr>
        <w:t>,</w:t>
      </w:r>
      <w:r>
        <w:rPr>
          <w:noProof/>
        </w:rPr>
        <w:t xml:space="preserve"> looked more closely at whether the “contagion” could spread to other co-workers instead of that person’s other work. They found that they were able to co</w:t>
      </w:r>
      <w:r w:rsidR="00E065AD">
        <w:rPr>
          <w:noProof/>
        </w:rPr>
        <w:t>r</w:t>
      </w:r>
      <w:r>
        <w:rPr>
          <w:noProof/>
        </w:rPr>
        <w:t>roborate the conclusions of Li et al. in regard to self-contagion and they were also able to show limited inter-personal contagion. While they could not show contagion to a whole audit office, they were able to show that any pair of auditors co-signing on a job could have a contagion effect, one of the pair infecting the other and reducing their audit quality following the period of working together.</w:t>
      </w:r>
    </w:p>
    <w:p w14:paraId="646D605A" w14:textId="0713EC7C" w:rsidR="00D5080F" w:rsidRDefault="00982013" w:rsidP="00982013">
      <w:pPr>
        <w:pStyle w:val="Heading2"/>
        <w:rPr>
          <w:noProof/>
        </w:rPr>
      </w:pPr>
      <w:r>
        <w:rPr>
          <w:noProof/>
        </w:rPr>
        <w:t>The Views of Auditors</w:t>
      </w:r>
    </w:p>
    <w:p w14:paraId="2263F623" w14:textId="1BB7BEA4" w:rsidR="00982013" w:rsidRPr="00982013" w:rsidRDefault="00982013" w:rsidP="0036591E">
      <w:r>
        <w:t xml:space="preserve">A useful overview of general perceptions can be found in the work of </w:t>
      </w:r>
      <w:r w:rsidRPr="00982013">
        <w:rPr>
          <w:noProof/>
        </w:rPr>
        <w:t xml:space="preserve">Beattie, et al. </w:t>
      </w:r>
      <w:r>
        <w:rPr>
          <w:noProof/>
        </w:rPr>
        <w:t>(</w:t>
      </w:r>
      <w:r w:rsidRPr="00982013">
        <w:rPr>
          <w:noProof/>
        </w:rPr>
        <w:t>2011)</w:t>
      </w:r>
      <w:r>
        <w:rPr>
          <w:noProof/>
        </w:rPr>
        <w:t>. They studied the perceptions of the audit industry from three perspectives; Chief Financial Officers, Audit Committee Chairs and Audit Partners (APs). Despite the possibility that their work is a little outdated, they had 498 usable responses to their surveys detailing the views of these people regarding 36 audit quality factors.  Most applicable to our study are their findings around APs, who they found generally had the more positive perspective as to the value of audits; perhaps unsurprisingly. They did</w:t>
      </w:r>
      <w:r w:rsidR="00E065AD">
        <w:rPr>
          <w:noProof/>
        </w:rPr>
        <w:t>, however,</w:t>
      </w:r>
      <w:r>
        <w:rPr>
          <w:noProof/>
        </w:rPr>
        <w:t xml:space="preserve"> find that APs felt that their work was not always as highly valued by their clients as it should be and they objected to the perc</w:t>
      </w:r>
      <w:r w:rsidR="00E065AD">
        <w:rPr>
          <w:noProof/>
        </w:rPr>
        <w:t>ei</w:t>
      </w:r>
      <w:r>
        <w:rPr>
          <w:noProof/>
        </w:rPr>
        <w:t>ved bu</w:t>
      </w:r>
      <w:r w:rsidR="00E065AD">
        <w:rPr>
          <w:noProof/>
        </w:rPr>
        <w:t>reaucr</w:t>
      </w:r>
      <w:r w:rsidR="0036591E">
        <w:rPr>
          <w:noProof/>
        </w:rPr>
        <w:t xml:space="preserve">acy </w:t>
      </w:r>
      <w:r w:rsidR="00E065AD">
        <w:rPr>
          <w:noProof/>
        </w:rPr>
        <w:t>i</w:t>
      </w:r>
      <w:r w:rsidR="0036591E">
        <w:rPr>
          <w:noProof/>
        </w:rPr>
        <w:t>ntroduced by the 2007 regulations reform that the paper concentrated on. Perhaps concerning was the perception from APs that “</w:t>
      </w:r>
      <w:r w:rsidR="0036591E">
        <w:rPr>
          <w:noProof/>
        </w:rPr>
        <w:t xml:space="preserve">some ethical standards were ranked by </w:t>
      </w:r>
      <w:r w:rsidR="0036591E">
        <w:rPr>
          <w:noProof/>
        </w:rPr>
        <w:lastRenderedPageBreak/>
        <w:t>APs as</w:t>
      </w:r>
      <w:r w:rsidR="0036591E">
        <w:rPr>
          <w:noProof/>
        </w:rPr>
        <w:t xml:space="preserve"> </w:t>
      </w:r>
      <w:r w:rsidR="0036591E">
        <w:rPr>
          <w:noProof/>
        </w:rPr>
        <w:t>undermining audit quality</w:t>
      </w:r>
      <w:r w:rsidR="0036591E">
        <w:rPr>
          <w:noProof/>
        </w:rPr>
        <w:t>” (Ibid. p. 23). This could be an interesting avenue for deeper enquiry.</w:t>
      </w:r>
    </w:p>
    <w:p w14:paraId="05E93597" w14:textId="7EE4F757" w:rsidR="00E162CC" w:rsidRDefault="0036591E" w:rsidP="00E162CC">
      <w:pPr>
        <w:rPr>
          <w:noProof/>
        </w:rPr>
      </w:pPr>
      <w:r>
        <w:rPr>
          <w:noProof/>
        </w:rPr>
        <w:t>Some studies</w:t>
      </w:r>
      <w:r w:rsidR="00123F03">
        <w:rPr>
          <w:noProof/>
        </w:rPr>
        <w:t xml:space="preserve"> relevant to the subject</w:t>
      </w:r>
      <w:r w:rsidR="00982013">
        <w:rPr>
          <w:noProof/>
        </w:rPr>
        <w:t xml:space="preserve"> and possible method</w:t>
      </w:r>
      <w:r w:rsidR="00123F03">
        <w:rPr>
          <w:noProof/>
        </w:rPr>
        <w:t xml:space="preserve"> of this proposal are </w:t>
      </w:r>
      <w:r>
        <w:rPr>
          <w:noProof/>
        </w:rPr>
        <w:t>three</w:t>
      </w:r>
      <w:r w:rsidR="00123F03">
        <w:rPr>
          <w:noProof/>
        </w:rPr>
        <w:t xml:space="preserve"> papers f</w:t>
      </w:r>
      <w:r>
        <w:rPr>
          <w:noProof/>
        </w:rPr>
        <w:t>ro</w:t>
      </w:r>
      <w:r w:rsidR="00123F03">
        <w:rPr>
          <w:noProof/>
        </w:rPr>
        <w:t xml:space="preserve">m the US and France. </w:t>
      </w:r>
      <w:r w:rsidR="00123F03" w:rsidRPr="009412B5">
        <w:rPr>
          <w:noProof/>
        </w:rPr>
        <w:t>Brown, et al.</w:t>
      </w:r>
      <w:r w:rsidR="00123F03">
        <w:rPr>
          <w:noProof/>
        </w:rPr>
        <w:t xml:space="preserve"> (</w:t>
      </w:r>
      <w:r w:rsidR="00123F03" w:rsidRPr="009412B5">
        <w:rPr>
          <w:noProof/>
        </w:rPr>
        <w:t>2016)</w:t>
      </w:r>
      <w:r w:rsidR="00123F03">
        <w:rPr>
          <w:noProof/>
        </w:rPr>
        <w:t xml:space="preserve"> surveyed specifically junior level US auditors regarding their mood at work, their confidence, the activities they and their teams undertook as part of an audit and their working environment. They discovered that while auditors held a generally positive opinion of their work they widely expressed concern regarding the time pressure they were under and the multitasking and interruptions to their work they experienced. </w:t>
      </w:r>
      <w:r w:rsidR="00123F03" w:rsidRPr="000D6A7F">
        <w:rPr>
          <w:noProof/>
        </w:rPr>
        <w:t>Herrbach</w:t>
      </w:r>
      <w:r w:rsidR="00123F03">
        <w:rPr>
          <w:noProof/>
        </w:rPr>
        <w:t xml:space="preserve"> (</w:t>
      </w:r>
      <w:r w:rsidR="00123F03" w:rsidRPr="000D6A7F">
        <w:rPr>
          <w:noProof/>
        </w:rPr>
        <w:t>2001)</w:t>
      </w:r>
      <w:r w:rsidR="00123F03">
        <w:rPr>
          <w:noProof/>
        </w:rPr>
        <w:t xml:space="preserve"> used a similar approach to this in the french audit industry, anonymously surveying auditors as to the behaviours they had that may contribute to reducing the quality of audits. He found that as pay increased so too did audit quality. He hypothesised that this was either that those with high pay were identified as skilled workers or those receiving lower pay experienced reduced motivation due to said pay. Brown (2016) is the most relevant research found to this research proposal due to its recent nature, similarity in approach and similar working culture. Herrbach (2001) would be similarly relevant if not for the age of the research. Never-the-less a further examination of their methodology may prove useful.</w:t>
      </w:r>
      <w:r w:rsidR="00E162CC" w:rsidRPr="00E162CC">
        <w:rPr>
          <w:noProof/>
        </w:rPr>
        <w:t xml:space="preserve"> </w:t>
      </w:r>
    </w:p>
    <w:p w14:paraId="01E79EB0" w14:textId="0C8F72EB" w:rsidR="00E162CC" w:rsidRDefault="00E162CC" w:rsidP="00E162CC">
      <w:pPr>
        <w:rPr>
          <w:noProof/>
        </w:rPr>
      </w:pPr>
      <w:r w:rsidRPr="00353DA6">
        <w:rPr>
          <w:noProof/>
        </w:rPr>
        <w:t xml:space="preserve">Bell, et al. </w:t>
      </w:r>
      <w:r>
        <w:rPr>
          <w:noProof/>
        </w:rPr>
        <w:t>(</w:t>
      </w:r>
      <w:r w:rsidRPr="00353DA6">
        <w:rPr>
          <w:noProof/>
        </w:rPr>
        <w:t>2015)</w:t>
      </w:r>
      <w:r>
        <w:rPr>
          <w:noProof/>
        </w:rPr>
        <w:t xml:space="preserve"> looked at how the length of audit firm tenure affected the quality of each year’s audit. Not only is the research fairly recent but it examines so-called “Big 4” accounting firms both elements that increase it’s relevance to the current UK market. Though the research is based on their services to US businesses, three of the four of these firms originate from and are headquartered in the UK meaning that it can be assumed that the organisational culture is British influenced. The article does not, however specifically examine individual attitudes, rather it makes fairly safe </w:t>
      </w:r>
      <w:r>
        <w:rPr>
          <w:noProof/>
        </w:rPr>
        <w:lastRenderedPageBreak/>
        <w:t>assumptions as to the causes of their findings. For example, they find that the first year produces significantly lower work than the following year before seeing a decline to first-year quality by the 13</w:t>
      </w:r>
      <w:r w:rsidRPr="005C7FB2">
        <w:rPr>
          <w:noProof/>
          <w:vertAlign w:val="superscript"/>
        </w:rPr>
        <w:t>th</w:t>
      </w:r>
      <w:r>
        <w:rPr>
          <w:noProof/>
        </w:rPr>
        <w:t xml:space="preserve"> year. This, they assume, is due to the need for first-year auditors to gain familiarity and then once it has become a long-running engagement the auditors begin to become complacent and familiarity with the auditee’s staff becomes more of a threat to their standards.</w:t>
      </w:r>
    </w:p>
    <w:p w14:paraId="257A90C5" w14:textId="3EE2B0D3" w:rsidR="008E6B50" w:rsidRDefault="0036591E" w:rsidP="00286945">
      <w:pPr>
        <w:rPr>
          <w:noProof/>
        </w:rPr>
      </w:pPr>
      <w:r>
        <w:rPr>
          <w:noProof/>
        </w:rPr>
        <w:t xml:space="preserve">Perhaps the most relevant work found is that of </w:t>
      </w:r>
      <w:r w:rsidRPr="0036591E">
        <w:rPr>
          <w:noProof/>
        </w:rPr>
        <w:t xml:space="preserve">Sulaiman </w:t>
      </w:r>
      <w:r>
        <w:rPr>
          <w:noProof/>
        </w:rPr>
        <w:t>(</w:t>
      </w:r>
      <w:r w:rsidRPr="0036591E">
        <w:rPr>
          <w:noProof/>
        </w:rPr>
        <w:t>2018)</w:t>
      </w:r>
      <w:r>
        <w:rPr>
          <w:noProof/>
        </w:rPr>
        <w:t xml:space="preserve">, both alone and his 2018 review of existing literature around the topic of audit quality with Yasin and Muhamad </w:t>
      </w:r>
      <w:sdt>
        <w:sdtPr>
          <w:rPr>
            <w:noProof/>
          </w:rPr>
          <w:id w:val="489212869"/>
          <w:citation/>
        </w:sdtPr>
        <w:sdtContent>
          <w:r>
            <w:rPr>
              <w:noProof/>
            </w:rPr>
            <w:fldChar w:fldCharType="begin"/>
          </w:r>
          <w:r>
            <w:rPr>
              <w:noProof/>
            </w:rPr>
            <w:instrText xml:space="preserve"> CITATION Sul181 \l 2057 </w:instrText>
          </w:r>
          <w:r>
            <w:rPr>
              <w:noProof/>
            </w:rPr>
            <w:fldChar w:fldCharType="separate"/>
          </w:r>
          <w:r w:rsidRPr="0036591E">
            <w:rPr>
              <w:noProof/>
            </w:rPr>
            <w:t>(Sulaiman, et al., 2018)</w:t>
          </w:r>
          <w:r>
            <w:rPr>
              <w:noProof/>
            </w:rPr>
            <w:fldChar w:fldCharType="end"/>
          </w:r>
        </w:sdtContent>
      </w:sdt>
      <w:r w:rsidR="00AA7EFC">
        <w:rPr>
          <w:noProof/>
        </w:rPr>
        <w:t xml:space="preserve">. In their review, </w:t>
      </w:r>
      <w:r w:rsidR="00AA7EFC" w:rsidRPr="00AA7EFC">
        <w:rPr>
          <w:noProof/>
        </w:rPr>
        <w:t xml:space="preserve">Sulaiman, et al. </w:t>
      </w:r>
      <w:r w:rsidR="00AA7EFC">
        <w:rPr>
          <w:noProof/>
        </w:rPr>
        <w:t>(</w:t>
      </w:r>
      <w:r w:rsidR="00AA7EFC" w:rsidRPr="00AA7EFC">
        <w:rPr>
          <w:noProof/>
        </w:rPr>
        <w:t>2018)</w:t>
      </w:r>
      <w:r w:rsidR="00AA7EFC">
        <w:rPr>
          <w:noProof/>
        </w:rPr>
        <w:t xml:space="preserve"> cat</w:t>
      </w:r>
      <w:r w:rsidR="00E065AD">
        <w:rPr>
          <w:noProof/>
        </w:rPr>
        <w:t>ego</w:t>
      </w:r>
      <w:r w:rsidR="00AA7EFC">
        <w:rPr>
          <w:noProof/>
        </w:rPr>
        <w:t xml:space="preserve">rise the factors that </w:t>
      </w:r>
      <w:r w:rsidR="00E065AD">
        <w:rPr>
          <w:noProof/>
        </w:rPr>
        <w:t>a</w:t>
      </w:r>
      <w:r w:rsidR="00AA7EFC">
        <w:rPr>
          <w:noProof/>
        </w:rPr>
        <w:t xml:space="preserve">ffect audit quality under three broad areas. The attributes of the people employed, the processes and structure of the audit firm and the relationship and interactions with the audit client. </w:t>
      </w:r>
      <w:r w:rsidR="008E6B50">
        <w:rPr>
          <w:noProof/>
        </w:rPr>
        <w:t>Sulaiman’s solo work was an in</w:t>
      </w:r>
      <w:r w:rsidR="00E065AD">
        <w:rPr>
          <w:noProof/>
        </w:rPr>
        <w:t>-</w:t>
      </w:r>
      <w:r w:rsidR="008E6B50">
        <w:rPr>
          <w:noProof/>
        </w:rPr>
        <w:t>depth look into the views of audit quality inspectors. Unfortunately</w:t>
      </w:r>
      <w:r w:rsidR="00E065AD">
        <w:rPr>
          <w:noProof/>
        </w:rPr>
        <w:t>,</w:t>
      </w:r>
      <w:r w:rsidR="008E6B50">
        <w:rPr>
          <w:noProof/>
        </w:rPr>
        <w:t xml:space="preserve"> the sample size was only 20 people, with only 12 respond</w:t>
      </w:r>
      <w:r w:rsidR="00E065AD">
        <w:rPr>
          <w:noProof/>
        </w:rPr>
        <w:t>e</w:t>
      </w:r>
      <w:r w:rsidR="008E6B50">
        <w:rPr>
          <w:noProof/>
        </w:rPr>
        <w:t>nts, however, this was at the time the entire UK population of audit quality inspectors in the service of the FRC so it could be said that he surveyed and received responses from 60% of the entire UK workforce in the field. It i</w:t>
      </w:r>
      <w:r w:rsidR="00E065AD">
        <w:rPr>
          <w:noProof/>
        </w:rPr>
        <w:t>s</w:t>
      </w:r>
      <w:r w:rsidR="008E6B50">
        <w:rPr>
          <w:noProof/>
        </w:rPr>
        <w:t xml:space="preserve"> enlightening in that it shows that for audit quality inspectors, the client</w:t>
      </w:r>
      <w:r w:rsidR="00E065AD">
        <w:rPr>
          <w:noProof/>
        </w:rPr>
        <w:t>-</w:t>
      </w:r>
      <w:r w:rsidR="008E6B50">
        <w:rPr>
          <w:noProof/>
        </w:rPr>
        <w:t>side of the audit is of least import, with the least important being the provision of additional services to the client; something that audit firms themselves are quite keen on. Some of the key areas of disagreement between auditors and the audit inspectors are that the auditors have done sufficient work and that they are meeting auditing standards.</w:t>
      </w:r>
      <w:r w:rsidR="00286945">
        <w:rPr>
          <w:noProof/>
        </w:rPr>
        <w:t xml:space="preserve"> Of note is the fact that the inspectors felt that there was a problem of “</w:t>
      </w:r>
      <w:r w:rsidR="00286945">
        <w:rPr>
          <w:noProof/>
        </w:rPr>
        <w:t>commercial</w:t>
      </w:r>
      <w:r w:rsidR="00286945">
        <w:rPr>
          <w:noProof/>
        </w:rPr>
        <w:t xml:space="preserve"> </w:t>
      </w:r>
      <w:r w:rsidR="00286945">
        <w:rPr>
          <w:noProof/>
        </w:rPr>
        <w:t>concerns superseding professional values that negatively</w:t>
      </w:r>
      <w:r w:rsidR="00286945">
        <w:rPr>
          <w:noProof/>
        </w:rPr>
        <w:t xml:space="preserve"> </w:t>
      </w:r>
      <w:r w:rsidR="00286945">
        <w:rPr>
          <w:noProof/>
        </w:rPr>
        <w:t>affect audit quality</w:t>
      </w:r>
      <w:r w:rsidR="00286945">
        <w:rPr>
          <w:noProof/>
        </w:rPr>
        <w:t xml:space="preserve">” </w:t>
      </w:r>
      <w:sdt>
        <w:sdtPr>
          <w:rPr>
            <w:noProof/>
          </w:rPr>
          <w:id w:val="-848554408"/>
          <w:citation/>
        </w:sdtPr>
        <w:sdtContent>
          <w:r w:rsidR="00286945">
            <w:rPr>
              <w:noProof/>
            </w:rPr>
            <w:fldChar w:fldCharType="begin"/>
          </w:r>
          <w:r w:rsidR="00286945">
            <w:rPr>
              <w:noProof/>
            </w:rPr>
            <w:instrText xml:space="preserve">CITATION Sul18 \p 34 \l 2057 </w:instrText>
          </w:r>
          <w:r w:rsidR="00286945">
            <w:rPr>
              <w:noProof/>
            </w:rPr>
            <w:fldChar w:fldCharType="separate"/>
          </w:r>
          <w:r w:rsidR="00286945" w:rsidRPr="00286945">
            <w:rPr>
              <w:noProof/>
            </w:rPr>
            <w:t>(Sulaiman, 2018, p. 34)</w:t>
          </w:r>
          <w:r w:rsidR="00286945">
            <w:rPr>
              <w:noProof/>
            </w:rPr>
            <w:fldChar w:fldCharType="end"/>
          </w:r>
        </w:sdtContent>
      </w:sdt>
    </w:p>
    <w:p w14:paraId="689A7071" w14:textId="2DBF7478" w:rsidR="00123F03" w:rsidRDefault="00123F03" w:rsidP="00123F03">
      <w:pPr>
        <w:rPr>
          <w:noProof/>
        </w:rPr>
      </w:pPr>
    </w:p>
    <w:p w14:paraId="62448810" w14:textId="363EE5B9" w:rsidR="00144A1B" w:rsidRDefault="00286945" w:rsidP="00286945">
      <w:pPr>
        <w:pStyle w:val="Heading2"/>
      </w:pPr>
      <w:r>
        <w:lastRenderedPageBreak/>
        <w:t>Conclusion</w:t>
      </w:r>
    </w:p>
    <w:p w14:paraId="25FFABC5" w14:textId="6F95E944" w:rsidR="00286945" w:rsidRDefault="00286945" w:rsidP="00144A1B">
      <w:r>
        <w:t xml:space="preserve">Though there are some existing studies around the topic of this research, they tend to be somewhat limited in their relevance to the current situation either due to the age of the studies, the fact that they were carried out in foreign countries, and the fact that though the method and area of interest are </w:t>
      </w:r>
      <w:proofErr w:type="gramStart"/>
      <w:r>
        <w:t>similar to</w:t>
      </w:r>
      <w:proofErr w:type="gramEnd"/>
      <w:r>
        <w:t xml:space="preserve"> this work, they are </w:t>
      </w:r>
      <w:r w:rsidR="00E065AD">
        <w:t xml:space="preserve">surveying other parts of the process. </w:t>
      </w:r>
    </w:p>
    <w:p w14:paraId="6522D96D" w14:textId="597C4E51" w:rsidR="00E065AD" w:rsidRDefault="00E065AD" w:rsidP="00144A1B">
      <w:r>
        <w:t xml:space="preserve">While it is common to ask high-level representatives of audit firms what they believe to be the problems facing the industry, and customers also voice an opinion about what they think is important; there seems to be a lack of research into what precisely the individual auditors, down in the trenches, believe are the issues facing the successful and high-quality completion of their work. </w:t>
      </w:r>
    </w:p>
    <w:p w14:paraId="1B8D20EB" w14:textId="72D6B64D" w:rsidR="00E065AD" w:rsidRPr="00144A1B" w:rsidRDefault="00E065AD" w:rsidP="00144A1B">
      <w:r>
        <w:t>The studies previously discussed have provided useful references to use as to how to layout a survey and provide valuable direction as to the process to be used. The next chapter seeks to explore this further, identifying the exact techniques to be used and what research methodology will be of most use.</w:t>
      </w:r>
    </w:p>
    <w:p w14:paraId="185780D8" w14:textId="77777777" w:rsidR="00123F03" w:rsidRDefault="00123F03" w:rsidP="00123F03">
      <w:pPr>
        <w:pStyle w:val="Heading1"/>
      </w:pPr>
      <w:bookmarkStart w:id="0" w:name="_Toc61596573"/>
      <w:r>
        <w:lastRenderedPageBreak/>
        <w:t>References</w:t>
      </w:r>
      <w:bookmarkEnd w:id="0"/>
    </w:p>
    <w:sdt>
      <w:sdtPr>
        <w:id w:val="-573587230"/>
        <w:bibliography/>
      </w:sdtPr>
      <w:sdtEndPr/>
      <w:sdtContent>
        <w:p w14:paraId="16179B19" w14:textId="77777777" w:rsidR="00E065AD" w:rsidRDefault="00123F03" w:rsidP="00E065AD">
          <w:pPr>
            <w:pStyle w:val="Bibliography"/>
            <w:spacing w:line="276" w:lineRule="auto"/>
            <w:jc w:val="left"/>
            <w:rPr>
              <w:noProof/>
              <w:szCs w:val="24"/>
            </w:rPr>
          </w:pPr>
          <w:r>
            <w:fldChar w:fldCharType="begin"/>
          </w:r>
          <w:r>
            <w:instrText xml:space="preserve"> BIBLIOGRAPHY </w:instrText>
          </w:r>
          <w:r>
            <w:fldChar w:fldCharType="separate"/>
          </w:r>
          <w:r w:rsidR="00E065AD">
            <w:rPr>
              <w:noProof/>
            </w:rPr>
            <w:t xml:space="preserve">Beattie, V., Fearnley, S. &amp; Hines, T., 2011. </w:t>
          </w:r>
          <w:r w:rsidR="00E065AD">
            <w:rPr>
              <w:i/>
              <w:iCs/>
              <w:noProof/>
            </w:rPr>
            <w:t xml:space="preserve">Factors affecting audit quality in the 2007 UK regulatory environment : perceptions of chief financial officers, audit committee chairs and audit engagement partners. </w:t>
          </w:r>
          <w:r w:rsidR="00E065AD">
            <w:rPr>
              <w:noProof/>
            </w:rPr>
            <w:t>Glasgow: Univ. of Glasgow, Dep. of Economics.</w:t>
          </w:r>
        </w:p>
        <w:p w14:paraId="22A5DD95" w14:textId="77777777" w:rsidR="00E065AD" w:rsidRDefault="00E065AD" w:rsidP="00E065AD">
          <w:pPr>
            <w:pStyle w:val="Bibliography"/>
            <w:spacing w:line="276" w:lineRule="auto"/>
            <w:jc w:val="left"/>
            <w:rPr>
              <w:noProof/>
            </w:rPr>
          </w:pPr>
          <w:r>
            <w:rPr>
              <w:noProof/>
            </w:rPr>
            <w:t xml:space="preserve">BEISC, 2019. </w:t>
          </w:r>
          <w:r>
            <w:rPr>
              <w:i/>
              <w:iCs/>
              <w:noProof/>
            </w:rPr>
            <w:t xml:space="preserve">Future of audit inquiry. </w:t>
          </w:r>
          <w:r>
            <w:rPr>
              <w:noProof/>
            </w:rPr>
            <w:t xml:space="preserve">[Online] </w:t>
          </w:r>
          <w:r>
            <w:rPr>
              <w:noProof/>
            </w:rPr>
            <w:br/>
            <w:t xml:space="preserve">Available at: </w:t>
          </w:r>
          <w:r>
            <w:rPr>
              <w:noProof/>
              <w:u w:val="single"/>
            </w:rPr>
            <w:t>https://old.parliament.uk/business/committees/committees-a-z/commons-select/business-energy-industrial-strategy/inquiries/parliament-2017/future-of-audit-17-19/</w:t>
          </w:r>
          <w:r>
            <w:rPr>
              <w:noProof/>
            </w:rPr>
            <w:br/>
            <w:t>[Accessed 25 11 2020].</w:t>
          </w:r>
        </w:p>
        <w:p w14:paraId="50326C41" w14:textId="77777777" w:rsidR="00E065AD" w:rsidRDefault="00E065AD" w:rsidP="00E065AD">
          <w:pPr>
            <w:pStyle w:val="Bibliography"/>
            <w:spacing w:line="276" w:lineRule="auto"/>
            <w:jc w:val="left"/>
            <w:rPr>
              <w:noProof/>
            </w:rPr>
          </w:pPr>
          <w:r>
            <w:rPr>
              <w:noProof/>
            </w:rPr>
            <w:t>Bell, T. B., Causholli, M. &amp; Knechel, W. R., 2015. Audit Firm Tenure, Non</w:t>
          </w:r>
          <w:r>
            <w:rPr>
              <w:rFonts w:ascii="Cambria Math" w:hAnsi="Cambria Math" w:cs="Cambria Math"/>
              <w:noProof/>
            </w:rPr>
            <w:t>‐</w:t>
          </w:r>
          <w:r>
            <w:rPr>
              <w:noProof/>
            </w:rPr>
            <w:t xml:space="preserve">Audit Services, and Internal Assessments of Audit Quality. </w:t>
          </w:r>
          <w:r>
            <w:rPr>
              <w:i/>
              <w:iCs/>
              <w:noProof/>
            </w:rPr>
            <w:t xml:space="preserve">Journal of Accounting Research, </w:t>
          </w:r>
          <w:r>
            <w:rPr>
              <w:noProof/>
            </w:rPr>
            <w:t>53(3), pp. 461-509.</w:t>
          </w:r>
        </w:p>
        <w:p w14:paraId="396FCC43" w14:textId="77777777" w:rsidR="00E065AD" w:rsidRDefault="00E065AD" w:rsidP="00E065AD">
          <w:pPr>
            <w:pStyle w:val="Bibliography"/>
            <w:spacing w:line="276" w:lineRule="auto"/>
            <w:jc w:val="left"/>
            <w:rPr>
              <w:noProof/>
            </w:rPr>
          </w:pPr>
          <w:r>
            <w:rPr>
              <w:noProof/>
            </w:rPr>
            <w:t xml:space="preserve">Brown, V. L., Gissel, J. L. &amp; Gordon Neely, D., 2016. Audit quality indicators: perceptions of junior-level auditors. </w:t>
          </w:r>
          <w:r>
            <w:rPr>
              <w:i/>
              <w:iCs/>
              <w:noProof/>
            </w:rPr>
            <w:t xml:space="preserve">Managerial Auditing Journal, </w:t>
          </w:r>
          <w:r>
            <w:rPr>
              <w:noProof/>
            </w:rPr>
            <w:t>31(8/9), pp. 949-980.</w:t>
          </w:r>
        </w:p>
        <w:p w14:paraId="10FBE73B" w14:textId="77777777" w:rsidR="00E065AD" w:rsidRDefault="00E065AD" w:rsidP="00E065AD">
          <w:pPr>
            <w:pStyle w:val="Bibliography"/>
            <w:spacing w:line="276" w:lineRule="auto"/>
            <w:jc w:val="left"/>
            <w:rPr>
              <w:noProof/>
            </w:rPr>
          </w:pPr>
          <w:r>
            <w:rPr>
              <w:noProof/>
            </w:rPr>
            <w:t xml:space="preserve">Brydon, D., 2019. </w:t>
          </w:r>
          <w:r>
            <w:rPr>
              <w:i/>
              <w:iCs/>
              <w:noProof/>
            </w:rPr>
            <w:t xml:space="preserve">Assess, Assure and Inform, Improving Audit Quality and Effectiveness, </w:t>
          </w:r>
          <w:r>
            <w:rPr>
              <w:noProof/>
            </w:rPr>
            <w:t>London: Her Majesty’s Stationery Office.</w:t>
          </w:r>
        </w:p>
        <w:p w14:paraId="2AE28173" w14:textId="77777777" w:rsidR="00E065AD" w:rsidRDefault="00E065AD" w:rsidP="00E065AD">
          <w:pPr>
            <w:pStyle w:val="Bibliography"/>
            <w:spacing w:line="276" w:lineRule="auto"/>
            <w:jc w:val="left"/>
            <w:rPr>
              <w:noProof/>
            </w:rPr>
          </w:pPr>
          <w:r>
            <w:rPr>
              <w:noProof/>
            </w:rPr>
            <w:t xml:space="preserve">DeAngelo, L. E., 1981. Auditor Size and Audit Quality. </w:t>
          </w:r>
          <w:r>
            <w:rPr>
              <w:i/>
              <w:iCs/>
              <w:noProof/>
            </w:rPr>
            <w:t xml:space="preserve">Journal of Accounting and Economics, </w:t>
          </w:r>
          <w:r>
            <w:rPr>
              <w:noProof/>
            </w:rPr>
            <w:t>Volume 3, pp. 183-199.</w:t>
          </w:r>
        </w:p>
        <w:p w14:paraId="4E8CE966" w14:textId="77777777" w:rsidR="00E065AD" w:rsidRDefault="00E065AD" w:rsidP="00E065AD">
          <w:pPr>
            <w:pStyle w:val="Bibliography"/>
            <w:spacing w:line="276" w:lineRule="auto"/>
            <w:jc w:val="left"/>
            <w:rPr>
              <w:noProof/>
            </w:rPr>
          </w:pPr>
          <w:r>
            <w:rPr>
              <w:noProof/>
            </w:rPr>
            <w:t xml:space="preserve">Gul, F. A., Wu, D. &amp; Yang, Z., 2013. Do Individual Auditors Affect Audit Quality? Evidence from Archival Data. </w:t>
          </w:r>
          <w:r>
            <w:rPr>
              <w:i/>
              <w:iCs/>
              <w:noProof/>
            </w:rPr>
            <w:t xml:space="preserve">The Accounting Review, </w:t>
          </w:r>
          <w:r>
            <w:rPr>
              <w:noProof/>
            </w:rPr>
            <w:t>88(6), pp. 1993-2023.</w:t>
          </w:r>
        </w:p>
        <w:p w14:paraId="0EE2D8FB" w14:textId="77777777" w:rsidR="00E065AD" w:rsidRDefault="00E065AD" w:rsidP="00E065AD">
          <w:pPr>
            <w:pStyle w:val="Bibliography"/>
            <w:spacing w:line="276" w:lineRule="auto"/>
            <w:jc w:val="left"/>
            <w:rPr>
              <w:noProof/>
            </w:rPr>
          </w:pPr>
          <w:r>
            <w:rPr>
              <w:noProof/>
            </w:rPr>
            <w:t xml:space="preserve">Herrbach, O., 2001. Audit quality, auditor behaviour and the psychological contract. </w:t>
          </w:r>
          <w:r>
            <w:rPr>
              <w:i/>
              <w:iCs/>
              <w:noProof/>
            </w:rPr>
            <w:t xml:space="preserve">The European Accounting Review, </w:t>
          </w:r>
          <w:r>
            <w:rPr>
              <w:noProof/>
            </w:rPr>
            <w:t>10(4), pp. 787-802.</w:t>
          </w:r>
        </w:p>
        <w:p w14:paraId="2FAAD061" w14:textId="77777777" w:rsidR="00E065AD" w:rsidRDefault="00E065AD" w:rsidP="00E065AD">
          <w:pPr>
            <w:pStyle w:val="Bibliography"/>
            <w:spacing w:line="276" w:lineRule="auto"/>
            <w:jc w:val="left"/>
            <w:rPr>
              <w:noProof/>
            </w:rPr>
          </w:pPr>
          <w:r>
            <w:rPr>
              <w:noProof/>
            </w:rPr>
            <w:t xml:space="preserve">Husted, B. W. &amp; Allen, D. B., 2006. Toward a Model of Cross-Cultural Business Ethics: The Impact of Individualism and Collectivism on the Ethical Decision-Making Process. </w:t>
          </w:r>
          <w:r>
            <w:rPr>
              <w:i/>
              <w:iCs/>
              <w:noProof/>
            </w:rPr>
            <w:t xml:space="preserve">Journal of Business Ethics, </w:t>
          </w:r>
          <w:r>
            <w:rPr>
              <w:noProof/>
            </w:rPr>
            <w:t>82(2), pp. 293-305.</w:t>
          </w:r>
        </w:p>
        <w:p w14:paraId="4708DFBF" w14:textId="77777777" w:rsidR="00E065AD" w:rsidRDefault="00E065AD" w:rsidP="00E065AD">
          <w:pPr>
            <w:pStyle w:val="Bibliography"/>
            <w:spacing w:line="276" w:lineRule="auto"/>
            <w:jc w:val="left"/>
            <w:rPr>
              <w:noProof/>
            </w:rPr>
          </w:pPr>
          <w:r>
            <w:rPr>
              <w:noProof/>
            </w:rPr>
            <w:t xml:space="preserve">Kingman, J., 2018. </w:t>
          </w:r>
          <w:r>
            <w:rPr>
              <w:i/>
              <w:iCs/>
              <w:noProof/>
            </w:rPr>
            <w:t xml:space="preserve">Independent Review of the Financial Reporting Council, </w:t>
          </w:r>
          <w:r>
            <w:rPr>
              <w:noProof/>
            </w:rPr>
            <w:t>London: Her Majesty’s Stationery Office.</w:t>
          </w:r>
        </w:p>
        <w:p w14:paraId="3A7C794E" w14:textId="77777777" w:rsidR="00E065AD" w:rsidRDefault="00E065AD" w:rsidP="00E065AD">
          <w:pPr>
            <w:pStyle w:val="Bibliography"/>
            <w:spacing w:line="276" w:lineRule="auto"/>
            <w:jc w:val="left"/>
            <w:rPr>
              <w:noProof/>
            </w:rPr>
          </w:pPr>
          <w:r>
            <w:rPr>
              <w:noProof/>
            </w:rPr>
            <w:t xml:space="preserve">Li, L., Qi, B., Tian, G. &amp; Zhang, G., 2017. The Contagion Effect of Low-Quality Audits at the Level of Individual Auditors. </w:t>
          </w:r>
          <w:r>
            <w:rPr>
              <w:i/>
              <w:iCs/>
              <w:noProof/>
            </w:rPr>
            <w:t xml:space="preserve">The Accounting Review, </w:t>
          </w:r>
          <w:r>
            <w:rPr>
              <w:noProof/>
            </w:rPr>
            <w:t>92(1), pp. 137-163.</w:t>
          </w:r>
        </w:p>
        <w:p w14:paraId="544673C9" w14:textId="77777777" w:rsidR="00E065AD" w:rsidRDefault="00E065AD" w:rsidP="00E065AD">
          <w:pPr>
            <w:pStyle w:val="Bibliography"/>
            <w:spacing w:line="276" w:lineRule="auto"/>
            <w:jc w:val="left"/>
            <w:rPr>
              <w:noProof/>
            </w:rPr>
          </w:pPr>
          <w:r>
            <w:rPr>
              <w:noProof/>
            </w:rPr>
            <w:t xml:space="preserve">Nayar, S., 2012. Grounded Theory: A Research Methodology for Occupational Science. </w:t>
          </w:r>
          <w:r>
            <w:rPr>
              <w:i/>
              <w:iCs/>
              <w:noProof/>
            </w:rPr>
            <w:t xml:space="preserve">Journal of Occupational Science, </w:t>
          </w:r>
          <w:r>
            <w:rPr>
              <w:noProof/>
            </w:rPr>
            <w:t>19(1), pp. 76-82.</w:t>
          </w:r>
        </w:p>
        <w:p w14:paraId="2DD4C6AE" w14:textId="77777777" w:rsidR="00E065AD" w:rsidRDefault="00E065AD" w:rsidP="00E065AD">
          <w:pPr>
            <w:pStyle w:val="Bibliography"/>
            <w:spacing w:line="276" w:lineRule="auto"/>
            <w:jc w:val="left"/>
            <w:rPr>
              <w:noProof/>
            </w:rPr>
          </w:pPr>
          <w:r>
            <w:rPr>
              <w:noProof/>
            </w:rPr>
            <w:t xml:space="preserve">Sulaiman, N. A., 2018. Attributes and Drivers of Audit Quality: The Perceptions of Quality Inspectors in the UK. </w:t>
          </w:r>
          <w:r>
            <w:rPr>
              <w:i/>
              <w:iCs/>
              <w:noProof/>
            </w:rPr>
            <w:t xml:space="preserve">Asian Journal of Accounting and Governance, </w:t>
          </w:r>
          <w:r>
            <w:rPr>
              <w:noProof/>
            </w:rPr>
            <w:t>Volume 10, pp. 23-35.</w:t>
          </w:r>
        </w:p>
        <w:p w14:paraId="56D6C0D3" w14:textId="77777777" w:rsidR="00E065AD" w:rsidRDefault="00E065AD" w:rsidP="00E065AD">
          <w:pPr>
            <w:pStyle w:val="Bibliography"/>
            <w:spacing w:line="276" w:lineRule="auto"/>
            <w:jc w:val="left"/>
            <w:rPr>
              <w:noProof/>
            </w:rPr>
          </w:pPr>
          <w:r>
            <w:rPr>
              <w:noProof/>
            </w:rPr>
            <w:lastRenderedPageBreak/>
            <w:t xml:space="preserve">Sulaiman, N. A., Yasin, F. M. &amp; Muhamad, R., 2018. PERSPECTIVES ON AUDIT QUALITY: AN ANALYSIS. </w:t>
          </w:r>
          <w:r>
            <w:rPr>
              <w:i/>
              <w:iCs/>
              <w:noProof/>
            </w:rPr>
            <w:t xml:space="preserve">Asian Journal ofAccounting Perspectives, </w:t>
          </w:r>
          <w:r>
            <w:rPr>
              <w:noProof/>
            </w:rPr>
            <w:t>11(1), pp. 1-27.</w:t>
          </w:r>
        </w:p>
        <w:p w14:paraId="07B040AA" w14:textId="77777777" w:rsidR="00E065AD" w:rsidRDefault="00E065AD" w:rsidP="00E065AD">
          <w:pPr>
            <w:pStyle w:val="Bibliography"/>
            <w:spacing w:line="276" w:lineRule="auto"/>
            <w:jc w:val="left"/>
            <w:rPr>
              <w:noProof/>
            </w:rPr>
          </w:pPr>
          <w:r>
            <w:rPr>
              <w:noProof/>
            </w:rPr>
            <w:t xml:space="preserve">Su, L. &amp; Wu, D., 2019. Is Audit Behavior Contagious? Teamwork Experience and Audit Quality by Individual Auditors. </w:t>
          </w:r>
          <w:r>
            <w:rPr>
              <w:i/>
              <w:iCs/>
              <w:noProof/>
            </w:rPr>
            <w:t xml:space="preserve">SSRN Electronic Journal, </w:t>
          </w:r>
          <w:r>
            <w:rPr>
              <w:noProof/>
            </w:rPr>
            <w:t>Issue May.</w:t>
          </w:r>
        </w:p>
        <w:p w14:paraId="0FAD5D5A" w14:textId="77777777" w:rsidR="00E065AD" w:rsidRDefault="00E065AD" w:rsidP="00E065AD">
          <w:pPr>
            <w:pStyle w:val="Bibliography"/>
            <w:spacing w:line="276" w:lineRule="auto"/>
            <w:jc w:val="left"/>
            <w:rPr>
              <w:noProof/>
            </w:rPr>
          </w:pPr>
          <w:r>
            <w:rPr>
              <w:noProof/>
            </w:rPr>
            <w:t xml:space="preserve">Thistoll, T., Hooper, V. &amp; Pauleen, D., 2016. Acquiring and developing theoretical sensitivity through undertaking a grounded preliminary literature review. </w:t>
          </w:r>
          <w:r>
            <w:rPr>
              <w:i/>
              <w:iCs/>
              <w:noProof/>
            </w:rPr>
            <w:t xml:space="preserve">Quality &amp; Quantity, </w:t>
          </w:r>
          <w:r>
            <w:rPr>
              <w:noProof/>
            </w:rPr>
            <w:t>Volume 50, pp. 619-636.</w:t>
          </w:r>
        </w:p>
        <w:p w14:paraId="08E303E4" w14:textId="77777777" w:rsidR="00E065AD" w:rsidRDefault="00E065AD" w:rsidP="00E065AD">
          <w:pPr>
            <w:pStyle w:val="Bibliography"/>
            <w:spacing w:line="276" w:lineRule="auto"/>
            <w:jc w:val="left"/>
            <w:rPr>
              <w:noProof/>
            </w:rPr>
          </w:pPr>
          <w:r>
            <w:rPr>
              <w:noProof/>
            </w:rPr>
            <w:t xml:space="preserve">Urquhart, C., Lehmann, H. &amp; Myers, M., 2010. Putting the ‘theory’ back into grounded theory: guidelines for grounded theory studies in information systems. </w:t>
          </w:r>
          <w:r>
            <w:rPr>
              <w:i/>
              <w:iCs/>
              <w:noProof/>
            </w:rPr>
            <w:t xml:space="preserve">Information Systems Journal, </w:t>
          </w:r>
          <w:r>
            <w:rPr>
              <w:noProof/>
            </w:rPr>
            <w:t>Volume 20, pp. 357-381.</w:t>
          </w:r>
        </w:p>
        <w:p w14:paraId="553EF57F" w14:textId="7A2870DD" w:rsidR="005F2878" w:rsidRDefault="00123F03" w:rsidP="00E065AD">
          <w:pPr>
            <w:spacing w:line="276" w:lineRule="auto"/>
            <w:jc w:val="left"/>
          </w:pPr>
          <w:r>
            <w:rPr>
              <w:noProof/>
            </w:rPr>
            <w:fldChar w:fldCharType="end"/>
          </w:r>
        </w:p>
      </w:sdtContent>
    </w:sdt>
    <w:sectPr w:rsidR="005F287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C506E7" w14:textId="77777777" w:rsidR="006917F1" w:rsidRDefault="006917F1" w:rsidP="00AD35CB">
      <w:pPr>
        <w:spacing w:after="0" w:line="240" w:lineRule="auto"/>
      </w:pPr>
      <w:r>
        <w:separator/>
      </w:r>
    </w:p>
  </w:endnote>
  <w:endnote w:type="continuationSeparator" w:id="0">
    <w:p w14:paraId="5D6AFB9E" w14:textId="77777777" w:rsidR="006917F1" w:rsidRDefault="006917F1" w:rsidP="00AD3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392F87" w14:textId="77777777" w:rsidR="006917F1" w:rsidRDefault="006917F1" w:rsidP="00AD35CB">
      <w:pPr>
        <w:spacing w:after="0" w:line="240" w:lineRule="auto"/>
      </w:pPr>
      <w:r>
        <w:separator/>
      </w:r>
    </w:p>
  </w:footnote>
  <w:footnote w:type="continuationSeparator" w:id="0">
    <w:p w14:paraId="04C0A3E3" w14:textId="77777777" w:rsidR="006917F1" w:rsidRDefault="006917F1" w:rsidP="00AD35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0ECD3" w14:textId="223E5F41" w:rsidR="00AD35CB" w:rsidRDefault="006917F1" w:rsidP="00AD35CB">
    <w:pPr>
      <w:pStyle w:val="MainHeader"/>
    </w:pPr>
    <w:sdt>
      <w:sdtPr>
        <w:alias w:val="Title"/>
        <w:tag w:val=""/>
        <w:id w:val="1813750388"/>
        <w:dataBinding w:prefixMappings="xmlns:ns0='http://purl.org/dc/elements/1.1/' xmlns:ns1='http://schemas.openxmlformats.org/package/2006/metadata/core-properties' " w:xpath="/ns1:coreProperties[1]/ns0:title[1]" w:storeItemID="{6C3C8BC8-F283-45AE-878A-BAB7291924A1}"/>
        <w:text/>
      </w:sdtPr>
      <w:sdtEndPr/>
      <w:sdtContent>
        <w:r w:rsidR="00E065AD">
          <w:t>Literature Review Chapter</w:t>
        </w:r>
      </w:sdtContent>
    </w:sdt>
    <w:r w:rsidR="00AD35CB" w:rsidRPr="009A352F">
      <w:t xml:space="preserve"> | </w:t>
    </w:r>
    <w:sdt>
      <w:sdtPr>
        <w:alias w:val="Author"/>
        <w:tag w:val=""/>
        <w:id w:val="-1872841780"/>
        <w:dataBinding w:prefixMappings="xmlns:ns0='http://purl.org/dc/elements/1.1/' xmlns:ns1='http://schemas.openxmlformats.org/package/2006/metadata/core-properties' " w:xpath="/ns1:coreProperties[1]/ns0:creator[1]" w:storeItemID="{6C3C8BC8-F283-45AE-878A-BAB7291924A1}"/>
        <w:text/>
      </w:sdtPr>
      <w:sdtEndPr/>
      <w:sdtContent>
        <w:r w:rsidR="00AD35CB">
          <w:t>Peter Basford</w:t>
        </w:r>
      </w:sdtContent>
    </w:sdt>
    <w:r w:rsidR="00AD35CB">
      <w:t xml:space="preserve"> </w:t>
    </w:r>
  </w:p>
  <w:p w14:paraId="2A4A50F7" w14:textId="778FCD1C" w:rsidR="00AD35CB" w:rsidRDefault="00AD35CB" w:rsidP="00AD35CB">
    <w:pPr>
      <w:pStyle w:val="MainHeader"/>
    </w:pPr>
    <w:r>
      <w:t xml:space="preserve"> 7 February 2021</w:t>
    </w:r>
  </w:p>
  <w:p w14:paraId="13F895A4" w14:textId="77777777" w:rsidR="00AD35CB" w:rsidRDefault="00AD35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98456A"/>
    <w:multiLevelType w:val="hybridMultilevel"/>
    <w:tmpl w:val="4942CA34"/>
    <w:lvl w:ilvl="0" w:tplc="08090001">
      <w:start w:val="1"/>
      <w:numFmt w:val="bullet"/>
      <w:lvlText w:val=""/>
      <w:lvlJc w:val="left"/>
      <w:pPr>
        <w:ind w:left="1981" w:hanging="360"/>
      </w:pPr>
      <w:rPr>
        <w:rFonts w:ascii="Symbol" w:hAnsi="Symbol" w:hint="default"/>
      </w:rPr>
    </w:lvl>
    <w:lvl w:ilvl="1" w:tplc="08090003" w:tentative="1">
      <w:start w:val="1"/>
      <w:numFmt w:val="bullet"/>
      <w:lvlText w:val="o"/>
      <w:lvlJc w:val="left"/>
      <w:pPr>
        <w:ind w:left="2701" w:hanging="360"/>
      </w:pPr>
      <w:rPr>
        <w:rFonts w:ascii="Courier New" w:hAnsi="Courier New" w:cs="Courier New" w:hint="default"/>
      </w:rPr>
    </w:lvl>
    <w:lvl w:ilvl="2" w:tplc="08090005" w:tentative="1">
      <w:start w:val="1"/>
      <w:numFmt w:val="bullet"/>
      <w:lvlText w:val=""/>
      <w:lvlJc w:val="left"/>
      <w:pPr>
        <w:ind w:left="3421" w:hanging="360"/>
      </w:pPr>
      <w:rPr>
        <w:rFonts w:ascii="Wingdings" w:hAnsi="Wingdings" w:hint="default"/>
      </w:rPr>
    </w:lvl>
    <w:lvl w:ilvl="3" w:tplc="08090001" w:tentative="1">
      <w:start w:val="1"/>
      <w:numFmt w:val="bullet"/>
      <w:lvlText w:val=""/>
      <w:lvlJc w:val="left"/>
      <w:pPr>
        <w:ind w:left="4141" w:hanging="360"/>
      </w:pPr>
      <w:rPr>
        <w:rFonts w:ascii="Symbol" w:hAnsi="Symbol" w:hint="default"/>
      </w:rPr>
    </w:lvl>
    <w:lvl w:ilvl="4" w:tplc="08090003" w:tentative="1">
      <w:start w:val="1"/>
      <w:numFmt w:val="bullet"/>
      <w:lvlText w:val="o"/>
      <w:lvlJc w:val="left"/>
      <w:pPr>
        <w:ind w:left="4861" w:hanging="360"/>
      </w:pPr>
      <w:rPr>
        <w:rFonts w:ascii="Courier New" w:hAnsi="Courier New" w:cs="Courier New" w:hint="default"/>
      </w:rPr>
    </w:lvl>
    <w:lvl w:ilvl="5" w:tplc="08090005" w:tentative="1">
      <w:start w:val="1"/>
      <w:numFmt w:val="bullet"/>
      <w:lvlText w:val=""/>
      <w:lvlJc w:val="left"/>
      <w:pPr>
        <w:ind w:left="5581" w:hanging="360"/>
      </w:pPr>
      <w:rPr>
        <w:rFonts w:ascii="Wingdings" w:hAnsi="Wingdings" w:hint="default"/>
      </w:rPr>
    </w:lvl>
    <w:lvl w:ilvl="6" w:tplc="08090001" w:tentative="1">
      <w:start w:val="1"/>
      <w:numFmt w:val="bullet"/>
      <w:lvlText w:val=""/>
      <w:lvlJc w:val="left"/>
      <w:pPr>
        <w:ind w:left="6301" w:hanging="360"/>
      </w:pPr>
      <w:rPr>
        <w:rFonts w:ascii="Symbol" w:hAnsi="Symbol" w:hint="default"/>
      </w:rPr>
    </w:lvl>
    <w:lvl w:ilvl="7" w:tplc="08090003" w:tentative="1">
      <w:start w:val="1"/>
      <w:numFmt w:val="bullet"/>
      <w:lvlText w:val="o"/>
      <w:lvlJc w:val="left"/>
      <w:pPr>
        <w:ind w:left="7021" w:hanging="360"/>
      </w:pPr>
      <w:rPr>
        <w:rFonts w:ascii="Courier New" w:hAnsi="Courier New" w:cs="Courier New" w:hint="default"/>
      </w:rPr>
    </w:lvl>
    <w:lvl w:ilvl="8" w:tplc="08090005" w:tentative="1">
      <w:start w:val="1"/>
      <w:numFmt w:val="bullet"/>
      <w:lvlText w:val=""/>
      <w:lvlJc w:val="left"/>
      <w:pPr>
        <w:ind w:left="7741"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O2NDUzNTexMDIysDRQ0lEKTi0uzszPAykwqgUAOb1txSwAAAA="/>
  </w:docVars>
  <w:rsids>
    <w:rsidRoot w:val="00123F03"/>
    <w:rsid w:val="00123F03"/>
    <w:rsid w:val="00144A1B"/>
    <w:rsid w:val="001F26FF"/>
    <w:rsid w:val="001F52CD"/>
    <w:rsid w:val="00203459"/>
    <w:rsid w:val="00286945"/>
    <w:rsid w:val="002B27A4"/>
    <w:rsid w:val="002F59B1"/>
    <w:rsid w:val="0036591E"/>
    <w:rsid w:val="00421744"/>
    <w:rsid w:val="004F4743"/>
    <w:rsid w:val="005F2878"/>
    <w:rsid w:val="006917F1"/>
    <w:rsid w:val="006B368D"/>
    <w:rsid w:val="00770254"/>
    <w:rsid w:val="00843B08"/>
    <w:rsid w:val="0088042F"/>
    <w:rsid w:val="008E6B50"/>
    <w:rsid w:val="00982013"/>
    <w:rsid w:val="009B233A"/>
    <w:rsid w:val="009E592E"/>
    <w:rsid w:val="00AA7EFC"/>
    <w:rsid w:val="00AD35CB"/>
    <w:rsid w:val="00B423F0"/>
    <w:rsid w:val="00C41FFB"/>
    <w:rsid w:val="00D5080F"/>
    <w:rsid w:val="00E065AD"/>
    <w:rsid w:val="00E162CC"/>
    <w:rsid w:val="00E32390"/>
    <w:rsid w:val="00E366E6"/>
    <w:rsid w:val="00EA23F7"/>
    <w:rsid w:val="00FD1B07"/>
    <w:rsid w:val="00FE22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47F92"/>
  <w15:chartTrackingRefBased/>
  <w15:docId w15:val="{6CC7E84C-B491-4BDC-B4C2-082DB026D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F03"/>
    <w:pPr>
      <w:autoSpaceDE w:val="0"/>
      <w:autoSpaceDN w:val="0"/>
      <w:adjustRightInd w:val="0"/>
      <w:spacing w:after="120" w:line="480" w:lineRule="auto"/>
      <w:ind w:firstLine="397"/>
      <w:jc w:val="both"/>
    </w:pPr>
    <w:rPr>
      <w:rFonts w:ascii="Arial" w:eastAsiaTheme="minorHAnsi" w:hAnsi="Arial" w:cs="Calibri"/>
      <w:sz w:val="24"/>
      <w:lang w:eastAsia="en-US"/>
    </w:rPr>
  </w:style>
  <w:style w:type="paragraph" w:styleId="Heading1">
    <w:name w:val="heading 1"/>
    <w:basedOn w:val="Normal"/>
    <w:next w:val="Normal"/>
    <w:link w:val="Heading1Char"/>
    <w:uiPriority w:val="9"/>
    <w:qFormat/>
    <w:rsid w:val="00123F03"/>
    <w:pPr>
      <w:keepNext/>
      <w:keepLines/>
      <w:pageBreakBefore/>
      <w:spacing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82013"/>
    <w:pPr>
      <w:keepNext/>
      <w:keepLines/>
      <w:spacing w:before="40" w:after="0"/>
      <w:outlineLvl w:val="1"/>
    </w:pPr>
    <w:rPr>
      <w:rFonts w:asciiTheme="majorHAnsi" w:eastAsiaTheme="majorEastAsia" w:hAnsiTheme="majorHAnsi"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F03"/>
    <w:rPr>
      <w:rFonts w:ascii="Arial" w:eastAsiaTheme="majorEastAsia" w:hAnsi="Arial" w:cstheme="majorBidi"/>
      <w:b/>
      <w:sz w:val="32"/>
      <w:szCs w:val="32"/>
      <w:lang w:eastAsia="en-US"/>
    </w:rPr>
  </w:style>
  <w:style w:type="paragraph" w:styleId="Bibliography">
    <w:name w:val="Bibliography"/>
    <w:basedOn w:val="Normal"/>
    <w:next w:val="Normal"/>
    <w:uiPriority w:val="37"/>
    <w:unhideWhenUsed/>
    <w:rsid w:val="00123F03"/>
  </w:style>
  <w:style w:type="paragraph" w:styleId="Quote">
    <w:name w:val="Quote"/>
    <w:basedOn w:val="Normal"/>
    <w:next w:val="Normal"/>
    <w:link w:val="QuoteChar"/>
    <w:uiPriority w:val="29"/>
    <w:qFormat/>
    <w:rsid w:val="009B233A"/>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B233A"/>
    <w:rPr>
      <w:rFonts w:ascii="Arial" w:eastAsiaTheme="minorHAnsi" w:hAnsi="Arial" w:cs="Calibri"/>
      <w:i/>
      <w:iCs/>
      <w:color w:val="404040" w:themeColor="text1" w:themeTint="BF"/>
      <w:sz w:val="24"/>
      <w:lang w:eastAsia="en-US"/>
    </w:rPr>
  </w:style>
  <w:style w:type="character" w:customStyle="1" w:styleId="Heading2Char">
    <w:name w:val="Heading 2 Char"/>
    <w:basedOn w:val="DefaultParagraphFont"/>
    <w:link w:val="Heading2"/>
    <w:uiPriority w:val="9"/>
    <w:rsid w:val="00982013"/>
    <w:rPr>
      <w:rFonts w:asciiTheme="majorHAnsi" w:eastAsiaTheme="majorEastAsia" w:hAnsiTheme="majorHAnsi" w:cstheme="majorBidi"/>
      <w:color w:val="2F5496" w:themeColor="accent1" w:themeShade="BF"/>
      <w:sz w:val="32"/>
      <w:szCs w:val="26"/>
      <w:lang w:eastAsia="en-US"/>
    </w:rPr>
  </w:style>
  <w:style w:type="paragraph" w:styleId="Header">
    <w:name w:val="header"/>
    <w:basedOn w:val="Normal"/>
    <w:link w:val="HeaderChar"/>
    <w:uiPriority w:val="99"/>
    <w:unhideWhenUsed/>
    <w:rsid w:val="00AD3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5CB"/>
    <w:rPr>
      <w:rFonts w:ascii="Arial" w:eastAsiaTheme="minorHAnsi" w:hAnsi="Arial" w:cs="Calibri"/>
      <w:sz w:val="24"/>
      <w:lang w:eastAsia="en-US"/>
    </w:rPr>
  </w:style>
  <w:style w:type="paragraph" w:styleId="Footer">
    <w:name w:val="footer"/>
    <w:basedOn w:val="Normal"/>
    <w:link w:val="FooterChar"/>
    <w:uiPriority w:val="99"/>
    <w:unhideWhenUsed/>
    <w:rsid w:val="00AD3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5CB"/>
    <w:rPr>
      <w:rFonts w:ascii="Arial" w:eastAsiaTheme="minorHAnsi" w:hAnsi="Arial" w:cs="Calibri"/>
      <w:sz w:val="24"/>
      <w:lang w:eastAsia="en-US"/>
    </w:rPr>
  </w:style>
  <w:style w:type="paragraph" w:customStyle="1" w:styleId="MainHeader">
    <w:name w:val="Main Header"/>
    <w:basedOn w:val="Header"/>
    <w:link w:val="MainHeaderChar"/>
    <w:qFormat/>
    <w:rsid w:val="00AD35CB"/>
    <w:pPr>
      <w:pBdr>
        <w:bottom w:val="single" w:sz="4" w:space="1" w:color="auto"/>
      </w:pBdr>
      <w:ind w:firstLine="0"/>
      <w:jc w:val="right"/>
    </w:pPr>
    <w:rPr>
      <w:rFonts w:ascii="Calibri" w:hAnsi="Calibri"/>
      <w:color w:val="4472C4" w:themeColor="accent1"/>
      <w:sz w:val="20"/>
    </w:rPr>
  </w:style>
  <w:style w:type="character" w:customStyle="1" w:styleId="MainHeaderChar">
    <w:name w:val="Main Header Char"/>
    <w:basedOn w:val="HeaderChar"/>
    <w:link w:val="MainHeader"/>
    <w:rsid w:val="00AD35CB"/>
    <w:rPr>
      <w:rFonts w:ascii="Calibri" w:eastAsiaTheme="minorHAnsi" w:hAnsi="Calibri" w:cs="Calibri"/>
      <w:color w:val="4472C4" w:themeColor="accent1"/>
      <w:sz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760911">
      <w:bodyDiv w:val="1"/>
      <w:marLeft w:val="0"/>
      <w:marRight w:val="0"/>
      <w:marTop w:val="0"/>
      <w:marBottom w:val="0"/>
      <w:divBdr>
        <w:top w:val="none" w:sz="0" w:space="0" w:color="auto"/>
        <w:left w:val="none" w:sz="0" w:space="0" w:color="auto"/>
        <w:bottom w:val="none" w:sz="0" w:space="0" w:color="auto"/>
        <w:right w:val="none" w:sz="0" w:space="0" w:color="auto"/>
      </w:divBdr>
    </w:div>
    <w:div w:id="271863651">
      <w:bodyDiv w:val="1"/>
      <w:marLeft w:val="0"/>
      <w:marRight w:val="0"/>
      <w:marTop w:val="0"/>
      <w:marBottom w:val="0"/>
      <w:divBdr>
        <w:top w:val="none" w:sz="0" w:space="0" w:color="auto"/>
        <w:left w:val="none" w:sz="0" w:space="0" w:color="auto"/>
        <w:bottom w:val="none" w:sz="0" w:space="0" w:color="auto"/>
        <w:right w:val="none" w:sz="0" w:space="0" w:color="auto"/>
      </w:divBdr>
    </w:div>
    <w:div w:id="291518117">
      <w:bodyDiv w:val="1"/>
      <w:marLeft w:val="0"/>
      <w:marRight w:val="0"/>
      <w:marTop w:val="0"/>
      <w:marBottom w:val="0"/>
      <w:divBdr>
        <w:top w:val="none" w:sz="0" w:space="0" w:color="auto"/>
        <w:left w:val="none" w:sz="0" w:space="0" w:color="auto"/>
        <w:bottom w:val="none" w:sz="0" w:space="0" w:color="auto"/>
        <w:right w:val="none" w:sz="0" w:space="0" w:color="auto"/>
      </w:divBdr>
    </w:div>
    <w:div w:id="296641017">
      <w:bodyDiv w:val="1"/>
      <w:marLeft w:val="0"/>
      <w:marRight w:val="0"/>
      <w:marTop w:val="0"/>
      <w:marBottom w:val="0"/>
      <w:divBdr>
        <w:top w:val="none" w:sz="0" w:space="0" w:color="auto"/>
        <w:left w:val="none" w:sz="0" w:space="0" w:color="auto"/>
        <w:bottom w:val="none" w:sz="0" w:space="0" w:color="auto"/>
        <w:right w:val="none" w:sz="0" w:space="0" w:color="auto"/>
      </w:divBdr>
    </w:div>
    <w:div w:id="408425265">
      <w:bodyDiv w:val="1"/>
      <w:marLeft w:val="0"/>
      <w:marRight w:val="0"/>
      <w:marTop w:val="0"/>
      <w:marBottom w:val="0"/>
      <w:divBdr>
        <w:top w:val="none" w:sz="0" w:space="0" w:color="auto"/>
        <w:left w:val="none" w:sz="0" w:space="0" w:color="auto"/>
        <w:bottom w:val="none" w:sz="0" w:space="0" w:color="auto"/>
        <w:right w:val="none" w:sz="0" w:space="0" w:color="auto"/>
      </w:divBdr>
    </w:div>
    <w:div w:id="430703574">
      <w:bodyDiv w:val="1"/>
      <w:marLeft w:val="0"/>
      <w:marRight w:val="0"/>
      <w:marTop w:val="0"/>
      <w:marBottom w:val="0"/>
      <w:divBdr>
        <w:top w:val="none" w:sz="0" w:space="0" w:color="auto"/>
        <w:left w:val="none" w:sz="0" w:space="0" w:color="auto"/>
        <w:bottom w:val="none" w:sz="0" w:space="0" w:color="auto"/>
        <w:right w:val="none" w:sz="0" w:space="0" w:color="auto"/>
      </w:divBdr>
    </w:div>
    <w:div w:id="503587864">
      <w:bodyDiv w:val="1"/>
      <w:marLeft w:val="0"/>
      <w:marRight w:val="0"/>
      <w:marTop w:val="0"/>
      <w:marBottom w:val="0"/>
      <w:divBdr>
        <w:top w:val="none" w:sz="0" w:space="0" w:color="auto"/>
        <w:left w:val="none" w:sz="0" w:space="0" w:color="auto"/>
        <w:bottom w:val="none" w:sz="0" w:space="0" w:color="auto"/>
        <w:right w:val="none" w:sz="0" w:space="0" w:color="auto"/>
      </w:divBdr>
    </w:div>
    <w:div w:id="543443807">
      <w:bodyDiv w:val="1"/>
      <w:marLeft w:val="0"/>
      <w:marRight w:val="0"/>
      <w:marTop w:val="0"/>
      <w:marBottom w:val="0"/>
      <w:divBdr>
        <w:top w:val="none" w:sz="0" w:space="0" w:color="auto"/>
        <w:left w:val="none" w:sz="0" w:space="0" w:color="auto"/>
        <w:bottom w:val="none" w:sz="0" w:space="0" w:color="auto"/>
        <w:right w:val="none" w:sz="0" w:space="0" w:color="auto"/>
      </w:divBdr>
    </w:div>
    <w:div w:id="591670766">
      <w:bodyDiv w:val="1"/>
      <w:marLeft w:val="0"/>
      <w:marRight w:val="0"/>
      <w:marTop w:val="0"/>
      <w:marBottom w:val="0"/>
      <w:divBdr>
        <w:top w:val="none" w:sz="0" w:space="0" w:color="auto"/>
        <w:left w:val="none" w:sz="0" w:space="0" w:color="auto"/>
        <w:bottom w:val="none" w:sz="0" w:space="0" w:color="auto"/>
        <w:right w:val="none" w:sz="0" w:space="0" w:color="auto"/>
      </w:divBdr>
    </w:div>
    <w:div w:id="662198963">
      <w:bodyDiv w:val="1"/>
      <w:marLeft w:val="0"/>
      <w:marRight w:val="0"/>
      <w:marTop w:val="0"/>
      <w:marBottom w:val="0"/>
      <w:divBdr>
        <w:top w:val="none" w:sz="0" w:space="0" w:color="auto"/>
        <w:left w:val="none" w:sz="0" w:space="0" w:color="auto"/>
        <w:bottom w:val="none" w:sz="0" w:space="0" w:color="auto"/>
        <w:right w:val="none" w:sz="0" w:space="0" w:color="auto"/>
      </w:divBdr>
    </w:div>
    <w:div w:id="783427884">
      <w:bodyDiv w:val="1"/>
      <w:marLeft w:val="0"/>
      <w:marRight w:val="0"/>
      <w:marTop w:val="0"/>
      <w:marBottom w:val="0"/>
      <w:divBdr>
        <w:top w:val="none" w:sz="0" w:space="0" w:color="auto"/>
        <w:left w:val="none" w:sz="0" w:space="0" w:color="auto"/>
        <w:bottom w:val="none" w:sz="0" w:space="0" w:color="auto"/>
        <w:right w:val="none" w:sz="0" w:space="0" w:color="auto"/>
      </w:divBdr>
    </w:div>
    <w:div w:id="795484787">
      <w:bodyDiv w:val="1"/>
      <w:marLeft w:val="0"/>
      <w:marRight w:val="0"/>
      <w:marTop w:val="0"/>
      <w:marBottom w:val="0"/>
      <w:divBdr>
        <w:top w:val="none" w:sz="0" w:space="0" w:color="auto"/>
        <w:left w:val="none" w:sz="0" w:space="0" w:color="auto"/>
        <w:bottom w:val="none" w:sz="0" w:space="0" w:color="auto"/>
        <w:right w:val="none" w:sz="0" w:space="0" w:color="auto"/>
      </w:divBdr>
    </w:div>
    <w:div w:id="804741649">
      <w:bodyDiv w:val="1"/>
      <w:marLeft w:val="0"/>
      <w:marRight w:val="0"/>
      <w:marTop w:val="0"/>
      <w:marBottom w:val="0"/>
      <w:divBdr>
        <w:top w:val="none" w:sz="0" w:space="0" w:color="auto"/>
        <w:left w:val="none" w:sz="0" w:space="0" w:color="auto"/>
        <w:bottom w:val="none" w:sz="0" w:space="0" w:color="auto"/>
        <w:right w:val="none" w:sz="0" w:space="0" w:color="auto"/>
      </w:divBdr>
    </w:div>
    <w:div w:id="804742311">
      <w:bodyDiv w:val="1"/>
      <w:marLeft w:val="0"/>
      <w:marRight w:val="0"/>
      <w:marTop w:val="0"/>
      <w:marBottom w:val="0"/>
      <w:divBdr>
        <w:top w:val="none" w:sz="0" w:space="0" w:color="auto"/>
        <w:left w:val="none" w:sz="0" w:space="0" w:color="auto"/>
        <w:bottom w:val="none" w:sz="0" w:space="0" w:color="auto"/>
        <w:right w:val="none" w:sz="0" w:space="0" w:color="auto"/>
      </w:divBdr>
    </w:div>
    <w:div w:id="821118873">
      <w:bodyDiv w:val="1"/>
      <w:marLeft w:val="0"/>
      <w:marRight w:val="0"/>
      <w:marTop w:val="0"/>
      <w:marBottom w:val="0"/>
      <w:divBdr>
        <w:top w:val="none" w:sz="0" w:space="0" w:color="auto"/>
        <w:left w:val="none" w:sz="0" w:space="0" w:color="auto"/>
        <w:bottom w:val="none" w:sz="0" w:space="0" w:color="auto"/>
        <w:right w:val="none" w:sz="0" w:space="0" w:color="auto"/>
      </w:divBdr>
    </w:div>
    <w:div w:id="897980609">
      <w:bodyDiv w:val="1"/>
      <w:marLeft w:val="0"/>
      <w:marRight w:val="0"/>
      <w:marTop w:val="0"/>
      <w:marBottom w:val="0"/>
      <w:divBdr>
        <w:top w:val="none" w:sz="0" w:space="0" w:color="auto"/>
        <w:left w:val="none" w:sz="0" w:space="0" w:color="auto"/>
        <w:bottom w:val="none" w:sz="0" w:space="0" w:color="auto"/>
        <w:right w:val="none" w:sz="0" w:space="0" w:color="auto"/>
      </w:divBdr>
    </w:div>
    <w:div w:id="949897611">
      <w:bodyDiv w:val="1"/>
      <w:marLeft w:val="0"/>
      <w:marRight w:val="0"/>
      <w:marTop w:val="0"/>
      <w:marBottom w:val="0"/>
      <w:divBdr>
        <w:top w:val="none" w:sz="0" w:space="0" w:color="auto"/>
        <w:left w:val="none" w:sz="0" w:space="0" w:color="auto"/>
        <w:bottom w:val="none" w:sz="0" w:space="0" w:color="auto"/>
        <w:right w:val="none" w:sz="0" w:space="0" w:color="auto"/>
      </w:divBdr>
    </w:div>
    <w:div w:id="1167357364">
      <w:bodyDiv w:val="1"/>
      <w:marLeft w:val="0"/>
      <w:marRight w:val="0"/>
      <w:marTop w:val="0"/>
      <w:marBottom w:val="0"/>
      <w:divBdr>
        <w:top w:val="none" w:sz="0" w:space="0" w:color="auto"/>
        <w:left w:val="none" w:sz="0" w:space="0" w:color="auto"/>
        <w:bottom w:val="none" w:sz="0" w:space="0" w:color="auto"/>
        <w:right w:val="none" w:sz="0" w:space="0" w:color="auto"/>
      </w:divBdr>
    </w:div>
    <w:div w:id="1230270823">
      <w:bodyDiv w:val="1"/>
      <w:marLeft w:val="0"/>
      <w:marRight w:val="0"/>
      <w:marTop w:val="0"/>
      <w:marBottom w:val="0"/>
      <w:divBdr>
        <w:top w:val="none" w:sz="0" w:space="0" w:color="auto"/>
        <w:left w:val="none" w:sz="0" w:space="0" w:color="auto"/>
        <w:bottom w:val="none" w:sz="0" w:space="0" w:color="auto"/>
        <w:right w:val="none" w:sz="0" w:space="0" w:color="auto"/>
      </w:divBdr>
    </w:div>
    <w:div w:id="1309478145">
      <w:bodyDiv w:val="1"/>
      <w:marLeft w:val="0"/>
      <w:marRight w:val="0"/>
      <w:marTop w:val="0"/>
      <w:marBottom w:val="0"/>
      <w:divBdr>
        <w:top w:val="none" w:sz="0" w:space="0" w:color="auto"/>
        <w:left w:val="none" w:sz="0" w:space="0" w:color="auto"/>
        <w:bottom w:val="none" w:sz="0" w:space="0" w:color="auto"/>
        <w:right w:val="none" w:sz="0" w:space="0" w:color="auto"/>
      </w:divBdr>
    </w:div>
    <w:div w:id="1487235007">
      <w:bodyDiv w:val="1"/>
      <w:marLeft w:val="0"/>
      <w:marRight w:val="0"/>
      <w:marTop w:val="0"/>
      <w:marBottom w:val="0"/>
      <w:divBdr>
        <w:top w:val="none" w:sz="0" w:space="0" w:color="auto"/>
        <w:left w:val="none" w:sz="0" w:space="0" w:color="auto"/>
        <w:bottom w:val="none" w:sz="0" w:space="0" w:color="auto"/>
        <w:right w:val="none" w:sz="0" w:space="0" w:color="auto"/>
      </w:divBdr>
    </w:div>
    <w:div w:id="1516312328">
      <w:bodyDiv w:val="1"/>
      <w:marLeft w:val="0"/>
      <w:marRight w:val="0"/>
      <w:marTop w:val="0"/>
      <w:marBottom w:val="0"/>
      <w:divBdr>
        <w:top w:val="none" w:sz="0" w:space="0" w:color="auto"/>
        <w:left w:val="none" w:sz="0" w:space="0" w:color="auto"/>
        <w:bottom w:val="none" w:sz="0" w:space="0" w:color="auto"/>
        <w:right w:val="none" w:sz="0" w:space="0" w:color="auto"/>
      </w:divBdr>
    </w:div>
    <w:div w:id="1550070951">
      <w:bodyDiv w:val="1"/>
      <w:marLeft w:val="0"/>
      <w:marRight w:val="0"/>
      <w:marTop w:val="0"/>
      <w:marBottom w:val="0"/>
      <w:divBdr>
        <w:top w:val="none" w:sz="0" w:space="0" w:color="auto"/>
        <w:left w:val="none" w:sz="0" w:space="0" w:color="auto"/>
        <w:bottom w:val="none" w:sz="0" w:space="0" w:color="auto"/>
        <w:right w:val="none" w:sz="0" w:space="0" w:color="auto"/>
      </w:divBdr>
    </w:div>
    <w:div w:id="1643920289">
      <w:bodyDiv w:val="1"/>
      <w:marLeft w:val="0"/>
      <w:marRight w:val="0"/>
      <w:marTop w:val="0"/>
      <w:marBottom w:val="0"/>
      <w:divBdr>
        <w:top w:val="none" w:sz="0" w:space="0" w:color="auto"/>
        <w:left w:val="none" w:sz="0" w:space="0" w:color="auto"/>
        <w:bottom w:val="none" w:sz="0" w:space="0" w:color="auto"/>
        <w:right w:val="none" w:sz="0" w:space="0" w:color="auto"/>
      </w:divBdr>
    </w:div>
    <w:div w:id="1720855239">
      <w:bodyDiv w:val="1"/>
      <w:marLeft w:val="0"/>
      <w:marRight w:val="0"/>
      <w:marTop w:val="0"/>
      <w:marBottom w:val="0"/>
      <w:divBdr>
        <w:top w:val="none" w:sz="0" w:space="0" w:color="auto"/>
        <w:left w:val="none" w:sz="0" w:space="0" w:color="auto"/>
        <w:bottom w:val="none" w:sz="0" w:space="0" w:color="auto"/>
        <w:right w:val="none" w:sz="0" w:space="0" w:color="auto"/>
      </w:divBdr>
    </w:div>
    <w:div w:id="1741638662">
      <w:bodyDiv w:val="1"/>
      <w:marLeft w:val="0"/>
      <w:marRight w:val="0"/>
      <w:marTop w:val="0"/>
      <w:marBottom w:val="0"/>
      <w:divBdr>
        <w:top w:val="none" w:sz="0" w:space="0" w:color="auto"/>
        <w:left w:val="none" w:sz="0" w:space="0" w:color="auto"/>
        <w:bottom w:val="none" w:sz="0" w:space="0" w:color="auto"/>
        <w:right w:val="none" w:sz="0" w:space="0" w:color="auto"/>
      </w:divBdr>
    </w:div>
    <w:div w:id="1836071723">
      <w:bodyDiv w:val="1"/>
      <w:marLeft w:val="0"/>
      <w:marRight w:val="0"/>
      <w:marTop w:val="0"/>
      <w:marBottom w:val="0"/>
      <w:divBdr>
        <w:top w:val="none" w:sz="0" w:space="0" w:color="auto"/>
        <w:left w:val="none" w:sz="0" w:space="0" w:color="auto"/>
        <w:bottom w:val="none" w:sz="0" w:space="0" w:color="auto"/>
        <w:right w:val="none" w:sz="0" w:space="0" w:color="auto"/>
      </w:divBdr>
    </w:div>
    <w:div w:id="1881698843">
      <w:bodyDiv w:val="1"/>
      <w:marLeft w:val="0"/>
      <w:marRight w:val="0"/>
      <w:marTop w:val="0"/>
      <w:marBottom w:val="0"/>
      <w:divBdr>
        <w:top w:val="none" w:sz="0" w:space="0" w:color="auto"/>
        <w:left w:val="none" w:sz="0" w:space="0" w:color="auto"/>
        <w:bottom w:val="none" w:sz="0" w:space="0" w:color="auto"/>
        <w:right w:val="none" w:sz="0" w:space="0" w:color="auto"/>
      </w:divBdr>
    </w:div>
    <w:div w:id="1923100367">
      <w:bodyDiv w:val="1"/>
      <w:marLeft w:val="0"/>
      <w:marRight w:val="0"/>
      <w:marTop w:val="0"/>
      <w:marBottom w:val="0"/>
      <w:divBdr>
        <w:top w:val="none" w:sz="0" w:space="0" w:color="auto"/>
        <w:left w:val="none" w:sz="0" w:space="0" w:color="auto"/>
        <w:bottom w:val="none" w:sz="0" w:space="0" w:color="auto"/>
        <w:right w:val="none" w:sz="0" w:space="0" w:color="auto"/>
      </w:divBdr>
    </w:div>
    <w:div w:id="210425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Gul13</b:Tag>
    <b:SourceType>JournalArticle</b:SourceType>
    <b:Guid>{C1C77BD3-7BB8-45F9-AC30-7094AFA1C0E3}</b:Guid>
    <b:Author>
      <b:Author>
        <b:NameList>
          <b:Person>
            <b:Last>Gul</b:Last>
            <b:First>Ferdinand</b:First>
            <b:Middle>A.</b:Middle>
          </b:Person>
          <b:Person>
            <b:Last>Wu</b:Last>
            <b:First>Donghui</b:First>
          </b:Person>
          <b:Person>
            <b:Last>Yang</b:Last>
            <b:First>Zhifeng</b:First>
          </b:Person>
        </b:NameList>
      </b:Author>
    </b:Author>
    <b:Title>Do Individual Auditors Affect Audit Quality? Evidence from Archival Data</b:Title>
    <b:JournalName>The Accounting Review</b:JournalName>
    <b:Year>2013</b:Year>
    <b:Pages>1993-2023</b:Pages>
    <b:Volume>88</b:Volume>
    <b:Issue>6</b:Issue>
    <b:RefOrder>7</b:RefOrder>
  </b:Source>
  <b:Source>
    <b:Tag>Bel15</b:Tag>
    <b:SourceType>JournalArticle</b:SourceType>
    <b:Guid>{1C20AC70-7843-4CF1-AD0D-DB5776F58EF2}</b:Guid>
    <b:Author>
      <b:Author>
        <b:NameList>
          <b:Person>
            <b:Last>Bell</b:Last>
            <b:Middle>B</b:Middle>
            <b:First>Timothy</b:First>
          </b:Person>
          <b:Person>
            <b:Last>Causholli</b:Last>
            <b:First>Monika</b:First>
          </b:Person>
          <b:Person>
            <b:Last>Knechel</b:Last>
            <b:Middle>Robert</b:Middle>
            <b:First>W.</b:First>
          </b:Person>
        </b:NameList>
      </b:Author>
    </b:Author>
    <b:Title>Audit Firm Tenure, Non‐Audit Services, and Internal Assessments of Audit Quality</b:Title>
    <b:Year>2015</b:Year>
    <b:JournalName>Journal of Accounting Research</b:JournalName>
    <b:Pages>461-509</b:Pages>
    <b:Volume>53</b:Volume>
    <b:Issue>3</b:Issue>
    <b:RefOrder>11</b:RefOrder>
  </b:Source>
  <b:Source>
    <b:Tag>LiL17</b:Tag>
    <b:SourceType>JournalArticle</b:SourceType>
    <b:Guid>{5CEF3EBB-8633-4323-A203-FFF5C8EC0457}</b:Guid>
    <b:Author>
      <b:Author>
        <b:NameList>
          <b:Person>
            <b:Last>Li</b:Last>
            <b:First>L.</b:First>
          </b:Person>
          <b:Person>
            <b:Last>Qi</b:Last>
            <b:First>B.</b:First>
          </b:Person>
          <b:Person>
            <b:Last>Tian</b:Last>
            <b:First>G.</b:First>
          </b:Person>
          <b:Person>
            <b:Last>Zhang</b:Last>
            <b:First>G.</b:First>
          </b:Person>
        </b:NameList>
      </b:Author>
    </b:Author>
    <b:Title>The Contagion Effect of Low-Quality Audits at the Level of Individual Auditors</b:Title>
    <b:JournalName>The Accounting Review</b:JournalName>
    <b:Year>2017</b:Year>
    <b:Pages>137-163</b:Pages>
    <b:Volume>92</b:Volume>
    <b:Issue>1</b:Issue>
    <b:RefOrder>8</b:RefOrder>
  </b:Source>
  <b:Source>
    <b:Tag>Bro16</b:Tag>
    <b:SourceType>JournalArticle</b:SourceType>
    <b:Guid>{4528F741-EDB6-4E3F-8B72-F8BD718E01C6}</b:Guid>
    <b:Author>
      <b:Author>
        <b:NameList>
          <b:Person>
            <b:Last>Brown</b:Last>
            <b:First>Veena</b:First>
            <b:Middle>L</b:Middle>
          </b:Person>
          <b:Person>
            <b:Last>Gissel</b:Last>
            <b:First>Jodi</b:First>
            <b:Middle>L</b:Middle>
          </b:Person>
          <b:Person>
            <b:Last>Gordon Neely</b:Last>
            <b:First>Daniel</b:First>
          </b:Person>
        </b:NameList>
      </b:Author>
    </b:Author>
    <b:Title>Audit quality indicators: perceptions of junior-level auditors</b:Title>
    <b:JournalName>Managerial Auditing Journal</b:JournalName>
    <b:Year>2016</b:Year>
    <b:Pages>949-980</b:Pages>
    <b:Volume>31</b:Volume>
    <b:Issue>8/9</b:Issue>
    <b:RefOrder>12</b:RefOrder>
  </b:Source>
  <b:Source>
    <b:Tag>Her01</b:Tag>
    <b:SourceType>JournalArticle</b:SourceType>
    <b:Guid>{8B31B1BB-0CD7-4F56-9C8F-C3F01459A236}</b:Guid>
    <b:Author>
      <b:Author>
        <b:NameList>
          <b:Person>
            <b:Last>Herrbach</b:Last>
            <b:First>Olivier</b:First>
          </b:Person>
        </b:NameList>
      </b:Author>
    </b:Author>
    <b:Title>Audit quality, auditor behaviour and the psychological contract</b:Title>
    <b:JournalName>The European Accounting Review</b:JournalName>
    <b:Year>2001</b:Year>
    <b:Pages>787-802</b:Pages>
    <b:Volume>10</b:Volume>
    <b:Issue>4</b:Issue>
    <b:RefOrder>13</b:RefOrder>
  </b:Source>
  <b:Source>
    <b:Tag>Nay12</b:Tag>
    <b:SourceType>JournalArticle</b:SourceType>
    <b:Guid>{32874C89-4D95-4079-925E-04A8E69E2D20}</b:Guid>
    <b:Author>
      <b:Author>
        <b:NameList>
          <b:Person>
            <b:Last>Nayar</b:Last>
            <b:First>Shoba</b:First>
          </b:Person>
        </b:NameList>
      </b:Author>
    </b:Author>
    <b:Title>Grounded Theory: A Research Methodology for Occupational Science</b:Title>
    <b:Year>2012</b:Year>
    <b:JournalName>Journal of Occupational Science</b:JournalName>
    <b:Pages>76-82</b:Pages>
    <b:Volume>19</b:Volume>
    <b:Issue>1</b:Issue>
    <b:RefOrder>1</b:RefOrder>
  </b:Source>
  <b:Source>
    <b:Tag>Thi16</b:Tag>
    <b:SourceType>JournalArticle</b:SourceType>
    <b:Guid>{783F1ADC-B1F6-4B6F-8BA4-197BBF91EC3D}</b:Guid>
    <b:Author>
      <b:Author>
        <b:NameList>
          <b:Person>
            <b:Last>Thistoll</b:Last>
            <b:First>T.</b:First>
          </b:Person>
          <b:Person>
            <b:Last>Hooper</b:Last>
            <b:First>V.</b:First>
          </b:Person>
          <b:Person>
            <b:Last>Pauleen</b:Last>
            <b:First>D.J.</b:First>
          </b:Person>
        </b:NameList>
      </b:Author>
    </b:Author>
    <b:Title>Acquiring and developing theoretical sensitivity through undertaking a grounded preliminary literature review</b:Title>
    <b:JournalName>Quality &amp; Quantity</b:JournalName>
    <b:Year>2016</b:Year>
    <b:Pages>619-636</b:Pages>
    <b:Volume>50</b:Volume>
    <b:RefOrder>14</b:RefOrder>
  </b:Source>
  <b:Source>
    <b:Tag>Urq10</b:Tag>
    <b:SourceType>JournalArticle</b:SourceType>
    <b:Guid>{63281746-A984-4BFC-9761-AF4A9C3784CB}</b:Guid>
    <b:Title>Putting the ‘theory’ back into grounded theory: guidelines for grounded theory studies in information systems</b:Title>
    <b:JournalName> Information Systems Journal</b:JournalName>
    <b:Year>2010</b:Year>
    <b:Pages>357-381</b:Pages>
    <b:Volume>20</b:Volume>
    <b:Author>
      <b:Author>
        <b:NameList>
          <b:Person>
            <b:Last>Urquhart</b:Last>
            <b:First>Cathy</b:First>
          </b:Person>
          <b:Person>
            <b:Last>Lehmann</b:Last>
            <b:First>Hans</b:First>
          </b:Person>
          <b:Person>
            <b:Last>Myers</b:Last>
            <b:First>Michael</b:First>
          </b:Person>
        </b:NameList>
      </b:Author>
    </b:Author>
    <b:RefOrder>2</b:RefOrder>
  </b:Source>
  <b:Source>
    <b:Tag>DeA81</b:Tag>
    <b:SourceType>JournalArticle</b:SourceType>
    <b:Guid>{4FFCFE91-B6E3-4D78-A168-475DAFC0F9BC}</b:Guid>
    <b:Title>Auditor Size and Audit Quality</b:Title>
    <b:Year>1981</b:Year>
    <b:Pages>183-199</b:Pages>
    <b:JournalName>Journal of Accounting and Economics</b:JournalName>
    <b:Volume>3</b:Volume>
    <b:Author>
      <b:Author>
        <b:NameList>
          <b:Person>
            <b:Last>DeAngelo</b:Last>
            <b:Middle>Elizabeth</b:Middle>
            <b:First>Linda</b:First>
          </b:Person>
        </b:NameList>
      </b:Author>
    </b:Author>
    <b:RefOrder>3</b:RefOrder>
  </b:Source>
  <b:Source>
    <b:Tag>Bry19</b:Tag>
    <b:SourceType>Report</b:SourceType>
    <b:Guid>{1AB13EA5-37B6-4169-AED9-F751EF7E4439}</b:Guid>
    <b:Title>Assess, Assure and Inform, Improving Audit Quality and Effectiveness</b:Title>
    <b:Year>2019</b:Year>
    <b:Author>
      <b:Author>
        <b:NameList>
          <b:Person>
            <b:Last>Brydon</b:Last>
            <b:First>Donald</b:First>
          </b:Person>
        </b:NameList>
      </b:Author>
    </b:Author>
    <b:Publisher>Her Majesty’s Stationery Office</b:Publisher>
    <b:City>London</b:City>
    <b:RefOrder>15</b:RefOrder>
  </b:Source>
  <b:Source>
    <b:Tag>Kin18</b:Tag>
    <b:SourceType>Report</b:SourceType>
    <b:Guid>{0A184F3D-65F0-40BE-AC39-4BE1CA9822C0}</b:Guid>
    <b:Title>Independent Review of the Financial Reporting Council</b:Title>
    <b:Year>2018</b:Year>
    <b:Author>
      <b:Author>
        <b:NameList>
          <b:Person>
            <b:Last>Kingman</b:Last>
            <b:First>John</b:First>
          </b:Person>
        </b:NameList>
      </b:Author>
    </b:Author>
    <b:Publisher> Her Majesty’s Stationery Office</b:Publisher>
    <b:City>London</b:City>
    <b:RefOrder>4</b:RefOrder>
  </b:Source>
  <b:Source>
    <b:Tag>Bus19</b:Tag>
    <b:SourceType>InternetSite</b:SourceType>
    <b:Guid>{02440A09-E900-4247-98FF-260BF7F3D03F}</b:Guid>
    <b:Author>
      <b:Author>
        <b:Corporate>BEISC</b:Corporate>
      </b:Author>
    </b:Author>
    <b:Title>Future of audit inquiry</b:Title>
    <b:Year>2019</b:Year>
    <b:YearAccessed>2020</b:YearAccessed>
    <b:MonthAccessed>11</b:MonthAccessed>
    <b:DayAccessed>25</b:DayAccessed>
    <b:URL>https://old.parliament.uk/business/committees/committees-a-z/commons-select/business-energy-industrial-strategy/inquiries/parliament-2017/future-of-audit-17-19/</b:URL>
    <b:RefOrder>5</b:RefOrder>
  </b:Source>
  <b:Source>
    <b:Tag>Hus06</b:Tag>
    <b:SourceType>JournalArticle</b:SourceType>
    <b:Guid>{B989C7F1-5AF8-47C9-8EC7-CC2ED0B1A572}</b:Guid>
    <b:Title>Toward a Model of Cross-Cultural Business Ethics: The Impact of Individualism and Collectivism on the Ethical Decision-Making Process</b:Title>
    <b:JournalName>Journal of Business Ethics</b:JournalName>
    <b:Year>2006</b:Year>
    <b:Pages>293-305</b:Pages>
    <b:Volume>82</b:Volume>
    <b:Issue>2</b:Issue>
    <b:Author>
      <b:Author>
        <b:NameList>
          <b:Person>
            <b:Last>Husted</b:Last>
            <b:Middle>W.</b:Middle>
            <b:First>Bryan</b:First>
          </b:Person>
          <b:Person>
            <b:Last>Allen</b:Last>
            <b:Middle>B.</b:Middle>
            <b:First>David</b:First>
          </b:Person>
        </b:NameList>
      </b:Author>
    </b:Author>
    <b:RefOrder>6</b:RefOrder>
  </b:Source>
  <b:Source>
    <b:Tag>SuL16</b:Tag>
    <b:SourceType>JournalArticle</b:SourceType>
    <b:Guid>{C8894C04-C75F-4E87-BF2B-23CE26732B8D}</b:Guid>
    <b:Title>Is Audit Behavior Contagious? Teamwork Experience and Audit Quality by Individual Auditors</b:Title>
    <b:JournalName>SSRN Electronic Journal</b:JournalName>
    <b:Year>2019</b:Year>
    <b:Issue>May</b:Issue>
    <b:Author>
      <b:Author>
        <b:NameList>
          <b:Person>
            <b:Last>Su</b:Last>
            <b:First>Lixin</b:First>
          </b:Person>
          <b:Person>
            <b:Last>Wu</b:Last>
            <b:First>Donghui</b:First>
          </b:Person>
        </b:NameList>
      </b:Author>
    </b:Author>
    <b:RefOrder>16</b:RefOrder>
  </b:Source>
  <b:Source>
    <b:Tag>Bea11</b:Tag>
    <b:SourceType>Book</b:SourceType>
    <b:Guid>{D3C4E103-A48D-4C5B-A8F6-231CB5790A18}</b:Guid>
    <b:Title>Factors affecting audit quality in the 2007 UK regulatory environment : perceptions of chief financial officers, audit committee chairs and audit engagement partners</b:Title>
    <b:Year>2011</b:Year>
    <b:Author>
      <b:Author>
        <b:NameList>
          <b:Person>
            <b:Last>Beattie</b:Last>
            <b:First>Vivien</b:First>
          </b:Person>
          <b:Person>
            <b:Last>Fearnley</b:Last>
            <b:First>Stella</b:First>
          </b:Person>
          <b:Person>
            <b:Last>Hines</b:Last>
            <b:First>Tony</b:First>
          </b:Person>
        </b:NameList>
      </b:Author>
    </b:Author>
    <b:City>Glasgow</b:City>
    <b:Publisher>Univ. of Glasgow, Dep. of Economics</b:Publisher>
    <b:RefOrder>17</b:RefOrder>
  </b:Source>
  <b:Source>
    <b:Tag>Sul18</b:Tag>
    <b:SourceType>JournalArticle</b:SourceType>
    <b:Guid>{EF98D777-B42B-45BE-B117-380EBE1E04C1}</b:Guid>
    <b:Title>Attributes and Drivers of Audit Quality: The Perceptions of Quality Inspectors in the UK</b:Title>
    <b:Year>2018</b:Year>
    <b:Author>
      <b:Author>
        <b:NameList>
          <b:Person>
            <b:Last>Sulaiman</b:Last>
            <b:Middle>Adwa</b:Middle>
            <b:First>Noor</b:First>
          </b:Person>
        </b:NameList>
      </b:Author>
    </b:Author>
    <b:JournalName>Asian Journal of Accounting and Governance</b:JournalName>
    <b:Pages>23-35</b:Pages>
    <b:Volume>10</b:Volume>
    <b:RefOrder>10</b:RefOrder>
  </b:Source>
  <b:Source>
    <b:Tag>Sul181</b:Tag>
    <b:SourceType>JournalArticle</b:SourceType>
    <b:Guid>{90D1645F-5142-483A-A373-70D8D0EFA561}</b:Guid>
    <b:Title>PERSPECTIVES ON AUDIT QUALITY: AN ANALYSIS</b:Title>
    <b:JournalName>Asian Journal ofAccounting Perspectives</b:JournalName>
    <b:Year>2018</b:Year>
    <b:Pages>1-27</b:Pages>
    <b:Volume>11</b:Volume>
    <b:Issue>1</b:Issue>
    <b:Author>
      <b:Author>
        <b:NameList>
          <b:Person>
            <b:Last>Sulaiman</b:Last>
            <b:Middle>Adwa</b:Middle>
            <b:First>Noor</b:First>
          </b:Person>
          <b:Person>
            <b:Last>Yasin</b:Last>
            <b:Middle>Mat</b:Middle>
            <b:First>Fatimah</b:First>
          </b:Person>
          <b:Person>
            <b:Last>Muhamad</b:Last>
            <b:First>Rusnah</b:First>
          </b:Person>
        </b:NameList>
      </b:Author>
    </b:Author>
    <b:RefOrder>9</b:RefOrder>
  </b:Source>
</b:Sources>
</file>

<file path=customXml/itemProps1.xml><?xml version="1.0" encoding="utf-8"?>
<ds:datastoreItem xmlns:ds="http://schemas.openxmlformats.org/officeDocument/2006/customXml" ds:itemID="{92140DD0-7668-416D-ADA5-0328AE904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676</TotalTime>
  <Pages>11</Pages>
  <Words>2898</Words>
  <Characters>16522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Literature Review Chapter Draft</vt:lpstr>
    </vt:vector>
  </TitlesOfParts>
  <Company/>
  <LinksUpToDate>false</LinksUpToDate>
  <CharactersWithSpaces>19382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Chapter</dc:title>
  <dc:subject/>
  <dc:creator>Peter Basford</dc:creator>
  <cp:keywords/>
  <dc:description/>
  <cp:lastModifiedBy>Peter Basford</cp:lastModifiedBy>
  <cp:revision>4</cp:revision>
  <dcterms:created xsi:type="dcterms:W3CDTF">2021-01-29T12:07:00Z</dcterms:created>
  <dcterms:modified xsi:type="dcterms:W3CDTF">2021-02-07T21:50:00Z</dcterms:modified>
</cp:coreProperties>
</file>