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385F6" w14:textId="7B85EFC1" w:rsidR="006E3465" w:rsidRPr="006E3465" w:rsidRDefault="006E3465">
      <w:pPr>
        <w:spacing w:line="259" w:lineRule="auto"/>
        <w:jc w:val="left"/>
        <w:rPr>
          <w:rFonts w:eastAsiaTheme="majorEastAsia" w:cs="Arial"/>
          <w:b/>
          <w:color w:val="2F5496" w:themeColor="accent1" w:themeShade="BF"/>
          <w:sz w:val="32"/>
          <w:szCs w:val="32"/>
        </w:rPr>
      </w:pPr>
    </w:p>
    <w:p w14:paraId="6580A51E" w14:textId="54DAC565" w:rsidR="0098173F" w:rsidRPr="006E3465" w:rsidRDefault="00032AE2" w:rsidP="00C53061">
      <w:pPr>
        <w:pStyle w:val="Heading1"/>
        <w:rPr>
          <w:rFonts w:ascii="Arial" w:hAnsi="Arial" w:cs="Arial"/>
        </w:rPr>
      </w:pPr>
      <w:bookmarkStart w:id="0" w:name="_Toc142179203"/>
      <w:r w:rsidRPr="006E3465">
        <w:rPr>
          <w:rFonts w:ascii="Arial" w:hAnsi="Arial" w:cs="Arial"/>
        </w:rPr>
        <w:t>Introduction</w:t>
      </w:r>
      <w:bookmarkEnd w:id="0"/>
    </w:p>
    <w:p w14:paraId="716F3BBA" w14:textId="0616D8E3" w:rsidR="005B0E4C" w:rsidRPr="006E3465" w:rsidRDefault="005B0E4C" w:rsidP="00C53061">
      <w:pPr>
        <w:rPr>
          <w:rFonts w:cs="Arial"/>
        </w:rPr>
      </w:pPr>
      <w:r w:rsidRPr="006E3465">
        <w:rPr>
          <w:rFonts w:cs="Arial"/>
        </w:rPr>
        <w:t xml:space="preserve">The English and Welsh judiciary is based on concepts that guarantee impartiality, equity, and the application of legislation. Such Counsel is responsible for </w:t>
      </w:r>
      <w:r w:rsidR="009D41DD">
        <w:rPr>
          <w:rFonts w:cs="Arial"/>
        </w:rPr>
        <w:t>ensuring</w:t>
      </w:r>
      <w:r w:rsidRPr="006E3465">
        <w:rPr>
          <w:rFonts w:cs="Arial"/>
        </w:rPr>
        <w:t xml:space="preserve"> these ideals are adhered to </w:t>
      </w:r>
      <w:r w:rsidR="00403D21" w:rsidRPr="006E3465">
        <w:rPr>
          <w:rFonts w:cs="Arial"/>
        </w:rPr>
        <w:t>at</w:t>
      </w:r>
      <w:r w:rsidRPr="006E3465">
        <w:rPr>
          <w:rFonts w:cs="Arial"/>
        </w:rPr>
        <w:t xml:space="preserve"> the core of this legal framework. They are officials for the CPS and perform a vital and varied function within the field of criminal law</w:t>
      </w:r>
      <w:r w:rsidR="00BE328C" w:rsidRPr="006E3465">
        <w:rPr>
          <w:rFonts w:cs="Arial"/>
        </w:rPr>
        <w:t xml:space="preserve"> (Baker, 2020)</w:t>
      </w:r>
      <w:r w:rsidRPr="006E3465">
        <w:rPr>
          <w:rFonts w:cs="Arial"/>
        </w:rPr>
        <w:t>.</w:t>
      </w:r>
    </w:p>
    <w:p w14:paraId="53534E52" w14:textId="6EF5AD59" w:rsidR="005B0E4C" w:rsidRPr="006E3465" w:rsidRDefault="005B0E4C" w:rsidP="00C53061">
      <w:pPr>
        <w:rPr>
          <w:rFonts w:cs="Arial"/>
        </w:rPr>
      </w:pPr>
      <w:r w:rsidRPr="006E3465">
        <w:rPr>
          <w:rFonts w:cs="Arial"/>
        </w:rPr>
        <w:t xml:space="preserve">This paper intends to provide a comprehensive examination of the function of the prosecutor of </w:t>
      </w:r>
      <w:r w:rsidR="00403D21" w:rsidRPr="006E3465">
        <w:rPr>
          <w:rFonts w:cs="Arial"/>
        </w:rPr>
        <w:t xml:space="preserve">the </w:t>
      </w:r>
      <w:r w:rsidRPr="006E3465">
        <w:rPr>
          <w:rFonts w:cs="Arial"/>
        </w:rPr>
        <w:t xml:space="preserve">crown, an official with </w:t>
      </w:r>
      <w:r w:rsidR="009D41DD">
        <w:rPr>
          <w:rFonts w:cs="Arial"/>
        </w:rPr>
        <w:t>significant</w:t>
      </w:r>
      <w:r w:rsidRPr="006E3465">
        <w:rPr>
          <w:rFonts w:cs="Arial"/>
        </w:rPr>
        <w:t xml:space="preserve"> duties and expectancies. Their responsibilities are extensive and involve a variety of facets, such as the careful examination and assessment of proof, the formulation of crucial imposing choices, the prosecution of cases, the provision of legal counsel to police departments, the interaction with witnesses and perpetrators, and the maintenance of high moral standards.</w:t>
      </w:r>
    </w:p>
    <w:p w14:paraId="3DF09474" w14:textId="2C98D6B6" w:rsidR="005B0E4C" w:rsidRPr="006E3465" w:rsidRDefault="005B0E4C" w:rsidP="00C53061">
      <w:pPr>
        <w:rPr>
          <w:rFonts w:cs="Arial"/>
        </w:rPr>
      </w:pPr>
      <w:r w:rsidRPr="006E3465">
        <w:rPr>
          <w:rFonts w:cs="Arial"/>
        </w:rPr>
        <w:t>In addition, the report will examine the particular regulations applied when determining charges</w:t>
      </w:r>
      <w:r w:rsidR="00BE328C" w:rsidRPr="006E3465">
        <w:rPr>
          <w:rFonts w:cs="Arial"/>
        </w:rPr>
        <w:t xml:space="preserve"> (Baker, 2020)</w:t>
      </w:r>
      <w:r w:rsidRPr="006E3465">
        <w:rPr>
          <w:rFonts w:cs="Arial"/>
        </w:rPr>
        <w:t xml:space="preserve">. Such choices are based on widely </w:t>
      </w:r>
      <w:r w:rsidR="009D41DD">
        <w:rPr>
          <w:rFonts w:cs="Arial"/>
        </w:rPr>
        <w:t>recognised</w:t>
      </w:r>
      <w:r w:rsidRPr="006E3465">
        <w:rPr>
          <w:rFonts w:cs="Arial"/>
        </w:rPr>
        <w:t xml:space="preserve"> legal requirements that seek to guarantee uniformity, neutrality, and obedience to the system of law and cannot be taken carelessly.</w:t>
      </w:r>
    </w:p>
    <w:p w14:paraId="19D05708" w14:textId="77777777" w:rsidR="000B3D95" w:rsidRPr="006E3465" w:rsidRDefault="000B3D95">
      <w:pPr>
        <w:spacing w:line="259" w:lineRule="auto"/>
        <w:jc w:val="left"/>
        <w:rPr>
          <w:rFonts w:eastAsiaTheme="majorEastAsia" w:cs="Arial"/>
          <w:b/>
          <w:color w:val="2F5496" w:themeColor="accent1" w:themeShade="BF"/>
          <w:sz w:val="32"/>
          <w:szCs w:val="32"/>
        </w:rPr>
      </w:pPr>
      <w:r w:rsidRPr="006E3465">
        <w:rPr>
          <w:rFonts w:cs="Arial"/>
        </w:rPr>
        <w:br w:type="page"/>
      </w:r>
    </w:p>
    <w:p w14:paraId="517BF8DC" w14:textId="0FF0810C" w:rsidR="005B0E4C" w:rsidRPr="006E3465" w:rsidRDefault="005B0E4C" w:rsidP="00C53061">
      <w:pPr>
        <w:pStyle w:val="Heading1"/>
        <w:rPr>
          <w:rFonts w:ascii="Arial" w:hAnsi="Arial" w:cs="Arial"/>
        </w:rPr>
      </w:pPr>
      <w:bookmarkStart w:id="1" w:name="_Toc142179204"/>
      <w:r w:rsidRPr="006E3465">
        <w:rPr>
          <w:rFonts w:ascii="Arial" w:hAnsi="Arial" w:cs="Arial"/>
        </w:rPr>
        <w:lastRenderedPageBreak/>
        <w:t xml:space="preserve">The Crown </w:t>
      </w:r>
      <w:r w:rsidR="000B3D95" w:rsidRPr="006E3465">
        <w:rPr>
          <w:rFonts w:ascii="Arial" w:hAnsi="Arial" w:cs="Arial"/>
        </w:rPr>
        <w:t>Prosecutor</w:t>
      </w:r>
      <w:bookmarkEnd w:id="1"/>
      <w:r w:rsidRPr="006E3465">
        <w:rPr>
          <w:rFonts w:ascii="Arial" w:hAnsi="Arial" w:cs="Arial"/>
        </w:rPr>
        <w:t xml:space="preserve"> </w:t>
      </w:r>
    </w:p>
    <w:p w14:paraId="1C06FE25" w14:textId="31A293E6" w:rsidR="005B0E4C" w:rsidRPr="006E3465" w:rsidRDefault="005B0E4C" w:rsidP="00C53061">
      <w:pPr>
        <w:rPr>
          <w:rFonts w:cs="Arial"/>
        </w:rPr>
      </w:pPr>
      <w:r w:rsidRPr="006E3465">
        <w:rPr>
          <w:rFonts w:cs="Arial"/>
        </w:rPr>
        <w:t xml:space="preserve">CPS is an </w:t>
      </w:r>
      <w:r w:rsidR="009D41DD">
        <w:rPr>
          <w:rFonts w:cs="Arial"/>
        </w:rPr>
        <w:t>essential</w:t>
      </w:r>
      <w:r w:rsidRPr="006E3465">
        <w:rPr>
          <w:rFonts w:cs="Arial"/>
        </w:rPr>
        <w:t xml:space="preserve"> body in the United Kingdom</w:t>
      </w:r>
      <w:r w:rsidR="00403D21" w:rsidRPr="006E3465">
        <w:rPr>
          <w:rFonts w:cs="Arial"/>
        </w:rPr>
        <w:t xml:space="preserve"> </w:t>
      </w:r>
      <w:r w:rsidRPr="006E3465">
        <w:rPr>
          <w:rFonts w:cs="Arial"/>
        </w:rPr>
        <w:t xml:space="preserve">penal system, charged with defending charges handled by law enforcement and other judicial bodies. The Prosecutor is at the top of this role, guaranteeing the equitable and unbiased execution of legislation. This vital public servant functions at the crossroads of law, equity, and the community, administering the law to specific situations while assuring </w:t>
      </w:r>
      <w:r w:rsidR="009D41DD">
        <w:rPr>
          <w:rFonts w:cs="Arial"/>
        </w:rPr>
        <w:t xml:space="preserve">upholding </w:t>
      </w:r>
      <w:r w:rsidRPr="006E3465">
        <w:rPr>
          <w:rFonts w:cs="Arial"/>
        </w:rPr>
        <w:t>the larger ideals of fairness</w:t>
      </w:r>
      <w:r w:rsidR="00C53061" w:rsidRPr="006E3465">
        <w:rPr>
          <w:rFonts w:cs="Arial"/>
        </w:rPr>
        <w:t xml:space="preserve"> (</w:t>
      </w:r>
      <w:proofErr w:type="spellStart"/>
      <w:r w:rsidR="00C53061" w:rsidRPr="006E3465">
        <w:rPr>
          <w:rFonts w:cs="Arial"/>
        </w:rPr>
        <w:t>Weigend</w:t>
      </w:r>
      <w:proofErr w:type="spellEnd"/>
      <w:r w:rsidR="00C53061" w:rsidRPr="006E3465">
        <w:rPr>
          <w:rFonts w:cs="Arial"/>
        </w:rPr>
        <w:t>, 2022)</w:t>
      </w:r>
      <w:r w:rsidRPr="006E3465">
        <w:rPr>
          <w:rFonts w:cs="Arial"/>
        </w:rPr>
        <w:t>.</w:t>
      </w:r>
    </w:p>
    <w:p w14:paraId="5424903D" w14:textId="38591B1C" w:rsidR="005B0E4C" w:rsidRPr="006E3465" w:rsidRDefault="009D41DD" w:rsidP="00C53061">
      <w:pPr>
        <w:rPr>
          <w:rFonts w:cs="Arial"/>
        </w:rPr>
      </w:pPr>
      <w:r>
        <w:rPr>
          <w:rFonts w:cs="Arial"/>
        </w:rPr>
        <w:t>The Crown Counsel represents impartiality and law in law enforcement's complex and frequently tricky realm</w:t>
      </w:r>
      <w:r w:rsidR="005B0E4C" w:rsidRPr="006E3465">
        <w:rPr>
          <w:rFonts w:cs="Arial"/>
        </w:rPr>
        <w:t xml:space="preserve">. Their role is multifarious and shifting, requiring a thorough knowledge of the law, interaction with multiple law enforcement participants, </w:t>
      </w:r>
      <w:r>
        <w:rPr>
          <w:rFonts w:cs="Arial"/>
        </w:rPr>
        <w:t>formulating intricate choices by strict constitutional and moral guidelines, and finally, protecting</w:t>
      </w:r>
      <w:r w:rsidR="005B0E4C" w:rsidRPr="006E3465">
        <w:rPr>
          <w:rFonts w:cs="Arial"/>
        </w:rPr>
        <w:t xml:space="preserve"> the community's benefit</w:t>
      </w:r>
      <w:r w:rsidR="00C53061" w:rsidRPr="006E3465">
        <w:rPr>
          <w:rFonts w:cs="Arial"/>
        </w:rPr>
        <w:t xml:space="preserve"> (Jackson, 2021)</w:t>
      </w:r>
      <w:r w:rsidR="005B0E4C" w:rsidRPr="006E3465">
        <w:rPr>
          <w:rFonts w:cs="Arial"/>
        </w:rPr>
        <w:t>.</w:t>
      </w:r>
    </w:p>
    <w:p w14:paraId="19BE5B90" w14:textId="402352F1" w:rsidR="005B0E4C" w:rsidRPr="006E3465" w:rsidRDefault="000B3D95" w:rsidP="00C53061">
      <w:pPr>
        <w:pStyle w:val="Heading1"/>
        <w:rPr>
          <w:rFonts w:ascii="Arial" w:hAnsi="Arial" w:cs="Arial"/>
        </w:rPr>
      </w:pPr>
      <w:bookmarkStart w:id="2" w:name="_Toc142179205"/>
      <w:r w:rsidRPr="006E3465">
        <w:rPr>
          <w:rFonts w:ascii="Arial" w:hAnsi="Arial" w:cs="Arial"/>
        </w:rPr>
        <w:t xml:space="preserve">Roles conducted by </w:t>
      </w:r>
      <w:r w:rsidR="005B0E4C" w:rsidRPr="006E3465">
        <w:rPr>
          <w:rFonts w:ascii="Arial" w:hAnsi="Arial" w:cs="Arial"/>
        </w:rPr>
        <w:t>the Prosecutor</w:t>
      </w:r>
      <w:bookmarkEnd w:id="2"/>
    </w:p>
    <w:p w14:paraId="36CB7044" w14:textId="52EB9E71" w:rsidR="005B0E4C" w:rsidRPr="006E3465" w:rsidRDefault="005B0E4C" w:rsidP="00C53061">
      <w:pPr>
        <w:rPr>
          <w:rFonts w:cs="Arial"/>
        </w:rPr>
      </w:pPr>
      <w:r w:rsidRPr="006E3465">
        <w:rPr>
          <w:rFonts w:cs="Arial"/>
        </w:rPr>
        <w:t>The function</w:t>
      </w:r>
      <w:r w:rsidR="000B3D95" w:rsidRPr="006E3465">
        <w:rPr>
          <w:rFonts w:cs="Arial"/>
        </w:rPr>
        <w:t>s</w:t>
      </w:r>
      <w:r w:rsidRPr="006E3465">
        <w:rPr>
          <w:rFonts w:cs="Arial"/>
        </w:rPr>
        <w:t xml:space="preserve"> </w:t>
      </w:r>
      <w:r w:rsidR="00403D21" w:rsidRPr="006E3465">
        <w:rPr>
          <w:rFonts w:cs="Arial"/>
        </w:rPr>
        <w:t>of</w:t>
      </w:r>
      <w:r w:rsidRPr="006E3465">
        <w:rPr>
          <w:rFonts w:cs="Arial"/>
        </w:rPr>
        <w:t xml:space="preserve"> the prosecutor </w:t>
      </w:r>
      <w:r w:rsidR="000B3D95" w:rsidRPr="006E3465">
        <w:rPr>
          <w:rFonts w:cs="Arial"/>
        </w:rPr>
        <w:t>are</w:t>
      </w:r>
      <w:r w:rsidRPr="006E3465">
        <w:rPr>
          <w:rFonts w:cs="Arial"/>
        </w:rPr>
        <w:t xml:space="preserve"> described below:</w:t>
      </w:r>
    </w:p>
    <w:p w14:paraId="359EA916" w14:textId="51D4480A" w:rsidR="005B0E4C" w:rsidRPr="006E3465" w:rsidRDefault="005B0E4C" w:rsidP="00C53061">
      <w:pPr>
        <w:rPr>
          <w:rFonts w:cs="Arial"/>
        </w:rPr>
      </w:pPr>
      <w:r w:rsidRPr="006E3465">
        <w:rPr>
          <w:rFonts w:cs="Arial"/>
          <w:b/>
          <w:bCs/>
        </w:rPr>
        <w:t xml:space="preserve">Case Study: </w:t>
      </w:r>
      <w:r w:rsidRPr="006E3465">
        <w:rPr>
          <w:rFonts w:cs="Arial"/>
        </w:rPr>
        <w:t xml:space="preserve">One of the </w:t>
      </w:r>
      <w:r w:rsidR="009D41DD">
        <w:rPr>
          <w:rFonts w:cs="Arial"/>
        </w:rPr>
        <w:t>significant</w:t>
      </w:r>
      <w:r w:rsidRPr="006E3465">
        <w:rPr>
          <w:rFonts w:cs="Arial"/>
        </w:rPr>
        <w:t xml:space="preserve"> duties of prosecutors is to carefully examine every criminal file supplied by law enforcement or other investigating agencies. Each proof must be evaluated for its worth, trustworthiness, dependability, and general significance to the cause. </w:t>
      </w:r>
      <w:r w:rsidR="009D41DD">
        <w:rPr>
          <w:rFonts w:cs="Arial"/>
        </w:rPr>
        <w:t>They</w:t>
      </w:r>
      <w:r w:rsidRPr="006E3465">
        <w:rPr>
          <w:rFonts w:cs="Arial"/>
        </w:rPr>
        <w:t xml:space="preserve"> guarantee that </w:t>
      </w:r>
      <w:r w:rsidR="009D41DD">
        <w:rPr>
          <w:rFonts w:cs="Arial"/>
        </w:rPr>
        <w:t>adequate explanation supports an illegal activity allegation</w:t>
      </w:r>
      <w:r w:rsidR="00C53061" w:rsidRPr="006E3465">
        <w:rPr>
          <w:rFonts w:cs="Arial"/>
        </w:rPr>
        <w:t xml:space="preserve"> (Reichel, 2022)</w:t>
      </w:r>
      <w:r w:rsidRPr="006E3465">
        <w:rPr>
          <w:rFonts w:cs="Arial"/>
        </w:rPr>
        <w:t xml:space="preserve">. This </w:t>
      </w:r>
      <w:r w:rsidR="00403D21" w:rsidRPr="006E3465">
        <w:rPr>
          <w:rFonts w:cs="Arial"/>
        </w:rPr>
        <w:t>endeavour</w:t>
      </w:r>
      <w:r w:rsidRPr="006E3465">
        <w:rPr>
          <w:rFonts w:cs="Arial"/>
        </w:rPr>
        <w:t xml:space="preserve"> necessitates an in-depth knowledge of legal concepts and the ability to </w:t>
      </w:r>
      <w:r w:rsidR="009D41DD">
        <w:rPr>
          <w:rFonts w:cs="Arial"/>
        </w:rPr>
        <w:t>utilise</w:t>
      </w:r>
      <w:r w:rsidRPr="006E3465">
        <w:rPr>
          <w:rFonts w:cs="Arial"/>
        </w:rPr>
        <w:t xml:space="preserve"> them effectively.</w:t>
      </w:r>
    </w:p>
    <w:p w14:paraId="22C9764E" w14:textId="74778299" w:rsidR="005B0E4C" w:rsidRPr="006E3465" w:rsidRDefault="005B0E4C" w:rsidP="00C53061">
      <w:pPr>
        <w:rPr>
          <w:rFonts w:cs="Arial"/>
        </w:rPr>
      </w:pPr>
      <w:r w:rsidRPr="006E3465">
        <w:rPr>
          <w:rFonts w:cs="Arial"/>
          <w:b/>
          <w:bCs/>
        </w:rPr>
        <w:t>Pricing Determinations:</w:t>
      </w:r>
      <w:r w:rsidRPr="006E3465">
        <w:rPr>
          <w:rFonts w:cs="Arial"/>
        </w:rPr>
        <w:t xml:space="preserve"> Such bodies make an essential choice regarding when to press charges against an individual with an </w:t>
      </w:r>
      <w:r w:rsidR="00403D21" w:rsidRPr="006E3465">
        <w:rPr>
          <w:rFonts w:cs="Arial"/>
        </w:rPr>
        <w:t>offence</w:t>
      </w:r>
      <w:r w:rsidRPr="006E3465">
        <w:rPr>
          <w:rFonts w:cs="Arial"/>
        </w:rPr>
        <w:t xml:space="preserve"> after evaluating the proof. </w:t>
      </w:r>
      <w:r w:rsidR="009D41DD">
        <w:rPr>
          <w:rFonts w:cs="Arial"/>
        </w:rPr>
        <w:t>To reach this conclusion, they employ rigorous evaluations, including the Complete and threshold code tests</w:t>
      </w:r>
      <w:r w:rsidR="00C53061" w:rsidRPr="006E3465">
        <w:rPr>
          <w:rFonts w:cs="Arial"/>
        </w:rPr>
        <w:t xml:space="preserve"> (Kazmierski, 2021)</w:t>
      </w:r>
      <w:r w:rsidRPr="006E3465">
        <w:rPr>
          <w:rFonts w:cs="Arial"/>
        </w:rPr>
        <w:t xml:space="preserve">. The purpose of these evaluations is to guarantee that pricing judgments are founded on reliable proof and </w:t>
      </w:r>
      <w:r w:rsidR="009D41DD">
        <w:rPr>
          <w:rFonts w:cs="Arial"/>
        </w:rPr>
        <w:t>taken unbiased and in the community's best interest</w:t>
      </w:r>
      <w:r w:rsidRPr="006E3465">
        <w:rPr>
          <w:rFonts w:cs="Arial"/>
        </w:rPr>
        <w:t>.</w:t>
      </w:r>
    </w:p>
    <w:p w14:paraId="25CC427D" w14:textId="5F42123F" w:rsidR="005B0E4C" w:rsidRPr="006E3465" w:rsidRDefault="009D41DD" w:rsidP="00C53061">
      <w:pPr>
        <w:rPr>
          <w:rFonts w:cs="Arial"/>
        </w:rPr>
      </w:pPr>
      <w:r>
        <w:rPr>
          <w:rFonts w:cs="Arial"/>
        </w:rPr>
        <w:t>During</w:t>
      </w:r>
      <w:r w:rsidR="005B0E4C" w:rsidRPr="006E3465">
        <w:rPr>
          <w:rFonts w:cs="Arial"/>
        </w:rPr>
        <w:t xml:space="preserve"> an inquiry, the crown attorneys give judicial </w:t>
      </w:r>
      <w:r>
        <w:rPr>
          <w:rFonts w:cs="Arial"/>
        </w:rPr>
        <w:t>organisations</w:t>
      </w:r>
      <w:r w:rsidR="005B0E4C" w:rsidRPr="006E3465">
        <w:rPr>
          <w:rFonts w:cs="Arial"/>
        </w:rPr>
        <w:t xml:space="preserve"> indispensable legal counsel. This instruction could contain </w:t>
      </w:r>
      <w:r w:rsidR="00403D21" w:rsidRPr="006E3465">
        <w:rPr>
          <w:rFonts w:cs="Arial"/>
        </w:rPr>
        <w:t>counselling</w:t>
      </w:r>
      <w:r w:rsidR="005B0E4C" w:rsidRPr="006E3465">
        <w:rPr>
          <w:rFonts w:cs="Arial"/>
        </w:rPr>
        <w:t xml:space="preserve"> on the lawfulness and adequacy of </w:t>
      </w:r>
      <w:r w:rsidR="005B0E4C" w:rsidRPr="006E3465">
        <w:rPr>
          <w:rFonts w:cs="Arial"/>
        </w:rPr>
        <w:lastRenderedPageBreak/>
        <w:t xml:space="preserve">techniques for investigation, assistance </w:t>
      </w:r>
      <w:r w:rsidR="00403D21" w:rsidRPr="006E3465">
        <w:rPr>
          <w:rFonts w:cs="Arial"/>
        </w:rPr>
        <w:t>in</w:t>
      </w:r>
      <w:r w:rsidR="005B0E4C" w:rsidRPr="006E3465">
        <w:rPr>
          <w:rFonts w:cs="Arial"/>
        </w:rPr>
        <w:t xml:space="preserve"> understanding the meaning of legislation, and recommendations for the collection of compelling proof</w:t>
      </w:r>
      <w:r w:rsidR="00C53061" w:rsidRPr="006E3465">
        <w:rPr>
          <w:rFonts w:cs="Arial"/>
        </w:rPr>
        <w:t xml:space="preserve"> (Vinokurov, 2019)</w:t>
      </w:r>
      <w:r w:rsidR="005B0E4C" w:rsidRPr="006E3465">
        <w:rPr>
          <w:rFonts w:cs="Arial"/>
        </w:rPr>
        <w:t>. This guidance function allows Crown Prosecutors to guarantee that inquiries are carried out inside the confines of regulations and have the potential to result in substantial proof.</w:t>
      </w:r>
    </w:p>
    <w:p w14:paraId="281F7912" w14:textId="2F7A0FDD" w:rsidR="005B0E4C" w:rsidRPr="006E3465" w:rsidRDefault="005B0E4C" w:rsidP="00C53061">
      <w:pPr>
        <w:rPr>
          <w:rFonts w:cs="Arial"/>
        </w:rPr>
      </w:pPr>
      <w:r w:rsidRPr="006E3465">
        <w:rPr>
          <w:rFonts w:cs="Arial"/>
          <w:b/>
          <w:bCs/>
        </w:rPr>
        <w:t>Indicting Cases:</w:t>
      </w:r>
      <w:r w:rsidRPr="006E3465">
        <w:rPr>
          <w:rFonts w:cs="Arial"/>
        </w:rPr>
        <w:t xml:space="preserve"> They are accountable for serving the Crown in </w:t>
      </w:r>
      <w:r w:rsidR="00403D21" w:rsidRPr="006E3465">
        <w:rPr>
          <w:rFonts w:cs="Arial"/>
        </w:rPr>
        <w:t xml:space="preserve">the </w:t>
      </w:r>
      <w:r w:rsidRPr="006E3465">
        <w:rPr>
          <w:rFonts w:cs="Arial"/>
        </w:rPr>
        <w:t xml:space="preserve">courtroom if a choice is made to press charges against an accused person. They must </w:t>
      </w:r>
      <w:r w:rsidR="009D41DD">
        <w:rPr>
          <w:rFonts w:cs="Arial"/>
        </w:rPr>
        <w:t>prepare</w:t>
      </w:r>
      <w:r w:rsidRPr="006E3465">
        <w:rPr>
          <w:rFonts w:cs="Arial"/>
        </w:rPr>
        <w:t xml:space="preserve"> to argue the argument, question defending participants, and provide the court with a summary of the evidence. Their objective is </w:t>
      </w:r>
      <w:r w:rsidR="009D41DD">
        <w:rPr>
          <w:rFonts w:cs="Arial"/>
        </w:rPr>
        <w:t>to secure an indictment and</w:t>
      </w:r>
      <w:r w:rsidRPr="006E3465">
        <w:rPr>
          <w:rFonts w:cs="Arial"/>
        </w:rPr>
        <w:t xml:space="preserve"> guarantee an impartial trial</w:t>
      </w:r>
      <w:r w:rsidR="00C53061" w:rsidRPr="006E3465">
        <w:rPr>
          <w:rFonts w:cs="Arial"/>
        </w:rPr>
        <w:t xml:space="preserve"> (Douglas, 2022)</w:t>
      </w:r>
      <w:r w:rsidRPr="006E3465">
        <w:rPr>
          <w:rFonts w:cs="Arial"/>
        </w:rPr>
        <w:t>. This duty requires exceptional advocacy skills, the capacity to analy</w:t>
      </w:r>
      <w:r w:rsidR="00403D21" w:rsidRPr="006E3465">
        <w:rPr>
          <w:rFonts w:cs="Arial"/>
        </w:rPr>
        <w:t>s</w:t>
      </w:r>
      <w:r w:rsidRPr="006E3465">
        <w:rPr>
          <w:rFonts w:cs="Arial"/>
        </w:rPr>
        <w:t>e intricate data, and a thorough knowledge of penal laws and legal processes.</w:t>
      </w:r>
    </w:p>
    <w:p w14:paraId="5A748233" w14:textId="059E07BF" w:rsidR="005B0E4C" w:rsidRPr="006E3465" w:rsidRDefault="005B0E4C" w:rsidP="00C53061">
      <w:pPr>
        <w:rPr>
          <w:rFonts w:cs="Arial"/>
        </w:rPr>
      </w:pPr>
      <w:r w:rsidRPr="006E3465">
        <w:rPr>
          <w:rFonts w:cs="Arial"/>
        </w:rPr>
        <w:t xml:space="preserve">Crown Prosecutors are </w:t>
      </w:r>
      <w:r w:rsidR="009D41DD">
        <w:rPr>
          <w:rFonts w:cs="Arial"/>
        </w:rPr>
        <w:t>also responsible for interacting efficiently with the accused, witnesses, and community members</w:t>
      </w:r>
      <w:r w:rsidRPr="006E3465">
        <w:rPr>
          <w:rFonts w:cs="Arial"/>
        </w:rPr>
        <w:t xml:space="preserve">. This includes explaining decisions and regulations, addressing potential results, and offering encouragement and assistance. Their interactions with both parties must be </w:t>
      </w:r>
      <w:r w:rsidR="009D41DD">
        <w:rPr>
          <w:rFonts w:cs="Arial"/>
        </w:rPr>
        <w:t>characterised</w:t>
      </w:r>
      <w:r w:rsidRPr="006E3465">
        <w:rPr>
          <w:rFonts w:cs="Arial"/>
        </w:rPr>
        <w:t xml:space="preserve"> by compassion, courtesy, and patience. They play a vital role in preserving the public's trust in the judiciary via their relationships with the general public.</w:t>
      </w:r>
    </w:p>
    <w:p w14:paraId="42B3D67D" w14:textId="41DBA177" w:rsidR="005B0E4C" w:rsidRPr="006E3465" w:rsidRDefault="005B0E4C" w:rsidP="00C53061">
      <w:pPr>
        <w:rPr>
          <w:rFonts w:cs="Arial"/>
        </w:rPr>
      </w:pPr>
      <w:r w:rsidRPr="006E3465">
        <w:rPr>
          <w:rFonts w:cs="Arial"/>
        </w:rPr>
        <w:t xml:space="preserve">Crown Prosecutors must conform to the utmost moral requirements in all aspects of their position. They </w:t>
      </w:r>
      <w:r w:rsidR="009D41DD">
        <w:rPr>
          <w:rFonts w:cs="Arial"/>
        </w:rPr>
        <w:t>must</w:t>
      </w:r>
      <w:r w:rsidRPr="006E3465">
        <w:rPr>
          <w:rFonts w:cs="Arial"/>
        </w:rPr>
        <w:t xml:space="preserve"> guarantee that their choices are taken without discrimination or partisanship</w:t>
      </w:r>
      <w:r w:rsidR="00C53061" w:rsidRPr="006E3465">
        <w:rPr>
          <w:rFonts w:cs="Arial"/>
        </w:rPr>
        <w:t xml:space="preserve"> (Lewis, 2022)</w:t>
      </w:r>
      <w:r w:rsidRPr="006E3465">
        <w:rPr>
          <w:rFonts w:cs="Arial"/>
        </w:rPr>
        <w:t>. They must always act in the public's best interest, supporting justice and equal treatment.</w:t>
      </w:r>
    </w:p>
    <w:p w14:paraId="08384BD6" w14:textId="7B66D843" w:rsidR="005B0E4C" w:rsidRPr="006E3465" w:rsidRDefault="00403D21" w:rsidP="00C53061">
      <w:pPr>
        <w:rPr>
          <w:rFonts w:cs="Arial"/>
        </w:rPr>
      </w:pPr>
      <w:r w:rsidRPr="006E3465">
        <w:rPr>
          <w:rFonts w:cs="Arial"/>
          <w:b/>
          <w:bCs/>
        </w:rPr>
        <w:t>Counselling</w:t>
      </w:r>
      <w:r w:rsidR="005B0E4C" w:rsidRPr="006E3465">
        <w:rPr>
          <w:rFonts w:cs="Arial"/>
          <w:b/>
          <w:bCs/>
        </w:rPr>
        <w:t xml:space="preserve"> and Coordination with Legal Organizations</w:t>
      </w:r>
      <w:r w:rsidR="005B0E4C" w:rsidRPr="006E3465">
        <w:rPr>
          <w:rFonts w:cs="Arial"/>
        </w:rPr>
        <w:t xml:space="preserve">: </w:t>
      </w:r>
      <w:r w:rsidRPr="006E3465">
        <w:rPr>
          <w:rFonts w:cs="Arial"/>
        </w:rPr>
        <w:t xml:space="preserve">Despite offering counsel during inquiries, Crown Prosecutors frequently collaborate with judicial </w:t>
      </w:r>
      <w:r w:rsidR="009D41DD">
        <w:rPr>
          <w:rFonts w:cs="Arial"/>
        </w:rPr>
        <w:t>organisations</w:t>
      </w:r>
      <w:r w:rsidRPr="006E3465">
        <w:rPr>
          <w:rFonts w:cs="Arial"/>
        </w:rPr>
        <w:t xml:space="preserve"> </w:t>
      </w:r>
      <w:r w:rsidR="005B0E4C" w:rsidRPr="006E3465">
        <w:rPr>
          <w:rFonts w:cs="Arial"/>
        </w:rPr>
        <w:t>throughout and following the course of the probe. This collaboration guarantees that both sides comprehend the matter and its legal ramifications.</w:t>
      </w:r>
    </w:p>
    <w:p w14:paraId="72C1FCB9" w14:textId="5705E250" w:rsidR="005B0E4C" w:rsidRPr="006E3465" w:rsidRDefault="005B0E4C" w:rsidP="00C53061">
      <w:pPr>
        <w:rPr>
          <w:rFonts w:cs="Arial"/>
        </w:rPr>
      </w:pPr>
      <w:r w:rsidRPr="006E3465">
        <w:rPr>
          <w:rFonts w:cs="Arial"/>
        </w:rPr>
        <w:t xml:space="preserve">The Crown Prosecutor's Office </w:t>
      </w:r>
      <w:proofErr w:type="gramStart"/>
      <w:r w:rsidR="00403D21" w:rsidRPr="006E3465">
        <w:rPr>
          <w:rFonts w:cs="Arial"/>
        </w:rPr>
        <w:t>has</w:t>
      </w:r>
      <w:r w:rsidRPr="006E3465">
        <w:rPr>
          <w:rFonts w:cs="Arial"/>
        </w:rPr>
        <w:t xml:space="preserve"> to</w:t>
      </w:r>
      <w:proofErr w:type="gramEnd"/>
      <w:r w:rsidRPr="006E3465">
        <w:rPr>
          <w:rFonts w:cs="Arial"/>
        </w:rPr>
        <w:t xml:space="preserve"> guarantee precise obedience to statutes, instructions, and standards of </w:t>
      </w:r>
      <w:r w:rsidR="00403D21" w:rsidRPr="006E3465">
        <w:rPr>
          <w:rFonts w:cs="Arial"/>
        </w:rPr>
        <w:t>behaviour</w:t>
      </w:r>
      <w:r w:rsidRPr="006E3465">
        <w:rPr>
          <w:rFonts w:cs="Arial"/>
        </w:rPr>
        <w:t xml:space="preserve"> established by the CPS </w:t>
      </w:r>
      <w:r w:rsidR="009D41DD">
        <w:rPr>
          <w:rFonts w:cs="Arial"/>
        </w:rPr>
        <w:t>and</w:t>
      </w:r>
      <w:r w:rsidRPr="006E3465">
        <w:rPr>
          <w:rFonts w:cs="Arial"/>
        </w:rPr>
        <w:t xml:space="preserve"> the field of law. This includes adhering to protocols concerning anonymity, ethical </w:t>
      </w:r>
      <w:r w:rsidR="00403D21" w:rsidRPr="006E3465">
        <w:rPr>
          <w:rFonts w:cs="Arial"/>
        </w:rPr>
        <w:t>behaviour</w:t>
      </w:r>
      <w:r w:rsidRPr="006E3465">
        <w:rPr>
          <w:rFonts w:cs="Arial"/>
        </w:rPr>
        <w:t>, and the liberties of the accused, sufferers, and eyewitnesses.</w:t>
      </w:r>
    </w:p>
    <w:p w14:paraId="170936F3" w14:textId="5E6A0B3E" w:rsidR="005B0E4C" w:rsidRPr="006E3465" w:rsidRDefault="005B0E4C" w:rsidP="00C53061">
      <w:pPr>
        <w:rPr>
          <w:rFonts w:cs="Arial"/>
        </w:rPr>
      </w:pPr>
      <w:r w:rsidRPr="006E3465">
        <w:rPr>
          <w:rFonts w:cs="Arial"/>
        </w:rPr>
        <w:lastRenderedPageBreak/>
        <w:t xml:space="preserve">They have accountability for administering their respective number of cases efficiently. This entails selecting </w:t>
      </w:r>
      <w:r w:rsidR="009D41DD">
        <w:rPr>
          <w:rFonts w:cs="Arial"/>
        </w:rPr>
        <w:t>patients</w:t>
      </w:r>
      <w:r w:rsidRPr="006E3465">
        <w:rPr>
          <w:rFonts w:cs="Arial"/>
        </w:rPr>
        <w:t xml:space="preserve"> according to seriousness and pressure, guaranteeing that all </w:t>
      </w:r>
      <w:r w:rsidR="009D41DD">
        <w:rPr>
          <w:rFonts w:cs="Arial"/>
        </w:rPr>
        <w:t>issues</w:t>
      </w:r>
      <w:r w:rsidRPr="006E3465">
        <w:rPr>
          <w:rFonts w:cs="Arial"/>
        </w:rPr>
        <w:t xml:space="preserve"> are managed </w:t>
      </w:r>
      <w:r w:rsidR="00403D21" w:rsidRPr="006E3465">
        <w:rPr>
          <w:rFonts w:cs="Arial"/>
        </w:rPr>
        <w:t>efficiently</w:t>
      </w:r>
      <w:r w:rsidRPr="006E3465">
        <w:rPr>
          <w:rFonts w:cs="Arial"/>
        </w:rPr>
        <w:t>, and collaborating with additional experts</w:t>
      </w:r>
      <w:r w:rsidR="009D41DD">
        <w:rPr>
          <w:rFonts w:cs="Arial"/>
        </w:rPr>
        <w:t>,</w:t>
      </w:r>
      <w:r w:rsidRPr="006E3465">
        <w:rPr>
          <w:rFonts w:cs="Arial"/>
        </w:rPr>
        <w:t xml:space="preserve"> including </w:t>
      </w:r>
      <w:r w:rsidR="00403D21" w:rsidRPr="006E3465">
        <w:rPr>
          <w:rFonts w:cs="Arial"/>
        </w:rPr>
        <w:t>defence</w:t>
      </w:r>
      <w:r w:rsidRPr="006E3465">
        <w:rPr>
          <w:rFonts w:cs="Arial"/>
        </w:rPr>
        <w:t xml:space="preserve"> counsel, court personnel, and authorities</w:t>
      </w:r>
      <w:r w:rsidR="00C53061" w:rsidRPr="006E3465">
        <w:rPr>
          <w:rFonts w:cs="Arial"/>
        </w:rPr>
        <w:t xml:space="preserve"> (Douglas, 2022)</w:t>
      </w:r>
      <w:r w:rsidRPr="006E3465">
        <w:rPr>
          <w:rFonts w:cs="Arial"/>
        </w:rPr>
        <w:t>.</w:t>
      </w:r>
    </w:p>
    <w:p w14:paraId="578DD7ED" w14:textId="5446742C" w:rsidR="005B0E4C" w:rsidRPr="006E3465" w:rsidRDefault="005B0E4C" w:rsidP="00C53061">
      <w:pPr>
        <w:rPr>
          <w:rFonts w:cs="Arial"/>
        </w:rPr>
      </w:pPr>
      <w:r w:rsidRPr="006E3465">
        <w:rPr>
          <w:rFonts w:cs="Arial"/>
          <w:b/>
          <w:bCs/>
        </w:rPr>
        <w:t>The CPS is represented by:</w:t>
      </w:r>
      <w:r w:rsidRPr="006E3465">
        <w:rPr>
          <w:rFonts w:cs="Arial"/>
        </w:rPr>
        <w:t xml:space="preserve"> They safeguard the justice system's objectives and maintain its standing in the community. This involves sticking to the utmost ethical practices, supporting the CPS's principles, and maintaining the agency's ethics in all interactions</w:t>
      </w:r>
      <w:r w:rsidR="00C53061" w:rsidRPr="006E3465">
        <w:rPr>
          <w:rFonts w:cs="Arial"/>
        </w:rPr>
        <w:t xml:space="preserve"> (Lewis, 2022)</w:t>
      </w:r>
      <w:r w:rsidRPr="006E3465">
        <w:rPr>
          <w:rFonts w:cs="Arial"/>
        </w:rPr>
        <w:t>.</w:t>
      </w:r>
    </w:p>
    <w:p w14:paraId="77A17C28" w14:textId="5BC8797D" w:rsidR="005B0E4C" w:rsidRPr="006E3465" w:rsidRDefault="005B0E4C" w:rsidP="00C53061">
      <w:pPr>
        <w:rPr>
          <w:rFonts w:cs="Arial"/>
        </w:rPr>
      </w:pPr>
      <w:r w:rsidRPr="006E3465">
        <w:rPr>
          <w:rFonts w:cs="Arial"/>
          <w:b/>
          <w:bCs/>
        </w:rPr>
        <w:t>Evaluation of Clients' Privileges and Well-Being:</w:t>
      </w:r>
      <w:r w:rsidRPr="006E3465">
        <w:rPr>
          <w:rFonts w:cs="Arial"/>
        </w:rPr>
        <w:t xml:space="preserve"> Such officials are bound to </w:t>
      </w:r>
      <w:r w:rsidR="009D41DD">
        <w:rPr>
          <w:rFonts w:cs="Arial"/>
        </w:rPr>
        <w:t>consider respondents' freedoms and well-being</w:t>
      </w:r>
      <w:r w:rsidRPr="006E3465">
        <w:rPr>
          <w:rFonts w:cs="Arial"/>
        </w:rPr>
        <w:t xml:space="preserve">. It </w:t>
      </w:r>
      <w:r w:rsidR="009D41DD">
        <w:rPr>
          <w:rFonts w:cs="Arial"/>
        </w:rPr>
        <w:t>guarantees</w:t>
      </w:r>
      <w:r w:rsidRPr="006E3465">
        <w:rPr>
          <w:rFonts w:cs="Arial"/>
        </w:rPr>
        <w:t xml:space="preserve"> that plaintiffs are handled with dignity and empathy, that their opinions are considered when prosecuting and penalty suggestions are made, </w:t>
      </w:r>
      <w:r w:rsidR="009D41DD">
        <w:rPr>
          <w:rFonts w:cs="Arial"/>
        </w:rPr>
        <w:t>and that</w:t>
      </w:r>
      <w:r w:rsidRPr="006E3465">
        <w:rPr>
          <w:rFonts w:cs="Arial"/>
        </w:rPr>
        <w:t> their bodies are kept apprised of the progression.</w:t>
      </w:r>
    </w:p>
    <w:p w14:paraId="0924FB4D" w14:textId="62AC0339" w:rsidR="005B0E4C" w:rsidRPr="006E3465" w:rsidRDefault="005B0E4C" w:rsidP="00C53061">
      <w:pPr>
        <w:rPr>
          <w:rFonts w:cs="Arial"/>
        </w:rPr>
      </w:pPr>
      <w:r w:rsidRPr="006E3465">
        <w:rPr>
          <w:rFonts w:cs="Arial"/>
        </w:rPr>
        <w:t xml:space="preserve">Crown Prosecutors are also responsible for handling appeals, which means putting together instances for </w:t>
      </w:r>
      <w:r w:rsidR="009D41DD">
        <w:rPr>
          <w:rFonts w:cs="Arial"/>
        </w:rPr>
        <w:t>request</w:t>
      </w:r>
      <w:r w:rsidRPr="006E3465">
        <w:rPr>
          <w:rFonts w:cs="Arial"/>
        </w:rPr>
        <w:t xml:space="preserve"> and supporting the CPS at review proceedings. It necessitates a comprehensive comprehension of administrative law and legal processes.</w:t>
      </w:r>
    </w:p>
    <w:p w14:paraId="25D6C9F6" w14:textId="342A2B72" w:rsidR="007272A9" w:rsidRPr="006E3465" w:rsidRDefault="005B0E4C" w:rsidP="00C53061">
      <w:pPr>
        <w:rPr>
          <w:rFonts w:cs="Arial"/>
        </w:rPr>
      </w:pPr>
      <w:r w:rsidRPr="006E3465">
        <w:rPr>
          <w:rFonts w:cs="Arial"/>
          <w:b/>
          <w:bCs/>
        </w:rPr>
        <w:t>Protecting the Public Benefit:</w:t>
      </w:r>
      <w:r w:rsidRPr="006E3465">
        <w:rPr>
          <w:rFonts w:cs="Arial"/>
        </w:rPr>
        <w:t xml:space="preserve"> The final objective of each step undertaken by a Crown Counsel is to protect the public welfare. They guarantee that the purpose of justice is carried out, balancing the liberties of the suspect, the entitlements of those harmed, and overall community concern for fairness and safety for everyone</w:t>
      </w:r>
      <w:r w:rsidR="000B3D95" w:rsidRPr="006E3465">
        <w:rPr>
          <w:rFonts w:cs="Arial"/>
        </w:rPr>
        <w:t xml:space="preserve"> </w:t>
      </w:r>
      <w:r w:rsidR="00C53061" w:rsidRPr="006E3465">
        <w:rPr>
          <w:rFonts w:cs="Arial"/>
        </w:rPr>
        <w:t>(Norton, 2021)</w:t>
      </w:r>
      <w:r w:rsidRPr="006E3465">
        <w:rPr>
          <w:rFonts w:cs="Arial"/>
        </w:rPr>
        <w:t>.</w:t>
      </w:r>
    </w:p>
    <w:p w14:paraId="3C0EBA55" w14:textId="77777777" w:rsidR="007272A9" w:rsidRPr="006E3465" w:rsidRDefault="007272A9" w:rsidP="00C53061">
      <w:pPr>
        <w:jc w:val="left"/>
        <w:rPr>
          <w:rFonts w:cs="Arial"/>
        </w:rPr>
      </w:pPr>
      <w:r w:rsidRPr="006E3465">
        <w:rPr>
          <w:rFonts w:cs="Arial"/>
        </w:rPr>
        <w:br w:type="page"/>
      </w:r>
    </w:p>
    <w:p w14:paraId="6FE0AA86" w14:textId="77777777" w:rsidR="00403D21" w:rsidRPr="006E3465" w:rsidRDefault="00403D21" w:rsidP="00C53061">
      <w:pPr>
        <w:pStyle w:val="Heading1"/>
        <w:rPr>
          <w:rFonts w:ascii="Arial" w:hAnsi="Arial" w:cs="Arial"/>
        </w:rPr>
      </w:pPr>
      <w:bookmarkStart w:id="3" w:name="_Toc142179206"/>
      <w:r w:rsidRPr="006E3465">
        <w:rPr>
          <w:rFonts w:ascii="Arial" w:hAnsi="Arial" w:cs="Arial"/>
        </w:rPr>
        <w:lastRenderedPageBreak/>
        <w:t>Tests Employed by Authorities of the Crown in Reaching Prosecution Choices</w:t>
      </w:r>
      <w:bookmarkEnd w:id="3"/>
    </w:p>
    <w:p w14:paraId="18FACD72" w14:textId="6CFADB93" w:rsidR="00403D21" w:rsidRPr="006E3465" w:rsidRDefault="00403D21" w:rsidP="000B3D95">
      <w:pPr>
        <w:pStyle w:val="Heading2"/>
        <w:rPr>
          <w:rFonts w:ascii="Arial" w:hAnsi="Arial" w:cs="Arial"/>
        </w:rPr>
      </w:pPr>
      <w:bookmarkStart w:id="4" w:name="_Toc142179207"/>
      <w:r w:rsidRPr="006E3465">
        <w:rPr>
          <w:rFonts w:ascii="Arial" w:hAnsi="Arial" w:cs="Arial"/>
        </w:rPr>
        <w:t xml:space="preserve">The Comprehensive Code Evaluation for </w:t>
      </w:r>
      <w:r w:rsidR="000B3D95" w:rsidRPr="006E3465">
        <w:rPr>
          <w:rFonts w:ascii="Arial" w:hAnsi="Arial" w:cs="Arial"/>
        </w:rPr>
        <w:t>Charging</w:t>
      </w:r>
      <w:r w:rsidRPr="006E3465">
        <w:rPr>
          <w:rFonts w:ascii="Arial" w:hAnsi="Arial" w:cs="Arial"/>
        </w:rPr>
        <w:t xml:space="preserve"> Determinations</w:t>
      </w:r>
      <w:bookmarkEnd w:id="4"/>
    </w:p>
    <w:p w14:paraId="68A83E24" w14:textId="57098D3B" w:rsidR="00403D21" w:rsidRPr="006E3465" w:rsidRDefault="00403D21" w:rsidP="00C53061">
      <w:pPr>
        <w:rPr>
          <w:rFonts w:cs="Arial"/>
        </w:rPr>
      </w:pPr>
      <w:r w:rsidRPr="006E3465">
        <w:rPr>
          <w:rFonts w:cs="Arial"/>
        </w:rPr>
        <w:t>They </w:t>
      </w:r>
      <w:r w:rsidR="009D41DD">
        <w:rPr>
          <w:rFonts w:cs="Arial"/>
        </w:rPr>
        <w:t>use the entire code test to decide</w:t>
      </w:r>
      <w:r w:rsidRPr="006E3465">
        <w:rPr>
          <w:rFonts w:cs="Arial"/>
        </w:rPr>
        <w:t xml:space="preserve"> whether to file charges. It consists of two phases.</w:t>
      </w:r>
    </w:p>
    <w:p w14:paraId="1964DFF8" w14:textId="0A66F690" w:rsidR="00403D21" w:rsidRPr="006E3465" w:rsidRDefault="000B3D95" w:rsidP="00C53061">
      <w:pPr>
        <w:rPr>
          <w:rFonts w:cs="Arial"/>
          <w:b/>
          <w:bCs/>
        </w:rPr>
      </w:pPr>
      <w:r w:rsidRPr="006E3465">
        <w:rPr>
          <w:rFonts w:cs="Arial"/>
          <w:b/>
          <w:bCs/>
        </w:rPr>
        <w:t xml:space="preserve">A. </w:t>
      </w:r>
      <w:r w:rsidR="00403D21" w:rsidRPr="006E3465">
        <w:rPr>
          <w:rFonts w:cs="Arial"/>
          <w:b/>
          <w:bCs/>
        </w:rPr>
        <w:t>The Stage of Evidence</w:t>
      </w:r>
    </w:p>
    <w:p w14:paraId="4DF0EE5B" w14:textId="66120818" w:rsidR="00403D21" w:rsidRPr="006E3465" w:rsidRDefault="00403D21" w:rsidP="00C53061">
      <w:pPr>
        <w:rPr>
          <w:rFonts w:cs="Arial"/>
        </w:rPr>
      </w:pPr>
      <w:r w:rsidRPr="006E3465">
        <w:rPr>
          <w:rFonts w:cs="Arial"/>
        </w:rPr>
        <w:t>Realistic Chance of Condemnation: This criterion requires an in-depth review of the proof to determine if it might give rise to a reasonable chance of judgement</w:t>
      </w:r>
      <w:r w:rsidR="00C53061" w:rsidRPr="006E3465">
        <w:rPr>
          <w:rFonts w:cs="Arial"/>
        </w:rPr>
        <w:t xml:space="preserve"> (Baker, 2020)</w:t>
      </w:r>
      <w:r w:rsidRPr="006E3465">
        <w:rPr>
          <w:rFonts w:cs="Arial"/>
        </w:rPr>
        <w:t>. The prosecuting attorney must be convinced that the admissible evidence is trustworthy and believable.</w:t>
      </w:r>
    </w:p>
    <w:p w14:paraId="2EF4FAEB" w14:textId="43E52DED" w:rsidR="00403D21" w:rsidRPr="006E3465" w:rsidRDefault="00403D21" w:rsidP="00C53061">
      <w:pPr>
        <w:rPr>
          <w:rFonts w:cs="Arial"/>
        </w:rPr>
      </w:pPr>
      <w:r w:rsidRPr="006E3465">
        <w:rPr>
          <w:rFonts w:cs="Arial"/>
          <w:bCs/>
        </w:rPr>
        <w:t>Evidence Intensity:</w:t>
      </w:r>
      <w:r w:rsidRPr="006E3465">
        <w:rPr>
          <w:rFonts w:cs="Arial"/>
          <w:b/>
          <w:bCs/>
        </w:rPr>
        <w:t xml:space="preserve"> </w:t>
      </w:r>
      <w:r w:rsidRPr="006E3465">
        <w:rPr>
          <w:rFonts w:cs="Arial"/>
        </w:rPr>
        <w:t xml:space="preserve">The prosecutor </w:t>
      </w:r>
      <w:r w:rsidR="009D41DD">
        <w:rPr>
          <w:rFonts w:cs="Arial"/>
        </w:rPr>
        <w:t>must carefully assess the proof's veracity</w:t>
      </w:r>
      <w:r w:rsidRPr="006E3465">
        <w:rPr>
          <w:rFonts w:cs="Arial"/>
        </w:rPr>
        <w:t xml:space="preserve">, </w:t>
      </w:r>
      <w:r w:rsidR="000B3D95" w:rsidRPr="006E3465">
        <w:rPr>
          <w:rFonts w:cs="Arial"/>
        </w:rPr>
        <w:t>considering</w:t>
      </w:r>
      <w:r w:rsidRPr="006E3465">
        <w:rPr>
          <w:rFonts w:cs="Arial"/>
        </w:rPr>
        <w:t xml:space="preserve"> any potential defences and their likelihood of affecting </w:t>
      </w:r>
      <w:proofErr w:type="gramStart"/>
      <w:r w:rsidRPr="006E3465">
        <w:rPr>
          <w:rFonts w:cs="Arial"/>
        </w:rPr>
        <w:t>the final result</w:t>
      </w:r>
      <w:proofErr w:type="gramEnd"/>
      <w:r w:rsidRPr="006E3465">
        <w:rPr>
          <w:rFonts w:cs="Arial"/>
        </w:rPr>
        <w:t>. It calls for an in-depth knowledge of the legal system and a capacity to predict how a jury will react to the proof</w:t>
      </w:r>
      <w:r w:rsidR="00C53061" w:rsidRPr="006E3465">
        <w:rPr>
          <w:rFonts w:cs="Arial"/>
        </w:rPr>
        <w:t xml:space="preserve"> (Johnson, 2021)</w:t>
      </w:r>
      <w:r w:rsidRPr="006E3465">
        <w:rPr>
          <w:rFonts w:cs="Arial"/>
        </w:rPr>
        <w:t>.</w:t>
      </w:r>
    </w:p>
    <w:p w14:paraId="074AC564" w14:textId="497D146F" w:rsidR="00403D21" w:rsidRPr="006E3465" w:rsidRDefault="00403D21" w:rsidP="00C53061">
      <w:pPr>
        <w:rPr>
          <w:rFonts w:cs="Arial"/>
          <w:b/>
          <w:bCs/>
        </w:rPr>
      </w:pPr>
      <w:r w:rsidRPr="006E3465">
        <w:rPr>
          <w:rFonts w:cs="Arial"/>
          <w:b/>
          <w:bCs/>
        </w:rPr>
        <w:t xml:space="preserve">B. </w:t>
      </w:r>
      <w:r w:rsidR="000B3D95" w:rsidRPr="006E3465">
        <w:rPr>
          <w:rFonts w:cs="Arial"/>
          <w:b/>
          <w:bCs/>
        </w:rPr>
        <w:t>Public interest stage</w:t>
      </w:r>
    </w:p>
    <w:p w14:paraId="5A8353C2" w14:textId="3C66B61F" w:rsidR="00403D21" w:rsidRPr="006E3465" w:rsidRDefault="00403D21" w:rsidP="00C53061">
      <w:pPr>
        <w:rPr>
          <w:rFonts w:cs="Arial"/>
        </w:rPr>
      </w:pPr>
      <w:r w:rsidRPr="006E3465">
        <w:rPr>
          <w:rFonts w:cs="Arial"/>
        </w:rPr>
        <w:t xml:space="preserve">Even though a case escapes the Evidentiary Stage, the attorney in charge </w:t>
      </w:r>
      <w:proofErr w:type="gramStart"/>
      <w:r w:rsidRPr="006E3465">
        <w:rPr>
          <w:rFonts w:cs="Arial"/>
        </w:rPr>
        <w:t>has to</w:t>
      </w:r>
      <w:proofErr w:type="gramEnd"/>
      <w:r w:rsidRPr="006E3465">
        <w:rPr>
          <w:rFonts w:cs="Arial"/>
        </w:rPr>
        <w:t xml:space="preserve"> assess if it is in the </w:t>
      </w:r>
      <w:r w:rsidR="009D41DD">
        <w:rPr>
          <w:rFonts w:cs="Arial"/>
        </w:rPr>
        <w:t>community's best interests</w:t>
      </w:r>
      <w:r w:rsidRPr="006E3465">
        <w:rPr>
          <w:rFonts w:cs="Arial"/>
        </w:rPr>
        <w:t xml:space="preserve"> to move forward with the trial. These elements have an impact on this choice:</w:t>
      </w:r>
    </w:p>
    <w:p w14:paraId="7B312FC9" w14:textId="179262D9" w:rsidR="00403D21" w:rsidRPr="006E3465" w:rsidRDefault="00403D21" w:rsidP="00C53061">
      <w:pPr>
        <w:rPr>
          <w:rFonts w:cs="Arial"/>
        </w:rPr>
      </w:pPr>
      <w:r w:rsidRPr="006E3465">
        <w:rPr>
          <w:rFonts w:cs="Arial"/>
          <w:b/>
          <w:bCs/>
        </w:rPr>
        <w:t>The gravity of the Violation:</w:t>
      </w:r>
      <w:r w:rsidRPr="006E3465">
        <w:rPr>
          <w:rFonts w:cs="Arial"/>
        </w:rPr>
        <w:t xml:space="preserve"> The more severe the crime, the greater the probability that an indictment will be necessary.</w:t>
      </w:r>
    </w:p>
    <w:p w14:paraId="29032AF5" w14:textId="4FA52FA9" w:rsidR="00403D21" w:rsidRPr="006E3465" w:rsidRDefault="00403D21" w:rsidP="00C53061">
      <w:pPr>
        <w:rPr>
          <w:rFonts w:cs="Arial"/>
        </w:rPr>
      </w:pPr>
      <w:r w:rsidRPr="006E3465">
        <w:rPr>
          <w:rFonts w:cs="Arial"/>
          <w:b/>
          <w:bCs/>
        </w:rPr>
        <w:t>Accountability of the Culprit</w:t>
      </w:r>
      <w:r w:rsidRPr="006E3465">
        <w:rPr>
          <w:rFonts w:cs="Arial"/>
        </w:rPr>
        <w:t>: The degree of guilt of the individual being investigated is considered, such as if they planned on committing the offence or acted negligently</w:t>
      </w:r>
      <w:r w:rsidR="00C53061" w:rsidRPr="006E3465">
        <w:rPr>
          <w:rFonts w:cs="Arial"/>
        </w:rPr>
        <w:t xml:space="preserve"> (Kazmierski, 2021)</w:t>
      </w:r>
      <w:r w:rsidRPr="006E3465">
        <w:rPr>
          <w:rFonts w:cs="Arial"/>
        </w:rPr>
        <w:t>.</w:t>
      </w:r>
    </w:p>
    <w:p w14:paraId="7993B312" w14:textId="125A565D" w:rsidR="00403D21" w:rsidRPr="006E3465" w:rsidRDefault="00403D21" w:rsidP="00C53061">
      <w:pPr>
        <w:rPr>
          <w:rFonts w:cs="Arial"/>
        </w:rPr>
      </w:pPr>
      <w:r w:rsidRPr="006E3465">
        <w:rPr>
          <w:rFonts w:cs="Arial"/>
          <w:b/>
          <w:bCs/>
        </w:rPr>
        <w:t>Damage to the Target:</w:t>
      </w:r>
      <w:r w:rsidRPr="006E3465">
        <w:rPr>
          <w:rFonts w:cs="Arial"/>
        </w:rPr>
        <w:t xml:space="preserve"> Prosecutors evaluate if the misconduct leads to psychological, physical, or monetary damage to the </w:t>
      </w:r>
      <w:r w:rsidR="009D41DD">
        <w:rPr>
          <w:rFonts w:cs="Arial"/>
        </w:rPr>
        <w:t>assaulted person</w:t>
      </w:r>
      <w:r w:rsidRPr="006E3465">
        <w:rPr>
          <w:rFonts w:cs="Arial"/>
        </w:rPr>
        <w:t>.</w:t>
      </w:r>
    </w:p>
    <w:p w14:paraId="3249B0FA" w14:textId="77777777" w:rsidR="00403D21" w:rsidRPr="006E3465" w:rsidRDefault="00403D21" w:rsidP="00C53061">
      <w:pPr>
        <w:rPr>
          <w:rFonts w:cs="Arial"/>
        </w:rPr>
      </w:pPr>
      <w:r w:rsidRPr="006E3465">
        <w:rPr>
          <w:rFonts w:cs="Arial"/>
          <w:b/>
          <w:bCs/>
        </w:rPr>
        <w:lastRenderedPageBreak/>
        <w:t>Influence on Society:</w:t>
      </w:r>
      <w:r w:rsidRPr="006E3465">
        <w:rPr>
          <w:rFonts w:cs="Arial"/>
        </w:rPr>
        <w:t xml:space="preserve"> The possible deterring impact of an indictment on the larger community is also a factor.</w:t>
      </w:r>
    </w:p>
    <w:p w14:paraId="50172EFA" w14:textId="77777777" w:rsidR="00403D21" w:rsidRPr="006E3465" w:rsidRDefault="00403D21" w:rsidP="00C53061">
      <w:pPr>
        <w:rPr>
          <w:rFonts w:cs="Arial"/>
          <w:b/>
          <w:bCs/>
        </w:rPr>
      </w:pPr>
      <w:r w:rsidRPr="006E3465">
        <w:rPr>
          <w:rFonts w:cs="Arial"/>
          <w:b/>
          <w:bCs/>
        </w:rPr>
        <w:t>The Critical Mass Test</w:t>
      </w:r>
    </w:p>
    <w:p w14:paraId="24720397" w14:textId="06C48A2C" w:rsidR="00403D21" w:rsidRPr="006E3465" w:rsidRDefault="00403D21" w:rsidP="00C53061">
      <w:pPr>
        <w:rPr>
          <w:rFonts w:cs="Arial"/>
        </w:rPr>
      </w:pPr>
      <w:r w:rsidRPr="006E3465">
        <w:rPr>
          <w:rFonts w:cs="Arial"/>
        </w:rPr>
        <w:t xml:space="preserve">In certain situations, </w:t>
      </w:r>
      <w:r w:rsidR="009D41DD">
        <w:rPr>
          <w:rFonts w:cs="Arial"/>
        </w:rPr>
        <w:t xml:space="preserve">postponing a prosecuting judgement may not be feasible or suitable </w:t>
      </w:r>
      <w:proofErr w:type="gramStart"/>
      <w:r w:rsidRPr="006E3465">
        <w:rPr>
          <w:rFonts w:cs="Arial"/>
        </w:rPr>
        <w:t>as long as</w:t>
      </w:r>
      <w:proofErr w:type="gramEnd"/>
      <w:r w:rsidRPr="006E3465">
        <w:rPr>
          <w:rFonts w:cs="Arial"/>
        </w:rPr>
        <w:t xml:space="preserve"> all the required data or proof is accessible. In such </w:t>
      </w:r>
      <w:r w:rsidR="009D41DD">
        <w:rPr>
          <w:rFonts w:cs="Arial"/>
        </w:rPr>
        <w:t>cases</w:t>
      </w:r>
      <w:r w:rsidRPr="006E3465">
        <w:rPr>
          <w:rFonts w:cs="Arial"/>
        </w:rPr>
        <w:t>, the threshold assessment is implemented.</w:t>
      </w:r>
    </w:p>
    <w:p w14:paraId="4500785E" w14:textId="77777777" w:rsidR="00403D21" w:rsidRPr="006E3465" w:rsidRDefault="00403D21" w:rsidP="00C53061">
      <w:pPr>
        <w:rPr>
          <w:rFonts w:cs="Arial"/>
        </w:rPr>
      </w:pPr>
      <w:r w:rsidRPr="006E3465">
        <w:rPr>
          <w:rFonts w:cs="Arial"/>
          <w:b/>
          <w:bCs/>
        </w:rPr>
        <w:t>A. Plausible Assumption:</w:t>
      </w:r>
      <w:r w:rsidRPr="006E3465">
        <w:rPr>
          <w:rFonts w:cs="Arial"/>
        </w:rPr>
        <w:t xml:space="preserve"> In the beginning, officials must prove that they have a plausible possibility that the person in question committed the crime.</w:t>
      </w:r>
    </w:p>
    <w:p w14:paraId="3E16970C" w14:textId="2A37EA8A" w:rsidR="00403D21" w:rsidRPr="006E3465" w:rsidRDefault="00403D21" w:rsidP="00C53061">
      <w:pPr>
        <w:rPr>
          <w:rFonts w:cs="Arial"/>
        </w:rPr>
      </w:pPr>
      <w:r w:rsidRPr="006E3465">
        <w:rPr>
          <w:rFonts w:cs="Arial"/>
          <w:b/>
          <w:bCs/>
        </w:rPr>
        <w:t>B. Additional Proof</w:t>
      </w:r>
      <w:r w:rsidRPr="006E3465">
        <w:rPr>
          <w:rFonts w:cs="Arial"/>
        </w:rPr>
        <w:t xml:space="preserve">: </w:t>
      </w:r>
      <w:r w:rsidR="009D41DD">
        <w:rPr>
          <w:rFonts w:cs="Arial"/>
        </w:rPr>
        <w:t>They</w:t>
      </w:r>
      <w:r w:rsidRPr="006E3465">
        <w:rPr>
          <w:rFonts w:cs="Arial"/>
        </w:rPr>
        <w:t xml:space="preserve"> </w:t>
      </w:r>
      <w:r w:rsidR="009D41DD">
        <w:rPr>
          <w:rFonts w:cs="Arial"/>
        </w:rPr>
        <w:t>must</w:t>
      </w:r>
      <w:r w:rsidRPr="006E3465">
        <w:rPr>
          <w:rFonts w:cs="Arial"/>
        </w:rPr>
        <w:t xml:space="preserve"> decide if they have adequate reasons for optimism that extending the inquiry will yield </w:t>
      </w:r>
      <w:r w:rsidR="009D41DD">
        <w:rPr>
          <w:rFonts w:cs="Arial"/>
        </w:rPr>
        <w:t>more excellent</w:t>
      </w:r>
      <w:r w:rsidRPr="006E3465">
        <w:rPr>
          <w:rFonts w:cs="Arial"/>
        </w:rPr>
        <w:t xml:space="preserve"> proof within an appropriate time</w:t>
      </w:r>
      <w:r w:rsidR="00C53061" w:rsidRPr="006E3465">
        <w:rPr>
          <w:rFonts w:cs="Arial"/>
        </w:rPr>
        <w:t xml:space="preserve"> (Vinokurov, 2019)</w:t>
      </w:r>
      <w:r w:rsidRPr="006E3465">
        <w:rPr>
          <w:rFonts w:cs="Arial"/>
        </w:rPr>
        <w:t>.</w:t>
      </w:r>
    </w:p>
    <w:p w14:paraId="03AD8C97" w14:textId="493DF348" w:rsidR="00403D21" w:rsidRPr="006E3465" w:rsidRDefault="00403D21" w:rsidP="00C53061">
      <w:pPr>
        <w:rPr>
          <w:rFonts w:cs="Arial"/>
        </w:rPr>
      </w:pPr>
      <w:r w:rsidRPr="006E3465">
        <w:rPr>
          <w:rFonts w:cs="Arial"/>
          <w:b/>
          <w:bCs/>
        </w:rPr>
        <w:t>C. National Interest:</w:t>
      </w:r>
      <w:r w:rsidRPr="006E3465">
        <w:rPr>
          <w:rFonts w:cs="Arial"/>
        </w:rPr>
        <w:t xml:space="preserve"> If the previous two criteria are met, the prosecutor </w:t>
      </w:r>
      <w:r w:rsidR="009D41DD">
        <w:rPr>
          <w:rFonts w:cs="Arial"/>
        </w:rPr>
        <w:t>must</w:t>
      </w:r>
      <w:r w:rsidRPr="006E3465">
        <w:rPr>
          <w:rFonts w:cs="Arial"/>
        </w:rPr>
        <w:t> determine whether it is in the public benefit to bring an indictment and detain the accused person.</w:t>
      </w:r>
    </w:p>
    <w:p w14:paraId="0AEEF081" w14:textId="77777777" w:rsidR="006E3465" w:rsidRPr="006E3465" w:rsidRDefault="006E3465">
      <w:pPr>
        <w:spacing w:line="259" w:lineRule="auto"/>
        <w:jc w:val="left"/>
        <w:rPr>
          <w:rFonts w:eastAsiaTheme="majorEastAsia" w:cs="Arial"/>
          <w:b/>
          <w:color w:val="2F5496" w:themeColor="accent1" w:themeShade="BF"/>
          <w:sz w:val="32"/>
          <w:szCs w:val="32"/>
        </w:rPr>
      </w:pPr>
      <w:r w:rsidRPr="006E3465">
        <w:rPr>
          <w:rFonts w:cs="Arial"/>
        </w:rPr>
        <w:br w:type="page"/>
      </w:r>
    </w:p>
    <w:p w14:paraId="33F73F8B" w14:textId="498B9564" w:rsidR="00403D21" w:rsidRPr="006E3465" w:rsidRDefault="00403D21" w:rsidP="00C53061">
      <w:pPr>
        <w:pStyle w:val="Heading1"/>
        <w:rPr>
          <w:rFonts w:ascii="Arial" w:hAnsi="Arial" w:cs="Arial"/>
        </w:rPr>
      </w:pPr>
      <w:bookmarkStart w:id="5" w:name="_Toc142179208"/>
      <w:r w:rsidRPr="006E3465">
        <w:rPr>
          <w:rFonts w:ascii="Arial" w:hAnsi="Arial" w:cs="Arial"/>
        </w:rPr>
        <w:lastRenderedPageBreak/>
        <w:t>Conclusion</w:t>
      </w:r>
      <w:bookmarkEnd w:id="5"/>
    </w:p>
    <w:p w14:paraId="642DA528" w14:textId="65DF80E2" w:rsidR="007272A9" w:rsidRPr="006E3465" w:rsidRDefault="00403D21" w:rsidP="00C53061">
      <w:pPr>
        <w:rPr>
          <w:rFonts w:cs="Arial"/>
        </w:rPr>
      </w:pPr>
      <w:r w:rsidRPr="006E3465">
        <w:rPr>
          <w:rFonts w:cs="Arial"/>
        </w:rPr>
        <w:t xml:space="preserve">Within the United Kingdom's legal system, such authority plays a </w:t>
      </w:r>
      <w:r w:rsidR="009D41DD">
        <w:rPr>
          <w:rFonts w:cs="Arial"/>
        </w:rPr>
        <w:t>complex and diverse function</w:t>
      </w:r>
      <w:r w:rsidRPr="006E3465">
        <w:rPr>
          <w:rFonts w:cs="Arial"/>
        </w:rPr>
        <w:t xml:space="preserve">. They are accountable for maintaining justice by ensuring that only instances with adequate evidentiary power and the greater good are brought before the court. To achieve this, they conduct comprehensive evaluations, such as the Full Code Examination and, if required, the Threshold Test. These stringent standards aid </w:t>
      </w:r>
      <w:r w:rsidR="009D41DD">
        <w:rPr>
          <w:rFonts w:cs="Arial"/>
        </w:rPr>
        <w:t>in arriving</w:t>
      </w:r>
      <w:r w:rsidRPr="006E3465">
        <w:rPr>
          <w:rFonts w:cs="Arial"/>
        </w:rPr>
        <w:t xml:space="preserve"> at equitable and straightforward decisions, nurturing public confidence in the judicial method's integrity and impartiality</w:t>
      </w:r>
      <w:r w:rsidR="00C53061" w:rsidRPr="006E3465">
        <w:rPr>
          <w:rFonts w:cs="Arial"/>
        </w:rPr>
        <w:t xml:space="preserve"> (Reichel, 2022)</w:t>
      </w:r>
      <w:r w:rsidRPr="006E3465">
        <w:rPr>
          <w:rFonts w:cs="Arial"/>
        </w:rPr>
        <w:t>. In a nutshell, the function of such authority is crucial to the execution of fairness in the United Kingdom, serving as both a representative for the justice system and an intermediary for the general public's welfare.</w:t>
      </w:r>
    </w:p>
    <w:p w14:paraId="529EACE6" w14:textId="2C5BD078" w:rsidR="00403D21" w:rsidRPr="006E3465" w:rsidRDefault="00403D21" w:rsidP="00C53061">
      <w:pPr>
        <w:rPr>
          <w:rFonts w:cs="Arial"/>
        </w:rPr>
      </w:pPr>
    </w:p>
    <w:p w14:paraId="5959480F" w14:textId="6822F708" w:rsidR="00403D21" w:rsidRPr="006E3465" w:rsidRDefault="00403D21" w:rsidP="00C53061">
      <w:pPr>
        <w:rPr>
          <w:rFonts w:cs="Arial"/>
        </w:rPr>
      </w:pPr>
    </w:p>
    <w:p w14:paraId="79E6FEE2" w14:textId="2DCD1F49" w:rsidR="00403D21" w:rsidRPr="006E3465" w:rsidRDefault="00403D21" w:rsidP="00C53061">
      <w:pPr>
        <w:rPr>
          <w:rFonts w:cs="Arial"/>
        </w:rPr>
      </w:pPr>
    </w:p>
    <w:p w14:paraId="3135FEAD" w14:textId="7F77ED70" w:rsidR="00403D21" w:rsidRPr="006E3465" w:rsidRDefault="00403D21" w:rsidP="00C53061">
      <w:pPr>
        <w:rPr>
          <w:rFonts w:cs="Arial"/>
        </w:rPr>
      </w:pPr>
    </w:p>
    <w:p w14:paraId="36DCE38A" w14:textId="5311F6BB" w:rsidR="00403D21" w:rsidRPr="006E3465" w:rsidRDefault="00403D21" w:rsidP="00C53061">
      <w:pPr>
        <w:rPr>
          <w:rFonts w:cs="Arial"/>
        </w:rPr>
      </w:pPr>
    </w:p>
    <w:p w14:paraId="380A4C71" w14:textId="7E235CA5" w:rsidR="00403D21" w:rsidRPr="006E3465" w:rsidRDefault="00403D21" w:rsidP="00C53061">
      <w:pPr>
        <w:rPr>
          <w:rFonts w:cs="Arial"/>
        </w:rPr>
      </w:pPr>
    </w:p>
    <w:p w14:paraId="2DA61EBA" w14:textId="58F597EA" w:rsidR="00403D21" w:rsidRPr="006E3465" w:rsidRDefault="00403D21" w:rsidP="00C53061">
      <w:pPr>
        <w:rPr>
          <w:rFonts w:cs="Arial"/>
        </w:rPr>
      </w:pPr>
    </w:p>
    <w:p w14:paraId="41898C5E" w14:textId="77777777" w:rsidR="006E3465" w:rsidRPr="006E3465" w:rsidRDefault="006E3465">
      <w:pPr>
        <w:spacing w:line="259" w:lineRule="auto"/>
        <w:jc w:val="left"/>
        <w:rPr>
          <w:rFonts w:eastAsiaTheme="majorEastAsia" w:cs="Arial"/>
          <w:b/>
          <w:color w:val="2F5496" w:themeColor="accent1" w:themeShade="BF"/>
          <w:sz w:val="32"/>
          <w:szCs w:val="32"/>
        </w:rPr>
      </w:pPr>
      <w:r w:rsidRPr="006E3465">
        <w:rPr>
          <w:rFonts w:cs="Arial"/>
        </w:rPr>
        <w:br w:type="page"/>
      </w:r>
    </w:p>
    <w:p w14:paraId="60D1DDBF" w14:textId="0B8D29CE" w:rsidR="00403D21" w:rsidRPr="006E3465" w:rsidRDefault="00403D21" w:rsidP="00C53061">
      <w:pPr>
        <w:pStyle w:val="Heading1"/>
        <w:rPr>
          <w:rFonts w:ascii="Arial" w:hAnsi="Arial" w:cs="Arial"/>
        </w:rPr>
      </w:pPr>
      <w:bookmarkStart w:id="6" w:name="_Toc142179209"/>
      <w:r w:rsidRPr="006E3465">
        <w:rPr>
          <w:rFonts w:ascii="Arial" w:hAnsi="Arial" w:cs="Arial"/>
        </w:rPr>
        <w:lastRenderedPageBreak/>
        <w:t>Reference</w:t>
      </w:r>
      <w:bookmarkEnd w:id="6"/>
    </w:p>
    <w:p w14:paraId="0F3F649B" w14:textId="20C5A1E0"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Baker, A. (2020)</w:t>
      </w:r>
      <w:r w:rsidR="009D41DD">
        <w:rPr>
          <w:rFonts w:eastAsia="Times New Roman" w:cs="Arial"/>
          <w:szCs w:val="24"/>
          <w:lang w:val="en-US"/>
        </w:rPr>
        <w:t>.</w:t>
      </w:r>
      <w:r w:rsidRPr="006E3465">
        <w:rPr>
          <w:rFonts w:eastAsia="Times New Roman" w:cs="Arial"/>
          <w:szCs w:val="24"/>
          <w:lang w:val="en-US"/>
        </w:rPr>
        <w:t xml:space="preserve"> ‘Article 14 ECHR: A Protector, not a prosecutor’, </w:t>
      </w:r>
      <w:r w:rsidRPr="006E3465">
        <w:rPr>
          <w:rFonts w:eastAsia="Times New Roman" w:cs="Arial"/>
          <w:i/>
          <w:iCs/>
          <w:szCs w:val="24"/>
          <w:lang w:val="en-US"/>
        </w:rPr>
        <w:t>Judicial Reasoning under the UK Human Rights Act</w:t>
      </w:r>
      <w:r w:rsidRPr="006E3465">
        <w:rPr>
          <w:rFonts w:eastAsia="Times New Roman" w:cs="Arial"/>
          <w:szCs w:val="24"/>
          <w:lang w:val="en-US"/>
        </w:rPr>
        <w:t xml:space="preserve">, pp. 348–376. doi:10.1017/cbo9780511493775.015. </w:t>
      </w:r>
    </w:p>
    <w:p w14:paraId="2A38A404" w14:textId="7B32B2F8" w:rsidR="00BE328C" w:rsidRPr="006E3465" w:rsidRDefault="00BE328C" w:rsidP="00C53061">
      <w:pPr>
        <w:spacing w:before="100" w:beforeAutospacing="1" w:after="100" w:afterAutospacing="1"/>
        <w:ind w:left="567" w:hanging="567"/>
        <w:jc w:val="left"/>
        <w:rPr>
          <w:rFonts w:eastAsia="Times New Roman" w:cs="Arial"/>
          <w:szCs w:val="24"/>
          <w:lang w:val="en-US"/>
        </w:rPr>
      </w:pPr>
      <w:proofErr w:type="spellStart"/>
      <w:r w:rsidRPr="006E3465">
        <w:rPr>
          <w:rFonts w:eastAsia="Times New Roman" w:cs="Arial"/>
          <w:szCs w:val="24"/>
          <w:lang w:val="en-US"/>
        </w:rPr>
        <w:t>Weigend</w:t>
      </w:r>
      <w:proofErr w:type="spellEnd"/>
      <w:r w:rsidRPr="006E3465">
        <w:rPr>
          <w:rFonts w:eastAsia="Times New Roman" w:cs="Arial"/>
          <w:szCs w:val="24"/>
          <w:lang w:val="en-US"/>
        </w:rPr>
        <w:t>, T. (2022)</w:t>
      </w:r>
      <w:r w:rsidR="009D41DD">
        <w:rPr>
          <w:rFonts w:eastAsia="Times New Roman" w:cs="Arial"/>
          <w:szCs w:val="24"/>
          <w:lang w:val="en-US"/>
        </w:rPr>
        <w:t>.</w:t>
      </w:r>
      <w:r w:rsidRPr="006E3465">
        <w:rPr>
          <w:rFonts w:eastAsia="Times New Roman" w:cs="Arial"/>
          <w:szCs w:val="24"/>
          <w:lang w:val="en-US"/>
        </w:rPr>
        <w:t xml:space="preserve"> ‘A judge by another name? </w:t>
      </w:r>
      <w:r w:rsidR="009D41DD">
        <w:rPr>
          <w:rFonts w:eastAsia="Times New Roman" w:cs="Arial"/>
          <w:szCs w:val="24"/>
          <w:lang w:val="en-US"/>
        </w:rPr>
        <w:t>Comparative</w:t>
      </w:r>
      <w:r w:rsidRPr="006E3465">
        <w:rPr>
          <w:rFonts w:eastAsia="Times New Roman" w:cs="Arial"/>
          <w:szCs w:val="24"/>
          <w:lang w:val="en-US"/>
        </w:rPr>
        <w:t xml:space="preserve"> </w:t>
      </w:r>
      <w:r w:rsidR="009D41DD">
        <w:rPr>
          <w:rFonts w:eastAsia="Times New Roman" w:cs="Arial"/>
          <w:szCs w:val="24"/>
          <w:lang w:val="en-US"/>
        </w:rPr>
        <w:t>Perspectives on</w:t>
      </w:r>
      <w:r w:rsidRPr="006E3465">
        <w:rPr>
          <w:rFonts w:eastAsia="Times New Roman" w:cs="Arial"/>
          <w:szCs w:val="24"/>
          <w:lang w:val="en-US"/>
        </w:rPr>
        <w:t xml:space="preserve"> the </w:t>
      </w:r>
      <w:r w:rsidR="009D41DD">
        <w:rPr>
          <w:rFonts w:eastAsia="Times New Roman" w:cs="Arial"/>
          <w:szCs w:val="24"/>
          <w:lang w:val="en-US"/>
        </w:rPr>
        <w:t>Role</w:t>
      </w:r>
      <w:r w:rsidRPr="006E3465">
        <w:rPr>
          <w:rFonts w:eastAsia="Times New Roman" w:cs="Arial"/>
          <w:szCs w:val="24"/>
          <w:lang w:val="en-US"/>
        </w:rPr>
        <w:t xml:space="preserve"> of the Public Prosecutor’, </w:t>
      </w:r>
      <w:r w:rsidRPr="006E3465">
        <w:rPr>
          <w:rFonts w:eastAsia="Times New Roman" w:cs="Arial"/>
          <w:i/>
          <w:iCs/>
          <w:szCs w:val="24"/>
          <w:lang w:val="en-US"/>
        </w:rPr>
        <w:t>The Prosecutor in Transnational Perspective</w:t>
      </w:r>
      <w:r w:rsidRPr="006E3465">
        <w:rPr>
          <w:rFonts w:eastAsia="Times New Roman" w:cs="Arial"/>
          <w:szCs w:val="24"/>
          <w:lang w:val="en-US"/>
        </w:rPr>
        <w:t>, pp. 377–391. doi:10.1093/</w:t>
      </w:r>
      <w:proofErr w:type="spellStart"/>
      <w:proofErr w:type="gramStart"/>
      <w:r w:rsidRPr="006E3465">
        <w:rPr>
          <w:rFonts w:eastAsia="Times New Roman" w:cs="Arial"/>
          <w:szCs w:val="24"/>
          <w:lang w:val="en-US"/>
        </w:rPr>
        <w:t>acprof:osobl</w:t>
      </w:r>
      <w:proofErr w:type="spellEnd"/>
      <w:proofErr w:type="gramEnd"/>
      <w:r w:rsidRPr="006E3465">
        <w:rPr>
          <w:rFonts w:eastAsia="Times New Roman" w:cs="Arial"/>
          <w:szCs w:val="24"/>
          <w:lang w:val="en-US"/>
        </w:rPr>
        <w:t xml:space="preserve">/9780199844807.003.0026. </w:t>
      </w:r>
    </w:p>
    <w:p w14:paraId="70C43FD7" w14:textId="6308CF46"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W., J.A.R. and Jackson, J.M. (2021)</w:t>
      </w:r>
      <w:r w:rsidR="009D41DD">
        <w:rPr>
          <w:rFonts w:eastAsia="Times New Roman" w:cs="Arial"/>
          <w:szCs w:val="24"/>
          <w:lang w:val="en-US"/>
        </w:rPr>
        <w:t>.</w:t>
      </w:r>
      <w:r w:rsidRPr="006E3465">
        <w:rPr>
          <w:rFonts w:eastAsia="Times New Roman" w:cs="Arial"/>
          <w:szCs w:val="24"/>
          <w:lang w:val="en-US"/>
        </w:rPr>
        <w:t xml:space="preserve"> </w:t>
      </w:r>
      <w:r w:rsidRPr="006E3465">
        <w:rPr>
          <w:rFonts w:eastAsia="Times New Roman" w:cs="Arial"/>
          <w:i/>
          <w:iCs/>
          <w:szCs w:val="24"/>
          <w:lang w:val="en-US"/>
        </w:rPr>
        <w:t>Forensic science</w:t>
      </w:r>
      <w:r w:rsidRPr="006E3465">
        <w:rPr>
          <w:rFonts w:eastAsia="Times New Roman" w:cs="Arial"/>
          <w:szCs w:val="24"/>
          <w:lang w:val="en-US"/>
        </w:rPr>
        <w:t xml:space="preserve">. Harlow, England: Pearson/Prentice Hall. </w:t>
      </w:r>
    </w:p>
    <w:p w14:paraId="20F4D71E" w14:textId="6404A1F2"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Reichel, P.L. (2022)</w:t>
      </w:r>
      <w:r w:rsidR="009D41DD">
        <w:rPr>
          <w:rFonts w:eastAsia="Times New Roman" w:cs="Arial"/>
          <w:szCs w:val="24"/>
          <w:lang w:val="en-US"/>
        </w:rPr>
        <w:t>.</w:t>
      </w:r>
      <w:r w:rsidRPr="006E3465">
        <w:rPr>
          <w:rFonts w:eastAsia="Times New Roman" w:cs="Arial"/>
          <w:szCs w:val="24"/>
          <w:lang w:val="en-US"/>
        </w:rPr>
        <w:t xml:space="preserve"> </w:t>
      </w:r>
      <w:r w:rsidRPr="006E3465">
        <w:rPr>
          <w:rFonts w:eastAsia="Times New Roman" w:cs="Arial"/>
          <w:i/>
          <w:iCs/>
          <w:szCs w:val="24"/>
          <w:lang w:val="en-US"/>
        </w:rPr>
        <w:t>Comparative criminal justice systems: A topical approach</w:t>
      </w:r>
      <w:r w:rsidRPr="006E3465">
        <w:rPr>
          <w:rFonts w:eastAsia="Times New Roman" w:cs="Arial"/>
          <w:szCs w:val="24"/>
          <w:lang w:val="en-US"/>
        </w:rPr>
        <w:t xml:space="preserve">. Upper Saddle River, NJ: Pearson Prentice Hall. </w:t>
      </w:r>
    </w:p>
    <w:p w14:paraId="3EE83759" w14:textId="77777777"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 xml:space="preserve">Kazmierski, V. (2021) in </w:t>
      </w:r>
      <w:r w:rsidRPr="006E3465">
        <w:rPr>
          <w:rFonts w:eastAsia="Times New Roman" w:cs="Arial"/>
          <w:i/>
          <w:iCs/>
          <w:szCs w:val="24"/>
          <w:lang w:val="en-US"/>
        </w:rPr>
        <w:t>Introduction to legal studies</w:t>
      </w:r>
      <w:r w:rsidRPr="006E3465">
        <w:rPr>
          <w:rFonts w:eastAsia="Times New Roman" w:cs="Arial"/>
          <w:szCs w:val="24"/>
          <w:lang w:val="en-US"/>
        </w:rPr>
        <w:t xml:space="preserve">. Concord, Ont.: </w:t>
      </w:r>
      <w:proofErr w:type="spellStart"/>
      <w:r w:rsidRPr="006E3465">
        <w:rPr>
          <w:rFonts w:eastAsia="Times New Roman" w:cs="Arial"/>
          <w:szCs w:val="24"/>
          <w:lang w:val="en-US"/>
        </w:rPr>
        <w:t>Captus</w:t>
      </w:r>
      <w:proofErr w:type="spellEnd"/>
      <w:r w:rsidRPr="006E3465">
        <w:rPr>
          <w:rFonts w:eastAsia="Times New Roman" w:cs="Arial"/>
          <w:szCs w:val="24"/>
          <w:lang w:val="en-US"/>
        </w:rPr>
        <w:t xml:space="preserve"> Press. </w:t>
      </w:r>
    </w:p>
    <w:p w14:paraId="5F0DAF5C" w14:textId="293B3952"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 xml:space="preserve">Vinokurov, </w:t>
      </w:r>
      <w:proofErr w:type="spellStart"/>
      <w:r w:rsidRPr="006E3465">
        <w:rPr>
          <w:rFonts w:eastAsia="Times New Roman" w:cs="Arial"/>
          <w:szCs w:val="24"/>
          <w:lang w:val="en-US"/>
        </w:rPr>
        <w:t>A.Yu</w:t>
      </w:r>
      <w:proofErr w:type="spellEnd"/>
      <w:r w:rsidRPr="006E3465">
        <w:rPr>
          <w:rFonts w:eastAsia="Times New Roman" w:cs="Arial"/>
          <w:szCs w:val="24"/>
          <w:lang w:val="en-US"/>
        </w:rPr>
        <w:t>. (2019)</w:t>
      </w:r>
      <w:r w:rsidR="009D41DD">
        <w:rPr>
          <w:rFonts w:eastAsia="Times New Roman" w:cs="Arial"/>
          <w:szCs w:val="24"/>
          <w:lang w:val="en-US"/>
        </w:rPr>
        <w:t>.</w:t>
      </w:r>
      <w:r w:rsidRPr="006E3465">
        <w:rPr>
          <w:rFonts w:eastAsia="Times New Roman" w:cs="Arial"/>
          <w:szCs w:val="24"/>
          <w:lang w:val="en-US"/>
        </w:rPr>
        <w:t xml:space="preserve"> </w:t>
      </w:r>
      <w:r w:rsidRPr="006E3465">
        <w:rPr>
          <w:rFonts w:eastAsia="Times New Roman" w:cs="Arial"/>
          <w:i/>
          <w:iCs/>
          <w:szCs w:val="24"/>
          <w:lang w:val="en-US"/>
        </w:rPr>
        <w:t xml:space="preserve">Administrative pursuit as </w:t>
      </w:r>
      <w:r w:rsidR="009D41DD">
        <w:rPr>
          <w:rFonts w:eastAsia="Times New Roman" w:cs="Arial"/>
          <w:i/>
          <w:iCs/>
          <w:szCs w:val="24"/>
          <w:lang w:val="en-US"/>
        </w:rPr>
        <w:t xml:space="preserve">a </w:t>
      </w:r>
      <w:r w:rsidRPr="006E3465">
        <w:rPr>
          <w:rFonts w:eastAsia="Times New Roman" w:cs="Arial"/>
          <w:i/>
          <w:iCs/>
          <w:szCs w:val="24"/>
          <w:lang w:val="en-US"/>
        </w:rPr>
        <w:t xml:space="preserve">function of </w:t>
      </w:r>
      <w:r w:rsidR="009D41DD">
        <w:rPr>
          <w:rFonts w:eastAsia="Times New Roman" w:cs="Arial"/>
          <w:i/>
          <w:iCs/>
          <w:szCs w:val="24"/>
          <w:lang w:val="en-US"/>
        </w:rPr>
        <w:t xml:space="preserve">the </w:t>
      </w:r>
      <w:r w:rsidRPr="006E3465">
        <w:rPr>
          <w:rFonts w:eastAsia="Times New Roman" w:cs="Arial"/>
          <w:i/>
          <w:iCs/>
          <w:szCs w:val="24"/>
          <w:lang w:val="en-US"/>
        </w:rPr>
        <w:t xml:space="preserve">office of Crown’s Prosecutor: Theoretical, legal and </w:t>
      </w:r>
      <w:proofErr w:type="spellStart"/>
      <w:r w:rsidR="009D41DD">
        <w:rPr>
          <w:rFonts w:eastAsia="Times New Roman" w:cs="Arial"/>
          <w:i/>
          <w:iCs/>
          <w:szCs w:val="24"/>
          <w:lang w:val="en-US"/>
        </w:rPr>
        <w:t>organisational</w:t>
      </w:r>
      <w:proofErr w:type="spellEnd"/>
      <w:r w:rsidRPr="006E3465">
        <w:rPr>
          <w:rFonts w:eastAsia="Times New Roman" w:cs="Arial"/>
          <w:i/>
          <w:iCs/>
          <w:szCs w:val="24"/>
          <w:lang w:val="en-US"/>
        </w:rPr>
        <w:t xml:space="preserve"> aspects</w:t>
      </w:r>
      <w:r w:rsidRPr="006E3465">
        <w:rPr>
          <w:rFonts w:eastAsia="Times New Roman" w:cs="Arial"/>
          <w:szCs w:val="24"/>
          <w:lang w:val="en-US"/>
        </w:rPr>
        <w:t xml:space="preserve"> [Preprint]. doi:10.31085/9785392305544-2019-552. </w:t>
      </w:r>
    </w:p>
    <w:p w14:paraId="1E46A03E" w14:textId="2D54CCA2"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Douglas, R. (2022)</w:t>
      </w:r>
      <w:r w:rsidR="009D41DD">
        <w:rPr>
          <w:rFonts w:eastAsia="Times New Roman" w:cs="Arial"/>
          <w:szCs w:val="24"/>
          <w:lang w:val="en-US"/>
        </w:rPr>
        <w:t>.</w:t>
      </w:r>
      <w:r w:rsidRPr="006E3465">
        <w:rPr>
          <w:rFonts w:eastAsia="Times New Roman" w:cs="Arial"/>
          <w:szCs w:val="24"/>
          <w:lang w:val="en-US"/>
        </w:rPr>
        <w:t xml:space="preserve"> ‘The director of public prosecutions: Principles and practices for the crown prosecutor’, </w:t>
      </w:r>
      <w:r w:rsidRPr="006E3465">
        <w:rPr>
          <w:rFonts w:eastAsia="Times New Roman" w:cs="Arial"/>
          <w:i/>
          <w:iCs/>
          <w:szCs w:val="24"/>
          <w:lang w:val="en-US"/>
        </w:rPr>
        <w:t>Journal of Criminal Justice</w:t>
      </w:r>
      <w:r w:rsidRPr="006E3465">
        <w:rPr>
          <w:rFonts w:eastAsia="Times New Roman" w:cs="Arial"/>
          <w:szCs w:val="24"/>
          <w:lang w:val="en-US"/>
        </w:rPr>
        <w:t xml:space="preserve">, 17(1), pp. 62–64. doi:10.1016/0047-2352(89)90069-x. </w:t>
      </w:r>
    </w:p>
    <w:p w14:paraId="479C9696" w14:textId="1B5BD706"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Lewis, C. (20</w:t>
      </w:r>
      <w:r w:rsidR="00C53061" w:rsidRPr="006E3465">
        <w:rPr>
          <w:rFonts w:eastAsia="Times New Roman" w:cs="Arial"/>
          <w:szCs w:val="24"/>
          <w:lang w:val="en-US"/>
        </w:rPr>
        <w:t>2</w:t>
      </w:r>
      <w:r w:rsidRPr="006E3465">
        <w:rPr>
          <w:rFonts w:eastAsia="Times New Roman" w:cs="Arial"/>
          <w:szCs w:val="24"/>
          <w:lang w:val="en-US"/>
        </w:rPr>
        <w:t>2)</w:t>
      </w:r>
      <w:r w:rsidR="009D41DD">
        <w:rPr>
          <w:rFonts w:eastAsia="Times New Roman" w:cs="Arial"/>
          <w:szCs w:val="24"/>
          <w:lang w:val="en-US"/>
        </w:rPr>
        <w:t>.</w:t>
      </w:r>
      <w:r w:rsidRPr="006E3465">
        <w:rPr>
          <w:rFonts w:eastAsia="Times New Roman" w:cs="Arial"/>
          <w:szCs w:val="24"/>
          <w:lang w:val="en-US"/>
        </w:rPr>
        <w:t xml:space="preserve"> ‘The evolving role of the English Crown Prosecution Service’, </w:t>
      </w:r>
      <w:r w:rsidRPr="006E3465">
        <w:rPr>
          <w:rFonts w:eastAsia="Times New Roman" w:cs="Arial"/>
          <w:i/>
          <w:iCs/>
          <w:szCs w:val="24"/>
          <w:lang w:val="en-US"/>
        </w:rPr>
        <w:t>The Prosecutor in Transnational Perspective</w:t>
      </w:r>
      <w:r w:rsidRPr="006E3465">
        <w:rPr>
          <w:rFonts w:eastAsia="Times New Roman" w:cs="Arial"/>
          <w:szCs w:val="24"/>
          <w:lang w:val="en-US"/>
        </w:rPr>
        <w:t>, pp. 214–234. doi:10.1093/</w:t>
      </w:r>
      <w:proofErr w:type="spellStart"/>
      <w:proofErr w:type="gramStart"/>
      <w:r w:rsidRPr="006E3465">
        <w:rPr>
          <w:rFonts w:eastAsia="Times New Roman" w:cs="Arial"/>
          <w:szCs w:val="24"/>
          <w:lang w:val="en-US"/>
        </w:rPr>
        <w:t>acprof:osobl</w:t>
      </w:r>
      <w:proofErr w:type="spellEnd"/>
      <w:proofErr w:type="gramEnd"/>
      <w:r w:rsidRPr="006E3465">
        <w:rPr>
          <w:rFonts w:eastAsia="Times New Roman" w:cs="Arial"/>
          <w:szCs w:val="24"/>
          <w:lang w:val="en-US"/>
        </w:rPr>
        <w:t xml:space="preserve">/9780199844807.003.0016. </w:t>
      </w:r>
    </w:p>
    <w:p w14:paraId="15D4C8C5" w14:textId="58DFC37F"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t>Johnson, B. (2021)</w:t>
      </w:r>
      <w:r w:rsidR="009D41DD">
        <w:rPr>
          <w:rFonts w:eastAsia="Times New Roman" w:cs="Arial"/>
          <w:szCs w:val="24"/>
          <w:lang w:val="en-US"/>
        </w:rPr>
        <w:t>.</w:t>
      </w:r>
      <w:r w:rsidRPr="006E3465">
        <w:rPr>
          <w:rFonts w:eastAsia="Times New Roman" w:cs="Arial"/>
          <w:szCs w:val="24"/>
          <w:lang w:val="en-US"/>
        </w:rPr>
        <w:t xml:space="preserve"> ‘Risk, restorative justice and the Crown’, </w:t>
      </w:r>
      <w:r w:rsidRPr="006E3465">
        <w:rPr>
          <w:rFonts w:eastAsia="Times New Roman" w:cs="Arial"/>
          <w:i/>
          <w:iCs/>
          <w:szCs w:val="24"/>
          <w:lang w:val="en-US"/>
        </w:rPr>
        <w:t>The International Journal of Restorative Justice</w:t>
      </w:r>
      <w:r w:rsidRPr="006E3465">
        <w:rPr>
          <w:rFonts w:eastAsia="Times New Roman" w:cs="Arial"/>
          <w:szCs w:val="24"/>
          <w:lang w:val="en-US"/>
        </w:rPr>
        <w:t xml:space="preserve">, 4(2), pp. 283–304. doi:10.5553/tijrj.000077. </w:t>
      </w:r>
    </w:p>
    <w:p w14:paraId="7B1CB2CC" w14:textId="526EAEBF" w:rsidR="00BE328C" w:rsidRPr="006E3465" w:rsidRDefault="00BE328C" w:rsidP="00C53061">
      <w:pPr>
        <w:spacing w:before="100" w:beforeAutospacing="1" w:after="100" w:afterAutospacing="1"/>
        <w:ind w:left="567" w:hanging="567"/>
        <w:jc w:val="left"/>
        <w:rPr>
          <w:rFonts w:eastAsia="Times New Roman" w:cs="Arial"/>
          <w:szCs w:val="24"/>
          <w:lang w:val="en-US"/>
        </w:rPr>
      </w:pPr>
      <w:r w:rsidRPr="006E3465">
        <w:rPr>
          <w:rFonts w:eastAsia="Times New Roman" w:cs="Arial"/>
          <w:szCs w:val="24"/>
          <w:lang w:val="en-US"/>
        </w:rPr>
        <w:lastRenderedPageBreak/>
        <w:t>Norton, P. (2021)</w:t>
      </w:r>
      <w:r w:rsidR="009D41DD">
        <w:rPr>
          <w:rFonts w:eastAsia="Times New Roman" w:cs="Arial"/>
          <w:szCs w:val="24"/>
          <w:lang w:val="en-US"/>
        </w:rPr>
        <w:t>.</w:t>
      </w:r>
      <w:r w:rsidRPr="006E3465">
        <w:rPr>
          <w:rFonts w:eastAsia="Times New Roman" w:cs="Arial"/>
          <w:szCs w:val="24"/>
          <w:lang w:val="en-US"/>
        </w:rPr>
        <w:t xml:space="preserve"> ‘The Crown’, </w:t>
      </w:r>
      <w:r w:rsidRPr="006E3465">
        <w:rPr>
          <w:rFonts w:eastAsia="Times New Roman" w:cs="Arial"/>
          <w:i/>
          <w:iCs/>
          <w:szCs w:val="24"/>
          <w:lang w:val="en-US"/>
        </w:rPr>
        <w:t>Politics UK</w:t>
      </w:r>
      <w:r w:rsidRPr="006E3465">
        <w:rPr>
          <w:rFonts w:eastAsia="Times New Roman" w:cs="Arial"/>
          <w:szCs w:val="24"/>
          <w:lang w:val="en-US"/>
        </w:rPr>
        <w:t xml:space="preserve">, pp. 374–397. doi:10.4324/9781003028574-24. </w:t>
      </w:r>
    </w:p>
    <w:p w14:paraId="3A2C5EBC" w14:textId="77777777" w:rsidR="00BE328C" w:rsidRPr="006E3465" w:rsidRDefault="00BE328C" w:rsidP="00C53061">
      <w:pPr>
        <w:rPr>
          <w:rFonts w:cs="Arial"/>
        </w:rPr>
      </w:pPr>
    </w:p>
    <w:sectPr w:rsidR="00BE328C" w:rsidRPr="006E3465" w:rsidSect="008F135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46EDF" w14:textId="77777777" w:rsidR="0019453A" w:rsidRDefault="0019453A" w:rsidP="008B61B3">
      <w:pPr>
        <w:spacing w:after="0" w:line="240" w:lineRule="auto"/>
      </w:pPr>
      <w:r>
        <w:separator/>
      </w:r>
    </w:p>
  </w:endnote>
  <w:endnote w:type="continuationSeparator" w:id="0">
    <w:p w14:paraId="1A809B49" w14:textId="77777777" w:rsidR="0019453A" w:rsidRDefault="0019453A" w:rsidP="008B6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84143" w14:textId="77777777" w:rsidR="0019453A" w:rsidRDefault="0019453A" w:rsidP="008B61B3">
      <w:pPr>
        <w:spacing w:after="0" w:line="240" w:lineRule="auto"/>
      </w:pPr>
      <w:r>
        <w:separator/>
      </w:r>
    </w:p>
  </w:footnote>
  <w:footnote w:type="continuationSeparator" w:id="0">
    <w:p w14:paraId="3CD03A20" w14:textId="77777777" w:rsidR="0019453A" w:rsidRDefault="0019453A" w:rsidP="008B6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30D34" w14:textId="77777777" w:rsidR="008B61B3" w:rsidRDefault="008B61B3">
    <w:pPr>
      <w:pStyle w:val="Header"/>
    </w:pPr>
    <w:r w:rsidRPr="00A406E5">
      <w:rPr>
        <w:rFonts w:cs="Arial"/>
        <w:noProof/>
      </w:rPr>
      <w:drawing>
        <wp:anchor distT="0" distB="0" distL="114300" distR="114300" simplePos="0" relativeHeight="251659264" behindDoc="0" locked="0" layoutInCell="1" allowOverlap="1" wp14:anchorId="417309B7" wp14:editId="7548761D">
          <wp:simplePos x="0" y="0"/>
          <wp:positionH relativeFrom="column">
            <wp:posOffset>-403860</wp:posOffset>
          </wp:positionH>
          <wp:positionV relativeFrom="paragraph">
            <wp:posOffset>-266700</wp:posOffset>
          </wp:positionV>
          <wp:extent cx="1767840" cy="510540"/>
          <wp:effectExtent l="0" t="0" r="3810" b="381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767840" cy="5105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73F"/>
    <w:rsid w:val="00032AE2"/>
    <w:rsid w:val="000B3D95"/>
    <w:rsid w:val="00144FFE"/>
    <w:rsid w:val="0019453A"/>
    <w:rsid w:val="001D36F2"/>
    <w:rsid w:val="001E66FE"/>
    <w:rsid w:val="002D7658"/>
    <w:rsid w:val="00403D21"/>
    <w:rsid w:val="00510EA9"/>
    <w:rsid w:val="005B0E4C"/>
    <w:rsid w:val="006719C1"/>
    <w:rsid w:val="006E3465"/>
    <w:rsid w:val="007272A9"/>
    <w:rsid w:val="007D0720"/>
    <w:rsid w:val="008816C1"/>
    <w:rsid w:val="008B61B3"/>
    <w:rsid w:val="008F135C"/>
    <w:rsid w:val="0098173F"/>
    <w:rsid w:val="009D41DD"/>
    <w:rsid w:val="00BE328C"/>
    <w:rsid w:val="00C530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C6B47"/>
  <w15:chartTrackingRefBased/>
  <w15:docId w15:val="{A02F04D1-FABB-47EF-9401-F6EAF97AB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720"/>
    <w:pPr>
      <w:spacing w:line="360" w:lineRule="auto"/>
      <w:jc w:val="both"/>
    </w:pPr>
    <w:rPr>
      <w:rFonts w:ascii="Arial" w:hAnsi="Arial"/>
      <w:sz w:val="24"/>
    </w:rPr>
  </w:style>
  <w:style w:type="paragraph" w:styleId="Heading1">
    <w:name w:val="heading 1"/>
    <w:basedOn w:val="Normal"/>
    <w:next w:val="Normal"/>
    <w:link w:val="Heading1Char"/>
    <w:uiPriority w:val="9"/>
    <w:qFormat/>
    <w:rsid w:val="001D36F2"/>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link w:val="Heading2Char"/>
    <w:autoRedefine/>
    <w:uiPriority w:val="9"/>
    <w:qFormat/>
    <w:rsid w:val="00510EA9"/>
    <w:pPr>
      <w:spacing w:before="100" w:beforeAutospacing="1" w:after="100" w:afterAutospacing="1"/>
      <w:outlineLvl w:val="1"/>
    </w:pPr>
    <w:rPr>
      <w:rFonts w:ascii="Times New Roman" w:eastAsia="Times New Roman" w:hAnsi="Times New Roman" w:cs="Times New Roman"/>
      <w:b/>
      <w:bCs/>
      <w:color w:val="4472C4" w:themeColor="accent1"/>
      <w:sz w:val="28"/>
      <w:szCs w:val="36"/>
      <w:lang w:eastAsia="en-GB"/>
    </w:rPr>
  </w:style>
  <w:style w:type="paragraph" w:styleId="Heading3">
    <w:name w:val="heading 3"/>
    <w:basedOn w:val="Normal"/>
    <w:next w:val="Normal"/>
    <w:link w:val="Heading3Char"/>
    <w:uiPriority w:val="9"/>
    <w:semiHidden/>
    <w:unhideWhenUsed/>
    <w:qFormat/>
    <w:rsid w:val="00032AE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32AE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AE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6F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10EA9"/>
    <w:rPr>
      <w:rFonts w:ascii="Times New Roman" w:eastAsia="Times New Roman" w:hAnsi="Times New Roman" w:cs="Times New Roman"/>
      <w:b/>
      <w:bCs/>
      <w:color w:val="4472C4" w:themeColor="accent1"/>
      <w:sz w:val="28"/>
      <w:szCs w:val="36"/>
      <w:lang w:eastAsia="en-GB"/>
    </w:rPr>
  </w:style>
  <w:style w:type="character" w:customStyle="1" w:styleId="Heading3Char">
    <w:name w:val="Heading 3 Char"/>
    <w:basedOn w:val="DefaultParagraphFont"/>
    <w:link w:val="Heading3"/>
    <w:uiPriority w:val="9"/>
    <w:semiHidden/>
    <w:rsid w:val="00032AE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2AE2"/>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032AE2"/>
    <w:rPr>
      <w:rFonts w:asciiTheme="majorHAnsi" w:eastAsiaTheme="majorEastAsia" w:hAnsiTheme="majorHAnsi" w:cstheme="majorBidi"/>
      <w:color w:val="2F5496" w:themeColor="accent1" w:themeShade="BF"/>
      <w:sz w:val="24"/>
    </w:rPr>
  </w:style>
  <w:style w:type="paragraph" w:styleId="NormalWeb">
    <w:name w:val="Normal (Web)"/>
    <w:basedOn w:val="Normal"/>
    <w:uiPriority w:val="99"/>
    <w:semiHidden/>
    <w:unhideWhenUsed/>
    <w:rsid w:val="00032AE2"/>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B6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1B3"/>
    <w:rPr>
      <w:rFonts w:ascii="Arial" w:hAnsi="Arial"/>
      <w:sz w:val="24"/>
    </w:rPr>
  </w:style>
  <w:style w:type="paragraph" w:styleId="Footer">
    <w:name w:val="footer"/>
    <w:basedOn w:val="Normal"/>
    <w:link w:val="FooterChar"/>
    <w:uiPriority w:val="99"/>
    <w:unhideWhenUsed/>
    <w:rsid w:val="008B6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1B3"/>
    <w:rPr>
      <w:rFonts w:ascii="Arial" w:hAnsi="Arial"/>
      <w:sz w:val="24"/>
    </w:rPr>
  </w:style>
  <w:style w:type="paragraph" w:styleId="TOCHeading">
    <w:name w:val="TOC Heading"/>
    <w:basedOn w:val="Heading1"/>
    <w:next w:val="Normal"/>
    <w:uiPriority w:val="39"/>
    <w:unhideWhenUsed/>
    <w:qFormat/>
    <w:rsid w:val="006E3465"/>
    <w:pPr>
      <w:spacing w:line="259" w:lineRule="auto"/>
      <w:jc w:val="left"/>
      <w:outlineLvl w:val="9"/>
    </w:pPr>
    <w:rPr>
      <w:rFonts w:asciiTheme="majorHAnsi" w:hAnsiTheme="majorHAnsi"/>
      <w:b w:val="0"/>
      <w:lang w:val="en-US"/>
    </w:rPr>
  </w:style>
  <w:style w:type="paragraph" w:styleId="TOC2">
    <w:name w:val="toc 2"/>
    <w:basedOn w:val="Normal"/>
    <w:next w:val="Normal"/>
    <w:autoRedefine/>
    <w:uiPriority w:val="39"/>
    <w:unhideWhenUsed/>
    <w:rsid w:val="006E3465"/>
    <w:pPr>
      <w:spacing w:after="100"/>
      <w:ind w:left="240"/>
    </w:pPr>
  </w:style>
  <w:style w:type="paragraph" w:styleId="TOC1">
    <w:name w:val="toc 1"/>
    <w:basedOn w:val="Normal"/>
    <w:next w:val="Normal"/>
    <w:autoRedefine/>
    <w:uiPriority w:val="39"/>
    <w:unhideWhenUsed/>
    <w:rsid w:val="006E3465"/>
    <w:pPr>
      <w:spacing w:after="100"/>
    </w:pPr>
  </w:style>
  <w:style w:type="character" w:styleId="Hyperlink">
    <w:name w:val="Hyperlink"/>
    <w:basedOn w:val="DefaultParagraphFont"/>
    <w:uiPriority w:val="99"/>
    <w:unhideWhenUsed/>
    <w:rsid w:val="006E34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17387">
      <w:bodyDiv w:val="1"/>
      <w:marLeft w:val="0"/>
      <w:marRight w:val="0"/>
      <w:marTop w:val="0"/>
      <w:marBottom w:val="0"/>
      <w:divBdr>
        <w:top w:val="none" w:sz="0" w:space="0" w:color="auto"/>
        <w:left w:val="none" w:sz="0" w:space="0" w:color="auto"/>
        <w:bottom w:val="none" w:sz="0" w:space="0" w:color="auto"/>
        <w:right w:val="none" w:sz="0" w:space="0" w:color="auto"/>
      </w:divBdr>
    </w:div>
    <w:div w:id="255485387">
      <w:bodyDiv w:val="1"/>
      <w:marLeft w:val="0"/>
      <w:marRight w:val="0"/>
      <w:marTop w:val="0"/>
      <w:marBottom w:val="0"/>
      <w:divBdr>
        <w:top w:val="none" w:sz="0" w:space="0" w:color="auto"/>
        <w:left w:val="none" w:sz="0" w:space="0" w:color="auto"/>
        <w:bottom w:val="none" w:sz="0" w:space="0" w:color="auto"/>
        <w:right w:val="none" w:sz="0" w:space="0" w:color="auto"/>
      </w:divBdr>
    </w:div>
    <w:div w:id="411320884">
      <w:bodyDiv w:val="1"/>
      <w:marLeft w:val="0"/>
      <w:marRight w:val="0"/>
      <w:marTop w:val="0"/>
      <w:marBottom w:val="0"/>
      <w:divBdr>
        <w:top w:val="none" w:sz="0" w:space="0" w:color="auto"/>
        <w:left w:val="none" w:sz="0" w:space="0" w:color="auto"/>
        <w:bottom w:val="none" w:sz="0" w:space="0" w:color="auto"/>
        <w:right w:val="none" w:sz="0" w:space="0" w:color="auto"/>
      </w:divBdr>
    </w:div>
    <w:div w:id="736322823">
      <w:bodyDiv w:val="1"/>
      <w:marLeft w:val="0"/>
      <w:marRight w:val="0"/>
      <w:marTop w:val="0"/>
      <w:marBottom w:val="0"/>
      <w:divBdr>
        <w:top w:val="none" w:sz="0" w:space="0" w:color="auto"/>
        <w:left w:val="none" w:sz="0" w:space="0" w:color="auto"/>
        <w:bottom w:val="none" w:sz="0" w:space="0" w:color="auto"/>
        <w:right w:val="none" w:sz="0" w:space="0" w:color="auto"/>
      </w:divBdr>
    </w:div>
    <w:div w:id="790561004">
      <w:bodyDiv w:val="1"/>
      <w:marLeft w:val="0"/>
      <w:marRight w:val="0"/>
      <w:marTop w:val="0"/>
      <w:marBottom w:val="0"/>
      <w:divBdr>
        <w:top w:val="none" w:sz="0" w:space="0" w:color="auto"/>
        <w:left w:val="none" w:sz="0" w:space="0" w:color="auto"/>
        <w:bottom w:val="none" w:sz="0" w:space="0" w:color="auto"/>
        <w:right w:val="none" w:sz="0" w:space="0" w:color="auto"/>
      </w:divBdr>
    </w:div>
    <w:div w:id="805775690">
      <w:bodyDiv w:val="1"/>
      <w:marLeft w:val="0"/>
      <w:marRight w:val="0"/>
      <w:marTop w:val="0"/>
      <w:marBottom w:val="0"/>
      <w:divBdr>
        <w:top w:val="none" w:sz="0" w:space="0" w:color="auto"/>
        <w:left w:val="none" w:sz="0" w:space="0" w:color="auto"/>
        <w:bottom w:val="none" w:sz="0" w:space="0" w:color="auto"/>
        <w:right w:val="none" w:sz="0" w:space="0" w:color="auto"/>
      </w:divBdr>
    </w:div>
    <w:div w:id="864831742">
      <w:bodyDiv w:val="1"/>
      <w:marLeft w:val="0"/>
      <w:marRight w:val="0"/>
      <w:marTop w:val="0"/>
      <w:marBottom w:val="0"/>
      <w:divBdr>
        <w:top w:val="none" w:sz="0" w:space="0" w:color="auto"/>
        <w:left w:val="none" w:sz="0" w:space="0" w:color="auto"/>
        <w:bottom w:val="none" w:sz="0" w:space="0" w:color="auto"/>
        <w:right w:val="none" w:sz="0" w:space="0" w:color="auto"/>
      </w:divBdr>
    </w:div>
    <w:div w:id="969213317">
      <w:bodyDiv w:val="1"/>
      <w:marLeft w:val="0"/>
      <w:marRight w:val="0"/>
      <w:marTop w:val="0"/>
      <w:marBottom w:val="0"/>
      <w:divBdr>
        <w:top w:val="none" w:sz="0" w:space="0" w:color="auto"/>
        <w:left w:val="none" w:sz="0" w:space="0" w:color="auto"/>
        <w:bottom w:val="none" w:sz="0" w:space="0" w:color="auto"/>
        <w:right w:val="none" w:sz="0" w:space="0" w:color="auto"/>
      </w:divBdr>
    </w:div>
    <w:div w:id="1099908906">
      <w:bodyDiv w:val="1"/>
      <w:marLeft w:val="0"/>
      <w:marRight w:val="0"/>
      <w:marTop w:val="0"/>
      <w:marBottom w:val="0"/>
      <w:divBdr>
        <w:top w:val="none" w:sz="0" w:space="0" w:color="auto"/>
        <w:left w:val="none" w:sz="0" w:space="0" w:color="auto"/>
        <w:bottom w:val="none" w:sz="0" w:space="0" w:color="auto"/>
        <w:right w:val="none" w:sz="0" w:space="0" w:color="auto"/>
      </w:divBdr>
    </w:div>
    <w:div w:id="1234588928">
      <w:bodyDiv w:val="1"/>
      <w:marLeft w:val="0"/>
      <w:marRight w:val="0"/>
      <w:marTop w:val="0"/>
      <w:marBottom w:val="0"/>
      <w:divBdr>
        <w:top w:val="none" w:sz="0" w:space="0" w:color="auto"/>
        <w:left w:val="none" w:sz="0" w:space="0" w:color="auto"/>
        <w:bottom w:val="none" w:sz="0" w:space="0" w:color="auto"/>
        <w:right w:val="none" w:sz="0" w:space="0" w:color="auto"/>
      </w:divBdr>
    </w:div>
    <w:div w:id="1274752094">
      <w:bodyDiv w:val="1"/>
      <w:marLeft w:val="0"/>
      <w:marRight w:val="0"/>
      <w:marTop w:val="0"/>
      <w:marBottom w:val="0"/>
      <w:divBdr>
        <w:top w:val="none" w:sz="0" w:space="0" w:color="auto"/>
        <w:left w:val="none" w:sz="0" w:space="0" w:color="auto"/>
        <w:bottom w:val="none" w:sz="0" w:space="0" w:color="auto"/>
        <w:right w:val="none" w:sz="0" w:space="0" w:color="auto"/>
      </w:divBdr>
    </w:div>
    <w:div w:id="1289780638">
      <w:bodyDiv w:val="1"/>
      <w:marLeft w:val="0"/>
      <w:marRight w:val="0"/>
      <w:marTop w:val="0"/>
      <w:marBottom w:val="0"/>
      <w:divBdr>
        <w:top w:val="none" w:sz="0" w:space="0" w:color="auto"/>
        <w:left w:val="none" w:sz="0" w:space="0" w:color="auto"/>
        <w:bottom w:val="none" w:sz="0" w:space="0" w:color="auto"/>
        <w:right w:val="none" w:sz="0" w:space="0" w:color="auto"/>
      </w:divBdr>
    </w:div>
    <w:div w:id="1415856673">
      <w:bodyDiv w:val="1"/>
      <w:marLeft w:val="0"/>
      <w:marRight w:val="0"/>
      <w:marTop w:val="0"/>
      <w:marBottom w:val="0"/>
      <w:divBdr>
        <w:top w:val="none" w:sz="0" w:space="0" w:color="auto"/>
        <w:left w:val="none" w:sz="0" w:space="0" w:color="auto"/>
        <w:bottom w:val="none" w:sz="0" w:space="0" w:color="auto"/>
        <w:right w:val="none" w:sz="0" w:space="0" w:color="auto"/>
      </w:divBdr>
    </w:div>
    <w:div w:id="1717659933">
      <w:bodyDiv w:val="1"/>
      <w:marLeft w:val="0"/>
      <w:marRight w:val="0"/>
      <w:marTop w:val="0"/>
      <w:marBottom w:val="0"/>
      <w:divBdr>
        <w:top w:val="none" w:sz="0" w:space="0" w:color="auto"/>
        <w:left w:val="none" w:sz="0" w:space="0" w:color="auto"/>
        <w:bottom w:val="none" w:sz="0" w:space="0" w:color="auto"/>
        <w:right w:val="none" w:sz="0" w:space="0" w:color="auto"/>
      </w:divBdr>
    </w:div>
    <w:div w:id="210687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56576-C143-43D9-A2DA-158567146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1748</Words>
  <Characters>9968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milletnue@gmail.com</cp:lastModifiedBy>
  <cp:revision>5</cp:revision>
  <dcterms:created xsi:type="dcterms:W3CDTF">2023-08-05T19:31:00Z</dcterms:created>
  <dcterms:modified xsi:type="dcterms:W3CDTF">2023-08-10T16:41:00Z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83ea6795f6187b6dd186b641b7975346938d752fe005c16a7f622d772c259870</vt:lpwstr>
  </property>
</Properties>
</file>