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EndPr/>
      <w:sdtContent>
        <w:p w14:paraId="1C282FF3" w14:textId="0F86F372"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 xml:space="preserve">Assessment </w:t>
          </w:r>
          <w:r w:rsidR="003F2487">
            <w:rPr>
              <w:rFonts w:ascii="Times New Roman" w:hAnsi="Times New Roman" w:cs="Times New Roman"/>
            </w:rPr>
            <w:t>1</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53B7B05D" w:rsidR="003266D6" w:rsidRDefault="003266D6" w:rsidP="003266D6">
          <w:pPr>
            <w:spacing w:after="0" w:line="360" w:lineRule="auto"/>
            <w:jc w:val="center"/>
            <w:rPr>
              <w:rFonts w:ascii="Times New Roman" w:hAnsi="Times New Roman" w:cs="Times New Roman"/>
              <w:sz w:val="22"/>
              <w:szCs w:val="22"/>
            </w:rPr>
          </w:pPr>
        </w:p>
        <w:p w14:paraId="48F5CF5B" w14:textId="1920B24C" w:rsidR="00624A16" w:rsidRDefault="00624A16" w:rsidP="003266D6">
          <w:pPr>
            <w:spacing w:after="0" w:line="360" w:lineRule="auto"/>
            <w:jc w:val="center"/>
            <w:rPr>
              <w:rFonts w:ascii="Times New Roman" w:hAnsi="Times New Roman" w:cs="Times New Roman"/>
              <w:sz w:val="22"/>
              <w:szCs w:val="22"/>
            </w:rPr>
          </w:pPr>
        </w:p>
        <w:p w14:paraId="1664D817" w14:textId="77777777" w:rsidR="00624A16" w:rsidRPr="003266D6" w:rsidRDefault="00624A16" w:rsidP="003266D6">
          <w:pPr>
            <w:spacing w:after="0" w:line="360" w:lineRule="auto"/>
            <w:jc w:val="center"/>
            <w:rPr>
              <w:rFonts w:ascii="Times New Roman" w:hAnsi="Times New Roman" w:cs="Times New Roman"/>
              <w:sz w:val="22"/>
              <w:szCs w:val="22"/>
            </w:rPr>
          </w:pPr>
        </w:p>
        <w:p w14:paraId="64A6FEC3" w14:textId="77777777" w:rsidR="003266D6" w:rsidRPr="003266D6" w:rsidRDefault="003266D6"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0B23785C" w14:textId="6E3368B0" w:rsidR="003266D6" w:rsidRDefault="003F2487" w:rsidP="003266D6">
          <w:pPr>
            <w:spacing w:after="0" w:line="360" w:lineRule="auto"/>
            <w:contextualSpacing/>
            <w:jc w:val="center"/>
            <w:rPr>
              <w:rFonts w:ascii="Times New Roman" w:eastAsiaTheme="majorEastAsia" w:hAnsi="Times New Roman" w:cs="Times New Roman"/>
              <w:b/>
              <w:bCs/>
              <w:spacing w:val="-10"/>
              <w:kern w:val="28"/>
              <w:sz w:val="56"/>
              <w:szCs w:val="56"/>
            </w:rPr>
          </w:pPr>
          <w:r w:rsidRPr="003F2487">
            <w:rPr>
              <w:rFonts w:ascii="Times New Roman" w:eastAsiaTheme="majorEastAsia" w:hAnsi="Times New Roman" w:cs="Times New Roman"/>
              <w:b/>
              <w:bCs/>
              <w:spacing w:val="-10"/>
              <w:kern w:val="28"/>
              <w:sz w:val="56"/>
              <w:szCs w:val="56"/>
            </w:rPr>
            <w:t>LCBB5004</w:t>
          </w:r>
          <w:r w:rsidR="004A6745">
            <w:rPr>
              <w:rFonts w:ascii="Times New Roman" w:eastAsiaTheme="majorEastAsia" w:hAnsi="Times New Roman" w:cs="Times New Roman"/>
              <w:b/>
              <w:bCs/>
              <w:spacing w:val="-10"/>
              <w:kern w:val="28"/>
              <w:sz w:val="56"/>
              <w:szCs w:val="56"/>
            </w:rPr>
            <w:t xml:space="preserve"> </w:t>
          </w:r>
          <w:r w:rsidR="003266D6">
            <w:rPr>
              <w:rFonts w:ascii="Times New Roman" w:eastAsiaTheme="majorEastAsia" w:hAnsi="Times New Roman" w:cs="Times New Roman"/>
              <w:b/>
              <w:bCs/>
              <w:spacing w:val="-10"/>
              <w:kern w:val="28"/>
              <w:sz w:val="56"/>
              <w:szCs w:val="56"/>
            </w:rPr>
            <w:t xml:space="preserve">– </w:t>
          </w:r>
          <w:r w:rsidR="00345324" w:rsidRPr="00345324">
            <w:rPr>
              <w:rFonts w:ascii="Times New Roman" w:eastAsiaTheme="majorEastAsia" w:hAnsi="Times New Roman" w:cs="Times New Roman"/>
              <w:b/>
              <w:bCs/>
              <w:spacing w:val="-10"/>
              <w:kern w:val="28"/>
              <w:sz w:val="56"/>
              <w:szCs w:val="56"/>
            </w:rPr>
            <w:t>Manag</w:t>
          </w:r>
          <w:r>
            <w:rPr>
              <w:rFonts w:ascii="Times New Roman" w:eastAsiaTheme="majorEastAsia" w:hAnsi="Times New Roman" w:cs="Times New Roman"/>
              <w:b/>
              <w:bCs/>
              <w:spacing w:val="-10"/>
              <w:kern w:val="28"/>
              <w:sz w:val="56"/>
              <w:szCs w:val="56"/>
            </w:rPr>
            <w:t>ing People</w:t>
          </w:r>
        </w:p>
        <w:p w14:paraId="490C6350" w14:textId="01D6CD57" w:rsidR="003266D6" w:rsidRDefault="003F2487" w:rsidP="003266D6">
          <w:pPr>
            <w:spacing w:after="0" w:line="360" w:lineRule="auto"/>
            <w:jc w:val="center"/>
            <w:rPr>
              <w:rFonts w:ascii="Times New Roman" w:hAnsi="Times New Roman" w:cs="Times New Roman"/>
              <w:sz w:val="22"/>
              <w:szCs w:val="22"/>
            </w:rPr>
          </w:pPr>
          <w:r w:rsidRPr="00345324">
            <w:rPr>
              <w:rFonts w:ascii="Times New Roman" w:eastAsiaTheme="majorEastAsia" w:hAnsi="Times New Roman" w:cs="Times New Roman"/>
              <w:b/>
              <w:bCs/>
              <w:spacing w:val="-10"/>
              <w:kern w:val="28"/>
              <w:sz w:val="48"/>
              <w:szCs w:val="48"/>
            </w:rPr>
            <w:t>Ass</w:t>
          </w:r>
          <w:r>
            <w:rPr>
              <w:rFonts w:ascii="Times New Roman" w:eastAsiaTheme="majorEastAsia" w:hAnsi="Times New Roman" w:cs="Times New Roman"/>
              <w:b/>
              <w:bCs/>
              <w:spacing w:val="-10"/>
              <w:kern w:val="28"/>
              <w:sz w:val="48"/>
              <w:szCs w:val="48"/>
            </w:rPr>
            <w:t xml:space="preserve">essment 1 </w:t>
          </w:r>
          <w:r w:rsidR="00345324" w:rsidRPr="00345324">
            <w:rPr>
              <w:rFonts w:ascii="Times New Roman" w:eastAsiaTheme="majorEastAsia" w:hAnsi="Times New Roman" w:cs="Times New Roman"/>
              <w:b/>
              <w:bCs/>
              <w:spacing w:val="-10"/>
              <w:kern w:val="28"/>
              <w:sz w:val="48"/>
              <w:szCs w:val="48"/>
            </w:rPr>
            <w:t>Report</w:t>
          </w: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7FA7B9F9" w14:textId="77777777" w:rsidR="00345324" w:rsidRDefault="00345324" w:rsidP="003266D6">
          <w:pPr>
            <w:spacing w:after="0" w:line="360" w:lineRule="auto"/>
            <w:jc w:val="center"/>
            <w:rPr>
              <w:rFonts w:ascii="Times New Roman" w:hAnsi="Times New Roman" w:cs="Times New Roman"/>
              <w:sz w:val="22"/>
              <w:szCs w:val="22"/>
            </w:rPr>
          </w:pPr>
        </w:p>
        <w:p w14:paraId="080E6787" w14:textId="77777777" w:rsidR="00345324" w:rsidRDefault="00345324" w:rsidP="003266D6">
          <w:pPr>
            <w:spacing w:after="0" w:line="360" w:lineRule="auto"/>
            <w:jc w:val="center"/>
            <w:rPr>
              <w:rFonts w:ascii="Times New Roman" w:hAnsi="Times New Roman" w:cs="Times New Roman"/>
              <w:sz w:val="22"/>
              <w:szCs w:val="22"/>
            </w:rPr>
          </w:pPr>
        </w:p>
        <w:p w14:paraId="6ACD1DBD" w14:textId="60967B8B"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7DC08613"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sidR="00345324">
            <w:rPr>
              <w:rFonts w:ascii="Times New Roman" w:hAnsi="Times New Roman" w:cs="Times New Roman"/>
              <w:sz w:val="22"/>
              <w:szCs w:val="22"/>
            </w:rPr>
            <w:t>0</w:t>
          </w:r>
          <w:r w:rsidR="003F2487">
            <w:rPr>
              <w:rFonts w:ascii="Times New Roman" w:hAnsi="Times New Roman" w:cs="Times New Roman"/>
              <w:sz w:val="22"/>
              <w:szCs w:val="22"/>
            </w:rPr>
            <w:t>6</w:t>
          </w:r>
          <w:r w:rsidR="00345324">
            <w:rPr>
              <w:rFonts w:ascii="Times New Roman" w:hAnsi="Times New Roman" w:cs="Times New Roman"/>
              <w:sz w:val="22"/>
              <w:szCs w:val="22"/>
            </w:rPr>
            <w:t>.05</w:t>
          </w:r>
          <w:r>
            <w:rPr>
              <w:rFonts w:ascii="Times New Roman" w:hAnsi="Times New Roman" w:cs="Times New Roman"/>
              <w:sz w:val="22"/>
              <w:szCs w:val="22"/>
            </w:rPr>
            <w:t>.2022</w:t>
          </w:r>
        </w:p>
        <w:p w14:paraId="486FAA34" w14:textId="77777777" w:rsidR="003266D6" w:rsidRPr="003266D6" w:rsidRDefault="003266D6" w:rsidP="003266D6">
          <w:pPr>
            <w:spacing w:after="0" w:line="360" w:lineRule="auto"/>
            <w:jc w:val="center"/>
            <w:rPr>
              <w:rFonts w:ascii="Times New Roman" w:hAnsi="Times New Roman" w:cs="Times New Roman"/>
              <w:sz w:val="22"/>
              <w:szCs w:val="22"/>
            </w:rPr>
          </w:pP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302ED5DF" w:rsidR="003266D6" w:rsidRDefault="003266D6" w:rsidP="003266D6">
          <w:pPr>
            <w:spacing w:after="0" w:line="360" w:lineRule="auto"/>
            <w:jc w:val="center"/>
            <w:rPr>
              <w:rFonts w:ascii="Times New Roman" w:hAnsi="Times New Roman" w:cs="Times New Roman"/>
            </w:rPr>
          </w:pPr>
        </w:p>
        <w:p w14:paraId="0FCF8DCD" w14:textId="77777777" w:rsidR="003266D6" w:rsidRPr="003266D6" w:rsidRDefault="003266D6" w:rsidP="003266D6">
          <w:pPr>
            <w:spacing w:after="0" w:line="360" w:lineRule="auto"/>
            <w:jc w:val="center"/>
            <w:rPr>
              <w:rFonts w:ascii="Times New Roman" w:hAnsi="Times New Roman" w:cs="Times New Roman"/>
            </w:rPr>
          </w:pPr>
        </w:p>
        <w:p w14:paraId="09586196" w14:textId="77777777" w:rsidR="00624A16" w:rsidRDefault="00624A16" w:rsidP="003266D6">
          <w:pPr>
            <w:rPr>
              <w:b/>
            </w:rPr>
          </w:pPr>
        </w:p>
        <w:p w14:paraId="2BACF4EC" w14:textId="35C2B2F6" w:rsidR="0054644A" w:rsidRPr="00F8798D" w:rsidRDefault="00DF4A8B" w:rsidP="003266D6">
          <w:pPr>
            <w:rPr>
              <w:b/>
            </w:rPr>
          </w:pPr>
          <w:r w:rsidRPr="00F8798D">
            <w:rPr>
              <w:noProof/>
            </w:rPr>
            <w:lastRenderedPageBreak/>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C62F61" w:rsidRDefault="00C62F61">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C62F61" w:rsidRDefault="00C62F61">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End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2CE2E929" w14:textId="5ED23511" w:rsidR="002031CB" w:rsidRDefault="00C628D7">
          <w:pPr>
            <w:pStyle w:val="TOC1"/>
            <w:tabs>
              <w:tab w:val="right" w:leader="dot" w:pos="9016"/>
            </w:tabs>
            <w:rPr>
              <w:rFonts w:asciiTheme="minorHAnsi" w:eastAsiaTheme="minorEastAsia" w:hAnsiTheme="minorHAnsi" w:cstheme="minorBidi"/>
              <w:noProof/>
              <w:sz w:val="22"/>
              <w:szCs w:val="22"/>
              <w:lang w:eastAsia="en-GB"/>
            </w:rPr>
          </w:pPr>
          <w:r w:rsidRPr="00F8798D">
            <w:fldChar w:fldCharType="begin"/>
          </w:r>
          <w:r w:rsidR="009909E0" w:rsidRPr="00F8798D">
            <w:instrText xml:space="preserve"> TOC \o "1-3" \h \z \u </w:instrText>
          </w:r>
          <w:r w:rsidRPr="00F8798D">
            <w:fldChar w:fldCharType="separate"/>
          </w:r>
          <w:hyperlink w:anchor="_Toc102751949" w:history="1">
            <w:r w:rsidR="002031CB" w:rsidRPr="00DD0400">
              <w:rPr>
                <w:rStyle w:val="Hyperlink"/>
                <w:noProof/>
              </w:rPr>
              <w:t>Introduction</w:t>
            </w:r>
            <w:r w:rsidR="002031CB">
              <w:rPr>
                <w:noProof/>
                <w:webHidden/>
              </w:rPr>
              <w:tab/>
            </w:r>
            <w:r w:rsidR="002031CB">
              <w:rPr>
                <w:noProof/>
                <w:webHidden/>
              </w:rPr>
              <w:fldChar w:fldCharType="begin"/>
            </w:r>
            <w:r w:rsidR="002031CB">
              <w:rPr>
                <w:noProof/>
                <w:webHidden/>
              </w:rPr>
              <w:instrText xml:space="preserve"> PAGEREF _Toc102751949 \h </w:instrText>
            </w:r>
            <w:r w:rsidR="002031CB">
              <w:rPr>
                <w:noProof/>
                <w:webHidden/>
              </w:rPr>
            </w:r>
            <w:r w:rsidR="002031CB">
              <w:rPr>
                <w:noProof/>
                <w:webHidden/>
              </w:rPr>
              <w:fldChar w:fldCharType="separate"/>
            </w:r>
            <w:r w:rsidR="002031CB">
              <w:rPr>
                <w:noProof/>
                <w:webHidden/>
              </w:rPr>
              <w:t>3</w:t>
            </w:r>
            <w:r w:rsidR="002031CB">
              <w:rPr>
                <w:noProof/>
                <w:webHidden/>
              </w:rPr>
              <w:fldChar w:fldCharType="end"/>
            </w:r>
          </w:hyperlink>
        </w:p>
        <w:p w14:paraId="1817980C" w14:textId="51AEFCAA" w:rsidR="002031CB" w:rsidRDefault="002031CB">
          <w:pPr>
            <w:pStyle w:val="TOC1"/>
            <w:tabs>
              <w:tab w:val="right" w:leader="dot" w:pos="9016"/>
            </w:tabs>
            <w:rPr>
              <w:rFonts w:asciiTheme="minorHAnsi" w:eastAsiaTheme="minorEastAsia" w:hAnsiTheme="minorHAnsi" w:cstheme="minorBidi"/>
              <w:noProof/>
              <w:sz w:val="22"/>
              <w:szCs w:val="22"/>
              <w:lang w:eastAsia="en-GB"/>
            </w:rPr>
          </w:pPr>
          <w:hyperlink w:anchor="_Toc102751950" w:history="1">
            <w:r w:rsidRPr="00DD0400">
              <w:rPr>
                <w:rStyle w:val="Hyperlink"/>
                <w:noProof/>
              </w:rPr>
              <w:t>Promoting diversity and inclusion through flexible working</w:t>
            </w:r>
            <w:r>
              <w:rPr>
                <w:noProof/>
                <w:webHidden/>
              </w:rPr>
              <w:tab/>
            </w:r>
            <w:r>
              <w:rPr>
                <w:noProof/>
                <w:webHidden/>
              </w:rPr>
              <w:fldChar w:fldCharType="begin"/>
            </w:r>
            <w:r>
              <w:rPr>
                <w:noProof/>
                <w:webHidden/>
              </w:rPr>
              <w:instrText xml:space="preserve"> PAGEREF _Toc102751950 \h </w:instrText>
            </w:r>
            <w:r>
              <w:rPr>
                <w:noProof/>
                <w:webHidden/>
              </w:rPr>
            </w:r>
            <w:r>
              <w:rPr>
                <w:noProof/>
                <w:webHidden/>
              </w:rPr>
              <w:fldChar w:fldCharType="separate"/>
            </w:r>
            <w:r>
              <w:rPr>
                <w:noProof/>
                <w:webHidden/>
              </w:rPr>
              <w:t>4</w:t>
            </w:r>
            <w:r>
              <w:rPr>
                <w:noProof/>
                <w:webHidden/>
              </w:rPr>
              <w:fldChar w:fldCharType="end"/>
            </w:r>
          </w:hyperlink>
        </w:p>
        <w:p w14:paraId="5C30C924" w14:textId="785CDF51" w:rsidR="002031CB" w:rsidRDefault="002031CB">
          <w:pPr>
            <w:pStyle w:val="TOC1"/>
            <w:tabs>
              <w:tab w:val="right" w:leader="dot" w:pos="9016"/>
            </w:tabs>
            <w:rPr>
              <w:rFonts w:asciiTheme="minorHAnsi" w:eastAsiaTheme="minorEastAsia" w:hAnsiTheme="minorHAnsi" w:cstheme="minorBidi"/>
              <w:noProof/>
              <w:sz w:val="22"/>
              <w:szCs w:val="22"/>
              <w:lang w:eastAsia="en-GB"/>
            </w:rPr>
          </w:pPr>
          <w:hyperlink w:anchor="_Toc102751951" w:history="1">
            <w:r w:rsidRPr="00DD0400">
              <w:rPr>
                <w:rStyle w:val="Hyperlink"/>
                <w:noProof/>
              </w:rPr>
              <w:t>Flexible working issues</w:t>
            </w:r>
            <w:r>
              <w:rPr>
                <w:noProof/>
                <w:webHidden/>
              </w:rPr>
              <w:tab/>
            </w:r>
            <w:r>
              <w:rPr>
                <w:noProof/>
                <w:webHidden/>
              </w:rPr>
              <w:fldChar w:fldCharType="begin"/>
            </w:r>
            <w:r>
              <w:rPr>
                <w:noProof/>
                <w:webHidden/>
              </w:rPr>
              <w:instrText xml:space="preserve"> PAGEREF _Toc102751951 \h </w:instrText>
            </w:r>
            <w:r>
              <w:rPr>
                <w:noProof/>
                <w:webHidden/>
              </w:rPr>
            </w:r>
            <w:r>
              <w:rPr>
                <w:noProof/>
                <w:webHidden/>
              </w:rPr>
              <w:fldChar w:fldCharType="separate"/>
            </w:r>
            <w:r>
              <w:rPr>
                <w:noProof/>
                <w:webHidden/>
              </w:rPr>
              <w:t>6</w:t>
            </w:r>
            <w:r>
              <w:rPr>
                <w:noProof/>
                <w:webHidden/>
              </w:rPr>
              <w:fldChar w:fldCharType="end"/>
            </w:r>
          </w:hyperlink>
        </w:p>
        <w:p w14:paraId="56A1608A" w14:textId="484A6251" w:rsidR="002031CB" w:rsidRDefault="002031CB">
          <w:pPr>
            <w:pStyle w:val="TOC1"/>
            <w:tabs>
              <w:tab w:val="right" w:leader="dot" w:pos="9016"/>
            </w:tabs>
            <w:rPr>
              <w:rFonts w:asciiTheme="minorHAnsi" w:eastAsiaTheme="minorEastAsia" w:hAnsiTheme="minorHAnsi" w:cstheme="minorBidi"/>
              <w:noProof/>
              <w:sz w:val="22"/>
              <w:szCs w:val="22"/>
              <w:lang w:eastAsia="en-GB"/>
            </w:rPr>
          </w:pPr>
          <w:hyperlink w:anchor="_Toc102751952" w:history="1">
            <w:r w:rsidRPr="00DD0400">
              <w:rPr>
                <w:rStyle w:val="Hyperlink"/>
                <w:noProof/>
              </w:rPr>
              <w:t>Conclusion</w:t>
            </w:r>
            <w:r>
              <w:rPr>
                <w:noProof/>
                <w:webHidden/>
              </w:rPr>
              <w:tab/>
            </w:r>
            <w:r>
              <w:rPr>
                <w:noProof/>
                <w:webHidden/>
              </w:rPr>
              <w:fldChar w:fldCharType="begin"/>
            </w:r>
            <w:r>
              <w:rPr>
                <w:noProof/>
                <w:webHidden/>
              </w:rPr>
              <w:instrText xml:space="preserve"> PAGEREF _Toc102751952 \h </w:instrText>
            </w:r>
            <w:r>
              <w:rPr>
                <w:noProof/>
                <w:webHidden/>
              </w:rPr>
            </w:r>
            <w:r>
              <w:rPr>
                <w:noProof/>
                <w:webHidden/>
              </w:rPr>
              <w:fldChar w:fldCharType="separate"/>
            </w:r>
            <w:r>
              <w:rPr>
                <w:noProof/>
                <w:webHidden/>
              </w:rPr>
              <w:t>8</w:t>
            </w:r>
            <w:r>
              <w:rPr>
                <w:noProof/>
                <w:webHidden/>
              </w:rPr>
              <w:fldChar w:fldCharType="end"/>
            </w:r>
          </w:hyperlink>
        </w:p>
        <w:p w14:paraId="08016EA5" w14:textId="7D5404D8" w:rsidR="002031CB" w:rsidRDefault="002031CB">
          <w:pPr>
            <w:pStyle w:val="TOC1"/>
            <w:tabs>
              <w:tab w:val="right" w:leader="dot" w:pos="9016"/>
            </w:tabs>
            <w:rPr>
              <w:rFonts w:asciiTheme="minorHAnsi" w:eastAsiaTheme="minorEastAsia" w:hAnsiTheme="minorHAnsi" w:cstheme="minorBidi"/>
              <w:noProof/>
              <w:sz w:val="22"/>
              <w:szCs w:val="22"/>
              <w:lang w:eastAsia="en-GB"/>
            </w:rPr>
          </w:pPr>
          <w:hyperlink w:anchor="_Toc102751953" w:history="1">
            <w:r w:rsidRPr="00DD0400">
              <w:rPr>
                <w:rStyle w:val="Hyperlink"/>
                <w:noProof/>
              </w:rPr>
              <w:t>References</w:t>
            </w:r>
            <w:r>
              <w:rPr>
                <w:noProof/>
                <w:webHidden/>
              </w:rPr>
              <w:tab/>
            </w:r>
            <w:r>
              <w:rPr>
                <w:noProof/>
                <w:webHidden/>
              </w:rPr>
              <w:fldChar w:fldCharType="begin"/>
            </w:r>
            <w:r>
              <w:rPr>
                <w:noProof/>
                <w:webHidden/>
              </w:rPr>
              <w:instrText xml:space="preserve"> PAGEREF _Toc102751953 \h </w:instrText>
            </w:r>
            <w:r>
              <w:rPr>
                <w:noProof/>
                <w:webHidden/>
              </w:rPr>
            </w:r>
            <w:r>
              <w:rPr>
                <w:noProof/>
                <w:webHidden/>
              </w:rPr>
              <w:fldChar w:fldCharType="separate"/>
            </w:r>
            <w:r>
              <w:rPr>
                <w:noProof/>
                <w:webHidden/>
              </w:rPr>
              <w:t>10</w:t>
            </w:r>
            <w:r>
              <w:rPr>
                <w:noProof/>
                <w:webHidden/>
              </w:rPr>
              <w:fldChar w:fldCharType="end"/>
            </w:r>
          </w:hyperlink>
        </w:p>
        <w:p w14:paraId="58BC45FC" w14:textId="75753799" w:rsidR="009909E0" w:rsidRPr="00F8798D" w:rsidRDefault="00C628D7" w:rsidP="00F23D61">
          <w:pPr>
            <w:spacing w:after="0" w:line="360" w:lineRule="auto"/>
            <w:jc w:val="both"/>
          </w:pPr>
          <w:r w:rsidRPr="00F8798D">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p>
    <w:p w14:paraId="26E21BFA" w14:textId="59F65E8B" w:rsidR="00496BAF" w:rsidRDefault="00496BAF" w:rsidP="00F23D61">
      <w:pPr>
        <w:spacing w:after="0" w:line="360" w:lineRule="auto"/>
        <w:jc w:val="both"/>
      </w:pPr>
    </w:p>
    <w:p w14:paraId="5B95D323" w14:textId="23AF1B95" w:rsidR="00345324" w:rsidRDefault="00345324" w:rsidP="00F23D61">
      <w:pPr>
        <w:spacing w:after="0" w:line="360" w:lineRule="auto"/>
        <w:jc w:val="both"/>
      </w:pPr>
    </w:p>
    <w:p w14:paraId="0FC1F5EE" w14:textId="1CFB7963" w:rsidR="00345324" w:rsidRDefault="00345324" w:rsidP="00F23D61">
      <w:pPr>
        <w:spacing w:after="0" w:line="360" w:lineRule="auto"/>
        <w:jc w:val="both"/>
      </w:pPr>
    </w:p>
    <w:p w14:paraId="766C887A" w14:textId="3CBCB565" w:rsidR="00345324" w:rsidRDefault="00345324" w:rsidP="00F23D61">
      <w:pPr>
        <w:spacing w:after="0" w:line="360" w:lineRule="auto"/>
        <w:jc w:val="both"/>
      </w:pPr>
    </w:p>
    <w:p w14:paraId="2E87ADF2" w14:textId="2628F6FB" w:rsidR="00345324" w:rsidRDefault="00345324" w:rsidP="00F23D61">
      <w:pPr>
        <w:spacing w:after="0" w:line="360" w:lineRule="auto"/>
        <w:jc w:val="both"/>
      </w:pPr>
    </w:p>
    <w:p w14:paraId="0C97BB67" w14:textId="33FD0515" w:rsidR="00345324" w:rsidRDefault="00345324" w:rsidP="00F23D61">
      <w:pPr>
        <w:spacing w:after="0" w:line="360" w:lineRule="auto"/>
        <w:jc w:val="both"/>
      </w:pPr>
    </w:p>
    <w:p w14:paraId="0CB8C5FB" w14:textId="278FEF5F" w:rsidR="00345324" w:rsidRDefault="00345324" w:rsidP="00F23D61">
      <w:pPr>
        <w:spacing w:after="0" w:line="360" w:lineRule="auto"/>
        <w:jc w:val="both"/>
      </w:pPr>
    </w:p>
    <w:p w14:paraId="57DEEA66" w14:textId="1DD3318F" w:rsidR="00345324" w:rsidRDefault="00345324" w:rsidP="00F23D61">
      <w:pPr>
        <w:spacing w:after="0" w:line="360" w:lineRule="auto"/>
        <w:jc w:val="both"/>
      </w:pPr>
    </w:p>
    <w:p w14:paraId="4A210102" w14:textId="6F307D32" w:rsidR="00345324" w:rsidRDefault="00345324" w:rsidP="00F23D61">
      <w:pPr>
        <w:spacing w:after="0" w:line="360" w:lineRule="auto"/>
        <w:jc w:val="both"/>
      </w:pPr>
    </w:p>
    <w:p w14:paraId="323FCE57" w14:textId="54DBBE17" w:rsidR="00345324" w:rsidRDefault="00345324" w:rsidP="00F23D61">
      <w:pPr>
        <w:spacing w:after="0" w:line="360" w:lineRule="auto"/>
        <w:jc w:val="both"/>
      </w:pPr>
    </w:p>
    <w:p w14:paraId="0D185412" w14:textId="795DF699" w:rsidR="00345324" w:rsidRDefault="00345324" w:rsidP="00F23D61">
      <w:pPr>
        <w:spacing w:after="0" w:line="360" w:lineRule="auto"/>
        <w:jc w:val="both"/>
      </w:pPr>
    </w:p>
    <w:p w14:paraId="24CA5766" w14:textId="28B6409B" w:rsidR="00345324" w:rsidRDefault="00345324" w:rsidP="00F23D61">
      <w:pPr>
        <w:spacing w:after="0" w:line="360" w:lineRule="auto"/>
        <w:jc w:val="both"/>
      </w:pPr>
    </w:p>
    <w:p w14:paraId="72D933B3" w14:textId="6D6AC86A" w:rsidR="0068073F" w:rsidRDefault="0068073F" w:rsidP="00F23D61">
      <w:pPr>
        <w:spacing w:after="0" w:line="360" w:lineRule="auto"/>
        <w:jc w:val="both"/>
      </w:pPr>
    </w:p>
    <w:p w14:paraId="34976ED6" w14:textId="403B9EE9" w:rsidR="0068073F" w:rsidRDefault="0068073F" w:rsidP="00F23D61">
      <w:pPr>
        <w:spacing w:after="0" w:line="360" w:lineRule="auto"/>
        <w:jc w:val="both"/>
      </w:pPr>
    </w:p>
    <w:p w14:paraId="4A4C1727" w14:textId="77777777" w:rsidR="00AB7F96" w:rsidRDefault="00AB7F96" w:rsidP="00F23D61">
      <w:pPr>
        <w:spacing w:after="0" w:line="360" w:lineRule="auto"/>
        <w:jc w:val="both"/>
      </w:pPr>
    </w:p>
    <w:p w14:paraId="4F3C4F7C" w14:textId="564A5F0D" w:rsidR="00345324" w:rsidRDefault="00345324" w:rsidP="00F23D61">
      <w:pPr>
        <w:spacing w:after="0" w:line="360" w:lineRule="auto"/>
        <w:jc w:val="both"/>
      </w:pPr>
    </w:p>
    <w:p w14:paraId="7E2D5C4C" w14:textId="37958BE2" w:rsidR="00B52818" w:rsidRDefault="00B52818" w:rsidP="00F23D61">
      <w:pPr>
        <w:spacing w:after="0" w:line="360" w:lineRule="auto"/>
        <w:jc w:val="both"/>
      </w:pPr>
    </w:p>
    <w:p w14:paraId="7F2437FC" w14:textId="2B84CB6A" w:rsidR="00B52818" w:rsidRDefault="00B52818" w:rsidP="00F23D61">
      <w:pPr>
        <w:spacing w:after="0" w:line="360" w:lineRule="auto"/>
        <w:jc w:val="both"/>
      </w:pPr>
    </w:p>
    <w:p w14:paraId="05360DE3" w14:textId="525B6CA3" w:rsidR="00D90B5A" w:rsidRDefault="00BE6296" w:rsidP="00D90B5A">
      <w:pPr>
        <w:pStyle w:val="Heading1"/>
        <w:spacing w:before="0" w:line="360" w:lineRule="auto"/>
        <w:rPr>
          <w:rFonts w:ascii="Arial" w:hAnsi="Arial" w:cs="Arial"/>
          <w:color w:val="auto"/>
          <w:sz w:val="32"/>
          <w:szCs w:val="32"/>
        </w:rPr>
      </w:pPr>
      <w:bookmarkStart w:id="0" w:name="_Hlk92385035"/>
      <w:bookmarkStart w:id="1" w:name="_Toc102751949"/>
      <w:r>
        <w:rPr>
          <w:rFonts w:ascii="Arial" w:hAnsi="Arial" w:cs="Arial"/>
          <w:color w:val="auto"/>
          <w:sz w:val="32"/>
          <w:szCs w:val="32"/>
        </w:rPr>
        <w:lastRenderedPageBreak/>
        <w:t>Introduction</w:t>
      </w:r>
      <w:bookmarkEnd w:id="1"/>
    </w:p>
    <w:p w14:paraId="02C274CF" w14:textId="77777777" w:rsidR="00054E10" w:rsidRDefault="00054E10" w:rsidP="00D50479">
      <w:pPr>
        <w:spacing w:after="0" w:line="360" w:lineRule="auto"/>
        <w:jc w:val="both"/>
      </w:pPr>
    </w:p>
    <w:bookmarkEnd w:id="0"/>
    <w:p w14:paraId="4A87BFEB" w14:textId="531E6A52" w:rsidR="0068073F" w:rsidRPr="0068073F" w:rsidRDefault="0068073F" w:rsidP="0068073F">
      <w:pPr>
        <w:spacing w:after="0" w:line="360" w:lineRule="auto"/>
        <w:jc w:val="both"/>
      </w:pPr>
      <w:r w:rsidRPr="0068073F">
        <w:t>In recent years, both government policy and the professions of people have placed a focus on diversity and inclusion. However, the first step in creating inclusive workplaces is to examine and analyse the degrees of diversity</w:t>
      </w:r>
      <w:r w:rsidR="00D26CA9">
        <w:t xml:space="preserve"> </w:t>
      </w:r>
      <w:sdt>
        <w:sdtPr>
          <w:id w:val="1440715977"/>
          <w:citation/>
        </w:sdtPr>
        <w:sdtContent>
          <w:r w:rsidR="00D26CA9">
            <w:fldChar w:fldCharType="begin"/>
          </w:r>
          <w:r w:rsidR="00D26CA9">
            <w:instrText xml:space="preserve"> CITATION Spa16 \l 2057 </w:instrText>
          </w:r>
          <w:r w:rsidR="00D26CA9">
            <w:fldChar w:fldCharType="separate"/>
          </w:r>
          <w:r w:rsidR="00D26CA9" w:rsidRPr="00D26CA9">
            <w:rPr>
              <w:noProof/>
            </w:rPr>
            <w:t>(Sparrow, et al., 2016)</w:t>
          </w:r>
          <w:r w:rsidR="00D26CA9">
            <w:fldChar w:fldCharType="end"/>
          </w:r>
        </w:sdtContent>
      </w:sdt>
      <w:r w:rsidRPr="0068073F">
        <w:t>.</w:t>
      </w:r>
    </w:p>
    <w:p w14:paraId="3A082306" w14:textId="36BFB811" w:rsidR="0068073F" w:rsidRDefault="0068073F" w:rsidP="0068073F">
      <w:pPr>
        <w:spacing w:after="0" w:line="360" w:lineRule="auto"/>
        <w:jc w:val="both"/>
      </w:pPr>
      <w:r w:rsidRPr="0068073F">
        <w:t>One of the most effective ways to increase workplace equality and foster a more diverse workforce is to implement flexible working arrangements. Re-entry into the workforce for parents is possible, as is a reduction in the gender wage gap and the ability to continue working for those with chronic health concerns</w:t>
      </w:r>
      <w:r w:rsidR="00D26CA9">
        <w:t xml:space="preserve"> </w:t>
      </w:r>
      <w:sdt>
        <w:sdtPr>
          <w:id w:val="1745069720"/>
          <w:citation/>
        </w:sdtPr>
        <w:sdtContent>
          <w:r w:rsidR="00D26CA9">
            <w:fldChar w:fldCharType="begin"/>
          </w:r>
          <w:r w:rsidR="00D26CA9">
            <w:instrText xml:space="preserve"> CITATION Sto14 \l 2057 </w:instrText>
          </w:r>
          <w:r w:rsidR="00D26CA9">
            <w:fldChar w:fldCharType="separate"/>
          </w:r>
          <w:r w:rsidR="00D26CA9" w:rsidRPr="00D26CA9">
            <w:rPr>
              <w:noProof/>
            </w:rPr>
            <w:t>(Storey, 2014)</w:t>
          </w:r>
          <w:r w:rsidR="00D26CA9">
            <w:fldChar w:fldCharType="end"/>
          </w:r>
        </w:sdtContent>
      </w:sdt>
      <w:r w:rsidRPr="0068073F">
        <w:t>.</w:t>
      </w:r>
    </w:p>
    <w:p w14:paraId="6DBB942E" w14:textId="77777777" w:rsidR="0068073F" w:rsidRDefault="0068073F" w:rsidP="0068073F">
      <w:pPr>
        <w:spacing w:after="0" w:line="360" w:lineRule="auto"/>
        <w:jc w:val="both"/>
      </w:pPr>
      <w:r>
        <w:t>Flexible working is characterised as work patterns that allow workers to modify the amount, time, or location of their job, generally for the mutual advantage of the individual and the firm.</w:t>
      </w:r>
    </w:p>
    <w:p w14:paraId="16783FD3" w14:textId="5892E3E1" w:rsidR="0068073F" w:rsidRDefault="0068073F" w:rsidP="0068073F">
      <w:pPr>
        <w:spacing w:after="0" w:line="360" w:lineRule="auto"/>
        <w:jc w:val="both"/>
      </w:pPr>
      <w:r>
        <w:t xml:space="preserve">In particular, this might involve a broad variety of work arrangements, including part-time employment, work-sharing, </w:t>
      </w:r>
      <w:r>
        <w:t>flexitime</w:t>
      </w:r>
      <w:r>
        <w:t xml:space="preserve">, compressed and annualised schedules, fixed-term work, work from home and mobile </w:t>
      </w:r>
      <w:r>
        <w:t>work</w:t>
      </w:r>
      <w:r w:rsidR="00D26CA9">
        <w:t xml:space="preserve"> </w:t>
      </w:r>
      <w:sdt>
        <w:sdtPr>
          <w:id w:val="1358391024"/>
          <w:citation/>
        </w:sdtPr>
        <w:sdtContent>
          <w:r w:rsidR="00D26CA9">
            <w:fldChar w:fldCharType="begin"/>
          </w:r>
          <w:r w:rsidR="00D26CA9">
            <w:instrText xml:space="preserve"> CITATION Tor18 \l 2057 </w:instrText>
          </w:r>
          <w:r w:rsidR="00D26CA9">
            <w:fldChar w:fldCharType="separate"/>
          </w:r>
          <w:r w:rsidR="00D26CA9" w:rsidRPr="00D26CA9">
            <w:rPr>
              <w:noProof/>
            </w:rPr>
            <w:t>(Torrington, et al., 2018)</w:t>
          </w:r>
          <w:r w:rsidR="00D26CA9">
            <w:fldChar w:fldCharType="end"/>
          </w:r>
        </w:sdtContent>
      </w:sdt>
      <w:r>
        <w:t>.</w:t>
      </w:r>
      <w:r>
        <w:t xml:space="preserve"> </w:t>
      </w:r>
    </w:p>
    <w:p w14:paraId="1E3546D0" w14:textId="00A7099B" w:rsidR="0068073F" w:rsidRDefault="0068073F" w:rsidP="0068073F">
      <w:pPr>
        <w:spacing w:after="0" w:line="360" w:lineRule="auto"/>
        <w:jc w:val="both"/>
      </w:pPr>
      <w:r>
        <w:t xml:space="preserve">As a result of management attitudes that are either unaware or unfriendly to flexible work arrangements, flexible </w:t>
      </w:r>
      <w:r>
        <w:t xml:space="preserve">working is </w:t>
      </w:r>
      <w:r>
        <w:t xml:space="preserve">frequently perceived as being primarily beneficial to parents in these organisations. </w:t>
      </w:r>
    </w:p>
    <w:p w14:paraId="475D3EFB" w14:textId="25A30EE1" w:rsidR="0068073F" w:rsidRDefault="0068073F" w:rsidP="0068073F">
      <w:pPr>
        <w:spacing w:after="0" w:line="360" w:lineRule="auto"/>
        <w:jc w:val="both"/>
      </w:pPr>
      <w:r>
        <w:t>Everyone in the United Kingdom has the legal right to request flexible working arrangements since 2014</w:t>
      </w:r>
      <w:r w:rsidR="00D26CA9">
        <w:t xml:space="preserve"> </w:t>
      </w:r>
      <w:sdt>
        <w:sdtPr>
          <w:id w:val="262891922"/>
          <w:citation/>
        </w:sdtPr>
        <w:sdtContent>
          <w:r w:rsidR="00D26CA9">
            <w:fldChar w:fldCharType="begin"/>
          </w:r>
          <w:r w:rsidR="00D26CA9">
            <w:instrText xml:space="preserve"> CITATION CIP22 \l 2057 </w:instrText>
          </w:r>
          <w:r w:rsidR="00D26CA9">
            <w:fldChar w:fldCharType="separate"/>
          </w:r>
          <w:r w:rsidR="00D26CA9" w:rsidRPr="00D26CA9">
            <w:rPr>
              <w:noProof/>
            </w:rPr>
            <w:t>(CIPD, 2022)</w:t>
          </w:r>
          <w:r w:rsidR="00D26CA9">
            <w:fldChar w:fldCharType="end"/>
          </w:r>
        </w:sdtContent>
      </w:sdt>
      <w:r>
        <w:t>. As a result, even though 9 out of 10 businesses feel that flexible working is critical for competitiveness, investment, and new job creation, employment in this sector has remained stable during the previous decade. In addition, only 89% of occupations are marketed as "flexible."</w:t>
      </w:r>
    </w:p>
    <w:p w14:paraId="1B0E6098" w14:textId="68081E55" w:rsidR="0068073F" w:rsidRDefault="0068073F" w:rsidP="0068073F">
      <w:pPr>
        <w:spacing w:after="0" w:line="360" w:lineRule="auto"/>
        <w:jc w:val="both"/>
      </w:pPr>
      <w:r>
        <w:t>A flexible CIPD survey shows that not everyone in the workforce has equal access to flexible work options, with those in higher positions better equipped to guarantee that their employees can maintain a healthy work-life balance</w:t>
      </w:r>
      <w:r w:rsidR="00D26CA9">
        <w:t xml:space="preserve"> </w:t>
      </w:r>
      <w:sdt>
        <w:sdtPr>
          <w:id w:val="20605033"/>
          <w:citation/>
        </w:sdtPr>
        <w:sdtContent>
          <w:r w:rsidR="00D26CA9">
            <w:fldChar w:fldCharType="begin"/>
          </w:r>
          <w:r w:rsidR="00D26CA9">
            <w:instrText xml:space="preserve"> CITATION CIP22 \l 2057 </w:instrText>
          </w:r>
          <w:r w:rsidR="00D26CA9">
            <w:fldChar w:fldCharType="separate"/>
          </w:r>
          <w:r w:rsidR="00D26CA9" w:rsidRPr="00D26CA9">
            <w:rPr>
              <w:noProof/>
            </w:rPr>
            <w:t>(CIPD, 2022)</w:t>
          </w:r>
          <w:r w:rsidR="00D26CA9">
            <w:fldChar w:fldCharType="end"/>
          </w:r>
        </w:sdtContent>
      </w:sdt>
      <w:r>
        <w:t>. Among those who do not have access to flexible working, 78 percent would prefer it. More than half of employees (55 percent) would also want to work flexibly, at least in a way that is not currently available to them.</w:t>
      </w:r>
    </w:p>
    <w:p w14:paraId="3AC27D20" w14:textId="14634446" w:rsidR="0068073F" w:rsidRDefault="0068073F" w:rsidP="0068073F">
      <w:pPr>
        <w:spacing w:after="0" w:line="360" w:lineRule="auto"/>
        <w:jc w:val="both"/>
      </w:pPr>
      <w:r>
        <w:t xml:space="preserve">Overall, 54 percent of workers across all organisations reported working flexibly. This percentage was much higher in large organisations (250 or more employees) at 58 percent and lower in small companies (10-49 employees) at 45 </w:t>
      </w:r>
      <w:r>
        <w:t>percent.</w:t>
      </w:r>
      <w:r>
        <w:t xml:space="preserve"> The rate </w:t>
      </w:r>
      <w:r>
        <w:lastRenderedPageBreak/>
        <w:t xml:space="preserve">among all small (1-9 workers) and medium-sized (50-250 employees) enterprises averaged approximately 54 </w:t>
      </w:r>
      <w:r w:rsidR="007A1666">
        <w:t>percent</w:t>
      </w:r>
      <w:r w:rsidR="00D26CA9">
        <w:t xml:space="preserve"> </w:t>
      </w:r>
      <w:sdt>
        <w:sdtPr>
          <w:id w:val="-977453719"/>
          <w:citation/>
        </w:sdtPr>
        <w:sdtContent>
          <w:r w:rsidR="00D26CA9">
            <w:fldChar w:fldCharType="begin"/>
          </w:r>
          <w:r w:rsidR="00D26CA9">
            <w:instrText xml:space="preserve"> CITATION CIP22 \l 2057 </w:instrText>
          </w:r>
          <w:r w:rsidR="00D26CA9">
            <w:fldChar w:fldCharType="separate"/>
          </w:r>
          <w:r w:rsidR="00D26CA9" w:rsidRPr="00D26CA9">
            <w:rPr>
              <w:noProof/>
            </w:rPr>
            <w:t>(CIPD, 2022)</w:t>
          </w:r>
          <w:r w:rsidR="00D26CA9">
            <w:fldChar w:fldCharType="end"/>
          </w:r>
        </w:sdtContent>
      </w:sdt>
      <w:r w:rsidR="007A1666">
        <w:t>.</w:t>
      </w:r>
    </w:p>
    <w:p w14:paraId="2FEFC1FC" w14:textId="07D82160" w:rsidR="0068073F" w:rsidRPr="0068073F" w:rsidRDefault="0068073F" w:rsidP="0068073F">
      <w:pPr>
        <w:spacing w:after="0" w:line="360" w:lineRule="auto"/>
        <w:jc w:val="both"/>
      </w:pPr>
      <w:r>
        <w:t>A large section of the labour market may still profit from flexible working arrangements, but does not have access to them. Because of this, it is clear that there is a tremendous disconnect between what is really happening in the UK workforce and what it could be when it comes to employee engagement, retention, and productivity.</w:t>
      </w:r>
    </w:p>
    <w:p w14:paraId="6FDDA142" w14:textId="31A474F8" w:rsidR="00B97E3D" w:rsidRDefault="00B97E3D" w:rsidP="00112787">
      <w:pPr>
        <w:spacing w:after="0" w:line="360" w:lineRule="auto"/>
        <w:jc w:val="both"/>
        <w:rPr>
          <w:b/>
        </w:rPr>
      </w:pPr>
    </w:p>
    <w:p w14:paraId="5130FEA4" w14:textId="5599EE64" w:rsidR="00BE6296" w:rsidRPr="00C96B93" w:rsidRDefault="0068073F" w:rsidP="00E51715">
      <w:pPr>
        <w:pStyle w:val="Heading1"/>
        <w:spacing w:before="0" w:line="360" w:lineRule="auto"/>
        <w:rPr>
          <w:rFonts w:ascii="Arial" w:hAnsi="Arial" w:cs="Arial"/>
          <w:color w:val="000000" w:themeColor="text1"/>
        </w:rPr>
      </w:pPr>
      <w:bookmarkStart w:id="2" w:name="_Toc102751950"/>
      <w:r>
        <w:rPr>
          <w:rFonts w:ascii="Arial" w:hAnsi="Arial" w:cs="Arial"/>
          <w:color w:val="auto"/>
          <w:sz w:val="32"/>
          <w:szCs w:val="32"/>
        </w:rPr>
        <w:t>P</w:t>
      </w:r>
      <w:r w:rsidR="00E51715" w:rsidRPr="00E51715">
        <w:rPr>
          <w:rFonts w:ascii="Arial" w:hAnsi="Arial" w:cs="Arial"/>
          <w:color w:val="auto"/>
          <w:sz w:val="32"/>
          <w:szCs w:val="32"/>
        </w:rPr>
        <w:t>romoting diversity and inclusion through flexible working</w:t>
      </w:r>
      <w:bookmarkEnd w:id="2"/>
      <w:r w:rsidR="00277FB9" w:rsidRPr="00277FB9">
        <w:rPr>
          <w:rFonts w:ascii="Arial" w:hAnsi="Arial" w:cs="Arial"/>
          <w:color w:val="000000" w:themeColor="text1"/>
        </w:rPr>
        <w:t xml:space="preserve"> </w:t>
      </w:r>
    </w:p>
    <w:p w14:paraId="1BCAF526" w14:textId="6197E2E4" w:rsidR="00277FB9" w:rsidRDefault="00277FB9" w:rsidP="00345324">
      <w:pPr>
        <w:spacing w:after="0" w:line="360" w:lineRule="auto"/>
        <w:jc w:val="both"/>
      </w:pPr>
    </w:p>
    <w:p w14:paraId="42CD5D58" w14:textId="5CD0C876" w:rsidR="0068073F" w:rsidRDefault="0068073F" w:rsidP="0068073F">
      <w:pPr>
        <w:spacing w:after="0" w:line="360" w:lineRule="auto"/>
        <w:jc w:val="both"/>
      </w:pPr>
      <w:r>
        <w:t>Most managers, according to a recent research (71%)</w:t>
      </w:r>
      <w:r w:rsidR="007A1666">
        <w:t xml:space="preserve"> of CIPD</w:t>
      </w:r>
      <w:r>
        <w:t xml:space="preserve">, believe that flexible working is an effective means of increasing productivity and enhancing performance (63 </w:t>
      </w:r>
      <w:r w:rsidR="007A1666">
        <w:t>percent)</w:t>
      </w:r>
      <w:r>
        <w:t xml:space="preserve">. Increasingly, employers are realising that a combination of flexibility and commitment is </w:t>
      </w:r>
      <w:r w:rsidR="007A1666">
        <w:t>ideal to boost morale and productivity</w:t>
      </w:r>
      <w:r>
        <w:t>. It is considered that employees who give higher degrees of independence and confidence boost their level of performance and operate more effectively</w:t>
      </w:r>
      <w:r w:rsidR="00D26CA9">
        <w:t xml:space="preserve"> </w:t>
      </w:r>
      <w:sdt>
        <w:sdtPr>
          <w:id w:val="-112211703"/>
          <w:citation/>
        </w:sdtPr>
        <w:sdtContent>
          <w:r w:rsidR="00D26CA9">
            <w:fldChar w:fldCharType="begin"/>
          </w:r>
          <w:r w:rsidR="00D26CA9">
            <w:instrText xml:space="preserve"> CITATION CIP22 \l 2057 </w:instrText>
          </w:r>
          <w:r w:rsidR="00D26CA9">
            <w:fldChar w:fldCharType="separate"/>
          </w:r>
          <w:r w:rsidR="00D26CA9" w:rsidRPr="00D26CA9">
            <w:rPr>
              <w:noProof/>
            </w:rPr>
            <w:t>(CIPD, 2022)</w:t>
          </w:r>
          <w:r w:rsidR="00D26CA9">
            <w:fldChar w:fldCharType="end"/>
          </w:r>
        </w:sdtContent>
      </w:sdt>
      <w:r>
        <w:t>.</w:t>
      </w:r>
    </w:p>
    <w:p w14:paraId="422F1FC8" w14:textId="02FED799" w:rsidR="0068073F" w:rsidRDefault="0068073F" w:rsidP="0068073F">
      <w:pPr>
        <w:spacing w:after="0" w:line="360" w:lineRule="auto"/>
        <w:jc w:val="both"/>
      </w:pPr>
      <w:r>
        <w:t>A corporation should focus on employee and team results rather than time spent working</w:t>
      </w:r>
      <w:r w:rsidR="00D26CA9">
        <w:t xml:space="preserve"> </w:t>
      </w:r>
      <w:sdt>
        <w:sdtPr>
          <w:id w:val="1784234184"/>
          <w:citation/>
        </w:sdtPr>
        <w:sdtContent>
          <w:r w:rsidR="00D26CA9">
            <w:fldChar w:fldCharType="begin"/>
          </w:r>
          <w:r w:rsidR="00D26CA9">
            <w:instrText xml:space="preserve"> CITATION Arm14 \l 2057 </w:instrText>
          </w:r>
          <w:r w:rsidR="00D26CA9">
            <w:fldChar w:fldCharType="separate"/>
          </w:r>
          <w:r w:rsidR="00D26CA9" w:rsidRPr="00D26CA9">
            <w:rPr>
              <w:noProof/>
            </w:rPr>
            <w:t>(Armstrong &amp; Taylor, 2020)</w:t>
          </w:r>
          <w:r w:rsidR="00D26CA9">
            <w:fldChar w:fldCharType="end"/>
          </w:r>
        </w:sdtContent>
      </w:sdt>
      <w:r>
        <w:t>. Presentism and the amount of time a person spends on non-productive activities are poor indicators of productivity and undercut efforts to motivate employees to perform better by giving them greater control over their work lives.</w:t>
      </w:r>
    </w:p>
    <w:p w14:paraId="6882AC00" w14:textId="77777777" w:rsidR="0068073F" w:rsidRDefault="0068073F" w:rsidP="0068073F">
      <w:pPr>
        <w:spacing w:after="0" w:line="360" w:lineRule="auto"/>
        <w:jc w:val="both"/>
      </w:pPr>
      <w:r>
        <w:t>The ability to work in a variety of settings is made possible by having a flexible work schedule. Groups of employees who are unable to enter the workforce without it, such as parents, guardians, and persons with impairments, must have it. But while it is a necessity for some workers, it is crucial that it is extended to all employees to eliminate any stigma against it and promote equitable compensation and advancement.</w:t>
      </w:r>
    </w:p>
    <w:p w14:paraId="3599C8A3" w14:textId="3D91C9D3" w:rsidR="0068073F" w:rsidRDefault="0068073F" w:rsidP="0068073F">
      <w:pPr>
        <w:spacing w:after="0" w:line="360" w:lineRule="auto"/>
        <w:jc w:val="both"/>
      </w:pPr>
      <w:r>
        <w:t>In order to close the pay gap between men and women and reduce inequality, flexible work that is done fairly is essential. Women are far more likely than males to work part-time or on a flexible schedule, but these options are rarely available to those in higher positions. Employers who are dedicated to enhancing the availability of flexible, part-time choices at all levels are witnessing a reduction in the gender pay gap</w:t>
      </w:r>
      <w:r w:rsidR="00D26CA9">
        <w:t xml:space="preserve"> </w:t>
      </w:r>
      <w:sdt>
        <w:sdtPr>
          <w:id w:val="-1860269354"/>
          <w:citation/>
        </w:sdtPr>
        <w:sdtContent>
          <w:r w:rsidR="00D26CA9">
            <w:fldChar w:fldCharType="begin"/>
          </w:r>
          <w:r w:rsidR="00D26CA9">
            <w:instrText xml:space="preserve"> CITATION Bre16 \l 2057 </w:instrText>
          </w:r>
          <w:r w:rsidR="00D26CA9">
            <w:fldChar w:fldCharType="separate"/>
          </w:r>
          <w:r w:rsidR="00D26CA9" w:rsidRPr="00D26CA9">
            <w:rPr>
              <w:noProof/>
            </w:rPr>
            <w:t>(Brewster, et al., 2016)</w:t>
          </w:r>
          <w:r w:rsidR="00D26CA9">
            <w:fldChar w:fldCharType="end"/>
          </w:r>
        </w:sdtContent>
      </w:sdt>
      <w:r>
        <w:t>.</w:t>
      </w:r>
    </w:p>
    <w:p w14:paraId="546D5612" w14:textId="77777777" w:rsidR="0068073F" w:rsidRDefault="0068073F" w:rsidP="0068073F">
      <w:pPr>
        <w:spacing w:after="0" w:line="360" w:lineRule="auto"/>
        <w:jc w:val="both"/>
      </w:pPr>
      <w:r>
        <w:t xml:space="preserve">A corporation should prove the effect of flexible working on diversity objectives through tracking. Staff surveys give insight into who is working flexibly, and this information </w:t>
      </w:r>
      <w:r>
        <w:lastRenderedPageBreak/>
        <w:t>may be cross-referenced with workforce diversity data and integrated into statistics on the gender pay gap.</w:t>
      </w:r>
    </w:p>
    <w:p w14:paraId="23FC762C" w14:textId="0294BAD1" w:rsidR="0068073F" w:rsidRDefault="0068073F" w:rsidP="0068073F">
      <w:pPr>
        <w:spacing w:after="0" w:line="360" w:lineRule="auto"/>
        <w:jc w:val="both"/>
      </w:pPr>
      <w:r>
        <w:t>According to a recent poll of working families</w:t>
      </w:r>
      <w:r w:rsidR="007A1666">
        <w:t xml:space="preserve"> done by CIPD</w:t>
      </w:r>
      <w:r>
        <w:t>, 69% of working parents would prefer a job that was labelled as flexible in the future, and 84% of them want employers to do more to create flexible employment possibilities for their employees. However, parents and caregivers are not the only ones who prefer flexible work arrangements; 92% of young people agree</w:t>
      </w:r>
      <w:r w:rsidR="00D26CA9">
        <w:t xml:space="preserve"> </w:t>
      </w:r>
      <w:sdt>
        <w:sdtPr>
          <w:id w:val="501855907"/>
          <w:citation/>
        </w:sdtPr>
        <w:sdtContent>
          <w:r w:rsidR="00D26CA9">
            <w:fldChar w:fldCharType="begin"/>
          </w:r>
          <w:r w:rsidR="00D26CA9">
            <w:instrText xml:space="preserve"> CITATION CIP22 \l 2057 </w:instrText>
          </w:r>
          <w:r w:rsidR="00D26CA9">
            <w:fldChar w:fldCharType="separate"/>
          </w:r>
          <w:r w:rsidR="00D26CA9" w:rsidRPr="00D26CA9">
            <w:rPr>
              <w:noProof/>
            </w:rPr>
            <w:t>(CIPD, 2022)</w:t>
          </w:r>
          <w:r w:rsidR="00D26CA9">
            <w:fldChar w:fldCharType="end"/>
          </w:r>
        </w:sdtContent>
      </w:sdt>
      <w:r>
        <w:t>. As a result, flexible work arrangements are increasingly essential for all firms if they are to succeed in attracting and retaining top talent.</w:t>
      </w:r>
    </w:p>
    <w:p w14:paraId="7D823B0F" w14:textId="79D01DAD" w:rsidR="0068073F" w:rsidRDefault="0068073F" w:rsidP="0068073F">
      <w:pPr>
        <w:spacing w:after="0" w:line="360" w:lineRule="auto"/>
        <w:jc w:val="both"/>
      </w:pPr>
      <w:r>
        <w:t>Employees who have the opportunity to work flexibly (with approved agreements) report greater levels of job satisfaction than those who don't. They appreciate control over their work life and are consequently more engaged to their business and more likely to stay. It also has a favourable influence on worker attendance, productivity and performance</w:t>
      </w:r>
      <w:r w:rsidR="00D26CA9">
        <w:t xml:space="preserve"> </w:t>
      </w:r>
      <w:sdt>
        <w:sdtPr>
          <w:id w:val="-872228152"/>
          <w:citation/>
        </w:sdtPr>
        <w:sdtContent>
          <w:r w:rsidR="00D26CA9">
            <w:fldChar w:fldCharType="begin"/>
          </w:r>
          <w:r w:rsidR="00D26CA9">
            <w:instrText xml:space="preserve"> CITATION Saa04 \l 2057 </w:instrText>
          </w:r>
          <w:r w:rsidR="00D26CA9">
            <w:fldChar w:fldCharType="separate"/>
          </w:r>
          <w:r w:rsidR="00D26CA9" w:rsidRPr="00D26CA9">
            <w:rPr>
              <w:noProof/>
            </w:rPr>
            <w:t>(Saari &amp; Judge, 2004)</w:t>
          </w:r>
          <w:r w:rsidR="00D26CA9">
            <w:fldChar w:fldCharType="end"/>
          </w:r>
        </w:sdtContent>
      </w:sdt>
      <w:r w:rsidR="00D26CA9">
        <w:t>.</w:t>
      </w:r>
    </w:p>
    <w:p w14:paraId="6A7F9B7A" w14:textId="77777777" w:rsidR="0068073F" w:rsidRDefault="0068073F" w:rsidP="0068073F">
      <w:pPr>
        <w:spacing w:after="0" w:line="360" w:lineRule="auto"/>
        <w:jc w:val="both"/>
      </w:pPr>
      <w:r>
        <w:t>A corporation should experiment with adopting flexible working practises in a small team or function and assessing the effect through personnel satisfaction surveys and interviews.</w:t>
      </w:r>
    </w:p>
    <w:p w14:paraId="205C6399" w14:textId="1384EB29" w:rsidR="0068073F" w:rsidRDefault="0068073F" w:rsidP="0068073F">
      <w:pPr>
        <w:spacing w:after="0" w:line="360" w:lineRule="auto"/>
        <w:jc w:val="both"/>
      </w:pPr>
      <w:r>
        <w:t xml:space="preserve">Workers can better manage their personal situations and strike a work-life balance when they work flexibly. A recent research by Working Families in partnership with King's College London found that good flexible working practises lessen the need for compromise between parents, especially women, by allowing them to integrate their </w:t>
      </w:r>
      <w:r w:rsidR="007A1666">
        <w:t>jobs</w:t>
      </w:r>
      <w:r w:rsidR="00D26CA9">
        <w:t xml:space="preserve"> </w:t>
      </w:r>
      <w:sdt>
        <w:sdtPr>
          <w:id w:val="735361970"/>
          <w:citation/>
        </w:sdtPr>
        <w:sdtContent>
          <w:r w:rsidR="00D26CA9">
            <w:fldChar w:fldCharType="begin"/>
          </w:r>
          <w:r w:rsidR="00D26CA9">
            <w:instrText xml:space="preserve"> CITATION Wor22 \l 2057 </w:instrText>
          </w:r>
          <w:r w:rsidR="00D26CA9">
            <w:fldChar w:fldCharType="separate"/>
          </w:r>
          <w:r w:rsidR="00D26CA9" w:rsidRPr="00D26CA9">
            <w:rPr>
              <w:noProof/>
            </w:rPr>
            <w:t>(Working Families, 2022)</w:t>
          </w:r>
          <w:r w:rsidR="00D26CA9">
            <w:fldChar w:fldCharType="end"/>
          </w:r>
        </w:sdtContent>
      </w:sdt>
      <w:r w:rsidR="007A1666">
        <w:t>.</w:t>
      </w:r>
    </w:p>
    <w:p w14:paraId="3D2DD61C" w14:textId="1E37B0DD" w:rsidR="0068073F" w:rsidRDefault="0068073F" w:rsidP="0068073F">
      <w:pPr>
        <w:spacing w:after="0" w:line="360" w:lineRule="auto"/>
        <w:jc w:val="both"/>
      </w:pPr>
      <w:r>
        <w:t>The feeling of well-being of employees is fostered by flexible working, also a result of the higher confidence displayed by the employer. Additionally, flexible employees report being able to better manage their mental health, lowering the need for vacation time</w:t>
      </w:r>
      <w:r w:rsidR="007A1666">
        <w:t>.</w:t>
      </w:r>
    </w:p>
    <w:p w14:paraId="06ECB89A" w14:textId="59175F9A" w:rsidR="0068073F" w:rsidRDefault="0068073F" w:rsidP="0068073F">
      <w:pPr>
        <w:spacing w:after="0" w:line="360" w:lineRule="auto"/>
        <w:jc w:val="both"/>
      </w:pPr>
      <w:r>
        <w:t>The corporation should select a key sponsor to push the case at the highest level of the company. For example, attempt to engage the organisational wellness leader to promote this initiative and ensuring that the rest of the leadership team demonstrates flexible working on their own.</w:t>
      </w:r>
    </w:p>
    <w:p w14:paraId="70BB6BE9" w14:textId="77777777" w:rsidR="00D26CA9" w:rsidRDefault="00D26CA9" w:rsidP="0068073F">
      <w:pPr>
        <w:spacing w:after="0" w:line="360" w:lineRule="auto"/>
        <w:jc w:val="both"/>
      </w:pPr>
    </w:p>
    <w:p w14:paraId="2E0E3586" w14:textId="72281EE2" w:rsidR="00345324" w:rsidRDefault="00345324" w:rsidP="00112787">
      <w:pPr>
        <w:spacing w:after="0" w:line="360" w:lineRule="auto"/>
        <w:jc w:val="both"/>
        <w:rPr>
          <w:b/>
        </w:rPr>
      </w:pPr>
    </w:p>
    <w:p w14:paraId="2973F79A" w14:textId="2C746D2C" w:rsidR="00E51715" w:rsidRPr="00C96B93" w:rsidRDefault="0068073F" w:rsidP="00E51715">
      <w:pPr>
        <w:pStyle w:val="Heading1"/>
        <w:spacing w:before="0" w:line="360" w:lineRule="auto"/>
        <w:rPr>
          <w:rFonts w:ascii="Arial" w:hAnsi="Arial" w:cs="Arial"/>
          <w:color w:val="000000" w:themeColor="text1"/>
        </w:rPr>
      </w:pPr>
      <w:bookmarkStart w:id="3" w:name="_Toc102751951"/>
      <w:r>
        <w:rPr>
          <w:rFonts w:ascii="Arial" w:hAnsi="Arial" w:cs="Arial"/>
          <w:color w:val="auto"/>
          <w:sz w:val="32"/>
          <w:szCs w:val="32"/>
        </w:rPr>
        <w:lastRenderedPageBreak/>
        <w:t>F</w:t>
      </w:r>
      <w:r w:rsidR="00E51715" w:rsidRPr="00E51715">
        <w:rPr>
          <w:rFonts w:ascii="Arial" w:hAnsi="Arial" w:cs="Arial"/>
          <w:color w:val="auto"/>
          <w:sz w:val="32"/>
          <w:szCs w:val="32"/>
        </w:rPr>
        <w:t xml:space="preserve">lexible working </w:t>
      </w:r>
      <w:r>
        <w:rPr>
          <w:rFonts w:ascii="Arial" w:hAnsi="Arial" w:cs="Arial"/>
          <w:color w:val="auto"/>
          <w:sz w:val="32"/>
          <w:szCs w:val="32"/>
        </w:rPr>
        <w:t>issues</w:t>
      </w:r>
      <w:bookmarkEnd w:id="3"/>
      <w:r w:rsidR="00E51715" w:rsidRPr="00277FB9">
        <w:rPr>
          <w:rFonts w:ascii="Arial" w:hAnsi="Arial" w:cs="Arial"/>
          <w:color w:val="000000" w:themeColor="text1"/>
        </w:rPr>
        <w:t xml:space="preserve"> </w:t>
      </w:r>
    </w:p>
    <w:p w14:paraId="60EEAACE" w14:textId="77777777" w:rsidR="00E51715" w:rsidRDefault="00E51715" w:rsidP="00E51715">
      <w:pPr>
        <w:spacing w:after="0" w:line="360" w:lineRule="auto"/>
        <w:jc w:val="both"/>
      </w:pPr>
    </w:p>
    <w:p w14:paraId="42A8D525" w14:textId="767F80C0" w:rsidR="0068073F" w:rsidRDefault="0068073F" w:rsidP="0068073F">
      <w:pPr>
        <w:spacing w:after="0" w:line="360" w:lineRule="auto"/>
        <w:jc w:val="both"/>
      </w:pPr>
      <w:r>
        <w:t>Employees may be subjected to discrimination under the Equality Act if their flex</w:t>
      </w:r>
      <w:r w:rsidR="007A1666">
        <w:t xml:space="preserve">ible working </w:t>
      </w:r>
      <w:r>
        <w:t>application is turned down or if the employer treats them unjustly due to their application</w:t>
      </w:r>
      <w:r w:rsidR="00D26CA9">
        <w:t xml:space="preserve"> </w:t>
      </w:r>
      <w:sdt>
        <w:sdtPr>
          <w:id w:val="-392587799"/>
          <w:citation/>
        </w:sdtPr>
        <w:sdtContent>
          <w:r w:rsidR="00D26CA9">
            <w:fldChar w:fldCharType="begin"/>
          </w:r>
          <w:r w:rsidR="00D26CA9">
            <w:instrText xml:space="preserve"> CITATION UKG10 \l 2057 </w:instrText>
          </w:r>
          <w:r w:rsidR="00D26CA9">
            <w:fldChar w:fldCharType="separate"/>
          </w:r>
          <w:r w:rsidR="00D26CA9" w:rsidRPr="00D26CA9">
            <w:rPr>
              <w:noProof/>
            </w:rPr>
            <w:t>(UK Government, 2010)</w:t>
          </w:r>
          <w:r w:rsidR="00D26CA9">
            <w:fldChar w:fldCharType="end"/>
          </w:r>
        </w:sdtContent>
      </w:sdt>
      <w:r>
        <w:t>.</w:t>
      </w:r>
    </w:p>
    <w:p w14:paraId="147D33D8" w14:textId="62406E93" w:rsidR="0068073F" w:rsidRDefault="0068073F" w:rsidP="0068073F">
      <w:pPr>
        <w:spacing w:after="0" w:line="360" w:lineRule="auto"/>
        <w:jc w:val="both"/>
      </w:pPr>
      <w:r>
        <w:t xml:space="preserve">Unfortunately, the Equality Act does not provide any protection for qualities like parenting or caring. Discrimination based on gender, disability, or marriage may be an issue for parents and guardians who </w:t>
      </w:r>
      <w:r w:rsidR="007A1666">
        <w:t xml:space="preserve">are </w:t>
      </w:r>
      <w:r>
        <w:t>decline</w:t>
      </w:r>
      <w:r w:rsidR="007A1666">
        <w:t xml:space="preserve">d a </w:t>
      </w:r>
      <w:r>
        <w:t>request for flexible working hours.</w:t>
      </w:r>
    </w:p>
    <w:p w14:paraId="7B29D3C1" w14:textId="4E504D10" w:rsidR="0068073F" w:rsidRDefault="0068073F" w:rsidP="0068073F">
      <w:pPr>
        <w:spacing w:after="0" w:line="360" w:lineRule="auto"/>
        <w:jc w:val="both"/>
      </w:pPr>
      <w:r>
        <w:t xml:space="preserve">Parents and guardians who </w:t>
      </w:r>
      <w:r w:rsidR="007A1666">
        <w:t xml:space="preserve">were </w:t>
      </w:r>
      <w:r>
        <w:t>declined their flexible working requests might face discrimination if the rejection amounted to less favourable treatment on the basis of gender.</w:t>
      </w:r>
    </w:p>
    <w:p w14:paraId="31027E51" w14:textId="32E1B9BC" w:rsidR="0068073F" w:rsidRDefault="0068073F" w:rsidP="0068073F">
      <w:pPr>
        <w:spacing w:after="0" w:line="360" w:lineRule="auto"/>
        <w:jc w:val="both"/>
      </w:pPr>
      <w:r w:rsidRPr="00D26CA9">
        <w:rPr>
          <w:b/>
        </w:rPr>
        <w:t>Direct sex discrimination</w:t>
      </w:r>
      <w:r>
        <w:t xml:space="preserve"> occurs when an </w:t>
      </w:r>
      <w:proofErr w:type="gramStart"/>
      <w:r w:rsidR="007A1666">
        <w:t>employer treats men</w:t>
      </w:r>
      <w:proofErr w:type="gramEnd"/>
      <w:r>
        <w:t xml:space="preserve"> worse than women, or women worse than men, because of their sex</w:t>
      </w:r>
      <w:r w:rsidR="00D26CA9">
        <w:t xml:space="preserve"> </w:t>
      </w:r>
      <w:sdt>
        <w:sdtPr>
          <w:id w:val="-1137097208"/>
          <w:citation/>
        </w:sdtPr>
        <w:sdtContent>
          <w:r w:rsidR="00D26CA9">
            <w:fldChar w:fldCharType="begin"/>
          </w:r>
          <w:r w:rsidR="00D26CA9">
            <w:instrText xml:space="preserve"> CITATION Man09 \l 2057 </w:instrText>
          </w:r>
          <w:r w:rsidR="00D26CA9">
            <w:fldChar w:fldCharType="separate"/>
          </w:r>
          <w:r w:rsidR="00D26CA9" w:rsidRPr="00D26CA9">
            <w:rPr>
              <w:noProof/>
            </w:rPr>
            <w:t>(Mankin, 2009)</w:t>
          </w:r>
          <w:r w:rsidR="00D26CA9">
            <w:fldChar w:fldCharType="end"/>
          </w:r>
        </w:sdtContent>
      </w:sdt>
      <w:r>
        <w:t>.</w:t>
      </w:r>
    </w:p>
    <w:p w14:paraId="79FF188A" w14:textId="65A83B77" w:rsidR="0068073F" w:rsidRDefault="0068073F" w:rsidP="0068073F">
      <w:pPr>
        <w:spacing w:after="0" w:line="360" w:lineRule="auto"/>
        <w:jc w:val="both"/>
      </w:pPr>
      <w:r>
        <w:t xml:space="preserve">It is permissible for males to demand sex discrimination in the workplace provided the same request for flexible working hours is granted to the women in their organisation. </w:t>
      </w:r>
      <w:r w:rsidR="007A1666">
        <w:t>G</w:t>
      </w:r>
      <w:r>
        <w:t>ender discrimination may occur if, for example, males are denied the ability to work flexibly in situations where women in similar positions are permitted to do so.</w:t>
      </w:r>
    </w:p>
    <w:p w14:paraId="7B76AB0F" w14:textId="77777777" w:rsidR="0068073F" w:rsidRDefault="0068073F" w:rsidP="0068073F">
      <w:pPr>
        <w:spacing w:after="0" w:line="360" w:lineRule="auto"/>
        <w:jc w:val="both"/>
      </w:pPr>
      <w:r>
        <w:t>Long or inflexible work hours for women may constitute indirect gender discrimination, as women are more likely than males to be responsible for caring for children. This is dubbed the “childcare disparity” and the same notions might apply if women need flexible employment owing to other childcare concerns.</w:t>
      </w:r>
    </w:p>
    <w:p w14:paraId="2D0C6538" w14:textId="77777777" w:rsidR="0068073F" w:rsidRDefault="0068073F" w:rsidP="0068073F">
      <w:pPr>
        <w:spacing w:after="0" w:line="360" w:lineRule="auto"/>
        <w:jc w:val="both"/>
      </w:pPr>
      <w:r>
        <w:t>Women who are unable to work because of an employer-mandated policy may be able to assert claims of direct or indirect sex discrimination, depending on the facts of the case. When an employer treats someone less suitably, for example by not adjusting to that person's work schedule, for a cause connected to pregnancy, childcare, maternity leave or nursing, it can also constitute obvious gender discrimination.</w:t>
      </w:r>
    </w:p>
    <w:p w14:paraId="72F211BF" w14:textId="764C4887" w:rsidR="0068073F" w:rsidRDefault="0068073F" w:rsidP="0068073F">
      <w:pPr>
        <w:spacing w:after="0" w:line="360" w:lineRule="auto"/>
        <w:jc w:val="both"/>
      </w:pPr>
      <w:r>
        <w:t xml:space="preserve">If </w:t>
      </w:r>
      <w:r w:rsidR="007A1666">
        <w:t xml:space="preserve">one is </w:t>
      </w:r>
      <w:r>
        <w:t xml:space="preserve">searching for a flexible working arrangement owing to </w:t>
      </w:r>
      <w:r w:rsidR="007A1666">
        <w:t xml:space="preserve">his or her </w:t>
      </w:r>
      <w:r>
        <w:t xml:space="preserve">handicap, for example, which permits </w:t>
      </w:r>
      <w:r w:rsidR="007A1666">
        <w:t xml:space="preserve">them </w:t>
      </w:r>
      <w:r>
        <w:t xml:space="preserve">to work part-time or with varied working hours to reduce the need to commute during peak hours, </w:t>
      </w:r>
      <w:r w:rsidR="007A1666">
        <w:t xml:space="preserve">they </w:t>
      </w:r>
      <w:r>
        <w:t>may have a complaint for non-accommodation</w:t>
      </w:r>
      <w:r w:rsidR="007A1666">
        <w:t>,</w:t>
      </w:r>
      <w:r>
        <w:t xml:space="preserve"> an understandable response in the event of a denial by </w:t>
      </w:r>
      <w:r w:rsidR="007A1666">
        <w:t>the company that employs them</w:t>
      </w:r>
      <w:r>
        <w:t>.</w:t>
      </w:r>
    </w:p>
    <w:p w14:paraId="4A4DC7A3" w14:textId="59BD4180" w:rsidR="0068073F" w:rsidRDefault="007A1666" w:rsidP="0068073F">
      <w:pPr>
        <w:spacing w:after="0" w:line="360" w:lineRule="auto"/>
        <w:jc w:val="both"/>
      </w:pPr>
      <w:r>
        <w:lastRenderedPageBreak/>
        <w:t>A</w:t>
      </w:r>
      <w:r w:rsidR="0068073F">
        <w:t xml:space="preserve"> disabled worker might work flexible hours in order to take more breaks and avoid becoming exhausted as a result of their handicap</w:t>
      </w:r>
      <w:r>
        <w:t xml:space="preserve"> and that’s a measure </w:t>
      </w:r>
      <w:r w:rsidR="0068073F">
        <w:t xml:space="preserve">a business owner must </w:t>
      </w:r>
      <w:r>
        <w:t>enforce</w:t>
      </w:r>
      <w:r w:rsidR="0068073F">
        <w:t>.</w:t>
      </w:r>
    </w:p>
    <w:p w14:paraId="3C9B8F33" w14:textId="77777777" w:rsidR="0068073F" w:rsidRDefault="0068073F" w:rsidP="0068073F">
      <w:pPr>
        <w:spacing w:after="0" w:line="360" w:lineRule="auto"/>
        <w:jc w:val="both"/>
      </w:pPr>
      <w:r>
        <w:t>Perhaps most relevant for those with parental and caregiving commitments is the direct and indirect prejudice associated with disability. These sorts of discrimination occur when one individual is perceived less favourably than another because of their relationship to a person (for example, a kid or substance abuser) with a handicap.</w:t>
      </w:r>
    </w:p>
    <w:p w14:paraId="3806B0F1" w14:textId="77777777" w:rsidR="0068073F" w:rsidRDefault="0068073F" w:rsidP="0068073F">
      <w:pPr>
        <w:spacing w:after="0" w:line="360" w:lineRule="auto"/>
        <w:jc w:val="both"/>
      </w:pPr>
      <w:r>
        <w:t>Discriminating against someone because they are linked to another person with a handicap is wrong. People may regard parents who have disability children differently from parents who do not have impaired children, for example.</w:t>
      </w:r>
    </w:p>
    <w:p w14:paraId="0930996C" w14:textId="4C86B825" w:rsidR="0068073F" w:rsidRDefault="0068073F" w:rsidP="0068073F">
      <w:pPr>
        <w:spacing w:after="0" w:line="360" w:lineRule="auto"/>
        <w:jc w:val="both"/>
      </w:pPr>
    </w:p>
    <w:p w14:paraId="67534BD0" w14:textId="3C533A2F" w:rsidR="007A1666" w:rsidRDefault="007A1666" w:rsidP="0068073F">
      <w:pPr>
        <w:spacing w:after="0" w:line="360" w:lineRule="auto"/>
        <w:jc w:val="both"/>
      </w:pPr>
      <w:r>
        <w:t xml:space="preserve">Other issues </w:t>
      </w:r>
      <w:r w:rsidR="008C2701">
        <w:t>that HR should consider about flexible working are:</w:t>
      </w:r>
    </w:p>
    <w:p w14:paraId="287A8593" w14:textId="7D3FF651" w:rsidR="0068073F" w:rsidRDefault="0068073F" w:rsidP="008C2701">
      <w:pPr>
        <w:pStyle w:val="ListParagraph"/>
        <w:numPr>
          <w:ilvl w:val="0"/>
          <w:numId w:val="36"/>
        </w:numPr>
        <w:spacing w:after="0" w:line="360" w:lineRule="auto"/>
        <w:jc w:val="both"/>
      </w:pPr>
      <w:r>
        <w:t>Workers who thrive in an office environment and do not share the same schedules as their colleagues should not be given the option of flexible working hours. Because of their busy schedules, they are not as likely to take the initiative or choose to perform the task. Fast-paced employment may not be appealing to everyone</w:t>
      </w:r>
      <w:r w:rsidR="00D26CA9">
        <w:t xml:space="preserve"> </w:t>
      </w:r>
      <w:sdt>
        <w:sdtPr>
          <w:id w:val="1847594373"/>
          <w:citation/>
        </w:sdtPr>
        <w:sdtContent>
          <w:r w:rsidR="00D26CA9">
            <w:fldChar w:fldCharType="begin"/>
          </w:r>
          <w:r w:rsidR="00D26CA9">
            <w:instrText xml:space="preserve"> CITATION Des08 \l 2057 </w:instrText>
          </w:r>
          <w:r w:rsidR="00D26CA9">
            <w:fldChar w:fldCharType="separate"/>
          </w:r>
          <w:r w:rsidR="00D26CA9" w:rsidRPr="00D26CA9">
            <w:rPr>
              <w:noProof/>
            </w:rPr>
            <w:t>(Dessler, 2008)</w:t>
          </w:r>
          <w:r w:rsidR="00D26CA9">
            <w:fldChar w:fldCharType="end"/>
          </w:r>
        </w:sdtContent>
      </w:sdt>
      <w:r>
        <w:t>.</w:t>
      </w:r>
    </w:p>
    <w:p w14:paraId="180A6E8C" w14:textId="2B8B9E98" w:rsidR="0068073F" w:rsidRDefault="0068073F" w:rsidP="008C2701">
      <w:pPr>
        <w:pStyle w:val="ListParagraph"/>
        <w:numPr>
          <w:ilvl w:val="0"/>
          <w:numId w:val="36"/>
        </w:numPr>
        <w:spacing w:after="0" w:line="360" w:lineRule="auto"/>
        <w:jc w:val="both"/>
      </w:pPr>
      <w:r>
        <w:t>Working from home and unwinding is an option for some people who have flexible work schedules. Having enjoyment while getting the task done is an important part of the process. This might cause the individual to become distracted and make mistakes when they are trying to finish their task.</w:t>
      </w:r>
    </w:p>
    <w:p w14:paraId="1E7BA74B" w14:textId="12826955" w:rsidR="0068073F" w:rsidRDefault="0068073F" w:rsidP="008C2701">
      <w:pPr>
        <w:pStyle w:val="ListParagraph"/>
        <w:numPr>
          <w:ilvl w:val="0"/>
          <w:numId w:val="36"/>
        </w:numPr>
        <w:spacing w:after="0" w:line="360" w:lineRule="auto"/>
        <w:jc w:val="both"/>
      </w:pPr>
      <w:r>
        <w:t xml:space="preserve">If you are a manager who manages by watching your staff all day and then watching them leave home, you may have trouble adjusting to a sudden shift in work culture. This demands a lot of confidence inside the firm for </w:t>
      </w:r>
      <w:r w:rsidR="008C2701">
        <w:t>its employees</w:t>
      </w:r>
      <w:r>
        <w:t>. Therefore, such a relationship is founded purely on faith, because the employer does not observe how much work his people accomplish every day.</w:t>
      </w:r>
    </w:p>
    <w:p w14:paraId="53321600" w14:textId="7F7E99D5" w:rsidR="0068073F" w:rsidRDefault="0068073F" w:rsidP="008C2701">
      <w:pPr>
        <w:pStyle w:val="ListParagraph"/>
        <w:numPr>
          <w:ilvl w:val="0"/>
          <w:numId w:val="36"/>
        </w:numPr>
        <w:spacing w:after="0" w:line="360" w:lineRule="auto"/>
        <w:jc w:val="both"/>
      </w:pPr>
      <w:r>
        <w:t>Office-oriented and fixed-time professionals frequently regard their flexible co-workers as sluggish and indolent since they can't watch their job and outcomes. This might cause some friction between the opposing camps.</w:t>
      </w:r>
    </w:p>
    <w:p w14:paraId="0C46344D" w14:textId="6F7CEE36" w:rsidR="0068073F" w:rsidRDefault="0068073F" w:rsidP="008C2701">
      <w:pPr>
        <w:pStyle w:val="ListParagraph"/>
        <w:numPr>
          <w:ilvl w:val="0"/>
          <w:numId w:val="36"/>
        </w:numPr>
        <w:spacing w:after="0" w:line="360" w:lineRule="auto"/>
        <w:jc w:val="both"/>
      </w:pPr>
      <w:r>
        <w:t xml:space="preserve">When you work from home, the general public has the impression that you are not actually working. It might lead to misunderstandings with your loved ones, neighbours, and other acquaintances. </w:t>
      </w:r>
      <w:r w:rsidR="008C2701">
        <w:t xml:space="preserve">The employee working from home should </w:t>
      </w:r>
      <w:r>
        <w:t xml:space="preserve">explain to them clearly what type of work </w:t>
      </w:r>
      <w:r w:rsidR="008C2701">
        <w:t xml:space="preserve">they </w:t>
      </w:r>
      <w:r>
        <w:t>do and explain to them what flexible working is.</w:t>
      </w:r>
    </w:p>
    <w:p w14:paraId="4ECAD278" w14:textId="14AB6032" w:rsidR="0068073F" w:rsidRDefault="0068073F" w:rsidP="008C2701">
      <w:pPr>
        <w:pStyle w:val="ListParagraph"/>
        <w:numPr>
          <w:ilvl w:val="0"/>
          <w:numId w:val="36"/>
        </w:numPr>
        <w:spacing w:after="0" w:line="360" w:lineRule="auto"/>
        <w:jc w:val="both"/>
      </w:pPr>
      <w:r>
        <w:lastRenderedPageBreak/>
        <w:t xml:space="preserve">There is no clear divide between work and home. When </w:t>
      </w:r>
      <w:r w:rsidR="008C2701">
        <w:t xml:space="preserve">one </w:t>
      </w:r>
      <w:r>
        <w:t>adjust</w:t>
      </w:r>
      <w:r w:rsidR="008C2701">
        <w:t>s</w:t>
      </w:r>
      <w:r>
        <w:t xml:space="preserve"> </w:t>
      </w:r>
      <w:r w:rsidR="008C2701">
        <w:t xml:space="preserve">the </w:t>
      </w:r>
      <w:r>
        <w:t xml:space="preserve">work schedule, </w:t>
      </w:r>
      <w:r w:rsidR="008C2701">
        <w:t xml:space="preserve">their </w:t>
      </w:r>
      <w:r>
        <w:t xml:space="preserve">supervisors and managers can likewise do the same. This suggests that if </w:t>
      </w:r>
      <w:r w:rsidR="008C2701">
        <w:t xml:space="preserve">one </w:t>
      </w:r>
      <w:r>
        <w:t>adjust</w:t>
      </w:r>
      <w:r w:rsidR="008C2701">
        <w:t>s</w:t>
      </w:r>
      <w:r>
        <w:t xml:space="preserve"> </w:t>
      </w:r>
      <w:r w:rsidR="008C2701">
        <w:t xml:space="preserve">his/her </w:t>
      </w:r>
      <w:r>
        <w:t xml:space="preserve">work schedule for a personal event, </w:t>
      </w:r>
      <w:r w:rsidR="008C2701">
        <w:t xml:space="preserve">their </w:t>
      </w:r>
      <w:r>
        <w:t xml:space="preserve">boss won't feel guilty phoning </w:t>
      </w:r>
      <w:r w:rsidR="008C2701">
        <w:t xml:space="preserve">them </w:t>
      </w:r>
      <w:r>
        <w:t xml:space="preserve">late at night to speak business. Both sides benefit from a work environment that is flexible to change. Managers and supervisors are also workers of the </w:t>
      </w:r>
      <w:r w:rsidR="008C2701">
        <w:t>firm;</w:t>
      </w:r>
      <w:r>
        <w:t xml:space="preserve"> </w:t>
      </w:r>
      <w:proofErr w:type="gramStart"/>
      <w:r>
        <w:t>thus</w:t>
      </w:r>
      <w:proofErr w:type="gramEnd"/>
      <w:r>
        <w:t xml:space="preserve"> they can also follow flexible working hours.</w:t>
      </w:r>
    </w:p>
    <w:p w14:paraId="3EB4A0C6" w14:textId="77777777" w:rsidR="008C2701" w:rsidRDefault="0068073F" w:rsidP="00A53E7C">
      <w:pPr>
        <w:pStyle w:val="ListParagraph"/>
        <w:numPr>
          <w:ilvl w:val="0"/>
          <w:numId w:val="36"/>
        </w:numPr>
        <w:spacing w:after="0" w:line="360" w:lineRule="auto"/>
        <w:jc w:val="both"/>
      </w:pPr>
      <w:r>
        <w:t>This sort of work</w:t>
      </w:r>
      <w:r w:rsidR="008C2701">
        <w:t xml:space="preserve">ing hour strategy </w:t>
      </w:r>
      <w:r>
        <w:t>is a big downside in team-oriented firms, where timely conferences and meetings are needed to discuss future projects and other developments.</w:t>
      </w:r>
    </w:p>
    <w:p w14:paraId="6F6E2C45" w14:textId="2EF62C2A" w:rsidR="0068073F" w:rsidRDefault="0068073F" w:rsidP="00A53E7C">
      <w:pPr>
        <w:pStyle w:val="ListParagraph"/>
        <w:numPr>
          <w:ilvl w:val="0"/>
          <w:numId w:val="36"/>
        </w:numPr>
        <w:spacing w:after="0" w:line="360" w:lineRule="auto"/>
        <w:jc w:val="both"/>
      </w:pPr>
      <w:r>
        <w:t xml:space="preserve">Compressed working hours may not be perceived favourably by outsiders as a benefit to employees. Customers who overlook such a </w:t>
      </w:r>
      <w:r w:rsidR="008C2701">
        <w:t xml:space="preserve">strategy within the </w:t>
      </w:r>
      <w:r>
        <w:t>culture</w:t>
      </w:r>
      <w:r w:rsidR="008C2701">
        <w:t xml:space="preserve"> of the company</w:t>
      </w:r>
      <w:r>
        <w:t xml:space="preserve">, while seeing that the employee is not there, will convey a poor view about the </w:t>
      </w:r>
      <w:r w:rsidR="008C2701">
        <w:t>employee and the business</w:t>
      </w:r>
      <w:r>
        <w:t>. Customers expect workers to be there five days a week during peak hours and feel irritated when the employee is not present on a given day.</w:t>
      </w:r>
    </w:p>
    <w:p w14:paraId="0C9E87AF" w14:textId="54BA8C97" w:rsidR="0068073F" w:rsidRDefault="0068073F" w:rsidP="008C2701">
      <w:pPr>
        <w:pStyle w:val="ListParagraph"/>
        <w:numPr>
          <w:ilvl w:val="0"/>
          <w:numId w:val="36"/>
        </w:numPr>
        <w:spacing w:after="0" w:line="360" w:lineRule="auto"/>
        <w:jc w:val="both"/>
      </w:pPr>
      <w:r>
        <w:t>Different employees may react differently to a compressed work schedule. Either people feel better at home and are more productive, or they slow down and increase the quantity of incomplete and pending work.</w:t>
      </w:r>
    </w:p>
    <w:p w14:paraId="4F2CD697" w14:textId="6D334B17" w:rsidR="0068073F" w:rsidRDefault="0068073F" w:rsidP="008C2701">
      <w:pPr>
        <w:pStyle w:val="ListParagraph"/>
        <w:numPr>
          <w:ilvl w:val="0"/>
          <w:numId w:val="36"/>
        </w:numPr>
        <w:spacing w:after="0" w:line="360" w:lineRule="auto"/>
        <w:jc w:val="both"/>
      </w:pPr>
      <w:r>
        <w:t>Employees' stress levels may rise as a result of working shorter hours. This is due to the fact that employees put in long hours and often work overtime in order to earn their spare time. This might result in rushed output that is unsatisfactory to the business.</w:t>
      </w:r>
    </w:p>
    <w:p w14:paraId="0835AFB4" w14:textId="3BC503F6" w:rsidR="00345324" w:rsidRDefault="00345324" w:rsidP="00112787">
      <w:pPr>
        <w:spacing w:after="0" w:line="360" w:lineRule="auto"/>
        <w:jc w:val="both"/>
        <w:rPr>
          <w:b/>
        </w:rPr>
      </w:pPr>
    </w:p>
    <w:p w14:paraId="0BB7E9DE" w14:textId="02F3A55A" w:rsidR="00E51715" w:rsidRDefault="00E51715" w:rsidP="00E51715">
      <w:pPr>
        <w:pStyle w:val="Heading1"/>
        <w:spacing w:before="0" w:line="360" w:lineRule="auto"/>
        <w:rPr>
          <w:rFonts w:ascii="Arial" w:hAnsi="Arial" w:cs="Arial"/>
          <w:color w:val="auto"/>
          <w:sz w:val="32"/>
          <w:szCs w:val="32"/>
        </w:rPr>
      </w:pPr>
      <w:bookmarkStart w:id="4" w:name="_Toc102751952"/>
      <w:r>
        <w:rPr>
          <w:rFonts w:ascii="Arial" w:hAnsi="Arial" w:cs="Arial"/>
          <w:color w:val="auto"/>
          <w:sz w:val="32"/>
          <w:szCs w:val="32"/>
        </w:rPr>
        <w:t>Conclusion</w:t>
      </w:r>
      <w:bookmarkEnd w:id="4"/>
    </w:p>
    <w:p w14:paraId="29939110" w14:textId="77777777" w:rsidR="00E51715" w:rsidRDefault="00E51715" w:rsidP="00E51715">
      <w:pPr>
        <w:spacing w:after="0" w:line="360" w:lineRule="auto"/>
        <w:jc w:val="both"/>
      </w:pPr>
    </w:p>
    <w:p w14:paraId="3B9E4C6D" w14:textId="77777777" w:rsidR="0068073F" w:rsidRPr="0068073F" w:rsidRDefault="0068073F" w:rsidP="0068073F">
      <w:pPr>
        <w:spacing w:after="0" w:line="360" w:lineRule="auto"/>
        <w:jc w:val="both"/>
      </w:pPr>
      <w:r w:rsidRPr="0068073F">
        <w:t>For particular groups of persons, the capacity to work flexibly is vital. Many women, older employees, single parents and those with physical impairments or mental health concerns can only work if they can find part-time or flexible work. In the end, people may find themselves stuck in low-paying occupations or unable to obtain employment at all.</w:t>
      </w:r>
    </w:p>
    <w:p w14:paraId="2C6A8A1A" w14:textId="5E76B189" w:rsidR="0068073F" w:rsidRPr="0068073F" w:rsidRDefault="0068073F" w:rsidP="0068073F">
      <w:pPr>
        <w:spacing w:after="0" w:line="360" w:lineRule="auto"/>
        <w:jc w:val="both"/>
      </w:pPr>
      <w:r w:rsidRPr="0068073F">
        <w:t xml:space="preserve">Most organisations have inclusion and diversity goals, and growing the engagement of groups like these can help accomplish them. But it's not just about hitting a magic </w:t>
      </w:r>
      <w:r w:rsidRPr="0068073F">
        <w:lastRenderedPageBreak/>
        <w:t xml:space="preserve">number. The benefits of having a team that reflects the business are widely established and forward-thinking </w:t>
      </w:r>
      <w:r w:rsidR="008C2701">
        <w:t>companies</w:t>
      </w:r>
      <w:r w:rsidRPr="0068073F">
        <w:t xml:space="preserve"> take it seriously</w:t>
      </w:r>
      <w:r w:rsidR="00D26CA9">
        <w:t xml:space="preserve"> </w:t>
      </w:r>
      <w:sdt>
        <w:sdtPr>
          <w:id w:val="915593134"/>
          <w:citation/>
        </w:sdtPr>
        <w:sdtContent>
          <w:r w:rsidR="00D26CA9">
            <w:fldChar w:fldCharType="begin"/>
          </w:r>
          <w:r w:rsidR="00D26CA9">
            <w:instrText xml:space="preserve"> CITATION Arm14 \l 2057 </w:instrText>
          </w:r>
          <w:r w:rsidR="00D26CA9">
            <w:fldChar w:fldCharType="separate"/>
          </w:r>
          <w:r w:rsidR="00D26CA9" w:rsidRPr="00D26CA9">
            <w:rPr>
              <w:noProof/>
            </w:rPr>
            <w:t>(Armstrong &amp; Taylor, 2020)</w:t>
          </w:r>
          <w:r w:rsidR="00D26CA9">
            <w:fldChar w:fldCharType="end"/>
          </w:r>
        </w:sdtContent>
      </w:sdt>
      <w:r w:rsidRPr="0068073F">
        <w:t>.</w:t>
      </w:r>
    </w:p>
    <w:p w14:paraId="2A196BFA" w14:textId="66A23E9C" w:rsidR="0068073F" w:rsidRDefault="0068073F" w:rsidP="0068073F">
      <w:pPr>
        <w:spacing w:after="0" w:line="360" w:lineRule="auto"/>
        <w:jc w:val="both"/>
      </w:pPr>
      <w:r w:rsidRPr="0068073F">
        <w:t xml:space="preserve">Any </w:t>
      </w:r>
      <w:r w:rsidR="008C2701">
        <w:t>business</w:t>
      </w:r>
      <w:r w:rsidRPr="0068073F">
        <w:t xml:space="preserve"> has to establish flexible jobs that fit a broad variety of staff employees. They need to be honest about this while recruiting, in order to attract applicants from a more varied skill pool. And they also need to make sure jobs are available across the organisation, so their flexible workers can climb to the top.</w:t>
      </w:r>
    </w:p>
    <w:p w14:paraId="1DE0456A" w14:textId="77777777" w:rsidR="0068073F" w:rsidRDefault="0068073F" w:rsidP="0068073F">
      <w:pPr>
        <w:spacing w:after="0" w:line="360" w:lineRule="auto"/>
        <w:jc w:val="both"/>
      </w:pPr>
      <w:r>
        <w:t>Finally, a work environment that is flexible to the demands of the business must be created. This gives benefits to the firm in terms of strategic workforce planning and implementation. This sort of employment is also a terrific strategy to recruit new workers and bright people to join the firm. This has the potential to alleviate labour shortages around the world.</w:t>
      </w:r>
    </w:p>
    <w:p w14:paraId="393ABADF" w14:textId="1DB507D5" w:rsidR="0068073F" w:rsidRDefault="0068073F" w:rsidP="0068073F">
      <w:pPr>
        <w:spacing w:after="0" w:line="360" w:lineRule="auto"/>
        <w:jc w:val="both"/>
      </w:pPr>
      <w:r>
        <w:t xml:space="preserve">A flexible employment contract that benefits the firm now </w:t>
      </w:r>
      <w:r w:rsidR="008C2701">
        <w:t>and, in the future,</w:t>
      </w:r>
      <w:r>
        <w:t xml:space="preserve"> may be formed by integrating the knowledge and expertise of older and senior staff. Employing flexible working hours may truly make the younger generation more engaged in work and can also offer them ample time to explore and go into other interests like sports, music, etc</w:t>
      </w:r>
    </w:p>
    <w:p w14:paraId="2842F5E9" w14:textId="667A1DC8" w:rsidR="0068073F" w:rsidRPr="0068073F" w:rsidRDefault="0068073F" w:rsidP="0068073F">
      <w:pPr>
        <w:spacing w:after="0" w:line="360" w:lineRule="auto"/>
        <w:jc w:val="both"/>
      </w:pPr>
      <w:r>
        <w:t>Flexible working hours might also be the finest chance to integrate new and improved ways inside the firm. Employees at all levels of an organisation can benefit from having more flexible work schedules.</w:t>
      </w:r>
    </w:p>
    <w:p w14:paraId="7652F299" w14:textId="77777777" w:rsidR="00E51715" w:rsidRDefault="00E51715" w:rsidP="00E51715">
      <w:pPr>
        <w:spacing w:after="0" w:line="360" w:lineRule="auto"/>
        <w:jc w:val="both"/>
        <w:rPr>
          <w:b/>
        </w:rPr>
      </w:pPr>
    </w:p>
    <w:p w14:paraId="00878430" w14:textId="69E6D95C" w:rsidR="00345324" w:rsidRDefault="00345324" w:rsidP="00112787">
      <w:pPr>
        <w:spacing w:after="0" w:line="360" w:lineRule="auto"/>
        <w:jc w:val="both"/>
        <w:rPr>
          <w:b/>
        </w:rPr>
      </w:pPr>
    </w:p>
    <w:p w14:paraId="582D99E7" w14:textId="68762568" w:rsidR="00345324" w:rsidRDefault="00345324" w:rsidP="00112787">
      <w:pPr>
        <w:spacing w:after="0" w:line="360" w:lineRule="auto"/>
        <w:jc w:val="both"/>
        <w:rPr>
          <w:b/>
        </w:rPr>
      </w:pPr>
    </w:p>
    <w:p w14:paraId="1785F59A" w14:textId="092BE13A" w:rsidR="00345324" w:rsidRDefault="00345324" w:rsidP="00112787">
      <w:pPr>
        <w:spacing w:after="0" w:line="360" w:lineRule="auto"/>
        <w:jc w:val="both"/>
        <w:rPr>
          <w:b/>
        </w:rPr>
      </w:pPr>
    </w:p>
    <w:p w14:paraId="736C1E19" w14:textId="15CB8F7C" w:rsidR="00345324" w:rsidRDefault="00345324" w:rsidP="00112787">
      <w:pPr>
        <w:spacing w:after="0" w:line="360" w:lineRule="auto"/>
        <w:jc w:val="both"/>
        <w:rPr>
          <w:b/>
        </w:rPr>
      </w:pPr>
    </w:p>
    <w:p w14:paraId="021CB5A6" w14:textId="47DD62A6" w:rsidR="00B419F3" w:rsidRDefault="00B419F3" w:rsidP="00B419F3">
      <w:pPr>
        <w:spacing w:after="0" w:line="360" w:lineRule="auto"/>
        <w:jc w:val="center"/>
      </w:pPr>
    </w:p>
    <w:p w14:paraId="131E5B31" w14:textId="0E9D14F6" w:rsidR="00D26CA9" w:rsidRDefault="00D26CA9" w:rsidP="00B419F3">
      <w:pPr>
        <w:spacing w:after="0" w:line="360" w:lineRule="auto"/>
        <w:jc w:val="center"/>
      </w:pPr>
    </w:p>
    <w:p w14:paraId="3B39D0A6" w14:textId="34063B62" w:rsidR="00D26CA9" w:rsidRDefault="00D26CA9" w:rsidP="00B419F3">
      <w:pPr>
        <w:spacing w:after="0" w:line="360" w:lineRule="auto"/>
        <w:jc w:val="center"/>
      </w:pPr>
    </w:p>
    <w:p w14:paraId="6E20F897" w14:textId="01ED9878" w:rsidR="00D26CA9" w:rsidRDefault="00D26CA9" w:rsidP="00B419F3">
      <w:pPr>
        <w:spacing w:after="0" w:line="360" w:lineRule="auto"/>
        <w:jc w:val="center"/>
      </w:pPr>
    </w:p>
    <w:p w14:paraId="12FEDE62" w14:textId="77777777" w:rsidR="00D26CA9" w:rsidRDefault="00D26CA9" w:rsidP="00B419F3">
      <w:pPr>
        <w:spacing w:after="0" w:line="360" w:lineRule="auto"/>
        <w:jc w:val="center"/>
      </w:pPr>
    </w:p>
    <w:p w14:paraId="362715FA" w14:textId="77777777" w:rsidR="00696212" w:rsidRDefault="00696212" w:rsidP="00B419F3">
      <w:pPr>
        <w:spacing w:after="0" w:line="360" w:lineRule="auto"/>
        <w:jc w:val="center"/>
      </w:pPr>
    </w:p>
    <w:p w14:paraId="54F47267" w14:textId="77777777" w:rsidR="00624A16" w:rsidRDefault="00624A16" w:rsidP="00B419F3">
      <w:pPr>
        <w:spacing w:after="0" w:line="360" w:lineRule="auto"/>
        <w:jc w:val="center"/>
      </w:pPr>
    </w:p>
    <w:bookmarkStart w:id="5" w:name="_Toc102751953" w:displacedByCustomXml="next"/>
    <w:sdt>
      <w:sdtPr>
        <w:rPr>
          <w:rFonts w:ascii="Arial" w:eastAsiaTheme="minorHAnsi" w:hAnsi="Arial" w:cs="Arial"/>
          <w:b w:val="0"/>
          <w:bCs w:val="0"/>
          <w:color w:val="auto"/>
          <w:sz w:val="24"/>
          <w:szCs w:val="24"/>
        </w:rPr>
        <w:id w:val="1082874653"/>
        <w:docPartObj>
          <w:docPartGallery w:val="Bibliographies"/>
          <w:docPartUnique/>
        </w:docPartObj>
      </w:sdtPr>
      <w:sdtEnd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5"/>
        </w:p>
        <w:p w14:paraId="400F98C1" w14:textId="77777777" w:rsidR="002B067C" w:rsidRPr="009433EF" w:rsidRDefault="002B067C" w:rsidP="002B067C"/>
        <w:sdt>
          <w:sdtPr>
            <w:id w:val="-573587230"/>
            <w:bibliography/>
          </w:sdtPr>
          <w:sdtEndPr/>
          <w:sdtContent>
            <w:p w14:paraId="2A61EFBB" w14:textId="77777777" w:rsidR="00D26CA9" w:rsidRDefault="008252C7" w:rsidP="00D26CA9">
              <w:pPr>
                <w:pStyle w:val="Bibliography"/>
                <w:rPr>
                  <w:noProof/>
                </w:rPr>
              </w:pPr>
              <w:r w:rsidRPr="00F806FB">
                <w:fldChar w:fldCharType="begin"/>
              </w:r>
              <w:r w:rsidRPr="00F806FB">
                <w:instrText xml:space="preserve"> BIBLIOGRAPHY </w:instrText>
              </w:r>
              <w:r w:rsidRPr="00F806FB">
                <w:fldChar w:fldCharType="separate"/>
              </w:r>
              <w:r w:rsidR="00D26CA9">
                <w:rPr>
                  <w:noProof/>
                </w:rPr>
                <w:t xml:space="preserve">Armstrong, M. &amp; Taylor, S., 2020. </w:t>
              </w:r>
              <w:r w:rsidR="00D26CA9">
                <w:rPr>
                  <w:i/>
                  <w:iCs/>
                  <w:noProof/>
                </w:rPr>
                <w:t xml:space="preserve">Armstrong's handbook of human resource management practice. </w:t>
              </w:r>
              <w:r w:rsidR="00D26CA9">
                <w:rPr>
                  <w:noProof/>
                </w:rPr>
                <w:t>15th ed. London: Kogan Page Publishers.</w:t>
              </w:r>
            </w:p>
            <w:p w14:paraId="0A369807" w14:textId="77777777" w:rsidR="00D26CA9" w:rsidRDefault="00D26CA9" w:rsidP="00D26CA9">
              <w:pPr>
                <w:pStyle w:val="Bibliography"/>
                <w:rPr>
                  <w:noProof/>
                </w:rPr>
              </w:pPr>
              <w:r>
                <w:rPr>
                  <w:noProof/>
                </w:rPr>
                <w:t xml:space="preserve">Brewster, C., Sparrow, P., Vernon, G. &amp; Houldsworth, E., 2016. </w:t>
              </w:r>
              <w:r>
                <w:rPr>
                  <w:i/>
                  <w:iCs/>
                  <w:noProof/>
                </w:rPr>
                <w:t xml:space="preserve">International Human Resource Management. </w:t>
              </w:r>
              <w:r>
                <w:rPr>
                  <w:noProof/>
                </w:rPr>
                <w:t>4th ed. London : CIPD.</w:t>
              </w:r>
            </w:p>
            <w:p w14:paraId="6B72F5C5" w14:textId="77777777" w:rsidR="00D26CA9" w:rsidRDefault="00D26CA9" w:rsidP="00D26CA9">
              <w:pPr>
                <w:pStyle w:val="Bibliography"/>
                <w:rPr>
                  <w:noProof/>
                </w:rPr>
              </w:pPr>
              <w:r>
                <w:rPr>
                  <w:noProof/>
                </w:rPr>
                <w:t xml:space="preserve">Caldwell, C. &amp; Anderson, V., 2018. </w:t>
              </w:r>
              <w:r>
                <w:rPr>
                  <w:i/>
                  <w:iCs/>
                  <w:noProof/>
                </w:rPr>
                <w:t xml:space="preserve">Strategic Human Resource Management. </w:t>
              </w:r>
              <w:r>
                <w:rPr>
                  <w:noProof/>
                </w:rPr>
                <w:t>New York: Nove Science Publishers.</w:t>
              </w:r>
            </w:p>
            <w:p w14:paraId="344B6D5E" w14:textId="77777777" w:rsidR="00D26CA9" w:rsidRDefault="00D26CA9" w:rsidP="00D26CA9">
              <w:pPr>
                <w:pStyle w:val="Bibliography"/>
                <w:rPr>
                  <w:noProof/>
                </w:rPr>
              </w:pPr>
              <w:r>
                <w:rPr>
                  <w:noProof/>
                </w:rPr>
                <w:t xml:space="preserve">CIPD, 2022. </w:t>
              </w:r>
              <w:r>
                <w:rPr>
                  <w:i/>
                  <w:iCs/>
                  <w:noProof/>
                </w:rPr>
                <w:t xml:space="preserve">Chartered Institute of Personnel and Development. </w:t>
              </w:r>
              <w:r>
                <w:rPr>
                  <w:noProof/>
                </w:rPr>
                <w:t xml:space="preserve">[Online] </w:t>
              </w:r>
              <w:r>
                <w:rPr>
                  <w:noProof/>
                </w:rPr>
                <w:br/>
                <w:t xml:space="preserve">Available at: </w:t>
              </w:r>
              <w:r>
                <w:rPr>
                  <w:noProof/>
                  <w:u w:val="single"/>
                </w:rPr>
                <w:t>https://www.cipd.co.uk</w:t>
              </w:r>
              <w:r>
                <w:rPr>
                  <w:noProof/>
                </w:rPr>
                <w:br/>
                <w:t>[Accessed 15 03 2022].</w:t>
              </w:r>
            </w:p>
            <w:p w14:paraId="4CAF9114" w14:textId="77777777" w:rsidR="00D26CA9" w:rsidRDefault="00D26CA9" w:rsidP="00D26CA9">
              <w:pPr>
                <w:pStyle w:val="Bibliography"/>
                <w:rPr>
                  <w:noProof/>
                </w:rPr>
              </w:pPr>
              <w:r>
                <w:rPr>
                  <w:noProof/>
                </w:rPr>
                <w:t xml:space="preserve">Dessler, G., 2008. </w:t>
              </w:r>
              <w:r>
                <w:rPr>
                  <w:i/>
                  <w:iCs/>
                  <w:noProof/>
                </w:rPr>
                <w:t xml:space="preserve">Human resource management. </w:t>
              </w:r>
              <w:r>
                <w:rPr>
                  <w:noProof/>
                </w:rPr>
                <w:t>11th ed. Upper Saddle River, NJ: Pearson, Prentice Hall.</w:t>
              </w:r>
            </w:p>
            <w:p w14:paraId="065D959E" w14:textId="77777777" w:rsidR="00D26CA9" w:rsidRDefault="00D26CA9" w:rsidP="00D26CA9">
              <w:pPr>
                <w:pStyle w:val="Bibliography"/>
                <w:rPr>
                  <w:noProof/>
                </w:rPr>
              </w:pPr>
              <w:r>
                <w:rPr>
                  <w:noProof/>
                </w:rPr>
                <w:t xml:space="preserve">Hook, C. &amp; Jenkins, A., 2019. </w:t>
              </w:r>
              <w:r>
                <w:rPr>
                  <w:i/>
                  <w:iCs/>
                  <w:noProof/>
                </w:rPr>
                <w:t xml:space="preserve">Introducing Human Resource Management. </w:t>
              </w:r>
              <w:r>
                <w:rPr>
                  <w:noProof/>
                </w:rPr>
                <w:t>8th ed. Harlow: Perason Education Ltd..</w:t>
              </w:r>
            </w:p>
            <w:p w14:paraId="4F4190B6" w14:textId="77777777" w:rsidR="00D26CA9" w:rsidRDefault="00D26CA9" w:rsidP="00D26CA9">
              <w:pPr>
                <w:pStyle w:val="Bibliography"/>
                <w:rPr>
                  <w:noProof/>
                </w:rPr>
              </w:pPr>
              <w:r>
                <w:rPr>
                  <w:noProof/>
                </w:rPr>
                <w:t xml:space="preserve">Mankin, D., 2009. </w:t>
              </w:r>
              <w:r>
                <w:rPr>
                  <w:i/>
                  <w:iCs/>
                  <w:noProof/>
                </w:rPr>
                <w:t xml:space="preserve">Human Resource Development. </w:t>
              </w:r>
              <w:r>
                <w:rPr>
                  <w:noProof/>
                </w:rPr>
                <w:t>Oxford: Oxford University Press.</w:t>
              </w:r>
            </w:p>
            <w:p w14:paraId="21596671" w14:textId="77777777" w:rsidR="00D26CA9" w:rsidRDefault="00D26CA9" w:rsidP="00D26CA9">
              <w:pPr>
                <w:pStyle w:val="Bibliography"/>
                <w:rPr>
                  <w:noProof/>
                </w:rPr>
              </w:pPr>
              <w:r>
                <w:rPr>
                  <w:noProof/>
                </w:rPr>
                <w:t xml:space="preserve">Saari, L. M. &amp; Judge, T. A., 2004. Employee attitudes and job satisfaction. </w:t>
              </w:r>
              <w:r>
                <w:rPr>
                  <w:i/>
                  <w:iCs/>
                  <w:noProof/>
                </w:rPr>
                <w:t xml:space="preserve">Human Resource Management, </w:t>
              </w:r>
              <w:r>
                <w:rPr>
                  <w:noProof/>
                </w:rPr>
                <w:t>43(4), pp. 390-410.</w:t>
              </w:r>
            </w:p>
            <w:p w14:paraId="7DBBCC19" w14:textId="77777777" w:rsidR="00D26CA9" w:rsidRDefault="00D26CA9" w:rsidP="00D26CA9">
              <w:pPr>
                <w:pStyle w:val="Bibliography"/>
                <w:rPr>
                  <w:noProof/>
                </w:rPr>
              </w:pPr>
              <w:r>
                <w:rPr>
                  <w:noProof/>
                </w:rPr>
                <w:t xml:space="preserve">Sparrow, P., Brewster, C. &amp; Chung, C., 2016. </w:t>
              </w:r>
              <w:r>
                <w:rPr>
                  <w:i/>
                  <w:iCs/>
                  <w:noProof/>
                </w:rPr>
                <w:t xml:space="preserve">Globalizing human resource management. </w:t>
              </w:r>
              <w:r>
                <w:rPr>
                  <w:noProof/>
                </w:rPr>
                <w:t>s.l.:Routledge.</w:t>
              </w:r>
            </w:p>
            <w:p w14:paraId="2891CD20" w14:textId="77777777" w:rsidR="00D26CA9" w:rsidRDefault="00D26CA9" w:rsidP="00D26CA9">
              <w:pPr>
                <w:pStyle w:val="Bibliography"/>
                <w:rPr>
                  <w:noProof/>
                </w:rPr>
              </w:pPr>
              <w:r>
                <w:rPr>
                  <w:noProof/>
                </w:rPr>
                <w:t xml:space="preserve">Storey, J., 2014. </w:t>
              </w:r>
              <w:r>
                <w:rPr>
                  <w:i/>
                  <w:iCs/>
                  <w:noProof/>
                </w:rPr>
                <w:t xml:space="preserve">New Perspectives on Human Resource Management. </w:t>
              </w:r>
              <w:r>
                <w:rPr>
                  <w:noProof/>
                </w:rPr>
                <w:t>s.l.:Routledge.</w:t>
              </w:r>
            </w:p>
            <w:p w14:paraId="7C7709C8" w14:textId="77777777" w:rsidR="00D26CA9" w:rsidRDefault="00D26CA9" w:rsidP="00D26CA9">
              <w:pPr>
                <w:pStyle w:val="Bibliography"/>
                <w:rPr>
                  <w:noProof/>
                </w:rPr>
              </w:pPr>
              <w:r>
                <w:rPr>
                  <w:noProof/>
                </w:rPr>
                <w:t xml:space="preserve">Swart, J., Mann, C., Brown, S. &amp; Price, A., 2015. </w:t>
              </w:r>
              <w:r>
                <w:rPr>
                  <w:i/>
                  <w:iCs/>
                  <w:noProof/>
                </w:rPr>
                <w:t xml:space="preserve">Human Resource Development: Strategy and Tactics. </w:t>
              </w:r>
              <w:r>
                <w:rPr>
                  <w:noProof/>
                </w:rPr>
                <w:t>London: Routledge.</w:t>
              </w:r>
            </w:p>
            <w:p w14:paraId="7DBF3098" w14:textId="77777777" w:rsidR="00D26CA9" w:rsidRDefault="00D26CA9" w:rsidP="00D26CA9">
              <w:pPr>
                <w:pStyle w:val="Bibliography"/>
                <w:rPr>
                  <w:noProof/>
                </w:rPr>
              </w:pPr>
              <w:r>
                <w:rPr>
                  <w:noProof/>
                </w:rPr>
                <w:t xml:space="preserve">Torrington, D., Hall, L., Atkinson, C. &amp; Taylor, S., 2018. </w:t>
              </w:r>
              <w:r>
                <w:rPr>
                  <w:i/>
                  <w:iCs/>
                  <w:noProof/>
                </w:rPr>
                <w:t xml:space="preserve">Human Resource Management. </w:t>
              </w:r>
              <w:r>
                <w:rPr>
                  <w:noProof/>
                </w:rPr>
                <w:t>10th ed. London: Pearson.</w:t>
              </w:r>
            </w:p>
            <w:p w14:paraId="2AB829A3" w14:textId="77777777" w:rsidR="00D26CA9" w:rsidRDefault="00D26CA9" w:rsidP="00D26CA9">
              <w:pPr>
                <w:pStyle w:val="Bibliography"/>
                <w:rPr>
                  <w:noProof/>
                </w:rPr>
              </w:pPr>
              <w:r>
                <w:rPr>
                  <w:noProof/>
                </w:rPr>
                <w:t xml:space="preserve">UK Government, 2010. </w:t>
              </w:r>
              <w:r>
                <w:rPr>
                  <w:i/>
                  <w:iCs/>
                  <w:noProof/>
                </w:rPr>
                <w:t xml:space="preserve">Equality Act 2010. </w:t>
              </w:r>
              <w:r>
                <w:rPr>
                  <w:noProof/>
                </w:rPr>
                <w:t xml:space="preserve">[Online] </w:t>
              </w:r>
              <w:r>
                <w:rPr>
                  <w:noProof/>
                </w:rPr>
                <w:br/>
                <w:t xml:space="preserve">Available at: </w:t>
              </w:r>
              <w:r>
                <w:rPr>
                  <w:noProof/>
                  <w:u w:val="single"/>
                </w:rPr>
                <w:t>https://www.legislation.gov.uk/ukpga/2010/15/contents</w:t>
              </w:r>
            </w:p>
            <w:p w14:paraId="762213C6" w14:textId="77777777" w:rsidR="00D26CA9" w:rsidRDefault="00D26CA9" w:rsidP="00D26CA9">
              <w:pPr>
                <w:pStyle w:val="Bibliography"/>
                <w:rPr>
                  <w:noProof/>
                </w:rPr>
              </w:pPr>
              <w:r>
                <w:rPr>
                  <w:noProof/>
                </w:rPr>
                <w:t xml:space="preserve">Working Families, 2022. </w:t>
              </w:r>
              <w:r>
                <w:rPr>
                  <w:i/>
                  <w:iCs/>
                  <w:noProof/>
                </w:rPr>
                <w:t xml:space="preserve">Working Families. </w:t>
              </w:r>
              <w:r>
                <w:rPr>
                  <w:noProof/>
                </w:rPr>
                <w:t xml:space="preserve">[Online] </w:t>
              </w:r>
              <w:r>
                <w:rPr>
                  <w:noProof/>
                </w:rPr>
                <w:br/>
                <w:t xml:space="preserve">Available at: </w:t>
              </w:r>
              <w:r>
                <w:rPr>
                  <w:noProof/>
                  <w:u w:val="single"/>
                </w:rPr>
                <w:t>https://workingfamilies.org.uk</w:t>
              </w:r>
              <w:r>
                <w:rPr>
                  <w:noProof/>
                </w:rPr>
                <w:br/>
                <w:t>[Accessed 01 06 2022].</w:t>
              </w:r>
            </w:p>
            <w:p w14:paraId="4C4B15BE" w14:textId="472AC2EF" w:rsidR="008252C7" w:rsidRPr="009439BF" w:rsidRDefault="008252C7" w:rsidP="00D26CA9">
              <w:r w:rsidRPr="00F806FB">
                <w:rPr>
                  <w:bCs/>
                  <w:noProof/>
                </w:rPr>
                <w:fldChar w:fldCharType="end"/>
              </w:r>
            </w:p>
          </w:sdtContent>
        </w:sdt>
      </w:sdtContent>
    </w:sdt>
    <w:p w14:paraId="0E931B3D" w14:textId="77777777" w:rsidR="005173FC" w:rsidRPr="00F8798D" w:rsidRDefault="005173FC" w:rsidP="008B24BF">
      <w:pPr>
        <w:spacing w:after="0" w:line="360" w:lineRule="auto"/>
        <w:jc w:val="both"/>
        <w:rPr>
          <w:bCs/>
          <w:sz w:val="28"/>
          <w:szCs w:val="28"/>
        </w:rPr>
      </w:pPr>
      <w:bookmarkStart w:id="6" w:name="_GoBack"/>
      <w:bookmarkEnd w:id="6"/>
    </w:p>
    <w:sectPr w:rsidR="005173FC" w:rsidRPr="00F8798D" w:rsidSect="00B52818">
      <w:headerReference w:type="default" r:id="rId9"/>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2CFBF" w14:textId="77777777" w:rsidR="00BF396D" w:rsidRDefault="00BF396D" w:rsidP="009909E0">
      <w:pPr>
        <w:spacing w:after="0" w:line="240" w:lineRule="auto"/>
      </w:pPr>
      <w:r>
        <w:separator/>
      </w:r>
    </w:p>
  </w:endnote>
  <w:endnote w:type="continuationSeparator" w:id="0">
    <w:p w14:paraId="0760473A" w14:textId="77777777" w:rsidR="00BF396D" w:rsidRDefault="00BF396D"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Mangal"/>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C62F61" w:rsidRDefault="00C62F6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C62F61" w:rsidRDefault="00C62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EAAFF" w14:textId="77777777" w:rsidR="00BF396D" w:rsidRDefault="00BF396D" w:rsidP="009909E0">
      <w:pPr>
        <w:spacing w:after="0" w:line="240" w:lineRule="auto"/>
      </w:pPr>
      <w:r>
        <w:separator/>
      </w:r>
    </w:p>
  </w:footnote>
  <w:footnote w:type="continuationSeparator" w:id="0">
    <w:p w14:paraId="0377E06E" w14:textId="77777777" w:rsidR="00BF396D" w:rsidRDefault="00BF396D"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7A7E8581" w:rsidR="00C62F61" w:rsidRPr="004A6745" w:rsidRDefault="00C62F61" w:rsidP="003266D6">
    <w:pPr>
      <w:pStyle w:val="Header"/>
    </w:pPr>
    <w:r w:rsidRPr="003266D6">
      <w:t>BA Business Management</w:t>
    </w:r>
    <w:r w:rsidRPr="003266D6">
      <w:tab/>
      <w:t>University of Wales</w:t>
    </w:r>
    <w:r w:rsidRPr="003266D6">
      <w:tab/>
    </w:r>
    <w:r w:rsidR="003F2487" w:rsidRPr="003F2487">
      <w:t>Managing People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653F"/>
    <w:multiLevelType w:val="hybridMultilevel"/>
    <w:tmpl w:val="6374C3CE"/>
    <w:lvl w:ilvl="0" w:tplc="3340708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74D93"/>
    <w:multiLevelType w:val="hybridMultilevel"/>
    <w:tmpl w:val="C25A759E"/>
    <w:lvl w:ilvl="0" w:tplc="F746BE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81DE4"/>
    <w:multiLevelType w:val="hybridMultilevel"/>
    <w:tmpl w:val="2872E4B6"/>
    <w:lvl w:ilvl="0" w:tplc="0F8490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76A5C"/>
    <w:multiLevelType w:val="hybridMultilevel"/>
    <w:tmpl w:val="4AC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D3C72"/>
    <w:multiLevelType w:val="hybridMultilevel"/>
    <w:tmpl w:val="011850AE"/>
    <w:lvl w:ilvl="0" w:tplc="9A7E3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15C91"/>
    <w:multiLevelType w:val="hybridMultilevel"/>
    <w:tmpl w:val="C9FA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607C5E"/>
    <w:multiLevelType w:val="hybridMultilevel"/>
    <w:tmpl w:val="5E1E2860"/>
    <w:lvl w:ilvl="0" w:tplc="948C699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230E6"/>
    <w:multiLevelType w:val="hybridMultilevel"/>
    <w:tmpl w:val="F7F872CC"/>
    <w:lvl w:ilvl="0" w:tplc="828826AC">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1" w15:restartNumberingAfterBreak="0">
    <w:nsid w:val="2D3803F0"/>
    <w:multiLevelType w:val="multilevel"/>
    <w:tmpl w:val="78C0D3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A77DAD"/>
    <w:multiLevelType w:val="hybridMultilevel"/>
    <w:tmpl w:val="8E9A228C"/>
    <w:lvl w:ilvl="0" w:tplc="00F404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A91721"/>
    <w:multiLevelType w:val="hybridMultilevel"/>
    <w:tmpl w:val="BF5A6CA0"/>
    <w:lvl w:ilvl="0" w:tplc="559CD15E">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A638C"/>
    <w:multiLevelType w:val="hybridMultilevel"/>
    <w:tmpl w:val="93A800D2"/>
    <w:lvl w:ilvl="0" w:tplc="B6E041E6">
      <w:numFmt w:val="bullet"/>
      <w:lvlText w:val=""/>
      <w:lvlJc w:val="left"/>
      <w:pPr>
        <w:ind w:left="831" w:hanging="361"/>
      </w:pPr>
      <w:rPr>
        <w:rFonts w:ascii="Wingdings" w:eastAsia="Wingdings" w:hAnsi="Wingdings" w:cs="Wingdings" w:hint="default"/>
        <w:w w:val="99"/>
        <w:sz w:val="20"/>
        <w:szCs w:val="20"/>
        <w:lang w:val="nl-NL" w:eastAsia="nl-NL" w:bidi="nl-NL"/>
      </w:rPr>
    </w:lvl>
    <w:lvl w:ilvl="1" w:tplc="6F50C50E">
      <w:numFmt w:val="bullet"/>
      <w:lvlText w:val="•"/>
      <w:lvlJc w:val="left"/>
      <w:pPr>
        <w:ind w:left="1062" w:hanging="361"/>
      </w:pPr>
      <w:rPr>
        <w:rFonts w:hint="default"/>
        <w:lang w:val="nl-NL" w:eastAsia="nl-NL" w:bidi="nl-NL"/>
      </w:rPr>
    </w:lvl>
    <w:lvl w:ilvl="2" w:tplc="294CC80A">
      <w:numFmt w:val="bullet"/>
      <w:lvlText w:val="•"/>
      <w:lvlJc w:val="left"/>
      <w:pPr>
        <w:ind w:left="1285" w:hanging="361"/>
      </w:pPr>
      <w:rPr>
        <w:rFonts w:hint="default"/>
        <w:lang w:val="nl-NL" w:eastAsia="nl-NL" w:bidi="nl-NL"/>
      </w:rPr>
    </w:lvl>
    <w:lvl w:ilvl="3" w:tplc="A87625B8">
      <w:numFmt w:val="bullet"/>
      <w:lvlText w:val="•"/>
      <w:lvlJc w:val="left"/>
      <w:pPr>
        <w:ind w:left="1508" w:hanging="361"/>
      </w:pPr>
      <w:rPr>
        <w:rFonts w:hint="default"/>
        <w:lang w:val="nl-NL" w:eastAsia="nl-NL" w:bidi="nl-NL"/>
      </w:rPr>
    </w:lvl>
    <w:lvl w:ilvl="4" w:tplc="788AE1DC">
      <w:numFmt w:val="bullet"/>
      <w:lvlText w:val="•"/>
      <w:lvlJc w:val="left"/>
      <w:pPr>
        <w:ind w:left="1731" w:hanging="361"/>
      </w:pPr>
      <w:rPr>
        <w:rFonts w:hint="default"/>
        <w:lang w:val="nl-NL" w:eastAsia="nl-NL" w:bidi="nl-NL"/>
      </w:rPr>
    </w:lvl>
    <w:lvl w:ilvl="5" w:tplc="39D4DD9A">
      <w:numFmt w:val="bullet"/>
      <w:lvlText w:val="•"/>
      <w:lvlJc w:val="left"/>
      <w:pPr>
        <w:ind w:left="1954" w:hanging="361"/>
      </w:pPr>
      <w:rPr>
        <w:rFonts w:hint="default"/>
        <w:lang w:val="nl-NL" w:eastAsia="nl-NL" w:bidi="nl-NL"/>
      </w:rPr>
    </w:lvl>
    <w:lvl w:ilvl="6" w:tplc="0DD4BC40">
      <w:numFmt w:val="bullet"/>
      <w:lvlText w:val="•"/>
      <w:lvlJc w:val="left"/>
      <w:pPr>
        <w:ind w:left="2176" w:hanging="361"/>
      </w:pPr>
      <w:rPr>
        <w:rFonts w:hint="default"/>
        <w:lang w:val="nl-NL" w:eastAsia="nl-NL" w:bidi="nl-NL"/>
      </w:rPr>
    </w:lvl>
    <w:lvl w:ilvl="7" w:tplc="7E144EAA">
      <w:numFmt w:val="bullet"/>
      <w:lvlText w:val="•"/>
      <w:lvlJc w:val="left"/>
      <w:pPr>
        <w:ind w:left="2399" w:hanging="361"/>
      </w:pPr>
      <w:rPr>
        <w:rFonts w:hint="default"/>
        <w:lang w:val="nl-NL" w:eastAsia="nl-NL" w:bidi="nl-NL"/>
      </w:rPr>
    </w:lvl>
    <w:lvl w:ilvl="8" w:tplc="3462DD32">
      <w:numFmt w:val="bullet"/>
      <w:lvlText w:val="•"/>
      <w:lvlJc w:val="left"/>
      <w:pPr>
        <w:ind w:left="2622" w:hanging="361"/>
      </w:pPr>
      <w:rPr>
        <w:rFonts w:hint="default"/>
        <w:lang w:val="nl-NL" w:eastAsia="nl-NL" w:bidi="nl-NL"/>
      </w:rPr>
    </w:lvl>
  </w:abstractNum>
  <w:abstractNum w:abstractNumId="15" w15:restartNumberingAfterBreak="0">
    <w:nsid w:val="39A951FE"/>
    <w:multiLevelType w:val="hybridMultilevel"/>
    <w:tmpl w:val="805CD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B90B22"/>
    <w:multiLevelType w:val="hybridMultilevel"/>
    <w:tmpl w:val="772EC1F6"/>
    <w:lvl w:ilvl="0" w:tplc="7B6A0C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A647E5"/>
    <w:multiLevelType w:val="hybridMultilevel"/>
    <w:tmpl w:val="B55C192A"/>
    <w:lvl w:ilvl="0" w:tplc="BDD04A86">
      <w:numFmt w:val="bullet"/>
      <w:lvlText w:val=""/>
      <w:lvlJc w:val="left"/>
      <w:pPr>
        <w:ind w:left="828" w:hanging="360"/>
      </w:pPr>
      <w:rPr>
        <w:rFonts w:ascii="Wingdings" w:eastAsia="Wingdings" w:hAnsi="Wingdings" w:cs="Wingdings" w:hint="default"/>
        <w:w w:val="99"/>
        <w:sz w:val="20"/>
        <w:szCs w:val="20"/>
        <w:lang w:val="nl-NL" w:eastAsia="nl-NL" w:bidi="nl-NL"/>
      </w:rPr>
    </w:lvl>
    <w:lvl w:ilvl="1" w:tplc="683AFB1A">
      <w:numFmt w:val="bullet"/>
      <w:lvlText w:val="•"/>
      <w:lvlJc w:val="left"/>
      <w:pPr>
        <w:ind w:left="990" w:hanging="360"/>
      </w:pPr>
      <w:rPr>
        <w:rFonts w:hint="default"/>
        <w:lang w:val="nl-NL" w:eastAsia="nl-NL" w:bidi="nl-NL"/>
      </w:rPr>
    </w:lvl>
    <w:lvl w:ilvl="2" w:tplc="B85AD33A">
      <w:numFmt w:val="bullet"/>
      <w:lvlText w:val="•"/>
      <w:lvlJc w:val="left"/>
      <w:pPr>
        <w:ind w:left="1161" w:hanging="360"/>
      </w:pPr>
      <w:rPr>
        <w:rFonts w:hint="default"/>
        <w:lang w:val="nl-NL" w:eastAsia="nl-NL" w:bidi="nl-NL"/>
      </w:rPr>
    </w:lvl>
    <w:lvl w:ilvl="3" w:tplc="00CE54BA">
      <w:numFmt w:val="bullet"/>
      <w:lvlText w:val="•"/>
      <w:lvlJc w:val="left"/>
      <w:pPr>
        <w:ind w:left="1332" w:hanging="360"/>
      </w:pPr>
      <w:rPr>
        <w:rFonts w:hint="default"/>
        <w:lang w:val="nl-NL" w:eastAsia="nl-NL" w:bidi="nl-NL"/>
      </w:rPr>
    </w:lvl>
    <w:lvl w:ilvl="4" w:tplc="D5026C18">
      <w:numFmt w:val="bullet"/>
      <w:lvlText w:val="•"/>
      <w:lvlJc w:val="left"/>
      <w:pPr>
        <w:ind w:left="1502" w:hanging="360"/>
      </w:pPr>
      <w:rPr>
        <w:rFonts w:hint="default"/>
        <w:lang w:val="nl-NL" w:eastAsia="nl-NL" w:bidi="nl-NL"/>
      </w:rPr>
    </w:lvl>
    <w:lvl w:ilvl="5" w:tplc="34923D5E">
      <w:numFmt w:val="bullet"/>
      <w:lvlText w:val="•"/>
      <w:lvlJc w:val="left"/>
      <w:pPr>
        <w:ind w:left="1673" w:hanging="360"/>
      </w:pPr>
      <w:rPr>
        <w:rFonts w:hint="default"/>
        <w:lang w:val="nl-NL" w:eastAsia="nl-NL" w:bidi="nl-NL"/>
      </w:rPr>
    </w:lvl>
    <w:lvl w:ilvl="6" w:tplc="C430012C">
      <w:numFmt w:val="bullet"/>
      <w:lvlText w:val="•"/>
      <w:lvlJc w:val="left"/>
      <w:pPr>
        <w:ind w:left="1844" w:hanging="360"/>
      </w:pPr>
      <w:rPr>
        <w:rFonts w:hint="default"/>
        <w:lang w:val="nl-NL" w:eastAsia="nl-NL" w:bidi="nl-NL"/>
      </w:rPr>
    </w:lvl>
    <w:lvl w:ilvl="7" w:tplc="3DDE0122">
      <w:numFmt w:val="bullet"/>
      <w:lvlText w:val="•"/>
      <w:lvlJc w:val="left"/>
      <w:pPr>
        <w:ind w:left="2014" w:hanging="360"/>
      </w:pPr>
      <w:rPr>
        <w:rFonts w:hint="default"/>
        <w:lang w:val="nl-NL" w:eastAsia="nl-NL" w:bidi="nl-NL"/>
      </w:rPr>
    </w:lvl>
    <w:lvl w:ilvl="8" w:tplc="C5DE7E2C">
      <w:numFmt w:val="bullet"/>
      <w:lvlText w:val="•"/>
      <w:lvlJc w:val="left"/>
      <w:pPr>
        <w:ind w:left="2185" w:hanging="360"/>
      </w:pPr>
      <w:rPr>
        <w:rFonts w:hint="default"/>
        <w:lang w:val="nl-NL" w:eastAsia="nl-NL" w:bidi="nl-NL"/>
      </w:rPr>
    </w:lvl>
  </w:abstractNum>
  <w:abstractNum w:abstractNumId="18" w15:restartNumberingAfterBreak="0">
    <w:nsid w:val="42101303"/>
    <w:multiLevelType w:val="hybridMultilevel"/>
    <w:tmpl w:val="5E30D872"/>
    <w:lvl w:ilvl="0" w:tplc="180E3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E75E4"/>
    <w:multiLevelType w:val="hybridMultilevel"/>
    <w:tmpl w:val="90FC83CE"/>
    <w:lvl w:ilvl="0" w:tplc="70CE0B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37E47"/>
    <w:multiLevelType w:val="multilevel"/>
    <w:tmpl w:val="8D0A36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C92380"/>
    <w:multiLevelType w:val="hybridMultilevel"/>
    <w:tmpl w:val="8FBE0230"/>
    <w:lvl w:ilvl="0" w:tplc="90C8BD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3C7B77"/>
    <w:multiLevelType w:val="hybridMultilevel"/>
    <w:tmpl w:val="9954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243B07"/>
    <w:multiLevelType w:val="hybridMultilevel"/>
    <w:tmpl w:val="7664487C"/>
    <w:lvl w:ilvl="0" w:tplc="38403BC0">
      <w:numFmt w:val="bullet"/>
      <w:lvlText w:val=""/>
      <w:lvlJc w:val="left"/>
      <w:pPr>
        <w:ind w:left="833" w:hanging="361"/>
      </w:pPr>
      <w:rPr>
        <w:rFonts w:ascii="Wingdings" w:eastAsia="Wingdings" w:hAnsi="Wingdings" w:cs="Wingdings" w:hint="default"/>
        <w:w w:val="99"/>
        <w:sz w:val="20"/>
        <w:szCs w:val="20"/>
        <w:lang w:val="nl-NL" w:eastAsia="nl-NL" w:bidi="nl-NL"/>
      </w:rPr>
    </w:lvl>
    <w:lvl w:ilvl="1" w:tplc="9574174A">
      <w:numFmt w:val="bullet"/>
      <w:lvlText w:val="•"/>
      <w:lvlJc w:val="left"/>
      <w:pPr>
        <w:ind w:left="1063" w:hanging="361"/>
      </w:pPr>
      <w:rPr>
        <w:rFonts w:hint="default"/>
        <w:lang w:val="nl-NL" w:eastAsia="nl-NL" w:bidi="nl-NL"/>
      </w:rPr>
    </w:lvl>
    <w:lvl w:ilvl="2" w:tplc="BCACB15C">
      <w:numFmt w:val="bullet"/>
      <w:lvlText w:val="•"/>
      <w:lvlJc w:val="left"/>
      <w:pPr>
        <w:ind w:left="1286" w:hanging="361"/>
      </w:pPr>
      <w:rPr>
        <w:rFonts w:hint="default"/>
        <w:lang w:val="nl-NL" w:eastAsia="nl-NL" w:bidi="nl-NL"/>
      </w:rPr>
    </w:lvl>
    <w:lvl w:ilvl="3" w:tplc="A838DA34">
      <w:numFmt w:val="bullet"/>
      <w:lvlText w:val="•"/>
      <w:lvlJc w:val="left"/>
      <w:pPr>
        <w:ind w:left="1509" w:hanging="361"/>
      </w:pPr>
      <w:rPr>
        <w:rFonts w:hint="default"/>
        <w:lang w:val="nl-NL" w:eastAsia="nl-NL" w:bidi="nl-NL"/>
      </w:rPr>
    </w:lvl>
    <w:lvl w:ilvl="4" w:tplc="A442F210">
      <w:numFmt w:val="bullet"/>
      <w:lvlText w:val="•"/>
      <w:lvlJc w:val="left"/>
      <w:pPr>
        <w:ind w:left="1732" w:hanging="361"/>
      </w:pPr>
      <w:rPr>
        <w:rFonts w:hint="default"/>
        <w:lang w:val="nl-NL" w:eastAsia="nl-NL" w:bidi="nl-NL"/>
      </w:rPr>
    </w:lvl>
    <w:lvl w:ilvl="5" w:tplc="F752AA28">
      <w:numFmt w:val="bullet"/>
      <w:lvlText w:val="•"/>
      <w:lvlJc w:val="left"/>
      <w:pPr>
        <w:ind w:left="1956" w:hanging="361"/>
      </w:pPr>
      <w:rPr>
        <w:rFonts w:hint="default"/>
        <w:lang w:val="nl-NL" w:eastAsia="nl-NL" w:bidi="nl-NL"/>
      </w:rPr>
    </w:lvl>
    <w:lvl w:ilvl="6" w:tplc="51BAA452">
      <w:numFmt w:val="bullet"/>
      <w:lvlText w:val="•"/>
      <w:lvlJc w:val="left"/>
      <w:pPr>
        <w:ind w:left="2179" w:hanging="361"/>
      </w:pPr>
      <w:rPr>
        <w:rFonts w:hint="default"/>
        <w:lang w:val="nl-NL" w:eastAsia="nl-NL" w:bidi="nl-NL"/>
      </w:rPr>
    </w:lvl>
    <w:lvl w:ilvl="7" w:tplc="4D7630E4">
      <w:numFmt w:val="bullet"/>
      <w:lvlText w:val="•"/>
      <w:lvlJc w:val="left"/>
      <w:pPr>
        <w:ind w:left="2402" w:hanging="361"/>
      </w:pPr>
      <w:rPr>
        <w:rFonts w:hint="default"/>
        <w:lang w:val="nl-NL" w:eastAsia="nl-NL" w:bidi="nl-NL"/>
      </w:rPr>
    </w:lvl>
    <w:lvl w:ilvl="8" w:tplc="01E031B6">
      <w:numFmt w:val="bullet"/>
      <w:lvlText w:val="•"/>
      <w:lvlJc w:val="left"/>
      <w:pPr>
        <w:ind w:left="2625" w:hanging="361"/>
      </w:pPr>
      <w:rPr>
        <w:rFonts w:hint="default"/>
        <w:lang w:val="nl-NL" w:eastAsia="nl-NL" w:bidi="nl-NL"/>
      </w:rPr>
    </w:lvl>
  </w:abstractNum>
  <w:abstractNum w:abstractNumId="24" w15:restartNumberingAfterBreak="0">
    <w:nsid w:val="5BE35AF7"/>
    <w:multiLevelType w:val="hybridMultilevel"/>
    <w:tmpl w:val="8766DB34"/>
    <w:lvl w:ilvl="0" w:tplc="4A9CC7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E16E6"/>
    <w:multiLevelType w:val="hybridMultilevel"/>
    <w:tmpl w:val="F4F29FBA"/>
    <w:lvl w:ilvl="0" w:tplc="BDA01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1651F"/>
    <w:multiLevelType w:val="hybridMultilevel"/>
    <w:tmpl w:val="256E398A"/>
    <w:lvl w:ilvl="0" w:tplc="C8E453E6">
      <w:numFmt w:val="bullet"/>
      <w:lvlText w:val=""/>
      <w:lvlJc w:val="left"/>
      <w:pPr>
        <w:ind w:left="827" w:hanging="360"/>
      </w:pPr>
      <w:rPr>
        <w:rFonts w:ascii="Wingdings" w:eastAsia="Wingdings" w:hAnsi="Wingdings" w:cs="Wingdings" w:hint="default"/>
        <w:w w:val="99"/>
        <w:sz w:val="20"/>
        <w:szCs w:val="20"/>
        <w:lang w:val="nl-NL" w:eastAsia="nl-NL" w:bidi="nl-NL"/>
      </w:rPr>
    </w:lvl>
    <w:lvl w:ilvl="1" w:tplc="0310EFBA">
      <w:numFmt w:val="bullet"/>
      <w:lvlText w:val="•"/>
      <w:lvlJc w:val="left"/>
      <w:pPr>
        <w:ind w:left="1101" w:hanging="360"/>
      </w:pPr>
      <w:rPr>
        <w:rFonts w:hint="default"/>
        <w:lang w:val="nl-NL" w:eastAsia="nl-NL" w:bidi="nl-NL"/>
      </w:rPr>
    </w:lvl>
    <w:lvl w:ilvl="2" w:tplc="7542E23E">
      <w:numFmt w:val="bullet"/>
      <w:lvlText w:val="•"/>
      <w:lvlJc w:val="left"/>
      <w:pPr>
        <w:ind w:left="1383" w:hanging="360"/>
      </w:pPr>
      <w:rPr>
        <w:rFonts w:hint="default"/>
        <w:lang w:val="nl-NL" w:eastAsia="nl-NL" w:bidi="nl-NL"/>
      </w:rPr>
    </w:lvl>
    <w:lvl w:ilvl="3" w:tplc="0F5A6A82">
      <w:numFmt w:val="bullet"/>
      <w:lvlText w:val="•"/>
      <w:lvlJc w:val="left"/>
      <w:pPr>
        <w:ind w:left="1665" w:hanging="360"/>
      </w:pPr>
      <w:rPr>
        <w:rFonts w:hint="default"/>
        <w:lang w:val="nl-NL" w:eastAsia="nl-NL" w:bidi="nl-NL"/>
      </w:rPr>
    </w:lvl>
    <w:lvl w:ilvl="4" w:tplc="611AA1C0">
      <w:numFmt w:val="bullet"/>
      <w:lvlText w:val="•"/>
      <w:lvlJc w:val="left"/>
      <w:pPr>
        <w:ind w:left="1947" w:hanging="360"/>
      </w:pPr>
      <w:rPr>
        <w:rFonts w:hint="default"/>
        <w:lang w:val="nl-NL" w:eastAsia="nl-NL" w:bidi="nl-NL"/>
      </w:rPr>
    </w:lvl>
    <w:lvl w:ilvl="5" w:tplc="EABA9C00">
      <w:numFmt w:val="bullet"/>
      <w:lvlText w:val="•"/>
      <w:lvlJc w:val="left"/>
      <w:pPr>
        <w:ind w:left="2229" w:hanging="360"/>
      </w:pPr>
      <w:rPr>
        <w:rFonts w:hint="default"/>
        <w:lang w:val="nl-NL" w:eastAsia="nl-NL" w:bidi="nl-NL"/>
      </w:rPr>
    </w:lvl>
    <w:lvl w:ilvl="6" w:tplc="4DC05744">
      <w:numFmt w:val="bullet"/>
      <w:lvlText w:val="•"/>
      <w:lvlJc w:val="left"/>
      <w:pPr>
        <w:ind w:left="2510" w:hanging="360"/>
      </w:pPr>
      <w:rPr>
        <w:rFonts w:hint="default"/>
        <w:lang w:val="nl-NL" w:eastAsia="nl-NL" w:bidi="nl-NL"/>
      </w:rPr>
    </w:lvl>
    <w:lvl w:ilvl="7" w:tplc="2138CAB2">
      <w:numFmt w:val="bullet"/>
      <w:lvlText w:val="•"/>
      <w:lvlJc w:val="left"/>
      <w:pPr>
        <w:ind w:left="2792" w:hanging="360"/>
      </w:pPr>
      <w:rPr>
        <w:rFonts w:hint="default"/>
        <w:lang w:val="nl-NL" w:eastAsia="nl-NL" w:bidi="nl-NL"/>
      </w:rPr>
    </w:lvl>
    <w:lvl w:ilvl="8" w:tplc="B6823AB8">
      <w:numFmt w:val="bullet"/>
      <w:lvlText w:val="•"/>
      <w:lvlJc w:val="left"/>
      <w:pPr>
        <w:ind w:left="3074" w:hanging="360"/>
      </w:pPr>
      <w:rPr>
        <w:rFonts w:hint="default"/>
        <w:lang w:val="nl-NL" w:eastAsia="nl-NL" w:bidi="nl-NL"/>
      </w:rPr>
    </w:lvl>
  </w:abstractNum>
  <w:abstractNum w:abstractNumId="27" w15:restartNumberingAfterBreak="0">
    <w:nsid w:val="65C73FA9"/>
    <w:multiLevelType w:val="hybridMultilevel"/>
    <w:tmpl w:val="0242ED50"/>
    <w:lvl w:ilvl="0" w:tplc="0C6A8B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CC01A2"/>
    <w:multiLevelType w:val="hybridMultilevel"/>
    <w:tmpl w:val="4664BF20"/>
    <w:lvl w:ilvl="0" w:tplc="445C02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B55D6B"/>
    <w:multiLevelType w:val="hybridMultilevel"/>
    <w:tmpl w:val="8B1C4088"/>
    <w:lvl w:ilvl="0" w:tplc="25A6A1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5A083F"/>
    <w:multiLevelType w:val="hybridMultilevel"/>
    <w:tmpl w:val="63C05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4F40C6"/>
    <w:multiLevelType w:val="hybridMultilevel"/>
    <w:tmpl w:val="4E0C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8B3ABB"/>
    <w:multiLevelType w:val="hybridMultilevel"/>
    <w:tmpl w:val="B120967A"/>
    <w:lvl w:ilvl="0" w:tplc="434AF890">
      <w:numFmt w:val="bullet"/>
      <w:lvlText w:val=""/>
      <w:lvlJc w:val="left"/>
      <w:pPr>
        <w:ind w:left="830" w:hanging="360"/>
      </w:pPr>
      <w:rPr>
        <w:rFonts w:ascii="Wingdings" w:eastAsia="Wingdings" w:hAnsi="Wingdings" w:cs="Wingdings" w:hint="default"/>
        <w:w w:val="99"/>
        <w:sz w:val="20"/>
        <w:szCs w:val="20"/>
        <w:lang w:val="nl-NL" w:eastAsia="nl-NL" w:bidi="nl-NL"/>
      </w:rPr>
    </w:lvl>
    <w:lvl w:ilvl="1" w:tplc="7884E1AE">
      <w:numFmt w:val="bullet"/>
      <w:lvlText w:val="•"/>
      <w:lvlJc w:val="left"/>
      <w:pPr>
        <w:ind w:left="1120" w:hanging="360"/>
      </w:pPr>
      <w:rPr>
        <w:rFonts w:hint="default"/>
        <w:lang w:val="nl-NL" w:eastAsia="nl-NL" w:bidi="nl-NL"/>
      </w:rPr>
    </w:lvl>
    <w:lvl w:ilvl="2" w:tplc="954CF522">
      <w:numFmt w:val="bullet"/>
      <w:lvlText w:val="•"/>
      <w:lvlJc w:val="left"/>
      <w:pPr>
        <w:ind w:left="1400" w:hanging="360"/>
      </w:pPr>
      <w:rPr>
        <w:rFonts w:hint="default"/>
        <w:lang w:val="nl-NL" w:eastAsia="nl-NL" w:bidi="nl-NL"/>
      </w:rPr>
    </w:lvl>
    <w:lvl w:ilvl="3" w:tplc="D64EF7C4">
      <w:numFmt w:val="bullet"/>
      <w:lvlText w:val="•"/>
      <w:lvlJc w:val="left"/>
      <w:pPr>
        <w:ind w:left="1680" w:hanging="360"/>
      </w:pPr>
      <w:rPr>
        <w:rFonts w:hint="default"/>
        <w:lang w:val="nl-NL" w:eastAsia="nl-NL" w:bidi="nl-NL"/>
      </w:rPr>
    </w:lvl>
    <w:lvl w:ilvl="4" w:tplc="C0343E06">
      <w:numFmt w:val="bullet"/>
      <w:lvlText w:val="•"/>
      <w:lvlJc w:val="left"/>
      <w:pPr>
        <w:ind w:left="1960" w:hanging="360"/>
      </w:pPr>
      <w:rPr>
        <w:rFonts w:hint="default"/>
        <w:lang w:val="nl-NL" w:eastAsia="nl-NL" w:bidi="nl-NL"/>
      </w:rPr>
    </w:lvl>
    <w:lvl w:ilvl="5" w:tplc="E4FC3018">
      <w:numFmt w:val="bullet"/>
      <w:lvlText w:val="•"/>
      <w:lvlJc w:val="left"/>
      <w:pPr>
        <w:ind w:left="2240" w:hanging="360"/>
      </w:pPr>
      <w:rPr>
        <w:rFonts w:hint="default"/>
        <w:lang w:val="nl-NL" w:eastAsia="nl-NL" w:bidi="nl-NL"/>
      </w:rPr>
    </w:lvl>
    <w:lvl w:ilvl="6" w:tplc="63460C6E">
      <w:numFmt w:val="bullet"/>
      <w:lvlText w:val="•"/>
      <w:lvlJc w:val="left"/>
      <w:pPr>
        <w:ind w:left="2520" w:hanging="360"/>
      </w:pPr>
      <w:rPr>
        <w:rFonts w:hint="default"/>
        <w:lang w:val="nl-NL" w:eastAsia="nl-NL" w:bidi="nl-NL"/>
      </w:rPr>
    </w:lvl>
    <w:lvl w:ilvl="7" w:tplc="1AD4A6E8">
      <w:numFmt w:val="bullet"/>
      <w:lvlText w:val="•"/>
      <w:lvlJc w:val="left"/>
      <w:pPr>
        <w:ind w:left="2800" w:hanging="360"/>
      </w:pPr>
      <w:rPr>
        <w:rFonts w:hint="default"/>
        <w:lang w:val="nl-NL" w:eastAsia="nl-NL" w:bidi="nl-NL"/>
      </w:rPr>
    </w:lvl>
    <w:lvl w:ilvl="8" w:tplc="97E49CBC">
      <w:numFmt w:val="bullet"/>
      <w:lvlText w:val="•"/>
      <w:lvlJc w:val="left"/>
      <w:pPr>
        <w:ind w:left="3080" w:hanging="360"/>
      </w:pPr>
      <w:rPr>
        <w:rFonts w:hint="default"/>
        <w:lang w:val="nl-NL" w:eastAsia="nl-NL" w:bidi="nl-NL"/>
      </w:rPr>
    </w:lvl>
  </w:abstractNum>
  <w:abstractNum w:abstractNumId="33" w15:restartNumberingAfterBreak="0">
    <w:nsid w:val="75EB0C72"/>
    <w:multiLevelType w:val="hybridMultilevel"/>
    <w:tmpl w:val="428C5C88"/>
    <w:lvl w:ilvl="0" w:tplc="D9F891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E02790A"/>
    <w:multiLevelType w:val="hybridMultilevel"/>
    <w:tmpl w:val="AC689974"/>
    <w:lvl w:ilvl="0" w:tplc="711CBF9C">
      <w:numFmt w:val="bullet"/>
      <w:lvlText w:val=""/>
      <w:lvlJc w:val="left"/>
      <w:pPr>
        <w:ind w:left="831" w:hanging="361"/>
      </w:pPr>
      <w:rPr>
        <w:rFonts w:ascii="Wingdings" w:eastAsia="Wingdings" w:hAnsi="Wingdings" w:cs="Wingdings" w:hint="default"/>
        <w:w w:val="99"/>
        <w:sz w:val="20"/>
        <w:szCs w:val="20"/>
        <w:lang w:val="nl-NL" w:eastAsia="nl-NL" w:bidi="nl-NL"/>
      </w:rPr>
    </w:lvl>
    <w:lvl w:ilvl="1" w:tplc="3A8A4796">
      <w:numFmt w:val="bullet"/>
      <w:lvlText w:val="•"/>
      <w:lvlJc w:val="left"/>
      <w:pPr>
        <w:ind w:left="1063" w:hanging="361"/>
      </w:pPr>
      <w:rPr>
        <w:rFonts w:hint="default"/>
        <w:lang w:val="nl-NL" w:eastAsia="nl-NL" w:bidi="nl-NL"/>
      </w:rPr>
    </w:lvl>
    <w:lvl w:ilvl="2" w:tplc="ADF647CC">
      <w:numFmt w:val="bullet"/>
      <w:lvlText w:val="•"/>
      <w:lvlJc w:val="left"/>
      <w:pPr>
        <w:ind w:left="1286" w:hanging="361"/>
      </w:pPr>
      <w:rPr>
        <w:rFonts w:hint="default"/>
        <w:lang w:val="nl-NL" w:eastAsia="nl-NL" w:bidi="nl-NL"/>
      </w:rPr>
    </w:lvl>
    <w:lvl w:ilvl="3" w:tplc="EE9CA02E">
      <w:numFmt w:val="bullet"/>
      <w:lvlText w:val="•"/>
      <w:lvlJc w:val="left"/>
      <w:pPr>
        <w:ind w:left="1509" w:hanging="361"/>
      </w:pPr>
      <w:rPr>
        <w:rFonts w:hint="default"/>
        <w:lang w:val="nl-NL" w:eastAsia="nl-NL" w:bidi="nl-NL"/>
      </w:rPr>
    </w:lvl>
    <w:lvl w:ilvl="4" w:tplc="748CB3AE">
      <w:numFmt w:val="bullet"/>
      <w:lvlText w:val="•"/>
      <w:lvlJc w:val="left"/>
      <w:pPr>
        <w:ind w:left="1732" w:hanging="361"/>
      </w:pPr>
      <w:rPr>
        <w:rFonts w:hint="default"/>
        <w:lang w:val="nl-NL" w:eastAsia="nl-NL" w:bidi="nl-NL"/>
      </w:rPr>
    </w:lvl>
    <w:lvl w:ilvl="5" w:tplc="939091E6">
      <w:numFmt w:val="bullet"/>
      <w:lvlText w:val="•"/>
      <w:lvlJc w:val="left"/>
      <w:pPr>
        <w:ind w:left="1955" w:hanging="361"/>
      </w:pPr>
      <w:rPr>
        <w:rFonts w:hint="default"/>
        <w:lang w:val="nl-NL" w:eastAsia="nl-NL" w:bidi="nl-NL"/>
      </w:rPr>
    </w:lvl>
    <w:lvl w:ilvl="6" w:tplc="C046CC7E">
      <w:numFmt w:val="bullet"/>
      <w:lvlText w:val="•"/>
      <w:lvlJc w:val="left"/>
      <w:pPr>
        <w:ind w:left="2178" w:hanging="361"/>
      </w:pPr>
      <w:rPr>
        <w:rFonts w:hint="default"/>
        <w:lang w:val="nl-NL" w:eastAsia="nl-NL" w:bidi="nl-NL"/>
      </w:rPr>
    </w:lvl>
    <w:lvl w:ilvl="7" w:tplc="ADE266C2">
      <w:numFmt w:val="bullet"/>
      <w:lvlText w:val="•"/>
      <w:lvlJc w:val="left"/>
      <w:pPr>
        <w:ind w:left="2401" w:hanging="361"/>
      </w:pPr>
      <w:rPr>
        <w:rFonts w:hint="default"/>
        <w:lang w:val="nl-NL" w:eastAsia="nl-NL" w:bidi="nl-NL"/>
      </w:rPr>
    </w:lvl>
    <w:lvl w:ilvl="8" w:tplc="90D82AD6">
      <w:numFmt w:val="bullet"/>
      <w:lvlText w:val="•"/>
      <w:lvlJc w:val="left"/>
      <w:pPr>
        <w:ind w:left="2624" w:hanging="361"/>
      </w:pPr>
      <w:rPr>
        <w:rFonts w:hint="default"/>
        <w:lang w:val="nl-NL" w:eastAsia="nl-NL" w:bidi="nl-NL"/>
      </w:rPr>
    </w:lvl>
  </w:abstractNum>
  <w:num w:numId="1">
    <w:abstractNumId w:val="0"/>
  </w:num>
  <w:num w:numId="2">
    <w:abstractNumId w:val="34"/>
  </w:num>
  <w:num w:numId="3">
    <w:abstractNumId w:val="10"/>
  </w:num>
  <w:num w:numId="4">
    <w:abstractNumId w:val="7"/>
  </w:num>
  <w:num w:numId="5">
    <w:abstractNumId w:val="4"/>
  </w:num>
  <w:num w:numId="6">
    <w:abstractNumId w:val="33"/>
  </w:num>
  <w:num w:numId="7">
    <w:abstractNumId w:val="29"/>
  </w:num>
  <w:num w:numId="8">
    <w:abstractNumId w:val="9"/>
  </w:num>
  <w:num w:numId="9">
    <w:abstractNumId w:val="13"/>
  </w:num>
  <w:num w:numId="10">
    <w:abstractNumId w:val="16"/>
  </w:num>
  <w:num w:numId="11">
    <w:abstractNumId w:val="30"/>
  </w:num>
  <w:num w:numId="12">
    <w:abstractNumId w:val="6"/>
  </w:num>
  <w:num w:numId="13">
    <w:abstractNumId w:val="11"/>
  </w:num>
  <w:num w:numId="14">
    <w:abstractNumId w:val="20"/>
  </w:num>
  <w:num w:numId="15">
    <w:abstractNumId w:val="19"/>
  </w:num>
  <w:num w:numId="16">
    <w:abstractNumId w:val="25"/>
  </w:num>
  <w:num w:numId="17">
    <w:abstractNumId w:val="2"/>
  </w:num>
  <w:num w:numId="18">
    <w:abstractNumId w:val="27"/>
  </w:num>
  <w:num w:numId="19">
    <w:abstractNumId w:val="1"/>
  </w:num>
  <w:num w:numId="20">
    <w:abstractNumId w:val="5"/>
  </w:num>
  <w:num w:numId="21">
    <w:abstractNumId w:val="21"/>
  </w:num>
  <w:num w:numId="22">
    <w:abstractNumId w:val="24"/>
  </w:num>
  <w:num w:numId="23">
    <w:abstractNumId w:val="14"/>
  </w:num>
  <w:num w:numId="24">
    <w:abstractNumId w:val="17"/>
  </w:num>
  <w:num w:numId="25">
    <w:abstractNumId w:val="26"/>
  </w:num>
  <w:num w:numId="26">
    <w:abstractNumId w:val="35"/>
  </w:num>
  <w:num w:numId="27">
    <w:abstractNumId w:val="32"/>
  </w:num>
  <w:num w:numId="28">
    <w:abstractNumId w:val="23"/>
  </w:num>
  <w:num w:numId="29">
    <w:abstractNumId w:val="28"/>
  </w:num>
  <w:num w:numId="30">
    <w:abstractNumId w:val="18"/>
  </w:num>
  <w:num w:numId="31">
    <w:abstractNumId w:val="3"/>
  </w:num>
  <w:num w:numId="32">
    <w:abstractNumId w:val="31"/>
  </w:num>
  <w:num w:numId="33">
    <w:abstractNumId w:val="1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0281"/>
    <w:rsid w:val="00005B53"/>
    <w:rsid w:val="00011653"/>
    <w:rsid w:val="00011DB6"/>
    <w:rsid w:val="0001379F"/>
    <w:rsid w:val="000143F5"/>
    <w:rsid w:val="000153BD"/>
    <w:rsid w:val="000156EF"/>
    <w:rsid w:val="00016072"/>
    <w:rsid w:val="00016C9C"/>
    <w:rsid w:val="00020360"/>
    <w:rsid w:val="00021E6E"/>
    <w:rsid w:val="00025F2B"/>
    <w:rsid w:val="00026597"/>
    <w:rsid w:val="000303FF"/>
    <w:rsid w:val="0003187E"/>
    <w:rsid w:val="000367D3"/>
    <w:rsid w:val="000374C3"/>
    <w:rsid w:val="000374F1"/>
    <w:rsid w:val="00037CFE"/>
    <w:rsid w:val="00043978"/>
    <w:rsid w:val="00044593"/>
    <w:rsid w:val="00046DB5"/>
    <w:rsid w:val="00047B6A"/>
    <w:rsid w:val="000520B4"/>
    <w:rsid w:val="00052E16"/>
    <w:rsid w:val="00053D59"/>
    <w:rsid w:val="00054E10"/>
    <w:rsid w:val="00064C0B"/>
    <w:rsid w:val="00065D2C"/>
    <w:rsid w:val="0007173C"/>
    <w:rsid w:val="0007207A"/>
    <w:rsid w:val="000809F0"/>
    <w:rsid w:val="0008341C"/>
    <w:rsid w:val="00083B76"/>
    <w:rsid w:val="00083E21"/>
    <w:rsid w:val="0008439D"/>
    <w:rsid w:val="0009113B"/>
    <w:rsid w:val="000935E3"/>
    <w:rsid w:val="000A2E66"/>
    <w:rsid w:val="000A7B1D"/>
    <w:rsid w:val="000B008B"/>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1019C9"/>
    <w:rsid w:val="00105370"/>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502A0"/>
    <w:rsid w:val="00150ABE"/>
    <w:rsid w:val="00153998"/>
    <w:rsid w:val="00153C27"/>
    <w:rsid w:val="00155381"/>
    <w:rsid w:val="001647F6"/>
    <w:rsid w:val="00165081"/>
    <w:rsid w:val="00175076"/>
    <w:rsid w:val="00177DE3"/>
    <w:rsid w:val="001814B2"/>
    <w:rsid w:val="00184456"/>
    <w:rsid w:val="0018509C"/>
    <w:rsid w:val="00191FB7"/>
    <w:rsid w:val="00192B89"/>
    <w:rsid w:val="00195A20"/>
    <w:rsid w:val="001A0AD8"/>
    <w:rsid w:val="001B0B56"/>
    <w:rsid w:val="001B3D32"/>
    <w:rsid w:val="001B4C54"/>
    <w:rsid w:val="001B4ECC"/>
    <w:rsid w:val="001B7047"/>
    <w:rsid w:val="001C1708"/>
    <w:rsid w:val="001C2ACB"/>
    <w:rsid w:val="001C57C0"/>
    <w:rsid w:val="001D1B72"/>
    <w:rsid w:val="001D57FD"/>
    <w:rsid w:val="001D6957"/>
    <w:rsid w:val="001E31FD"/>
    <w:rsid w:val="001E5CD4"/>
    <w:rsid w:val="001F0265"/>
    <w:rsid w:val="001F0B0B"/>
    <w:rsid w:val="00200848"/>
    <w:rsid w:val="002008C2"/>
    <w:rsid w:val="00201EA2"/>
    <w:rsid w:val="002031CB"/>
    <w:rsid w:val="00205F22"/>
    <w:rsid w:val="002136A4"/>
    <w:rsid w:val="002155EB"/>
    <w:rsid w:val="00216715"/>
    <w:rsid w:val="002216FD"/>
    <w:rsid w:val="00222AA4"/>
    <w:rsid w:val="00224908"/>
    <w:rsid w:val="00225F8C"/>
    <w:rsid w:val="00233A96"/>
    <w:rsid w:val="002412FE"/>
    <w:rsid w:val="002476C8"/>
    <w:rsid w:val="002520C1"/>
    <w:rsid w:val="0025423B"/>
    <w:rsid w:val="00256E5C"/>
    <w:rsid w:val="00260C9E"/>
    <w:rsid w:val="00262B58"/>
    <w:rsid w:val="00263D36"/>
    <w:rsid w:val="002646D7"/>
    <w:rsid w:val="00270897"/>
    <w:rsid w:val="002749E9"/>
    <w:rsid w:val="00276217"/>
    <w:rsid w:val="00277FB9"/>
    <w:rsid w:val="00280529"/>
    <w:rsid w:val="00281416"/>
    <w:rsid w:val="002835B5"/>
    <w:rsid w:val="0028367E"/>
    <w:rsid w:val="00286442"/>
    <w:rsid w:val="00286A3E"/>
    <w:rsid w:val="00287F75"/>
    <w:rsid w:val="00290578"/>
    <w:rsid w:val="002950CD"/>
    <w:rsid w:val="00297396"/>
    <w:rsid w:val="002A04F0"/>
    <w:rsid w:val="002A22D9"/>
    <w:rsid w:val="002A2858"/>
    <w:rsid w:val="002B067C"/>
    <w:rsid w:val="002B0FDD"/>
    <w:rsid w:val="002B2550"/>
    <w:rsid w:val="002B6207"/>
    <w:rsid w:val="002C63A3"/>
    <w:rsid w:val="002C74A4"/>
    <w:rsid w:val="002D02EE"/>
    <w:rsid w:val="002D0F58"/>
    <w:rsid w:val="002D16A2"/>
    <w:rsid w:val="002D1735"/>
    <w:rsid w:val="002D19B2"/>
    <w:rsid w:val="002D2055"/>
    <w:rsid w:val="002E04B5"/>
    <w:rsid w:val="002E4183"/>
    <w:rsid w:val="002E467F"/>
    <w:rsid w:val="002E543F"/>
    <w:rsid w:val="002F0B0A"/>
    <w:rsid w:val="002F4589"/>
    <w:rsid w:val="002F5FC1"/>
    <w:rsid w:val="003005E2"/>
    <w:rsid w:val="0030086E"/>
    <w:rsid w:val="0030104E"/>
    <w:rsid w:val="00303EA9"/>
    <w:rsid w:val="00307EFD"/>
    <w:rsid w:val="003162DA"/>
    <w:rsid w:val="00316776"/>
    <w:rsid w:val="003202EC"/>
    <w:rsid w:val="00322080"/>
    <w:rsid w:val="003229C1"/>
    <w:rsid w:val="003266D6"/>
    <w:rsid w:val="003306FD"/>
    <w:rsid w:val="00336D22"/>
    <w:rsid w:val="00340C03"/>
    <w:rsid w:val="00343A76"/>
    <w:rsid w:val="00344695"/>
    <w:rsid w:val="00345324"/>
    <w:rsid w:val="0035208C"/>
    <w:rsid w:val="00352CA9"/>
    <w:rsid w:val="00353109"/>
    <w:rsid w:val="00354763"/>
    <w:rsid w:val="00355E90"/>
    <w:rsid w:val="00360183"/>
    <w:rsid w:val="00362ADB"/>
    <w:rsid w:val="00365D37"/>
    <w:rsid w:val="00366D22"/>
    <w:rsid w:val="00373163"/>
    <w:rsid w:val="003737F4"/>
    <w:rsid w:val="00380344"/>
    <w:rsid w:val="00380D12"/>
    <w:rsid w:val="00382F3A"/>
    <w:rsid w:val="0038489F"/>
    <w:rsid w:val="003855C4"/>
    <w:rsid w:val="00392F4A"/>
    <w:rsid w:val="003A0C44"/>
    <w:rsid w:val="003B0DF5"/>
    <w:rsid w:val="003B18BC"/>
    <w:rsid w:val="003B2367"/>
    <w:rsid w:val="003B349A"/>
    <w:rsid w:val="003B57D5"/>
    <w:rsid w:val="003B58C5"/>
    <w:rsid w:val="003B7AC0"/>
    <w:rsid w:val="003B7B83"/>
    <w:rsid w:val="003B7C77"/>
    <w:rsid w:val="003C0951"/>
    <w:rsid w:val="003C424A"/>
    <w:rsid w:val="003C4829"/>
    <w:rsid w:val="003D2C34"/>
    <w:rsid w:val="003D3C7F"/>
    <w:rsid w:val="003D3EAA"/>
    <w:rsid w:val="003D4F64"/>
    <w:rsid w:val="003D72B5"/>
    <w:rsid w:val="003E0AF6"/>
    <w:rsid w:val="003E4E80"/>
    <w:rsid w:val="003E5882"/>
    <w:rsid w:val="003E588D"/>
    <w:rsid w:val="003E5CC1"/>
    <w:rsid w:val="003F2487"/>
    <w:rsid w:val="003F4DF8"/>
    <w:rsid w:val="00403F83"/>
    <w:rsid w:val="0040544E"/>
    <w:rsid w:val="004106D9"/>
    <w:rsid w:val="00411FBC"/>
    <w:rsid w:val="004121AA"/>
    <w:rsid w:val="00415DA2"/>
    <w:rsid w:val="00417879"/>
    <w:rsid w:val="0042396D"/>
    <w:rsid w:val="00423B16"/>
    <w:rsid w:val="00425E17"/>
    <w:rsid w:val="00425FA8"/>
    <w:rsid w:val="004320EA"/>
    <w:rsid w:val="0043296E"/>
    <w:rsid w:val="004413AC"/>
    <w:rsid w:val="0044289C"/>
    <w:rsid w:val="004428FC"/>
    <w:rsid w:val="004448A0"/>
    <w:rsid w:val="00444F9E"/>
    <w:rsid w:val="00445E8C"/>
    <w:rsid w:val="00445FE8"/>
    <w:rsid w:val="00451994"/>
    <w:rsid w:val="00451B9E"/>
    <w:rsid w:val="00452860"/>
    <w:rsid w:val="00456171"/>
    <w:rsid w:val="0046116D"/>
    <w:rsid w:val="0046284A"/>
    <w:rsid w:val="0046668E"/>
    <w:rsid w:val="004668FB"/>
    <w:rsid w:val="0047070A"/>
    <w:rsid w:val="0047563C"/>
    <w:rsid w:val="0048178F"/>
    <w:rsid w:val="00483353"/>
    <w:rsid w:val="0048465D"/>
    <w:rsid w:val="00484A31"/>
    <w:rsid w:val="00486C0D"/>
    <w:rsid w:val="004909C3"/>
    <w:rsid w:val="0049121B"/>
    <w:rsid w:val="00491B1C"/>
    <w:rsid w:val="004924C6"/>
    <w:rsid w:val="004926BF"/>
    <w:rsid w:val="00493A7B"/>
    <w:rsid w:val="004949BF"/>
    <w:rsid w:val="004968B6"/>
    <w:rsid w:val="00496BAF"/>
    <w:rsid w:val="004A04B2"/>
    <w:rsid w:val="004A0E67"/>
    <w:rsid w:val="004A6745"/>
    <w:rsid w:val="004B208C"/>
    <w:rsid w:val="004B34AF"/>
    <w:rsid w:val="004B4399"/>
    <w:rsid w:val="004B5014"/>
    <w:rsid w:val="004B5B95"/>
    <w:rsid w:val="004B65DF"/>
    <w:rsid w:val="004B750B"/>
    <w:rsid w:val="004C02A4"/>
    <w:rsid w:val="004C47D9"/>
    <w:rsid w:val="004C54F8"/>
    <w:rsid w:val="004C7CC0"/>
    <w:rsid w:val="004D1FB0"/>
    <w:rsid w:val="004D4506"/>
    <w:rsid w:val="004D64CD"/>
    <w:rsid w:val="004E37F7"/>
    <w:rsid w:val="004E4BA7"/>
    <w:rsid w:val="004E607B"/>
    <w:rsid w:val="004E610F"/>
    <w:rsid w:val="004F2D78"/>
    <w:rsid w:val="004F592C"/>
    <w:rsid w:val="004F64A3"/>
    <w:rsid w:val="00505543"/>
    <w:rsid w:val="00505603"/>
    <w:rsid w:val="00506A96"/>
    <w:rsid w:val="005173FC"/>
    <w:rsid w:val="00521421"/>
    <w:rsid w:val="00526F56"/>
    <w:rsid w:val="00532A10"/>
    <w:rsid w:val="00532C73"/>
    <w:rsid w:val="00534063"/>
    <w:rsid w:val="00535395"/>
    <w:rsid w:val="005362DE"/>
    <w:rsid w:val="00540669"/>
    <w:rsid w:val="0054290B"/>
    <w:rsid w:val="0054333B"/>
    <w:rsid w:val="0054644A"/>
    <w:rsid w:val="00547480"/>
    <w:rsid w:val="00547A19"/>
    <w:rsid w:val="0055317F"/>
    <w:rsid w:val="0055580B"/>
    <w:rsid w:val="00563235"/>
    <w:rsid w:val="00566ED8"/>
    <w:rsid w:val="00567B27"/>
    <w:rsid w:val="00567C3B"/>
    <w:rsid w:val="005725AF"/>
    <w:rsid w:val="005747F2"/>
    <w:rsid w:val="00575B20"/>
    <w:rsid w:val="005767B6"/>
    <w:rsid w:val="00581084"/>
    <w:rsid w:val="0058121C"/>
    <w:rsid w:val="00585F9A"/>
    <w:rsid w:val="00586FED"/>
    <w:rsid w:val="0059157C"/>
    <w:rsid w:val="00592279"/>
    <w:rsid w:val="005936EE"/>
    <w:rsid w:val="00596817"/>
    <w:rsid w:val="00597AC9"/>
    <w:rsid w:val="005A27B3"/>
    <w:rsid w:val="005A2994"/>
    <w:rsid w:val="005A6615"/>
    <w:rsid w:val="005B0DC9"/>
    <w:rsid w:val="005B154E"/>
    <w:rsid w:val="005B17E4"/>
    <w:rsid w:val="005B1846"/>
    <w:rsid w:val="005B22CF"/>
    <w:rsid w:val="005C4C4C"/>
    <w:rsid w:val="005C5142"/>
    <w:rsid w:val="005C5C5D"/>
    <w:rsid w:val="005C5C96"/>
    <w:rsid w:val="005C6092"/>
    <w:rsid w:val="005C7E9E"/>
    <w:rsid w:val="005D3138"/>
    <w:rsid w:val="005D3C89"/>
    <w:rsid w:val="005D4E80"/>
    <w:rsid w:val="005D56E1"/>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A16"/>
    <w:rsid w:val="00624DC2"/>
    <w:rsid w:val="0062749A"/>
    <w:rsid w:val="006324D8"/>
    <w:rsid w:val="00632600"/>
    <w:rsid w:val="006345CD"/>
    <w:rsid w:val="006345EA"/>
    <w:rsid w:val="0063774D"/>
    <w:rsid w:val="006535B9"/>
    <w:rsid w:val="00653737"/>
    <w:rsid w:val="0065645E"/>
    <w:rsid w:val="006572A2"/>
    <w:rsid w:val="00661FDE"/>
    <w:rsid w:val="00665376"/>
    <w:rsid w:val="00665B4D"/>
    <w:rsid w:val="006712AF"/>
    <w:rsid w:val="0067436D"/>
    <w:rsid w:val="006761C9"/>
    <w:rsid w:val="00676374"/>
    <w:rsid w:val="00676833"/>
    <w:rsid w:val="00677E6A"/>
    <w:rsid w:val="0068073F"/>
    <w:rsid w:val="006810D9"/>
    <w:rsid w:val="00682901"/>
    <w:rsid w:val="006834EA"/>
    <w:rsid w:val="006836A9"/>
    <w:rsid w:val="00693E83"/>
    <w:rsid w:val="006942C9"/>
    <w:rsid w:val="00696212"/>
    <w:rsid w:val="00696455"/>
    <w:rsid w:val="006A0383"/>
    <w:rsid w:val="006A1B58"/>
    <w:rsid w:val="006A263A"/>
    <w:rsid w:val="006A4E2C"/>
    <w:rsid w:val="006A530F"/>
    <w:rsid w:val="006B191E"/>
    <w:rsid w:val="006B4C5F"/>
    <w:rsid w:val="006B56A2"/>
    <w:rsid w:val="006B70A4"/>
    <w:rsid w:val="006C0920"/>
    <w:rsid w:val="006C2C39"/>
    <w:rsid w:val="006D1063"/>
    <w:rsid w:val="006D2346"/>
    <w:rsid w:val="006D61D9"/>
    <w:rsid w:val="006E1D2D"/>
    <w:rsid w:val="006E1F3F"/>
    <w:rsid w:val="006E452E"/>
    <w:rsid w:val="006E4ACB"/>
    <w:rsid w:val="006E724A"/>
    <w:rsid w:val="006F006D"/>
    <w:rsid w:val="006F0AEF"/>
    <w:rsid w:val="006F21DA"/>
    <w:rsid w:val="006F251B"/>
    <w:rsid w:val="006F4790"/>
    <w:rsid w:val="00705BF8"/>
    <w:rsid w:val="00707496"/>
    <w:rsid w:val="00707769"/>
    <w:rsid w:val="00710055"/>
    <w:rsid w:val="00711B56"/>
    <w:rsid w:val="00712CB6"/>
    <w:rsid w:val="0071572D"/>
    <w:rsid w:val="00715C34"/>
    <w:rsid w:val="007224E7"/>
    <w:rsid w:val="0072365B"/>
    <w:rsid w:val="00727BB6"/>
    <w:rsid w:val="00731A5C"/>
    <w:rsid w:val="00732681"/>
    <w:rsid w:val="00732BA6"/>
    <w:rsid w:val="00735922"/>
    <w:rsid w:val="00742D14"/>
    <w:rsid w:val="007476E0"/>
    <w:rsid w:val="00760174"/>
    <w:rsid w:val="00767599"/>
    <w:rsid w:val="00767F66"/>
    <w:rsid w:val="00770584"/>
    <w:rsid w:val="00783BD4"/>
    <w:rsid w:val="0078429A"/>
    <w:rsid w:val="0078717A"/>
    <w:rsid w:val="00792F44"/>
    <w:rsid w:val="00793475"/>
    <w:rsid w:val="0079470D"/>
    <w:rsid w:val="00796265"/>
    <w:rsid w:val="00796AC0"/>
    <w:rsid w:val="007A1666"/>
    <w:rsid w:val="007A6B3A"/>
    <w:rsid w:val="007B00F8"/>
    <w:rsid w:val="007B1194"/>
    <w:rsid w:val="007B1F8F"/>
    <w:rsid w:val="007B3016"/>
    <w:rsid w:val="007B574B"/>
    <w:rsid w:val="007D6003"/>
    <w:rsid w:val="007D6737"/>
    <w:rsid w:val="007E083A"/>
    <w:rsid w:val="007E1071"/>
    <w:rsid w:val="007E19BD"/>
    <w:rsid w:val="007E2A26"/>
    <w:rsid w:val="007F2BAD"/>
    <w:rsid w:val="007F6F70"/>
    <w:rsid w:val="008017EC"/>
    <w:rsid w:val="00803001"/>
    <w:rsid w:val="00810B9B"/>
    <w:rsid w:val="00810E2F"/>
    <w:rsid w:val="008110B2"/>
    <w:rsid w:val="008128AC"/>
    <w:rsid w:val="00812CDC"/>
    <w:rsid w:val="00813B3D"/>
    <w:rsid w:val="00813D6B"/>
    <w:rsid w:val="00816029"/>
    <w:rsid w:val="0081669F"/>
    <w:rsid w:val="008168D0"/>
    <w:rsid w:val="008229C5"/>
    <w:rsid w:val="00822E6E"/>
    <w:rsid w:val="008252C7"/>
    <w:rsid w:val="008270D1"/>
    <w:rsid w:val="00832ECB"/>
    <w:rsid w:val="00840124"/>
    <w:rsid w:val="00842800"/>
    <w:rsid w:val="008447EC"/>
    <w:rsid w:val="00850C2E"/>
    <w:rsid w:val="00852B02"/>
    <w:rsid w:val="008601AC"/>
    <w:rsid w:val="00863674"/>
    <w:rsid w:val="0086391E"/>
    <w:rsid w:val="00863D3D"/>
    <w:rsid w:val="008662D1"/>
    <w:rsid w:val="00870D96"/>
    <w:rsid w:val="00872090"/>
    <w:rsid w:val="008728CA"/>
    <w:rsid w:val="00872C1E"/>
    <w:rsid w:val="00874C7D"/>
    <w:rsid w:val="008754E6"/>
    <w:rsid w:val="00875947"/>
    <w:rsid w:val="00876CB9"/>
    <w:rsid w:val="00880E1A"/>
    <w:rsid w:val="00881AF1"/>
    <w:rsid w:val="008837FC"/>
    <w:rsid w:val="008877D7"/>
    <w:rsid w:val="00893E41"/>
    <w:rsid w:val="008949DA"/>
    <w:rsid w:val="008A00C4"/>
    <w:rsid w:val="008A0703"/>
    <w:rsid w:val="008A382A"/>
    <w:rsid w:val="008A7B1F"/>
    <w:rsid w:val="008B24BF"/>
    <w:rsid w:val="008B5324"/>
    <w:rsid w:val="008B7E5A"/>
    <w:rsid w:val="008C2701"/>
    <w:rsid w:val="008C2D28"/>
    <w:rsid w:val="008C2DE8"/>
    <w:rsid w:val="008C2E37"/>
    <w:rsid w:val="008D21F1"/>
    <w:rsid w:val="008D3B13"/>
    <w:rsid w:val="008D3B9D"/>
    <w:rsid w:val="008D6C97"/>
    <w:rsid w:val="008E192D"/>
    <w:rsid w:val="008E3A74"/>
    <w:rsid w:val="008E415B"/>
    <w:rsid w:val="008F047F"/>
    <w:rsid w:val="008F2EBA"/>
    <w:rsid w:val="008F49CF"/>
    <w:rsid w:val="008F5B56"/>
    <w:rsid w:val="008F5EF0"/>
    <w:rsid w:val="00903CED"/>
    <w:rsid w:val="00904D12"/>
    <w:rsid w:val="00906980"/>
    <w:rsid w:val="009101F7"/>
    <w:rsid w:val="00911459"/>
    <w:rsid w:val="00912ADC"/>
    <w:rsid w:val="0091476C"/>
    <w:rsid w:val="0091512D"/>
    <w:rsid w:val="00927EE8"/>
    <w:rsid w:val="00927F7C"/>
    <w:rsid w:val="00932090"/>
    <w:rsid w:val="009339CE"/>
    <w:rsid w:val="00940B79"/>
    <w:rsid w:val="00940ED3"/>
    <w:rsid w:val="009433EF"/>
    <w:rsid w:val="009439BF"/>
    <w:rsid w:val="00943AD1"/>
    <w:rsid w:val="009442B1"/>
    <w:rsid w:val="0094736F"/>
    <w:rsid w:val="0094796B"/>
    <w:rsid w:val="009533D0"/>
    <w:rsid w:val="0096550A"/>
    <w:rsid w:val="00974FA9"/>
    <w:rsid w:val="0098050F"/>
    <w:rsid w:val="00980FF4"/>
    <w:rsid w:val="00984104"/>
    <w:rsid w:val="00987A30"/>
    <w:rsid w:val="00987DA9"/>
    <w:rsid w:val="009909E0"/>
    <w:rsid w:val="00991609"/>
    <w:rsid w:val="009916EC"/>
    <w:rsid w:val="00992432"/>
    <w:rsid w:val="00992DDF"/>
    <w:rsid w:val="00995439"/>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A70"/>
    <w:rsid w:val="009E6B18"/>
    <w:rsid w:val="009E784A"/>
    <w:rsid w:val="009F20C7"/>
    <w:rsid w:val="009F43F4"/>
    <w:rsid w:val="009F5377"/>
    <w:rsid w:val="009F57B1"/>
    <w:rsid w:val="009F6295"/>
    <w:rsid w:val="009F6808"/>
    <w:rsid w:val="00A03731"/>
    <w:rsid w:val="00A053EE"/>
    <w:rsid w:val="00A05B3E"/>
    <w:rsid w:val="00A0737C"/>
    <w:rsid w:val="00A10EFC"/>
    <w:rsid w:val="00A1612C"/>
    <w:rsid w:val="00A205F6"/>
    <w:rsid w:val="00A24A7A"/>
    <w:rsid w:val="00A2570B"/>
    <w:rsid w:val="00A336CB"/>
    <w:rsid w:val="00A416AB"/>
    <w:rsid w:val="00A424CB"/>
    <w:rsid w:val="00A4491A"/>
    <w:rsid w:val="00A4524F"/>
    <w:rsid w:val="00A4627D"/>
    <w:rsid w:val="00A50BA4"/>
    <w:rsid w:val="00A5642A"/>
    <w:rsid w:val="00A62B70"/>
    <w:rsid w:val="00A6331E"/>
    <w:rsid w:val="00A64BE9"/>
    <w:rsid w:val="00A64D56"/>
    <w:rsid w:val="00A66DCB"/>
    <w:rsid w:val="00A66F51"/>
    <w:rsid w:val="00A72948"/>
    <w:rsid w:val="00A73AC5"/>
    <w:rsid w:val="00A73E6C"/>
    <w:rsid w:val="00A744DE"/>
    <w:rsid w:val="00A84B5D"/>
    <w:rsid w:val="00A8556B"/>
    <w:rsid w:val="00A860A3"/>
    <w:rsid w:val="00A87C49"/>
    <w:rsid w:val="00A90485"/>
    <w:rsid w:val="00A958D9"/>
    <w:rsid w:val="00A968F3"/>
    <w:rsid w:val="00A96CDC"/>
    <w:rsid w:val="00AA3BAF"/>
    <w:rsid w:val="00AA6408"/>
    <w:rsid w:val="00AB0935"/>
    <w:rsid w:val="00AB15C3"/>
    <w:rsid w:val="00AB4D38"/>
    <w:rsid w:val="00AB609E"/>
    <w:rsid w:val="00AB63DD"/>
    <w:rsid w:val="00AB7BFC"/>
    <w:rsid w:val="00AB7F96"/>
    <w:rsid w:val="00AC4CA3"/>
    <w:rsid w:val="00AD30FF"/>
    <w:rsid w:val="00AD320B"/>
    <w:rsid w:val="00AD7E0D"/>
    <w:rsid w:val="00AE1FA7"/>
    <w:rsid w:val="00AE23FF"/>
    <w:rsid w:val="00AE2B7B"/>
    <w:rsid w:val="00AF33C9"/>
    <w:rsid w:val="00B02BA5"/>
    <w:rsid w:val="00B06187"/>
    <w:rsid w:val="00B11DC2"/>
    <w:rsid w:val="00B16D56"/>
    <w:rsid w:val="00B17980"/>
    <w:rsid w:val="00B20207"/>
    <w:rsid w:val="00B22F90"/>
    <w:rsid w:val="00B231F6"/>
    <w:rsid w:val="00B24822"/>
    <w:rsid w:val="00B27974"/>
    <w:rsid w:val="00B3527E"/>
    <w:rsid w:val="00B3770B"/>
    <w:rsid w:val="00B37F6D"/>
    <w:rsid w:val="00B419F3"/>
    <w:rsid w:val="00B4309C"/>
    <w:rsid w:val="00B43418"/>
    <w:rsid w:val="00B44176"/>
    <w:rsid w:val="00B44E44"/>
    <w:rsid w:val="00B44E92"/>
    <w:rsid w:val="00B46640"/>
    <w:rsid w:val="00B5152C"/>
    <w:rsid w:val="00B52818"/>
    <w:rsid w:val="00B53158"/>
    <w:rsid w:val="00B533DB"/>
    <w:rsid w:val="00B54709"/>
    <w:rsid w:val="00B7106E"/>
    <w:rsid w:val="00B7131A"/>
    <w:rsid w:val="00B76C8C"/>
    <w:rsid w:val="00B82307"/>
    <w:rsid w:val="00B8247C"/>
    <w:rsid w:val="00B82C16"/>
    <w:rsid w:val="00B84290"/>
    <w:rsid w:val="00B8677E"/>
    <w:rsid w:val="00B8713C"/>
    <w:rsid w:val="00B962F2"/>
    <w:rsid w:val="00B97039"/>
    <w:rsid w:val="00B97E3D"/>
    <w:rsid w:val="00B97EF1"/>
    <w:rsid w:val="00BA54E3"/>
    <w:rsid w:val="00BB24CE"/>
    <w:rsid w:val="00BB2669"/>
    <w:rsid w:val="00BB4179"/>
    <w:rsid w:val="00BB5E32"/>
    <w:rsid w:val="00BC1722"/>
    <w:rsid w:val="00BD09DF"/>
    <w:rsid w:val="00BD12AE"/>
    <w:rsid w:val="00BD17C4"/>
    <w:rsid w:val="00BD4706"/>
    <w:rsid w:val="00BD7616"/>
    <w:rsid w:val="00BD7B06"/>
    <w:rsid w:val="00BE3119"/>
    <w:rsid w:val="00BE521E"/>
    <w:rsid w:val="00BE55B8"/>
    <w:rsid w:val="00BE6296"/>
    <w:rsid w:val="00BF1DBB"/>
    <w:rsid w:val="00BF22AA"/>
    <w:rsid w:val="00BF2465"/>
    <w:rsid w:val="00BF396D"/>
    <w:rsid w:val="00BF531B"/>
    <w:rsid w:val="00BF7730"/>
    <w:rsid w:val="00C05B31"/>
    <w:rsid w:val="00C06AAC"/>
    <w:rsid w:val="00C10FCA"/>
    <w:rsid w:val="00C25499"/>
    <w:rsid w:val="00C276C2"/>
    <w:rsid w:val="00C30D1F"/>
    <w:rsid w:val="00C33C62"/>
    <w:rsid w:val="00C344A0"/>
    <w:rsid w:val="00C40695"/>
    <w:rsid w:val="00C5306D"/>
    <w:rsid w:val="00C553B1"/>
    <w:rsid w:val="00C5642F"/>
    <w:rsid w:val="00C57C5D"/>
    <w:rsid w:val="00C6008B"/>
    <w:rsid w:val="00C60913"/>
    <w:rsid w:val="00C6212C"/>
    <w:rsid w:val="00C628D7"/>
    <w:rsid w:val="00C62F61"/>
    <w:rsid w:val="00C62F93"/>
    <w:rsid w:val="00C643B7"/>
    <w:rsid w:val="00C653F5"/>
    <w:rsid w:val="00C6713D"/>
    <w:rsid w:val="00C71310"/>
    <w:rsid w:val="00C74797"/>
    <w:rsid w:val="00C74F43"/>
    <w:rsid w:val="00C75A43"/>
    <w:rsid w:val="00C77078"/>
    <w:rsid w:val="00C7763C"/>
    <w:rsid w:val="00C84C3A"/>
    <w:rsid w:val="00C879D3"/>
    <w:rsid w:val="00C87CFE"/>
    <w:rsid w:val="00C90961"/>
    <w:rsid w:val="00C93368"/>
    <w:rsid w:val="00C93D75"/>
    <w:rsid w:val="00C94744"/>
    <w:rsid w:val="00C9492C"/>
    <w:rsid w:val="00C96742"/>
    <w:rsid w:val="00C96A42"/>
    <w:rsid w:val="00C96B93"/>
    <w:rsid w:val="00CA0AC2"/>
    <w:rsid w:val="00CA0C2B"/>
    <w:rsid w:val="00CA2949"/>
    <w:rsid w:val="00CA301C"/>
    <w:rsid w:val="00CA51E7"/>
    <w:rsid w:val="00CA6DCA"/>
    <w:rsid w:val="00CB53B9"/>
    <w:rsid w:val="00CB59E0"/>
    <w:rsid w:val="00CC3A14"/>
    <w:rsid w:val="00CC3A16"/>
    <w:rsid w:val="00CC5766"/>
    <w:rsid w:val="00CC62D8"/>
    <w:rsid w:val="00CD14BD"/>
    <w:rsid w:val="00CD3518"/>
    <w:rsid w:val="00CD6486"/>
    <w:rsid w:val="00CD6BAB"/>
    <w:rsid w:val="00CE1B01"/>
    <w:rsid w:val="00CE2413"/>
    <w:rsid w:val="00CE2E40"/>
    <w:rsid w:val="00CE6DC1"/>
    <w:rsid w:val="00CF2C01"/>
    <w:rsid w:val="00CF7EFF"/>
    <w:rsid w:val="00D009F9"/>
    <w:rsid w:val="00D1086C"/>
    <w:rsid w:val="00D108D1"/>
    <w:rsid w:val="00D14DBE"/>
    <w:rsid w:val="00D165AA"/>
    <w:rsid w:val="00D17EB5"/>
    <w:rsid w:val="00D222B5"/>
    <w:rsid w:val="00D22AAB"/>
    <w:rsid w:val="00D22BB2"/>
    <w:rsid w:val="00D239A4"/>
    <w:rsid w:val="00D23D27"/>
    <w:rsid w:val="00D240A2"/>
    <w:rsid w:val="00D24233"/>
    <w:rsid w:val="00D26CA9"/>
    <w:rsid w:val="00D340C1"/>
    <w:rsid w:val="00D3651C"/>
    <w:rsid w:val="00D42BB6"/>
    <w:rsid w:val="00D42F0B"/>
    <w:rsid w:val="00D43E79"/>
    <w:rsid w:val="00D43F1D"/>
    <w:rsid w:val="00D442B3"/>
    <w:rsid w:val="00D50479"/>
    <w:rsid w:val="00D512C7"/>
    <w:rsid w:val="00D53EC5"/>
    <w:rsid w:val="00D56D38"/>
    <w:rsid w:val="00D61DC4"/>
    <w:rsid w:val="00D633A3"/>
    <w:rsid w:val="00D6348A"/>
    <w:rsid w:val="00D666EA"/>
    <w:rsid w:val="00D719A1"/>
    <w:rsid w:val="00D72234"/>
    <w:rsid w:val="00D82A8B"/>
    <w:rsid w:val="00D86C2E"/>
    <w:rsid w:val="00D87D79"/>
    <w:rsid w:val="00D90B5A"/>
    <w:rsid w:val="00D9378C"/>
    <w:rsid w:val="00D93C51"/>
    <w:rsid w:val="00D950DC"/>
    <w:rsid w:val="00D96858"/>
    <w:rsid w:val="00D96CBD"/>
    <w:rsid w:val="00D97F18"/>
    <w:rsid w:val="00DA16C0"/>
    <w:rsid w:val="00DB1BB0"/>
    <w:rsid w:val="00DB4720"/>
    <w:rsid w:val="00DB76A2"/>
    <w:rsid w:val="00DC317C"/>
    <w:rsid w:val="00DC3E65"/>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1E2"/>
    <w:rsid w:val="00E165B4"/>
    <w:rsid w:val="00E16B21"/>
    <w:rsid w:val="00E202F2"/>
    <w:rsid w:val="00E26CEC"/>
    <w:rsid w:val="00E271F0"/>
    <w:rsid w:val="00E2775F"/>
    <w:rsid w:val="00E33DFA"/>
    <w:rsid w:val="00E40F24"/>
    <w:rsid w:val="00E46B16"/>
    <w:rsid w:val="00E51715"/>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222E"/>
    <w:rsid w:val="00E9253B"/>
    <w:rsid w:val="00EA0372"/>
    <w:rsid w:val="00EA48B1"/>
    <w:rsid w:val="00EA4D44"/>
    <w:rsid w:val="00EB0FA7"/>
    <w:rsid w:val="00EB1313"/>
    <w:rsid w:val="00EB158F"/>
    <w:rsid w:val="00EB15DF"/>
    <w:rsid w:val="00EB3020"/>
    <w:rsid w:val="00EB5119"/>
    <w:rsid w:val="00EB7BEE"/>
    <w:rsid w:val="00EC126F"/>
    <w:rsid w:val="00EC37EC"/>
    <w:rsid w:val="00EC691D"/>
    <w:rsid w:val="00ED2C14"/>
    <w:rsid w:val="00ED78DA"/>
    <w:rsid w:val="00EF4171"/>
    <w:rsid w:val="00EF5FF0"/>
    <w:rsid w:val="00EF722C"/>
    <w:rsid w:val="00F131A5"/>
    <w:rsid w:val="00F16042"/>
    <w:rsid w:val="00F16059"/>
    <w:rsid w:val="00F17126"/>
    <w:rsid w:val="00F20346"/>
    <w:rsid w:val="00F211DF"/>
    <w:rsid w:val="00F23D61"/>
    <w:rsid w:val="00F27EC2"/>
    <w:rsid w:val="00F3195F"/>
    <w:rsid w:val="00F337C7"/>
    <w:rsid w:val="00F36671"/>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803DC"/>
    <w:rsid w:val="00F806FB"/>
    <w:rsid w:val="00F810EE"/>
    <w:rsid w:val="00F83908"/>
    <w:rsid w:val="00F839D4"/>
    <w:rsid w:val="00F84063"/>
    <w:rsid w:val="00F8798D"/>
    <w:rsid w:val="00F90643"/>
    <w:rsid w:val="00F91A8D"/>
    <w:rsid w:val="00F92454"/>
    <w:rsid w:val="00F9595F"/>
    <w:rsid w:val="00F96383"/>
    <w:rsid w:val="00FA0735"/>
    <w:rsid w:val="00FA3C4C"/>
    <w:rsid w:val="00FA5CB0"/>
    <w:rsid w:val="00FA7BE6"/>
    <w:rsid w:val="00FB208E"/>
    <w:rsid w:val="00FB2C15"/>
    <w:rsid w:val="00FB4166"/>
    <w:rsid w:val="00FD05FE"/>
    <w:rsid w:val="00FD0856"/>
    <w:rsid w:val="00FD3FDD"/>
    <w:rsid w:val="00FD4849"/>
    <w:rsid w:val="00FD652C"/>
    <w:rsid w:val="00FE3AAC"/>
    <w:rsid w:val="00FE5DC9"/>
    <w:rsid w:val="00FE7250"/>
    <w:rsid w:val="00FE7889"/>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B93"/>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5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4676022">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0374">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3892704">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6323270">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66611793">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480896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741196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202735">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012991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3334263">
      <w:bodyDiv w:val="1"/>
      <w:marLeft w:val="0"/>
      <w:marRight w:val="0"/>
      <w:marTop w:val="0"/>
      <w:marBottom w:val="0"/>
      <w:divBdr>
        <w:top w:val="none" w:sz="0" w:space="0" w:color="auto"/>
        <w:left w:val="none" w:sz="0" w:space="0" w:color="auto"/>
        <w:bottom w:val="none" w:sz="0" w:space="0" w:color="auto"/>
        <w:right w:val="none" w:sz="0" w:space="0" w:color="auto"/>
      </w:divBdr>
    </w:div>
    <w:div w:id="114254021">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26596">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3520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5538018">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8133017">
      <w:bodyDiv w:val="1"/>
      <w:marLeft w:val="0"/>
      <w:marRight w:val="0"/>
      <w:marTop w:val="0"/>
      <w:marBottom w:val="0"/>
      <w:divBdr>
        <w:top w:val="none" w:sz="0" w:space="0" w:color="auto"/>
        <w:left w:val="none" w:sz="0" w:space="0" w:color="auto"/>
        <w:bottom w:val="none" w:sz="0" w:space="0" w:color="auto"/>
        <w:right w:val="none" w:sz="0" w:space="0" w:color="auto"/>
      </w:divBdr>
    </w:div>
    <w:div w:id="149488712">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4692656">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56193986">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5656669">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1356179">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8817786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1188647">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451537">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28197303">
      <w:bodyDiv w:val="1"/>
      <w:marLeft w:val="0"/>
      <w:marRight w:val="0"/>
      <w:marTop w:val="0"/>
      <w:marBottom w:val="0"/>
      <w:divBdr>
        <w:top w:val="none" w:sz="0" w:space="0" w:color="auto"/>
        <w:left w:val="none" w:sz="0" w:space="0" w:color="auto"/>
        <w:bottom w:val="none" w:sz="0" w:space="0" w:color="auto"/>
        <w:right w:val="none" w:sz="0" w:space="0" w:color="auto"/>
      </w:divBdr>
    </w:div>
    <w:div w:id="229116734">
      <w:bodyDiv w:val="1"/>
      <w:marLeft w:val="0"/>
      <w:marRight w:val="0"/>
      <w:marTop w:val="0"/>
      <w:marBottom w:val="0"/>
      <w:divBdr>
        <w:top w:val="none" w:sz="0" w:space="0" w:color="auto"/>
        <w:left w:val="none" w:sz="0" w:space="0" w:color="auto"/>
        <w:bottom w:val="none" w:sz="0" w:space="0" w:color="auto"/>
        <w:right w:val="none" w:sz="0" w:space="0" w:color="auto"/>
      </w:divBdr>
    </w:div>
    <w:div w:id="229731945">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1859049">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6543700">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90868370">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264614">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398119">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1832267">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128478">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287470">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09423631">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5343103">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3498966">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5587034">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3084587">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69902756">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1316347">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4107647">
      <w:bodyDiv w:val="1"/>
      <w:marLeft w:val="0"/>
      <w:marRight w:val="0"/>
      <w:marTop w:val="0"/>
      <w:marBottom w:val="0"/>
      <w:divBdr>
        <w:top w:val="none" w:sz="0" w:space="0" w:color="auto"/>
        <w:left w:val="none" w:sz="0" w:space="0" w:color="auto"/>
        <w:bottom w:val="none" w:sz="0" w:space="0" w:color="auto"/>
        <w:right w:val="none" w:sz="0" w:space="0" w:color="auto"/>
      </w:divBdr>
    </w:div>
    <w:div w:id="495532612">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169048">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4367804">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09872727">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476956">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24440503">
      <w:bodyDiv w:val="1"/>
      <w:marLeft w:val="0"/>
      <w:marRight w:val="0"/>
      <w:marTop w:val="0"/>
      <w:marBottom w:val="0"/>
      <w:divBdr>
        <w:top w:val="none" w:sz="0" w:space="0" w:color="auto"/>
        <w:left w:val="none" w:sz="0" w:space="0" w:color="auto"/>
        <w:bottom w:val="none" w:sz="0" w:space="0" w:color="auto"/>
        <w:right w:val="none" w:sz="0" w:space="0" w:color="auto"/>
      </w:divBdr>
    </w:div>
    <w:div w:id="526064950">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38710493">
      <w:bodyDiv w:val="1"/>
      <w:marLeft w:val="0"/>
      <w:marRight w:val="0"/>
      <w:marTop w:val="0"/>
      <w:marBottom w:val="0"/>
      <w:divBdr>
        <w:top w:val="none" w:sz="0" w:space="0" w:color="auto"/>
        <w:left w:val="none" w:sz="0" w:space="0" w:color="auto"/>
        <w:bottom w:val="none" w:sz="0" w:space="0" w:color="auto"/>
        <w:right w:val="none" w:sz="0" w:space="0" w:color="auto"/>
      </w:divBdr>
    </w:div>
    <w:div w:id="542182390">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0870576">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307800">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3103216">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88586791">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5314699">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669371">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11742">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4674873">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127146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174281">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2173298">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1353503">
      <w:bodyDiv w:val="1"/>
      <w:marLeft w:val="0"/>
      <w:marRight w:val="0"/>
      <w:marTop w:val="0"/>
      <w:marBottom w:val="0"/>
      <w:divBdr>
        <w:top w:val="none" w:sz="0" w:space="0" w:color="auto"/>
        <w:left w:val="none" w:sz="0" w:space="0" w:color="auto"/>
        <w:bottom w:val="none" w:sz="0" w:space="0" w:color="auto"/>
        <w:right w:val="none" w:sz="0" w:space="0" w:color="auto"/>
      </w:divBdr>
    </w:div>
    <w:div w:id="664478613">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698310981">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4057510">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53940811">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7163184">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0319761">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5484236">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8612894">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0559151">
      <w:bodyDiv w:val="1"/>
      <w:marLeft w:val="0"/>
      <w:marRight w:val="0"/>
      <w:marTop w:val="0"/>
      <w:marBottom w:val="0"/>
      <w:divBdr>
        <w:top w:val="none" w:sz="0" w:space="0" w:color="auto"/>
        <w:left w:val="none" w:sz="0" w:space="0" w:color="auto"/>
        <w:bottom w:val="none" w:sz="0" w:space="0" w:color="auto"/>
        <w:right w:val="none" w:sz="0" w:space="0" w:color="auto"/>
      </w:divBdr>
    </w:div>
    <w:div w:id="836044506">
      <w:bodyDiv w:val="1"/>
      <w:marLeft w:val="0"/>
      <w:marRight w:val="0"/>
      <w:marTop w:val="0"/>
      <w:marBottom w:val="0"/>
      <w:divBdr>
        <w:top w:val="none" w:sz="0" w:space="0" w:color="auto"/>
        <w:left w:val="none" w:sz="0" w:space="0" w:color="auto"/>
        <w:bottom w:val="none" w:sz="0" w:space="0" w:color="auto"/>
        <w:right w:val="none" w:sz="0" w:space="0" w:color="auto"/>
      </w:divBdr>
    </w:div>
    <w:div w:id="838543136">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4438902">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150722">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025357">
      <w:bodyDiv w:val="1"/>
      <w:marLeft w:val="0"/>
      <w:marRight w:val="0"/>
      <w:marTop w:val="0"/>
      <w:marBottom w:val="0"/>
      <w:divBdr>
        <w:top w:val="none" w:sz="0" w:space="0" w:color="auto"/>
        <w:left w:val="none" w:sz="0" w:space="0" w:color="auto"/>
        <w:bottom w:val="none" w:sz="0" w:space="0" w:color="auto"/>
        <w:right w:val="none" w:sz="0" w:space="0" w:color="auto"/>
      </w:divBdr>
    </w:div>
    <w:div w:id="866602568">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1913978">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0432884">
      <w:bodyDiv w:val="1"/>
      <w:marLeft w:val="0"/>
      <w:marRight w:val="0"/>
      <w:marTop w:val="0"/>
      <w:marBottom w:val="0"/>
      <w:divBdr>
        <w:top w:val="none" w:sz="0" w:space="0" w:color="auto"/>
        <w:left w:val="none" w:sz="0" w:space="0" w:color="auto"/>
        <w:bottom w:val="none" w:sz="0" w:space="0" w:color="auto"/>
        <w:right w:val="none" w:sz="0" w:space="0" w:color="auto"/>
      </w:divBdr>
    </w:div>
    <w:div w:id="913928122">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517607">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65426012">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0384183">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88940523">
      <w:bodyDiv w:val="1"/>
      <w:marLeft w:val="0"/>
      <w:marRight w:val="0"/>
      <w:marTop w:val="0"/>
      <w:marBottom w:val="0"/>
      <w:divBdr>
        <w:top w:val="none" w:sz="0" w:space="0" w:color="auto"/>
        <w:left w:val="none" w:sz="0" w:space="0" w:color="auto"/>
        <w:bottom w:val="none" w:sz="0" w:space="0" w:color="auto"/>
        <w:right w:val="none" w:sz="0" w:space="0" w:color="auto"/>
      </w:divBdr>
    </w:div>
    <w:div w:id="995181359">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6737102">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3359279">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5078499">
      <w:bodyDiv w:val="1"/>
      <w:marLeft w:val="0"/>
      <w:marRight w:val="0"/>
      <w:marTop w:val="0"/>
      <w:marBottom w:val="0"/>
      <w:divBdr>
        <w:top w:val="none" w:sz="0" w:space="0" w:color="auto"/>
        <w:left w:val="none" w:sz="0" w:space="0" w:color="auto"/>
        <w:bottom w:val="none" w:sz="0" w:space="0" w:color="auto"/>
        <w:right w:val="none" w:sz="0" w:space="0" w:color="auto"/>
      </w:divBdr>
    </w:div>
    <w:div w:id="1057164837">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5760523">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279267">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1655898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7968864">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6795069">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67329925">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5771029">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3589234">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5792217">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2509">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2535654">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5599462">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2564169">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5253097">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7336215">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8914277">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3818252">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636696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5568074">
      <w:bodyDiv w:val="1"/>
      <w:marLeft w:val="0"/>
      <w:marRight w:val="0"/>
      <w:marTop w:val="0"/>
      <w:marBottom w:val="0"/>
      <w:divBdr>
        <w:top w:val="none" w:sz="0" w:space="0" w:color="auto"/>
        <w:left w:val="none" w:sz="0" w:space="0" w:color="auto"/>
        <w:bottom w:val="none" w:sz="0" w:space="0" w:color="auto"/>
        <w:right w:val="none" w:sz="0" w:space="0" w:color="auto"/>
      </w:divBdr>
    </w:div>
    <w:div w:id="1427381335">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7746417">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4224814">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590920">
      <w:bodyDiv w:val="1"/>
      <w:marLeft w:val="0"/>
      <w:marRight w:val="0"/>
      <w:marTop w:val="0"/>
      <w:marBottom w:val="0"/>
      <w:divBdr>
        <w:top w:val="none" w:sz="0" w:space="0" w:color="auto"/>
        <w:left w:val="none" w:sz="0" w:space="0" w:color="auto"/>
        <w:bottom w:val="none" w:sz="0" w:space="0" w:color="auto"/>
        <w:right w:val="none" w:sz="0" w:space="0" w:color="auto"/>
      </w:divBdr>
    </w:div>
    <w:div w:id="1453668630">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8669903">
      <w:bodyDiv w:val="1"/>
      <w:marLeft w:val="0"/>
      <w:marRight w:val="0"/>
      <w:marTop w:val="0"/>
      <w:marBottom w:val="0"/>
      <w:divBdr>
        <w:top w:val="none" w:sz="0" w:space="0" w:color="auto"/>
        <w:left w:val="none" w:sz="0" w:space="0" w:color="auto"/>
        <w:bottom w:val="none" w:sz="0" w:space="0" w:color="auto"/>
        <w:right w:val="none" w:sz="0" w:space="0" w:color="auto"/>
      </w:divBdr>
    </w:div>
    <w:div w:id="1469978789">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2115296">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08210345">
      <w:bodyDiv w:val="1"/>
      <w:marLeft w:val="0"/>
      <w:marRight w:val="0"/>
      <w:marTop w:val="0"/>
      <w:marBottom w:val="0"/>
      <w:divBdr>
        <w:top w:val="none" w:sz="0" w:space="0" w:color="auto"/>
        <w:left w:val="none" w:sz="0" w:space="0" w:color="auto"/>
        <w:bottom w:val="none" w:sz="0" w:space="0" w:color="auto"/>
        <w:right w:val="none" w:sz="0" w:space="0" w:color="auto"/>
      </w:divBdr>
    </w:div>
    <w:div w:id="1510750995">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15243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0318081">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27059900">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1994937">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425902">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56894978">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113556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78977327">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598903544">
      <w:bodyDiv w:val="1"/>
      <w:marLeft w:val="0"/>
      <w:marRight w:val="0"/>
      <w:marTop w:val="0"/>
      <w:marBottom w:val="0"/>
      <w:divBdr>
        <w:top w:val="none" w:sz="0" w:space="0" w:color="auto"/>
        <w:left w:val="none" w:sz="0" w:space="0" w:color="auto"/>
        <w:bottom w:val="none" w:sz="0" w:space="0" w:color="auto"/>
        <w:right w:val="none" w:sz="0" w:space="0" w:color="auto"/>
      </w:divBdr>
    </w:div>
    <w:div w:id="1599220402">
      <w:bodyDiv w:val="1"/>
      <w:marLeft w:val="0"/>
      <w:marRight w:val="0"/>
      <w:marTop w:val="0"/>
      <w:marBottom w:val="0"/>
      <w:divBdr>
        <w:top w:val="none" w:sz="0" w:space="0" w:color="auto"/>
        <w:left w:val="none" w:sz="0" w:space="0" w:color="auto"/>
        <w:bottom w:val="none" w:sz="0" w:space="0" w:color="auto"/>
        <w:right w:val="none" w:sz="0" w:space="0" w:color="auto"/>
      </w:divBdr>
    </w:div>
    <w:div w:id="1599558451">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09198612">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0703670">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5403619">
      <w:bodyDiv w:val="1"/>
      <w:marLeft w:val="0"/>
      <w:marRight w:val="0"/>
      <w:marTop w:val="0"/>
      <w:marBottom w:val="0"/>
      <w:divBdr>
        <w:top w:val="none" w:sz="0" w:space="0" w:color="auto"/>
        <w:left w:val="none" w:sz="0" w:space="0" w:color="auto"/>
        <w:bottom w:val="none" w:sz="0" w:space="0" w:color="auto"/>
        <w:right w:val="none" w:sz="0" w:space="0" w:color="auto"/>
      </w:divBdr>
    </w:div>
    <w:div w:id="161586184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2901985">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69208293">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2634159">
      <w:bodyDiv w:val="1"/>
      <w:marLeft w:val="0"/>
      <w:marRight w:val="0"/>
      <w:marTop w:val="0"/>
      <w:marBottom w:val="0"/>
      <w:divBdr>
        <w:top w:val="none" w:sz="0" w:space="0" w:color="auto"/>
        <w:left w:val="none" w:sz="0" w:space="0" w:color="auto"/>
        <w:bottom w:val="none" w:sz="0" w:space="0" w:color="auto"/>
        <w:right w:val="none" w:sz="0" w:space="0" w:color="auto"/>
      </w:divBdr>
    </w:div>
    <w:div w:id="1673606180">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8844999">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1956302">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8607817">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350720">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1054358">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668390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59209594">
      <w:bodyDiv w:val="1"/>
      <w:marLeft w:val="0"/>
      <w:marRight w:val="0"/>
      <w:marTop w:val="0"/>
      <w:marBottom w:val="0"/>
      <w:divBdr>
        <w:top w:val="none" w:sz="0" w:space="0" w:color="auto"/>
        <w:left w:val="none" w:sz="0" w:space="0" w:color="auto"/>
        <w:bottom w:val="none" w:sz="0" w:space="0" w:color="auto"/>
        <w:right w:val="none" w:sz="0" w:space="0" w:color="auto"/>
      </w:divBdr>
    </w:div>
    <w:div w:id="1760562247">
      <w:bodyDiv w:val="1"/>
      <w:marLeft w:val="0"/>
      <w:marRight w:val="0"/>
      <w:marTop w:val="0"/>
      <w:marBottom w:val="0"/>
      <w:divBdr>
        <w:top w:val="none" w:sz="0" w:space="0" w:color="auto"/>
        <w:left w:val="none" w:sz="0" w:space="0" w:color="auto"/>
        <w:bottom w:val="none" w:sz="0" w:space="0" w:color="auto"/>
        <w:right w:val="none" w:sz="0" w:space="0" w:color="auto"/>
      </w:divBdr>
    </w:div>
    <w:div w:id="1760562967">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2991967">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7428591">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09276291">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5439645">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1411100">
      <w:bodyDiv w:val="1"/>
      <w:marLeft w:val="0"/>
      <w:marRight w:val="0"/>
      <w:marTop w:val="0"/>
      <w:marBottom w:val="0"/>
      <w:divBdr>
        <w:top w:val="none" w:sz="0" w:space="0" w:color="auto"/>
        <w:left w:val="none" w:sz="0" w:space="0" w:color="auto"/>
        <w:bottom w:val="none" w:sz="0" w:space="0" w:color="auto"/>
        <w:right w:val="none" w:sz="0" w:space="0" w:color="auto"/>
      </w:divBdr>
    </w:div>
    <w:div w:id="1852253373">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4632761">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193106">
      <w:bodyDiv w:val="1"/>
      <w:marLeft w:val="0"/>
      <w:marRight w:val="0"/>
      <w:marTop w:val="0"/>
      <w:marBottom w:val="0"/>
      <w:divBdr>
        <w:top w:val="none" w:sz="0" w:space="0" w:color="auto"/>
        <w:left w:val="none" w:sz="0" w:space="0" w:color="auto"/>
        <w:bottom w:val="none" w:sz="0" w:space="0" w:color="auto"/>
        <w:right w:val="none" w:sz="0" w:space="0" w:color="auto"/>
      </w:divBdr>
    </w:div>
    <w:div w:id="1930196651">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4338195">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1784426">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4986948">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5768057">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92847237">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3837637">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0608560">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Tor18</b:Tag>
    <b:SourceType>Book</b:SourceType>
    <b:Guid>{9F386A65-A99D-46D0-83ED-5D3FB069CE76}</b:Guid>
    <b:Title>Human Resource Management</b:Title>
    <b:Year>2018</b:Year>
    <b:City>London</b:City>
    <b:Publisher>Pearson</b:Publisher>
    <b:Edition>10th</b:Edition>
    <b:Author>
      <b:Author>
        <b:NameList>
          <b:Person>
            <b:Last>Torrington</b:Last>
            <b:First>Derek</b:First>
          </b:Person>
          <b:Person>
            <b:Last>Hall</b:Last>
            <b:First>Laura</b:First>
          </b:Person>
          <b:Person>
            <b:Last>Atkinson</b:Last>
            <b:First>Carol</b:First>
          </b:Person>
          <b:Person>
            <b:Last>Taylor</b:Last>
            <b:First>Stephen</b:First>
          </b:Person>
        </b:NameList>
      </b:Author>
    </b:Author>
    <b:RefOrder>3</b:RefOrder>
  </b:Source>
  <b:Source>
    <b:Tag>Swa15</b:Tag>
    <b:SourceType>Book</b:SourceType>
    <b:Guid>{A6BEB39C-D75A-4E1F-BD13-6BD0A3934185}</b:Guid>
    <b:Title>Human Resource Development: Strategy and Tactics</b:Title>
    <b:Year>2015</b:Year>
    <b:City>London</b:City>
    <b:Publisher>Routledge</b:Publisher>
    <b:Author>
      <b:Author>
        <b:NameList>
          <b:Person>
            <b:Last>Swart</b:Last>
            <b:First>J.</b:First>
          </b:Person>
          <b:Person>
            <b:Last>Mann</b:Last>
            <b:First>C.</b:First>
          </b:Person>
          <b:Person>
            <b:Last>Brown</b:Last>
            <b:First>S.</b:First>
          </b:Person>
          <b:Person>
            <b:Last>Price</b:Last>
            <b:First>A.</b:First>
          </b:Person>
        </b:NameList>
      </b:Author>
    </b:Author>
    <b:RefOrder>12</b:RefOrder>
  </b:Source>
  <b:Source>
    <b:Tag>Sto14</b:Tag>
    <b:SourceType>Book</b:SourceType>
    <b:Guid>{C6900A5B-DFD1-440D-B327-BD6E2A370BED}</b:Guid>
    <b:Title>New Perspectives on Human Resource Management</b:Title>
    <b:Year>2014</b:Year>
    <b:Publisher>Routledge</b:Publisher>
    <b:Author>
      <b:Author>
        <b:NameList>
          <b:Person>
            <b:Last>Storey</b:Last>
            <b:Middle>J.</b:Middle>
          </b:Person>
        </b:NameList>
      </b:Author>
    </b:Author>
    <b:RefOrder>2</b:RefOrder>
  </b:Source>
  <b:Source>
    <b:Tag>Spa16</b:Tag>
    <b:SourceType>Book</b:SourceType>
    <b:Guid>{8F4EB496-42CC-4211-A73E-C75B6EFDFDA8}</b:Guid>
    <b:Title>Globalizing human resource management</b:Title>
    <b:Year>2016</b:Year>
    <b:Publisher>Routledge</b:Publisher>
    <b:Author>
      <b:Author>
        <b:NameList>
          <b:Person>
            <b:Last>Sparrow</b:Last>
            <b:Middle>P.</b:Middle>
          </b:Person>
          <b:Person>
            <b:Last>Brewster</b:Last>
            <b:Middle>C.</b:Middle>
          </b:Person>
          <b:Person>
            <b:Last>Chung</b:Last>
            <b:Middle>C.</b:Middle>
          </b:Person>
        </b:NameList>
      </b:Author>
    </b:Author>
    <b:RefOrder>1</b:RefOrder>
  </b:Source>
  <b:Source>
    <b:Tag>Saa04</b:Tag>
    <b:SourceType>JournalArticle</b:SourceType>
    <b:Guid>{3A3FE883-0F59-4467-91CF-0B4563BDFE47}</b:Guid>
    <b:Title>Employee attitudes and job satisfaction</b:Title>
    <b:Year>2004</b:Year>
    <b:JournalName>Human Resource Management</b:JournalName>
    <b:Pages>390-410</b:Pages>
    <b:Volume>43</b:Volume>
    <b:Issue>4</b:Issue>
    <b:Author>
      <b:Author>
        <b:NameList>
          <b:Person>
            <b:Last>Saari</b:Last>
            <b:Middle>M.</b:Middle>
            <b:First>L.</b:First>
          </b:Person>
          <b:Person>
            <b:Last>Judge</b:Last>
            <b:Middle>A.</b:Middle>
            <b:First>T.</b:First>
          </b:Person>
        </b:NameList>
      </b:Author>
    </b:Author>
    <b:RefOrder>7</b:RefOrder>
  </b:Source>
  <b:Source>
    <b:Tag>Man09</b:Tag>
    <b:SourceType>Book</b:SourceType>
    <b:Guid>{ED8091FA-DEE4-4C8B-88A6-29DE4C3D8C6B}</b:Guid>
    <b:Title>Human Resource Development</b:Title>
    <b:Year>2009</b:Year>
    <b:City>Oxford</b:City>
    <b:Publisher>Oxford University Press</b:Publisher>
    <b:Author>
      <b:Author>
        <b:NameList>
          <b:Person>
            <b:Last>Mankin</b:Last>
            <b:First>D.</b:First>
          </b:Person>
        </b:NameList>
      </b:Author>
    </b:Author>
    <b:RefOrder>10</b:RefOrder>
  </b:Source>
  <b:Source>
    <b:Tag>Hoo19</b:Tag>
    <b:SourceType>Book</b:SourceType>
    <b:Guid>{6E3A04C7-C5C7-4505-88A3-B231E465E412}</b:Guid>
    <b:Title>Introducing Human Resource Management</b:Title>
    <b:Year>2019</b:Year>
    <b:City>Harlow</b:City>
    <b:Publisher>Perason Education Ltd.</b:Publisher>
    <b:Edition>8th</b:Edition>
    <b:Author>
      <b:Author>
        <b:NameList>
          <b:Person>
            <b:Last>Hook</b:Last>
            <b:First>C.</b:First>
          </b:Person>
          <b:Person>
            <b:Last>Jenkins</b:Last>
            <b:First>A.</b:First>
          </b:Person>
        </b:NameList>
      </b:Author>
    </b:Author>
    <b:RefOrder>13</b:RefOrder>
  </b:Source>
  <b:Source>
    <b:Tag>Des08</b:Tag>
    <b:SourceType>Book</b:SourceType>
    <b:Guid>{5AC64672-3058-4081-9B34-6D1F8671F25C}</b:Guid>
    <b:Title>Human resource management</b:Title>
    <b:Year>2008</b:Year>
    <b:Author>
      <b:Author>
        <b:NameList>
          <b:Person>
            <b:Last>Dessler</b:Last>
            <b:First>G.</b:First>
          </b:Person>
        </b:NameList>
      </b:Author>
    </b:Author>
    <b:City>Upper Saddle River, NJ</b:City>
    <b:Publisher>Pearson, Prentice Hall</b:Publisher>
    <b:Edition>11th</b:Edition>
    <b:RefOrder>11</b:RefOrder>
  </b:Source>
  <b:Source>
    <b:Tag>Cal18</b:Tag>
    <b:SourceType>Book</b:SourceType>
    <b:Guid>{462B25FF-8E55-4841-8A77-F00451039991}</b:Guid>
    <b:Title>Strategic Human Resource Management</b:Title>
    <b:Year>2018</b:Year>
    <b:City>New York</b:City>
    <b:Publisher>Nove Science Publishers</b:Publisher>
    <b:Author>
      <b:Author>
        <b:NameList>
          <b:Person>
            <b:Last>Caldwell</b:Last>
            <b:First>C.</b:First>
          </b:Person>
          <b:Person>
            <b:Last>Anderson</b:Last>
            <b:First>V.</b:First>
          </b:Person>
        </b:NameList>
      </b:Author>
    </b:Author>
    <b:RefOrder>14</b:RefOrder>
  </b:Source>
  <b:Source>
    <b:Tag>Arm14</b:Tag>
    <b:SourceType>Book</b:SourceType>
    <b:Guid>{B9E4E3EE-D597-473F-8B1D-26913D5DA44A}</b:Guid>
    <b:Title>Armstrong's handbook of human resource management practice</b:Title>
    <b:Year>2020</b:Year>
    <b:Publisher>Kogan Page Publishers</b:Publisher>
    <b:Author>
      <b:Author>
        <b:NameList>
          <b:Person>
            <b:Last>Armstrong</b:Last>
            <b:Middle>M.</b:Middle>
          </b:Person>
          <b:Person>
            <b:Last>Taylor</b:Last>
            <b:Middle>S.</b:Middle>
          </b:Person>
        </b:NameList>
      </b:Author>
    </b:Author>
    <b:Edition>15th</b:Edition>
    <b:City>London</b:City>
    <b:RefOrder>5</b:RefOrder>
  </b:Source>
  <b:Source>
    <b:Tag>Bre16</b:Tag>
    <b:SourceType>Book</b:SourceType>
    <b:Guid>{0338FC19-D24A-4BE4-8F18-3739E074FBA0}</b:Guid>
    <b:Title>International Human Resource Management</b:Title>
    <b:Year>2016</b:Year>
    <b:City>London </b:City>
    <b:Publisher>CIPD</b:Publisher>
    <b:Edition>4th</b:Edition>
    <b:Author>
      <b:Author>
        <b:NameList>
          <b:Person>
            <b:Last>Brewster</b:Last>
            <b:First>C.</b:First>
          </b:Person>
          <b:Person>
            <b:Last>Sparrow</b:Last>
            <b:First>P.</b:First>
          </b:Person>
          <b:Person>
            <b:Last>Vernon</b:Last>
            <b:First>G.</b:First>
          </b:Person>
          <b:Person>
            <b:Last>Houldsworth</b:Last>
            <b:First>E.</b:First>
          </b:Person>
        </b:NameList>
      </b:Author>
    </b:Author>
    <b:RefOrder>6</b:RefOrder>
  </b:Source>
  <b:Source>
    <b:Tag>CIP22</b:Tag>
    <b:SourceType>InternetSite</b:SourceType>
    <b:Guid>{F2E77EFA-8028-4498-A0B7-516035932F91}</b:Guid>
    <b:Author>
      <b:Author>
        <b:Corporate>CIPD</b:Corporate>
      </b:Author>
    </b:Author>
    <b:Title>Chartered Institute of Personnel and Development</b:Title>
    <b:Year>2022</b:Year>
    <b:YearAccessed>2022</b:YearAccessed>
    <b:MonthAccessed>03</b:MonthAccessed>
    <b:DayAccessed>15</b:DayAccessed>
    <b:URL>https://www.cipd.co.uk</b:URL>
    <b:RefOrder>4</b:RefOrder>
  </b:Source>
  <b:Source>
    <b:Tag>Wor22</b:Tag>
    <b:SourceType>InternetSite</b:SourceType>
    <b:Guid>{28B76F2A-C103-4693-9F72-FAD3238B108B}</b:Guid>
    <b:Title>Working Families</b:Title>
    <b:Year>2022</b:Year>
    <b:Author>
      <b:Author>
        <b:Corporate>Working Families</b:Corporate>
      </b:Author>
    </b:Author>
    <b:YearAccessed>2022</b:YearAccessed>
    <b:MonthAccessed>06</b:MonthAccessed>
    <b:DayAccessed>01</b:DayAccessed>
    <b:URL>https://workingfamilies.org.uk</b:URL>
    <b:RefOrder>8</b:RefOrder>
  </b:Source>
  <b:Source>
    <b:Tag>UKG10</b:Tag>
    <b:SourceType>InternetSite</b:SourceType>
    <b:Guid>{A40EB957-B0E0-4531-BE75-1F5CA5B1F9C7}</b:Guid>
    <b:Title>Equality Act 2010</b:Title>
    <b:Year>2010</b:Year>
    <b:Author>
      <b:Author>
        <b:Corporate>UK Government</b:Corporate>
      </b:Author>
    </b:Author>
    <b:InternetSiteTitle>Gov.uk</b:InternetSiteTitle>
    <b:URL>https://www.legislation.gov.uk/ukpga/2010/15/contents</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77948C-5911-43B3-B508-51FCE4F42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6011</TotalTime>
  <Pages>1</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187</cp:revision>
  <cp:lastPrinted>2020-11-12T21:16:00Z</cp:lastPrinted>
  <dcterms:created xsi:type="dcterms:W3CDTF">2020-11-23T20:57:00Z</dcterms:created>
  <dcterms:modified xsi:type="dcterms:W3CDTF">2022-05-06T16:52:00Z</dcterms:modified>
</cp:coreProperties>
</file>