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Making use of funerary evidence associated with </w:t>
      </w:r>
      <w:r>
        <w:rPr>
          <w:rFonts w:ascii="Times New Roman" w:hAnsi="Times New Roman"/>
          <w:b w:val="1"/>
          <w:bCs w:val="1"/>
          <w:i w:val="1"/>
          <w:iCs w:val="1"/>
          <w:sz w:val="24"/>
          <w:szCs w:val="24"/>
          <w:u w:val="single"/>
          <w:rtl w:val="0"/>
          <w:lang w:val="en-US"/>
        </w:rPr>
        <w:t>one individual pre-Roman, Iron Age site,</w:t>
      </w:r>
      <w:r>
        <w:rPr>
          <w:rFonts w:ascii="Times New Roman" w:hAnsi="Times New Roman"/>
          <w:b w:val="1"/>
          <w:bCs w:val="1"/>
          <w:i w:val="1"/>
          <w:iCs w:val="1"/>
          <w:sz w:val="24"/>
          <w:szCs w:val="24"/>
          <w:rtl w:val="0"/>
          <w:lang w:val="en-US"/>
        </w:rPr>
        <w:t xml:space="preserve"> discuss how the</w:t>
      </w:r>
      <w:r>
        <w:rPr>
          <w:rFonts w:ascii="Times New Roman" w:hAnsi="Times New Roman"/>
          <w:b w:val="1"/>
          <w:bCs w:val="1"/>
          <w:i w:val="1"/>
          <w:iCs w:val="1"/>
          <w:sz w:val="24"/>
          <w:szCs w:val="24"/>
          <w:u w:val="single"/>
          <w:rtl w:val="0"/>
          <w:lang w:val="en-US"/>
        </w:rPr>
        <w:t xml:space="preserve"> evidence</w:t>
      </w:r>
      <w:r>
        <w:rPr>
          <w:rFonts w:ascii="Times New Roman" w:hAnsi="Times New Roman"/>
          <w:b w:val="1"/>
          <w:bCs w:val="1"/>
          <w:i w:val="1"/>
          <w:iCs w:val="1"/>
          <w:sz w:val="24"/>
          <w:szCs w:val="24"/>
          <w:rtl w:val="0"/>
          <w:lang w:val="en-US"/>
        </w:rPr>
        <w:t xml:space="preserve"> can be used to </w:t>
      </w:r>
      <w:r>
        <w:rPr>
          <w:rFonts w:ascii="Times New Roman" w:hAnsi="Times New Roman"/>
          <w:b w:val="1"/>
          <w:bCs w:val="1"/>
          <w:i w:val="1"/>
          <w:iCs w:val="1"/>
          <w:sz w:val="24"/>
          <w:szCs w:val="24"/>
          <w:u w:val="single"/>
          <w:rtl w:val="0"/>
          <w:lang w:val="en-US"/>
        </w:rPr>
        <w:t>identify differences in the social status</w:t>
      </w:r>
      <w:r>
        <w:rPr>
          <w:rFonts w:ascii="Times New Roman" w:hAnsi="Times New Roman"/>
          <w:b w:val="1"/>
          <w:bCs w:val="1"/>
          <w:i w:val="1"/>
          <w:iCs w:val="1"/>
          <w:sz w:val="24"/>
          <w:szCs w:val="24"/>
          <w:rtl w:val="0"/>
          <w:lang w:val="en-US"/>
        </w:rPr>
        <w:t xml:space="preserve"> of this </w:t>
      </w:r>
      <w:r>
        <w:rPr>
          <w:rFonts w:ascii="Times New Roman" w:hAnsi="Times New Roman"/>
          <w:b w:val="1"/>
          <w:bCs w:val="1"/>
          <w:i w:val="1"/>
          <w:iCs w:val="1"/>
          <w:sz w:val="24"/>
          <w:szCs w:val="24"/>
          <w:u w:val="single"/>
          <w:rtl w:val="0"/>
          <w:lang w:val="en-US"/>
        </w:rPr>
        <w:t>community</w:t>
      </w:r>
      <w:r>
        <w:rPr>
          <w:rFonts w:ascii="Times New Roman" w:hAnsi="Times New Roman"/>
          <w:b w:val="1"/>
          <w:bCs w:val="1"/>
          <w:i w:val="1"/>
          <w:iCs w:val="1"/>
          <w:sz w:val="24"/>
          <w:szCs w:val="24"/>
          <w:rtl w:val="0"/>
          <w:lang w:val="en-US"/>
        </w:rPr>
        <w:t xml:space="preserve">. </w:t>
      </w:r>
    </w:p>
    <w:p>
      <w:pPr>
        <w:pStyle w:val="Body"/>
        <w:rPr>
          <w:rFonts w:ascii="Times New Roman" w:cs="Times New Roman" w:hAnsi="Times New Roman" w:eastAsia="Times New Roman"/>
          <w:b w:val="1"/>
          <w:bCs w:val="1"/>
          <w:i w:val="1"/>
          <w:iCs w:val="1"/>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For this analysis I shall be looking at the Celtic burials of the Aylesford-Swarling culture in Kent with a particular focus of the first cemetery discovered at Aylesford by Sir Arthur </w:t>
      </w:r>
      <w:r>
        <w:rPr>
          <w:rFonts w:ascii="Times New Roman" w:hAnsi="Times New Roman"/>
          <w:sz w:val="24"/>
          <w:szCs w:val="24"/>
          <w:rtl w:val="0"/>
        </w:rPr>
        <w:t>Evans</w:t>
      </w:r>
      <w:r>
        <w:rPr>
          <w:rFonts w:ascii="Times New Roman" w:hAnsi="Times New Roman"/>
          <w:sz w:val="24"/>
          <w:szCs w:val="24"/>
          <w:rtl w:val="0"/>
          <w:lang w:val="en-US"/>
        </w:rPr>
        <w:t xml:space="preserve"> in 1886. I shall be arguing how the funerary evidence can be used to identify difference in the social status between the conquering Belgic culture and the previously indigenous settlements within this pre- Roman, Iron-Age community.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Burial site itself was first documented by Sir Arthur Evans who described the pit graves in great detail, identified the culture as Belgic and traced the settlement to its origins in northern France (Evans, 1890). Although Belgic structure covered most of the Celtic continent, from northern France and Belgium to northern Italy, spanning both sides of the Alps, there was also evidence of it in South East England, particularly around Kent (Envans 1890). It has been proposed that the settlement the result of immigration from Gual as a response to Ceasar</w:t>
      </w:r>
      <w:r>
        <w:rPr>
          <w:rFonts w:ascii="Times New Roman" w:hAnsi="Times New Roman" w:hint="default"/>
          <w:sz w:val="24"/>
          <w:szCs w:val="24"/>
          <w:rtl w:val="0"/>
          <w:lang w:val="en-US"/>
        </w:rPr>
        <w:t>’</w:t>
      </w:r>
      <w:r>
        <w:rPr>
          <w:rFonts w:ascii="Times New Roman" w:hAnsi="Times New Roman"/>
          <w:sz w:val="24"/>
          <w:szCs w:val="24"/>
          <w:rtl w:val="0"/>
          <w:lang w:val="en-US"/>
        </w:rPr>
        <w:t>s campaigns (Ceasar, 1869). However evidence from previous burials within the area suggest that Belgic settlers had been present in the area as well as a long standing economic and social exchange between Britain and Belgic-Gaul (Cunliffe, 2005). The Celts in Kent were considered maritime experts  (Ceasar, 1869) which meant they would have had access to  resources from continental Europe. However this could translate to both political and material resources, as theorised through the presence of two coins which belonged to a style found either side of the Channel, Evan</w:t>
      </w:r>
      <w:r>
        <w:rPr>
          <w:rFonts w:ascii="Times New Roman" w:hAnsi="Times New Roman" w:hint="default"/>
          <w:sz w:val="24"/>
          <w:szCs w:val="24"/>
          <w:rtl w:val="0"/>
          <w:lang w:val="en-US"/>
        </w:rPr>
        <w:t>’</w:t>
      </w:r>
      <w:r>
        <w:rPr>
          <w:rFonts w:ascii="Times New Roman" w:hAnsi="Times New Roman"/>
          <w:sz w:val="24"/>
          <w:szCs w:val="24"/>
          <w:rtl w:val="0"/>
          <w:lang w:val="en-US"/>
        </w:rPr>
        <w:t>s went as far as proposing that they coins belonged to a principality in Belgium that the settlement in Kent were subject to (Evans, 1890). Therefore social status within this settlement could have also pertained to a wider hierarchy that incorporated the northern coast of Continental Europe.</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Two graves that stood out particular were the ones that contained bronze wrapped bucket containing ashes from a human cremation and a double handed tankard, within both graves further earthenware pots also contained ashes (Evans, 1890). These were dated to between 75-25BC however he proposed that the settlement itself had existed from around 150BC (Evans, 1890). Within the grave containing the bronze wrapped bucket were also </w:t>
      </w:r>
      <w:r>
        <w:rPr>
          <w:rFonts w:ascii="Times New Roman" w:hAnsi="Times New Roman"/>
          <w:sz w:val="24"/>
          <w:szCs w:val="24"/>
          <w:rtl w:val="0"/>
          <w:lang w:val="en-US"/>
        </w:rPr>
        <w:t>a pan and a bronze jug, both from either Southern France or Italy, which had been used to make wine</w:t>
      </w:r>
      <w:r>
        <w:rPr>
          <w:rFonts w:ascii="Times New Roman" w:hAnsi="Times New Roman"/>
          <w:sz w:val="24"/>
          <w:szCs w:val="24"/>
          <w:rtl w:val="0"/>
          <w:lang w:val="en-US"/>
        </w:rPr>
        <w:t>, as well as 4 pottery vessels and 3 bronze alloy brooches (British Museum, 2017)</w:t>
      </w:r>
      <w:r>
        <w:rPr>
          <w:rFonts w:ascii="Times New Roman" w:hAnsi="Times New Roman"/>
          <w:sz w:val="24"/>
          <w:szCs w:val="24"/>
          <w:rtl w:val="0"/>
        </w:rPr>
        <w:t xml:space="preserve">. </w:t>
      </w:r>
      <w:r>
        <w:rPr>
          <w:rFonts w:ascii="Times New Roman" w:hAnsi="Times New Roman"/>
          <w:sz w:val="24"/>
          <w:szCs w:val="24"/>
          <w:rtl w:val="0"/>
          <w:lang w:val="en-US"/>
        </w:rPr>
        <w:t xml:space="preserve">These graves were arranged in a satellite formation, with the richer graves, featuring metal-ware and pottery, central and the poorer graves, which predominantly contained earthen-ware, placed around them  (Cunliffe, 2005) in rough circles. This formation has been suggested to reflect family groups, as it is reciprocated in other Belgic sites such as Swarling, where such groups tended to vary between 6 to 10 graves (Bushe-Foxe, 1925) . Furthermore within some of the burial pits, there were smaller urns containing the ashes and bones  potentially belonging children (Evans, 1890), confirming the familial orientation of the collection of graves. Therefore it can be argued that the execution of the layout of the graves themselves provide insight into a differentiation between family groups, which themselves based around a central, important figure.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Between the 3 main burials at Aylesford, difference between grave goods and grave structure themselves emphasised a hierarchy between the families within this community. Within one burial  was a wooden bucket with iron binding, surrounded by 6 pots, however a bigger and more luxurious grave contained a bucket wrapped in bronze, an oenochoe, a patella and multiple pots in the pit 3 </w:t>
      </w:r>
      <w:r>
        <w:rPr>
          <w:rFonts w:ascii="Times New Roman" w:hAnsi="Times New Roman" w:hint="default"/>
          <w:sz w:val="24"/>
          <w:szCs w:val="24"/>
          <w:rtl w:val="0"/>
          <w:lang w:val="en-US"/>
        </w:rPr>
        <w:t xml:space="preserve">½ </w:t>
      </w:r>
      <w:r>
        <w:rPr>
          <w:rFonts w:ascii="Times New Roman" w:hAnsi="Times New Roman"/>
          <w:sz w:val="24"/>
          <w:szCs w:val="24"/>
          <w:rtl w:val="0"/>
          <w:lang w:val="en-US"/>
        </w:rPr>
        <w:t>feet deep, which had been lined with chalk (Evans, 1890). The patella and oenochoe were made in Italy (Cunliffe, 2005) and were either traded with the continent or had been brought with the settlers. However the most wealthy grave contained a bronze mounted, 2 handled vessel speculated to be a type of tankard, this would have been highly decorated with gold and amber, and was surrounded by pots (Evans, 1890).  It was evident that some of the earthenware wear had contained ashes (Evans, 1890) which could be explained by Ceasar</w:t>
      </w:r>
      <w:r>
        <w:rPr>
          <w:rFonts w:ascii="Times New Roman" w:hAnsi="Times New Roman" w:hint="default"/>
          <w:sz w:val="24"/>
          <w:szCs w:val="24"/>
          <w:rtl w:val="0"/>
          <w:lang w:val="en-US"/>
        </w:rPr>
        <w:t>’</w:t>
      </w:r>
      <w:r>
        <w:rPr>
          <w:rFonts w:ascii="Times New Roman" w:hAnsi="Times New Roman"/>
          <w:sz w:val="24"/>
          <w:szCs w:val="24"/>
          <w:rtl w:val="0"/>
          <w:lang w:val="en-US"/>
        </w:rPr>
        <w:t xml:space="preserve">s description on Belgic funeral in which the deceased prized possessions were burnt along with them, supposedly this also applied to slaves and living creatures (Ceasar, 1869).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Within the graves flint flakes and scrapers were also found (Evans, 1890) suggesting that people were buried with the tools of their craft, this may be as a sign of status assigned to craftsmen or because they considered them essential to the afterlife. Therefore it can be assumed that the more pots within the grave itself the more the wealthy the deceased was. In fact the craftsmanship in this settlement was highly superior to that of other pre-Roman communities within Britain. The existence of pits containing charcoal and shards of pottery similar to those found within the graves suggest that it was locally made (Evans, 1890), however this would have been initially done by craftsmen who moved from the continent (Cunliffe, 2005). The wheel-thrown, highly ornamental pottery was considered far more advanced that the whicker baskets that were then covered in clay which were produced by the locals (Evans, 1890). This expertise was probably the reason why the Belgic pottery became more widespread through South Eastern through its adoption within culture as well as its desirability through trade. The popularity of this style pottery would have increased the status of the Belgic craftsmen within the community.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The final differentiation in status I would like to present is that between the settlers and the indigenous. A shift in burial styles to cremation within earthenware urns over the previous inhumation of the deceased within caskets can be attributed to a change in culture in response to Belgic settlement (Evans, 1890). However, some of the graves on the outskirts of the Aylesford site were the flat-graves of the Belgics but </w:t>
      </w:r>
      <w:r>
        <w:rPr>
          <w:rFonts w:ascii="Times New Roman" w:hAnsi="Times New Roman"/>
          <w:sz w:val="24"/>
          <w:szCs w:val="24"/>
          <w:rtl w:val="0"/>
          <w:lang w:val="en-US"/>
        </w:rPr>
        <w:t>the earth</w:t>
      </w:r>
      <w:r>
        <w:rPr>
          <w:rFonts w:ascii="Times New Roman" w:hAnsi="Times New Roman"/>
          <w:sz w:val="24"/>
          <w:szCs w:val="24"/>
          <w:rtl w:val="0"/>
          <w:lang w:val="en-US"/>
        </w:rPr>
        <w:t>en</w:t>
      </w:r>
      <w:r>
        <w:rPr>
          <w:rFonts w:ascii="Times New Roman" w:hAnsi="Times New Roman"/>
          <w:sz w:val="24"/>
          <w:szCs w:val="24"/>
          <w:rtl w:val="0"/>
          <w:lang w:val="en-US"/>
        </w:rPr>
        <w:t xml:space="preserve">ware </w:t>
      </w:r>
      <w:r>
        <w:rPr>
          <w:rFonts w:ascii="Times New Roman" w:hAnsi="Times New Roman"/>
          <w:sz w:val="24"/>
          <w:szCs w:val="24"/>
          <w:rtl w:val="0"/>
          <w:lang w:val="en-US"/>
        </w:rPr>
        <w:t xml:space="preserve">within the graves </w:t>
      </w:r>
      <w:r>
        <w:rPr>
          <w:rFonts w:ascii="Times New Roman" w:hAnsi="Times New Roman"/>
          <w:sz w:val="24"/>
          <w:szCs w:val="24"/>
          <w:rtl w:val="0"/>
          <w:lang w:val="en-US"/>
        </w:rPr>
        <w:t xml:space="preserve">retained characteristic of bronze age </w:t>
      </w:r>
      <w:r>
        <w:rPr>
          <w:rFonts w:ascii="Times New Roman" w:hAnsi="Times New Roman"/>
          <w:sz w:val="24"/>
          <w:szCs w:val="24"/>
          <w:rtl w:val="0"/>
          <w:lang w:val="en-US"/>
        </w:rPr>
        <w:t>Br</w:t>
      </w:r>
      <w:r>
        <w:rPr>
          <w:rFonts w:ascii="Times New Roman" w:hAnsi="Times New Roman"/>
          <w:sz w:val="24"/>
          <w:szCs w:val="24"/>
          <w:rtl w:val="0"/>
          <w:lang w:val="en-US"/>
        </w:rPr>
        <w:t xml:space="preserve">itain before the Gaulish settlers such as the </w:t>
      </w:r>
      <w:r>
        <w:rPr>
          <w:rFonts w:ascii="Times New Roman" w:hAnsi="Times New Roman" w:hint="default"/>
          <w:sz w:val="24"/>
          <w:szCs w:val="24"/>
          <w:rtl w:val="0"/>
        </w:rPr>
        <w:t>‘</w:t>
      </w:r>
      <w:r>
        <w:rPr>
          <w:rFonts w:ascii="Times New Roman" w:hAnsi="Times New Roman"/>
          <w:sz w:val="24"/>
          <w:szCs w:val="24"/>
          <w:rtl w:val="0"/>
          <w:lang w:val="en-US"/>
        </w:rPr>
        <w:t>pie-crust</w:t>
      </w:r>
      <w:r>
        <w:rPr>
          <w:rFonts w:ascii="Times New Roman" w:hAnsi="Times New Roman" w:hint="default"/>
          <w:sz w:val="24"/>
          <w:szCs w:val="24"/>
          <w:rtl w:val="0"/>
        </w:rPr>
        <w:t>’</w:t>
      </w:r>
      <w:r>
        <w:rPr>
          <w:rFonts w:ascii="Times New Roman" w:hAnsi="Times New Roman"/>
          <w:sz w:val="24"/>
          <w:szCs w:val="24"/>
          <w:rtl w:val="0"/>
          <w:lang w:val="en-US"/>
        </w:rPr>
        <w:t xml:space="preserve"> </w:t>
      </w:r>
      <w:r>
        <w:rPr>
          <w:rFonts w:ascii="Times New Roman" w:hAnsi="Times New Roman"/>
          <w:sz w:val="24"/>
          <w:szCs w:val="24"/>
          <w:rtl w:val="0"/>
          <w:lang w:val="en-US"/>
        </w:rPr>
        <w:t>style on the collar of the urns and decorative finger prints and nail scratches</w:t>
      </w:r>
      <w:r>
        <w:rPr>
          <w:rFonts w:ascii="Times New Roman" w:hAnsi="Times New Roman"/>
          <w:sz w:val="24"/>
          <w:szCs w:val="24"/>
          <w:rtl w:val="0"/>
          <w:lang w:val="en-US"/>
        </w:rPr>
        <w:t xml:space="preserve"> (Evans, 1890). This thus shows how Gaulish-Belgic funerary rites prevailed over the existing indigenous practice, however it there remained an essence of the previous cultural identity.Nonetheless these were buried in the </w:t>
      </w:r>
      <w:r>
        <w:rPr>
          <w:rFonts w:ascii="Times New Roman" w:hAnsi="Times New Roman" w:hint="default"/>
          <w:sz w:val="24"/>
          <w:szCs w:val="24"/>
          <w:rtl w:val="0"/>
          <w:lang w:val="en-US"/>
        </w:rPr>
        <w:t>‘</w:t>
      </w:r>
      <w:r>
        <w:rPr>
          <w:rFonts w:ascii="Times New Roman" w:hAnsi="Times New Roman"/>
          <w:sz w:val="24"/>
          <w:szCs w:val="24"/>
          <w:rtl w:val="0"/>
          <w:lang w:val="en-US"/>
        </w:rPr>
        <w:t>flat graves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that had been brought to britain from the continent thus showing the adoption of a </w:t>
      </w:r>
      <w:r>
        <w:rPr>
          <w:rFonts w:ascii="Times New Roman" w:hAnsi="Times New Roman" w:hint="default"/>
          <w:sz w:val="24"/>
          <w:szCs w:val="24"/>
          <w:rtl w:val="0"/>
          <w:lang w:val="en-US"/>
        </w:rPr>
        <w:t>‘</w:t>
      </w:r>
      <w:r>
        <w:rPr>
          <w:rFonts w:ascii="Times New Roman" w:hAnsi="Times New Roman"/>
          <w:sz w:val="24"/>
          <w:szCs w:val="24"/>
          <w:rtl w:val="0"/>
          <w:lang w:val="en-US"/>
        </w:rPr>
        <w:t>system of the dominant race</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lang w:val="en-US"/>
        </w:rPr>
        <w:t>Evans, 1890</w:t>
      </w:r>
      <w:r>
        <w:rPr>
          <w:rFonts w:ascii="Times New Roman" w:hAnsi="Times New Roman"/>
          <w:sz w:val="24"/>
          <w:szCs w:val="24"/>
          <w:rtl w:val="0"/>
          <w:lang w:val="en-US"/>
        </w:rPr>
        <w:t xml:space="preserve">, pg.11). This could provide evidence of a racial elitism in Britain at this time where the Belgic community of the continent prevailed over the indigenous Celts, however not to the point of eradicating their previous cultural styles. Therefore although the status of the Belgic Celts was elevated to above the indigenous, as evident through the adoption of the foreign burial style, it never fully replaced the existing communities identity. </w:t>
      </w:r>
    </w:p>
    <w:p>
      <w:pPr>
        <w:pStyle w:val="Body"/>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status of an individual within the Celtic community at Aylesford is evident in many ways, first through the size of the grave and the goods it contains, the more prominent members being buried within vessels that incorporated metal and thus a sign of wealth and prestige. Secondly through the placement of the grave as central to the family-circle of poorer furnished graves, and finally with the number of earthen-ware pots within the grave. However the status within this community was not isolated to Kent as it was both highly influenced by the continent both due to its origins and the existence of Belgic currency, and highly influential over England due the adoption of Belgic pottery styles throughout South East England.</w:t>
      </w:r>
    </w:p>
    <w:p>
      <w:pPr>
        <w:pStyle w:val="Body"/>
      </w:pPr>
      <w:r>
        <w:rPr>
          <w:rFonts w:ascii="Arial Unicode MS" w:cs="Arial Unicode MS" w:hAnsi="Arial Unicode MS" w:eastAsia="Arial Unicode MS"/>
          <w:b w:val="0"/>
          <w:bCs w:val="0"/>
          <w:i w:val="0"/>
          <w:iCs w:val="0"/>
          <w:sz w:val="24"/>
          <w:szCs w:val="24"/>
        </w:rPr>
        <w:br w:type="page"/>
      </w:r>
    </w:p>
    <w:p>
      <w:pPr>
        <w:pStyle w:val="Body"/>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Bibliography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British Museum. 2017. </w:t>
      </w:r>
      <w:r>
        <w:rPr>
          <w:rFonts w:ascii="Times New Roman" w:hAnsi="Times New Roman"/>
          <w:i w:val="1"/>
          <w:iCs w:val="1"/>
          <w:sz w:val="24"/>
          <w:szCs w:val="24"/>
          <w:rtl w:val="0"/>
          <w:lang w:val="en-US"/>
        </w:rPr>
        <w:t xml:space="preserve">Bucket, Iron Age: 75-25BC, Aylesford. </w:t>
      </w:r>
      <w:r>
        <w:rPr>
          <w:rFonts w:ascii="Times New Roman" w:hAnsi="Times New Roman"/>
          <w:sz w:val="24"/>
          <w:szCs w:val="24"/>
          <w:rtl w:val="0"/>
          <w:lang w:val="en-US"/>
        </w:rPr>
        <w:t>Available at:</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"https://www.britishmuseum.org/research/collection_online/collection_object_details.aspx?objectId=1363169&amp;partId=1&amp;searchText=1886,1112.3-7&amp;page=1"</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https://www.britishmuseum.org/research/collection_online/collection_object_details.aspx?objectId=1363169&amp;partId=1&amp;searchText=1886,1112.3-7&amp;page=1</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[Last Accessed: 18/1/19]</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Bushe- Foxe, J.P. 1925. </w:t>
      </w:r>
      <w:r>
        <w:rPr>
          <w:rFonts w:ascii="Times New Roman" w:hAnsi="Times New Roman"/>
          <w:i w:val="1"/>
          <w:iCs w:val="1"/>
          <w:sz w:val="24"/>
          <w:szCs w:val="24"/>
          <w:rtl w:val="0"/>
          <w:lang w:val="en-US"/>
        </w:rPr>
        <w:t xml:space="preserve">Excavations  the Late-Celtic Urnfield at Swarling, Kent. </w:t>
      </w:r>
      <w:r>
        <w:rPr>
          <w:rFonts w:ascii="Times New Roman" w:hAnsi="Times New Roman"/>
          <w:sz w:val="24"/>
          <w:szCs w:val="24"/>
          <w:rtl w:val="0"/>
          <w:lang w:val="en-US"/>
        </w:rPr>
        <w:t>The Society of Antiquaries. London</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Ceasar, J. 1869. </w:t>
      </w:r>
      <w:r>
        <w:rPr>
          <w:rFonts w:ascii="Times New Roman" w:hAnsi="Times New Roman"/>
          <w:i w:val="1"/>
          <w:iCs w:val="1"/>
          <w:sz w:val="24"/>
          <w:szCs w:val="24"/>
          <w:rtl w:val="0"/>
          <w:lang w:val="en-US"/>
        </w:rPr>
        <w:t>Ceasar</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Gallic War. </w:t>
      </w:r>
      <w:r>
        <w:rPr>
          <w:rFonts w:ascii="Times New Roman" w:hAnsi="Times New Roman"/>
          <w:sz w:val="24"/>
          <w:szCs w:val="24"/>
          <w:rtl w:val="0"/>
          <w:lang w:val="en-US"/>
        </w:rPr>
        <w:t>(Translated by: McDevitte, W.A and Bohn, W.S.) Harper Brothers. New York.</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Cunliffe, B. 2005. </w:t>
      </w:r>
      <w:r>
        <w:rPr>
          <w:rFonts w:ascii="Times New Roman" w:hAnsi="Times New Roman"/>
          <w:i w:val="1"/>
          <w:iCs w:val="1"/>
          <w:sz w:val="24"/>
          <w:szCs w:val="24"/>
          <w:rtl w:val="0"/>
          <w:lang w:val="en-US"/>
        </w:rPr>
        <w:t xml:space="preserve">Iron Age Communities in Britain: An Account </w:t>
      </w:r>
      <w:r>
        <w:rPr>
          <w:rFonts w:ascii="Times New Roman" w:hAnsi="Times New Roman"/>
          <w:i w:val="1"/>
          <w:iCs w:val="1"/>
          <w:sz w:val="24"/>
          <w:szCs w:val="24"/>
          <w:rtl w:val="0"/>
          <w:lang w:val="en-US"/>
        </w:rPr>
        <w:t>of England, Scotland and Wales From the Seventh Century BC Until the Roman Conquest</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Routledge. London</w:t>
      </w:r>
    </w:p>
    <w:p>
      <w:pPr>
        <w:pStyle w:val="Body"/>
        <w:rPr>
          <w:rFonts w:ascii="Times New Roman" w:cs="Times New Roman" w:hAnsi="Times New Roman" w:eastAsia="Times New Roman"/>
          <w:sz w:val="24"/>
          <w:szCs w:val="24"/>
        </w:rPr>
      </w:pPr>
    </w:p>
    <w:p>
      <w:pPr>
        <w:pStyle w:val="Body"/>
      </w:pPr>
      <w:r>
        <w:rPr>
          <w:rFonts w:ascii="Times New Roman" w:hAnsi="Times New Roman"/>
          <w:sz w:val="24"/>
          <w:szCs w:val="24"/>
          <w:rtl w:val="0"/>
          <w:lang w:val="en-US"/>
        </w:rPr>
        <w:t xml:space="preserve">Evans, A. 1890. </w:t>
      </w:r>
      <w:r>
        <w:rPr>
          <w:rFonts w:ascii="Times New Roman" w:hAnsi="Times New Roman"/>
          <w:i w:val="1"/>
          <w:iCs w:val="1"/>
          <w:sz w:val="24"/>
          <w:szCs w:val="24"/>
          <w:rtl w:val="0"/>
          <w:lang w:val="en-US"/>
        </w:rPr>
        <w:t xml:space="preserve">On a Late-Celtic Urn-field at Aylesford, Kent, etc. </w:t>
      </w:r>
      <w:r>
        <w:rPr>
          <w:rFonts w:ascii="Times New Roman" w:hAnsi="Times New Roman"/>
          <w:sz w:val="24"/>
          <w:szCs w:val="24"/>
          <w:rtl w:val="0"/>
          <w:lang w:val="en-US"/>
        </w:rPr>
        <w:t>Nichols and Sons. Westminster.</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