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9FA17C" w14:textId="77777777" w:rsidR="00DA08AD" w:rsidRDefault="00DA08AD" w:rsidP="00DA08AD">
      <w:pPr>
        <w:spacing w:line="278" w:lineRule="auto"/>
        <w:jc w:val="center"/>
        <w:rPr>
          <w:rFonts w:cstheme="majorBidi"/>
        </w:rPr>
      </w:pPr>
    </w:p>
    <w:p w14:paraId="7762D51C" w14:textId="2A98665F" w:rsidR="00887A7C" w:rsidRDefault="00887A7C" w:rsidP="00887A7C">
      <w:pPr>
        <w:jc w:val="center"/>
      </w:pPr>
      <w:r>
        <w:rPr>
          <w:noProof/>
        </w:rPr>
        <w:drawing>
          <wp:inline distT="0" distB="0" distL="0" distR="0" wp14:anchorId="413F2A28" wp14:editId="74841179">
            <wp:extent cx="3384550" cy="1352550"/>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4550" cy="1352550"/>
                    </a:xfrm>
                    <a:prstGeom prst="rect">
                      <a:avLst/>
                    </a:prstGeom>
                    <a:noFill/>
                    <a:ln>
                      <a:noFill/>
                    </a:ln>
                  </pic:spPr>
                </pic:pic>
              </a:graphicData>
            </a:graphic>
          </wp:inline>
        </w:drawing>
      </w:r>
    </w:p>
    <w:p w14:paraId="28E2B6EE" w14:textId="519DCB53" w:rsidR="00887A7C" w:rsidRDefault="00887A7C" w:rsidP="00887A7C">
      <w:pPr>
        <w:jc w:val="center"/>
        <w:rPr>
          <w:rFonts w:ascii="Arial" w:hAnsi="Arial" w:cs="Arial"/>
          <w:b/>
          <w:bCs/>
        </w:rPr>
      </w:pPr>
      <w:r>
        <w:rPr>
          <w:rFonts w:ascii="Arial" w:hAnsi="Arial" w:cs="Arial"/>
          <w:b/>
          <w:bCs/>
        </w:rPr>
        <w:t>Student Name: Rahulkumar Vipulkumar Panchal</w:t>
      </w:r>
    </w:p>
    <w:p w14:paraId="5C4CCB3F" w14:textId="4328BA7C" w:rsidR="00887A7C" w:rsidRDefault="00887A7C" w:rsidP="00887A7C">
      <w:pPr>
        <w:jc w:val="center"/>
        <w:rPr>
          <w:rFonts w:ascii="Arial" w:hAnsi="Arial" w:cs="Arial"/>
          <w:b/>
          <w:bCs/>
        </w:rPr>
      </w:pPr>
      <w:r>
        <w:rPr>
          <w:rFonts w:ascii="Arial" w:hAnsi="Arial" w:cs="Arial"/>
          <w:b/>
          <w:bCs/>
        </w:rPr>
        <w:t>Student ID: 2503884</w:t>
      </w:r>
    </w:p>
    <w:p w14:paraId="091E14F8" w14:textId="77777777" w:rsidR="00887A7C" w:rsidRDefault="00887A7C" w:rsidP="00887A7C">
      <w:pPr>
        <w:jc w:val="center"/>
        <w:rPr>
          <w:rFonts w:ascii="Arial" w:hAnsi="Arial" w:cs="Arial"/>
        </w:rPr>
      </w:pPr>
    </w:p>
    <w:p w14:paraId="2CA08D84" w14:textId="694D8922" w:rsidR="00887A7C" w:rsidRDefault="00887A7C" w:rsidP="00887A7C">
      <w:pPr>
        <w:jc w:val="center"/>
        <w:rPr>
          <w:rFonts w:ascii="Arial" w:hAnsi="Arial" w:cs="Arial"/>
          <w:b/>
          <w:bCs/>
        </w:rPr>
      </w:pPr>
      <w:r>
        <w:rPr>
          <w:rFonts w:ascii="Arial" w:hAnsi="Arial" w:cs="Arial"/>
          <w:b/>
          <w:bCs/>
        </w:rPr>
        <w:t>Module Name: Human Capital Management</w:t>
      </w:r>
    </w:p>
    <w:p w14:paraId="263A2730" w14:textId="5C3403ED" w:rsidR="00887A7C" w:rsidRDefault="00887A7C" w:rsidP="00887A7C">
      <w:pPr>
        <w:jc w:val="center"/>
        <w:rPr>
          <w:rFonts w:ascii="Arial" w:hAnsi="Arial" w:cs="Arial"/>
          <w:b/>
          <w:bCs/>
        </w:rPr>
      </w:pPr>
      <w:r>
        <w:rPr>
          <w:rFonts w:ascii="Arial" w:hAnsi="Arial" w:cs="Arial"/>
          <w:b/>
          <w:bCs/>
        </w:rPr>
        <w:t>Module Code: LCMB</w:t>
      </w:r>
      <w:r w:rsidR="00546354">
        <w:rPr>
          <w:rFonts w:ascii="Arial" w:hAnsi="Arial" w:cs="Arial"/>
          <w:b/>
          <w:bCs/>
        </w:rPr>
        <w:t>7023</w:t>
      </w:r>
    </w:p>
    <w:p w14:paraId="7108B1ED" w14:textId="77777777" w:rsidR="00887A7C" w:rsidRDefault="00887A7C" w:rsidP="00887A7C">
      <w:pPr>
        <w:jc w:val="center"/>
        <w:rPr>
          <w:rFonts w:ascii="Arial" w:hAnsi="Arial" w:cs="Arial"/>
          <w:b/>
          <w:bCs/>
        </w:rPr>
      </w:pPr>
    </w:p>
    <w:p w14:paraId="5A71D093" w14:textId="5246DCC4" w:rsidR="00887A7C" w:rsidRDefault="00887A7C" w:rsidP="00887A7C">
      <w:pPr>
        <w:jc w:val="center"/>
        <w:rPr>
          <w:rFonts w:ascii="Arial" w:hAnsi="Arial" w:cs="Arial"/>
          <w:b/>
          <w:bCs/>
        </w:rPr>
      </w:pPr>
      <w:r>
        <w:rPr>
          <w:rFonts w:ascii="Arial" w:hAnsi="Arial" w:cs="Arial"/>
          <w:b/>
          <w:bCs/>
        </w:rPr>
        <w:t>Lecturer’s Name:</w:t>
      </w:r>
      <w:r w:rsidR="00546354">
        <w:rPr>
          <w:rFonts w:ascii="Arial" w:hAnsi="Arial" w:cs="Arial"/>
          <w:b/>
          <w:bCs/>
        </w:rPr>
        <w:t xml:space="preserve"> </w:t>
      </w:r>
      <w:r w:rsidR="00457868">
        <w:rPr>
          <w:rFonts w:ascii="Arial" w:hAnsi="Arial" w:cs="Arial"/>
          <w:b/>
          <w:bCs/>
        </w:rPr>
        <w:t xml:space="preserve">Dr </w:t>
      </w:r>
      <w:r w:rsidR="00546354">
        <w:rPr>
          <w:rFonts w:ascii="Arial" w:hAnsi="Arial" w:cs="Arial"/>
          <w:b/>
          <w:bCs/>
        </w:rPr>
        <w:t xml:space="preserve">Gladius </w:t>
      </w:r>
      <w:proofErr w:type="spellStart"/>
      <w:r w:rsidR="00546354">
        <w:rPr>
          <w:rFonts w:ascii="Arial" w:hAnsi="Arial" w:cs="Arial"/>
          <w:b/>
          <w:bCs/>
        </w:rPr>
        <w:t>Kulothungan</w:t>
      </w:r>
      <w:proofErr w:type="spellEnd"/>
    </w:p>
    <w:p w14:paraId="6105474F" w14:textId="77777777" w:rsidR="00887A7C" w:rsidRDefault="00887A7C" w:rsidP="00887A7C">
      <w:pPr>
        <w:jc w:val="center"/>
        <w:rPr>
          <w:rFonts w:ascii="Arial" w:hAnsi="Arial" w:cs="Arial"/>
          <w:b/>
          <w:bCs/>
        </w:rPr>
      </w:pPr>
    </w:p>
    <w:p w14:paraId="0C3138CE" w14:textId="73E44098" w:rsidR="00887A7C" w:rsidRDefault="00887A7C" w:rsidP="00887A7C">
      <w:pPr>
        <w:jc w:val="center"/>
        <w:rPr>
          <w:rFonts w:ascii="Arial" w:hAnsi="Arial" w:cs="Arial"/>
          <w:b/>
          <w:bCs/>
        </w:rPr>
      </w:pPr>
      <w:r>
        <w:rPr>
          <w:rFonts w:ascii="Arial" w:hAnsi="Arial" w:cs="Arial"/>
          <w:b/>
          <w:bCs/>
        </w:rPr>
        <w:t>Work Count:</w:t>
      </w:r>
      <w:r w:rsidR="00546354">
        <w:rPr>
          <w:rFonts w:ascii="Arial" w:hAnsi="Arial" w:cs="Arial"/>
          <w:b/>
          <w:bCs/>
        </w:rPr>
        <w:t xml:space="preserve"> 2669</w:t>
      </w:r>
      <w:r w:rsidR="00B720C4">
        <w:rPr>
          <w:rFonts w:ascii="Arial" w:hAnsi="Arial" w:cs="Arial"/>
          <w:b/>
          <w:bCs/>
        </w:rPr>
        <w:t xml:space="preserve"> words</w:t>
      </w:r>
    </w:p>
    <w:p w14:paraId="575CFC85" w14:textId="77777777" w:rsidR="00887A7C" w:rsidRDefault="00887A7C" w:rsidP="00887A7C">
      <w:pPr>
        <w:jc w:val="center"/>
        <w:rPr>
          <w:rFonts w:ascii="Arial" w:hAnsi="Arial" w:cs="Arial"/>
          <w:b/>
          <w:bCs/>
        </w:rPr>
      </w:pPr>
    </w:p>
    <w:p w14:paraId="2550514F" w14:textId="77777777" w:rsidR="00887A7C" w:rsidRDefault="00887A7C" w:rsidP="00887A7C">
      <w:pPr>
        <w:jc w:val="center"/>
        <w:rPr>
          <w:rFonts w:ascii="Arial" w:hAnsi="Arial" w:cs="Arial"/>
          <w:b/>
          <w:bCs/>
        </w:rPr>
      </w:pPr>
    </w:p>
    <w:p w14:paraId="45E52355" w14:textId="77777777" w:rsidR="00887A7C" w:rsidRDefault="00887A7C" w:rsidP="00887A7C">
      <w:pPr>
        <w:jc w:val="center"/>
        <w:rPr>
          <w:rFonts w:ascii="Arial" w:hAnsi="Arial" w:cs="Arial"/>
          <w:b/>
          <w:bCs/>
        </w:rPr>
      </w:pPr>
      <w:r>
        <w:rPr>
          <w:rFonts w:ascii="Arial" w:hAnsi="Arial" w:cs="Arial"/>
          <w:b/>
          <w:bCs/>
        </w:rPr>
        <w:t>Term 1</w:t>
      </w:r>
    </w:p>
    <w:p w14:paraId="02894F98" w14:textId="77777777" w:rsidR="00887A7C" w:rsidRDefault="00887A7C" w:rsidP="00887A7C">
      <w:pPr>
        <w:rPr>
          <w:rFonts w:asciiTheme="minorHAnsi" w:hAnsiTheme="minorHAnsi" w:cstheme="minorBidi"/>
          <w:b/>
          <w:bCs/>
        </w:rPr>
      </w:pPr>
      <w:r>
        <w:rPr>
          <w:b/>
          <w:bCs/>
          <w:kern w:val="0"/>
          <w14:ligatures w14:val="none"/>
        </w:rPr>
        <w:br w:type="page"/>
      </w:r>
    </w:p>
    <w:p w14:paraId="424DFF3D" w14:textId="77777777" w:rsidR="00DA08AD" w:rsidRDefault="00DA08AD" w:rsidP="00DA08AD">
      <w:pPr>
        <w:spacing w:line="278" w:lineRule="auto"/>
        <w:jc w:val="center"/>
        <w:rPr>
          <w:rFonts w:cstheme="majorBidi"/>
        </w:rPr>
      </w:pPr>
    </w:p>
    <w:p w14:paraId="34B56347" w14:textId="759ECC6D" w:rsidR="00DA08AD" w:rsidRDefault="00DA08AD" w:rsidP="00DA08AD">
      <w:pPr>
        <w:spacing w:line="278" w:lineRule="auto"/>
        <w:jc w:val="center"/>
        <w:rPr>
          <w:b/>
          <w:bCs/>
        </w:rPr>
      </w:pPr>
    </w:p>
    <w:p w14:paraId="4595343A" w14:textId="77777777" w:rsidR="008B04C8" w:rsidRDefault="008B04C8" w:rsidP="008B04C8">
      <w:pPr>
        <w:jc w:val="center"/>
        <w:rPr>
          <w:b/>
          <w:bCs/>
          <w:u w:val="single"/>
        </w:rPr>
      </w:pPr>
      <w:r w:rsidRPr="008B04C8">
        <w:rPr>
          <w:b/>
          <w:bCs/>
          <w:u w:val="single"/>
        </w:rPr>
        <w:t>Table of contents</w:t>
      </w:r>
    </w:p>
    <w:p w14:paraId="08016852" w14:textId="77777777" w:rsidR="008B04C8" w:rsidRDefault="008B04C8">
      <w:pPr>
        <w:pStyle w:val="TOC1"/>
        <w:tabs>
          <w:tab w:val="right" w:leader="dot" w:pos="9016"/>
        </w:tabs>
        <w:rPr>
          <w:noProof/>
        </w:rPr>
      </w:pPr>
      <w:r>
        <w:rPr>
          <w:b/>
          <w:bCs/>
          <w:u w:val="single"/>
        </w:rPr>
        <w:fldChar w:fldCharType="begin"/>
      </w:r>
      <w:r>
        <w:rPr>
          <w:b/>
          <w:bCs/>
          <w:u w:val="single"/>
        </w:rPr>
        <w:instrText xml:space="preserve"> TOC \o "1-3" \h \z \u </w:instrText>
      </w:r>
      <w:r>
        <w:rPr>
          <w:b/>
          <w:bCs/>
          <w:u w:val="single"/>
        </w:rPr>
        <w:fldChar w:fldCharType="separate"/>
      </w:r>
      <w:hyperlink w:anchor="_Toc212758151" w:history="1">
        <w:r w:rsidRPr="00536582">
          <w:rPr>
            <w:rStyle w:val="Hyperlink"/>
            <w:noProof/>
          </w:rPr>
          <w:t>1. Introduction</w:t>
        </w:r>
        <w:r>
          <w:rPr>
            <w:noProof/>
            <w:webHidden/>
          </w:rPr>
          <w:tab/>
        </w:r>
        <w:r>
          <w:rPr>
            <w:noProof/>
            <w:webHidden/>
          </w:rPr>
          <w:fldChar w:fldCharType="begin"/>
        </w:r>
        <w:r>
          <w:rPr>
            <w:noProof/>
            <w:webHidden/>
          </w:rPr>
          <w:instrText xml:space="preserve"> PAGEREF _Toc212758151 \h </w:instrText>
        </w:r>
        <w:r>
          <w:rPr>
            <w:noProof/>
            <w:webHidden/>
          </w:rPr>
        </w:r>
        <w:r>
          <w:rPr>
            <w:noProof/>
            <w:webHidden/>
          </w:rPr>
          <w:fldChar w:fldCharType="separate"/>
        </w:r>
        <w:r>
          <w:rPr>
            <w:noProof/>
            <w:webHidden/>
          </w:rPr>
          <w:t>3</w:t>
        </w:r>
        <w:r>
          <w:rPr>
            <w:noProof/>
            <w:webHidden/>
          </w:rPr>
          <w:fldChar w:fldCharType="end"/>
        </w:r>
      </w:hyperlink>
    </w:p>
    <w:p w14:paraId="390BBDB3" w14:textId="77777777" w:rsidR="008B04C8" w:rsidRDefault="00841E19">
      <w:pPr>
        <w:pStyle w:val="TOC1"/>
        <w:tabs>
          <w:tab w:val="right" w:leader="dot" w:pos="9016"/>
        </w:tabs>
        <w:rPr>
          <w:noProof/>
        </w:rPr>
      </w:pPr>
      <w:hyperlink w:anchor="_Toc212758152" w:history="1">
        <w:r w:rsidR="008B04C8" w:rsidRPr="00536582">
          <w:rPr>
            <w:rStyle w:val="Hyperlink"/>
            <w:noProof/>
          </w:rPr>
          <w:t>2. Technological Advancements and Their Implications for HRM &amp; IHRM</w:t>
        </w:r>
        <w:r w:rsidR="008B04C8">
          <w:rPr>
            <w:noProof/>
            <w:webHidden/>
          </w:rPr>
          <w:tab/>
        </w:r>
        <w:r w:rsidR="008B04C8">
          <w:rPr>
            <w:noProof/>
            <w:webHidden/>
          </w:rPr>
          <w:fldChar w:fldCharType="begin"/>
        </w:r>
        <w:r w:rsidR="008B04C8">
          <w:rPr>
            <w:noProof/>
            <w:webHidden/>
          </w:rPr>
          <w:instrText xml:space="preserve"> PAGEREF _Toc212758152 \h </w:instrText>
        </w:r>
        <w:r w:rsidR="008B04C8">
          <w:rPr>
            <w:noProof/>
            <w:webHidden/>
          </w:rPr>
        </w:r>
        <w:r w:rsidR="008B04C8">
          <w:rPr>
            <w:noProof/>
            <w:webHidden/>
          </w:rPr>
          <w:fldChar w:fldCharType="separate"/>
        </w:r>
        <w:r w:rsidR="008B04C8">
          <w:rPr>
            <w:noProof/>
            <w:webHidden/>
          </w:rPr>
          <w:t>3</w:t>
        </w:r>
        <w:r w:rsidR="008B04C8">
          <w:rPr>
            <w:noProof/>
            <w:webHidden/>
          </w:rPr>
          <w:fldChar w:fldCharType="end"/>
        </w:r>
      </w:hyperlink>
    </w:p>
    <w:p w14:paraId="12794071" w14:textId="77777777" w:rsidR="008B04C8" w:rsidRDefault="00841E19">
      <w:pPr>
        <w:pStyle w:val="TOC2"/>
        <w:tabs>
          <w:tab w:val="right" w:leader="dot" w:pos="9016"/>
        </w:tabs>
        <w:rPr>
          <w:noProof/>
        </w:rPr>
      </w:pPr>
      <w:hyperlink w:anchor="_Toc212758153" w:history="1">
        <w:r w:rsidR="008B04C8" w:rsidRPr="00536582">
          <w:rPr>
            <w:rStyle w:val="Hyperlink"/>
            <w:noProof/>
          </w:rPr>
          <w:t>2.1 Key transformations</w:t>
        </w:r>
        <w:r w:rsidR="008B04C8">
          <w:rPr>
            <w:noProof/>
            <w:webHidden/>
          </w:rPr>
          <w:tab/>
        </w:r>
        <w:r w:rsidR="008B04C8">
          <w:rPr>
            <w:noProof/>
            <w:webHidden/>
          </w:rPr>
          <w:fldChar w:fldCharType="begin"/>
        </w:r>
        <w:r w:rsidR="008B04C8">
          <w:rPr>
            <w:noProof/>
            <w:webHidden/>
          </w:rPr>
          <w:instrText xml:space="preserve"> PAGEREF _Toc212758153 \h </w:instrText>
        </w:r>
        <w:r w:rsidR="008B04C8">
          <w:rPr>
            <w:noProof/>
            <w:webHidden/>
          </w:rPr>
        </w:r>
        <w:r w:rsidR="008B04C8">
          <w:rPr>
            <w:noProof/>
            <w:webHidden/>
          </w:rPr>
          <w:fldChar w:fldCharType="separate"/>
        </w:r>
        <w:r w:rsidR="008B04C8">
          <w:rPr>
            <w:noProof/>
            <w:webHidden/>
          </w:rPr>
          <w:t>3</w:t>
        </w:r>
        <w:r w:rsidR="008B04C8">
          <w:rPr>
            <w:noProof/>
            <w:webHidden/>
          </w:rPr>
          <w:fldChar w:fldCharType="end"/>
        </w:r>
      </w:hyperlink>
    </w:p>
    <w:p w14:paraId="50A9DC4F" w14:textId="77777777" w:rsidR="008B04C8" w:rsidRDefault="00841E19">
      <w:pPr>
        <w:pStyle w:val="TOC2"/>
        <w:tabs>
          <w:tab w:val="right" w:leader="dot" w:pos="9016"/>
        </w:tabs>
        <w:rPr>
          <w:noProof/>
        </w:rPr>
      </w:pPr>
      <w:hyperlink w:anchor="_Toc212758154" w:history="1">
        <w:r w:rsidR="008B04C8" w:rsidRPr="00536582">
          <w:rPr>
            <w:rStyle w:val="Hyperlink"/>
            <w:noProof/>
          </w:rPr>
          <w:t>2.2 Implications for HRM</w:t>
        </w:r>
        <w:r w:rsidR="008B04C8">
          <w:rPr>
            <w:noProof/>
            <w:webHidden/>
          </w:rPr>
          <w:tab/>
        </w:r>
        <w:r w:rsidR="008B04C8">
          <w:rPr>
            <w:noProof/>
            <w:webHidden/>
          </w:rPr>
          <w:fldChar w:fldCharType="begin"/>
        </w:r>
        <w:r w:rsidR="008B04C8">
          <w:rPr>
            <w:noProof/>
            <w:webHidden/>
          </w:rPr>
          <w:instrText xml:space="preserve"> PAGEREF _Toc212758154 \h </w:instrText>
        </w:r>
        <w:r w:rsidR="008B04C8">
          <w:rPr>
            <w:noProof/>
            <w:webHidden/>
          </w:rPr>
        </w:r>
        <w:r w:rsidR="008B04C8">
          <w:rPr>
            <w:noProof/>
            <w:webHidden/>
          </w:rPr>
          <w:fldChar w:fldCharType="separate"/>
        </w:r>
        <w:r w:rsidR="008B04C8">
          <w:rPr>
            <w:noProof/>
            <w:webHidden/>
          </w:rPr>
          <w:t>3</w:t>
        </w:r>
        <w:r w:rsidR="008B04C8">
          <w:rPr>
            <w:noProof/>
            <w:webHidden/>
          </w:rPr>
          <w:fldChar w:fldCharType="end"/>
        </w:r>
      </w:hyperlink>
    </w:p>
    <w:p w14:paraId="1F759173" w14:textId="77777777" w:rsidR="008B04C8" w:rsidRDefault="00841E19">
      <w:pPr>
        <w:pStyle w:val="TOC2"/>
        <w:tabs>
          <w:tab w:val="right" w:leader="dot" w:pos="9016"/>
        </w:tabs>
        <w:rPr>
          <w:noProof/>
        </w:rPr>
      </w:pPr>
      <w:hyperlink w:anchor="_Toc212758155" w:history="1">
        <w:r w:rsidR="008B04C8" w:rsidRPr="00536582">
          <w:rPr>
            <w:rStyle w:val="Hyperlink"/>
            <w:noProof/>
          </w:rPr>
          <w:t>2.3 Implications for IHRM</w:t>
        </w:r>
        <w:r w:rsidR="008B04C8">
          <w:rPr>
            <w:noProof/>
            <w:webHidden/>
          </w:rPr>
          <w:tab/>
        </w:r>
        <w:r w:rsidR="008B04C8">
          <w:rPr>
            <w:noProof/>
            <w:webHidden/>
          </w:rPr>
          <w:fldChar w:fldCharType="begin"/>
        </w:r>
        <w:r w:rsidR="008B04C8">
          <w:rPr>
            <w:noProof/>
            <w:webHidden/>
          </w:rPr>
          <w:instrText xml:space="preserve"> PAGEREF _Toc212758155 \h </w:instrText>
        </w:r>
        <w:r w:rsidR="008B04C8">
          <w:rPr>
            <w:noProof/>
            <w:webHidden/>
          </w:rPr>
        </w:r>
        <w:r w:rsidR="008B04C8">
          <w:rPr>
            <w:noProof/>
            <w:webHidden/>
          </w:rPr>
          <w:fldChar w:fldCharType="separate"/>
        </w:r>
        <w:r w:rsidR="008B04C8">
          <w:rPr>
            <w:noProof/>
            <w:webHidden/>
          </w:rPr>
          <w:t>4</w:t>
        </w:r>
        <w:r w:rsidR="008B04C8">
          <w:rPr>
            <w:noProof/>
            <w:webHidden/>
          </w:rPr>
          <w:fldChar w:fldCharType="end"/>
        </w:r>
      </w:hyperlink>
    </w:p>
    <w:p w14:paraId="7C59BEF1" w14:textId="77777777" w:rsidR="008B04C8" w:rsidRDefault="00841E19">
      <w:pPr>
        <w:pStyle w:val="TOC2"/>
        <w:tabs>
          <w:tab w:val="right" w:leader="dot" w:pos="9016"/>
        </w:tabs>
        <w:rPr>
          <w:noProof/>
        </w:rPr>
      </w:pPr>
      <w:hyperlink w:anchor="_Toc212758156" w:history="1">
        <w:r w:rsidR="008B04C8" w:rsidRPr="00536582">
          <w:rPr>
            <w:rStyle w:val="Hyperlink"/>
            <w:noProof/>
          </w:rPr>
          <w:t>2.4 Critical evaluation</w:t>
        </w:r>
        <w:r w:rsidR="008B04C8">
          <w:rPr>
            <w:noProof/>
            <w:webHidden/>
          </w:rPr>
          <w:tab/>
        </w:r>
        <w:r w:rsidR="008B04C8">
          <w:rPr>
            <w:noProof/>
            <w:webHidden/>
          </w:rPr>
          <w:fldChar w:fldCharType="begin"/>
        </w:r>
        <w:r w:rsidR="008B04C8">
          <w:rPr>
            <w:noProof/>
            <w:webHidden/>
          </w:rPr>
          <w:instrText xml:space="preserve"> PAGEREF _Toc212758156 \h </w:instrText>
        </w:r>
        <w:r w:rsidR="008B04C8">
          <w:rPr>
            <w:noProof/>
            <w:webHidden/>
          </w:rPr>
        </w:r>
        <w:r w:rsidR="008B04C8">
          <w:rPr>
            <w:noProof/>
            <w:webHidden/>
          </w:rPr>
          <w:fldChar w:fldCharType="separate"/>
        </w:r>
        <w:r w:rsidR="008B04C8">
          <w:rPr>
            <w:noProof/>
            <w:webHidden/>
          </w:rPr>
          <w:t>5</w:t>
        </w:r>
        <w:r w:rsidR="008B04C8">
          <w:rPr>
            <w:noProof/>
            <w:webHidden/>
          </w:rPr>
          <w:fldChar w:fldCharType="end"/>
        </w:r>
      </w:hyperlink>
    </w:p>
    <w:p w14:paraId="19FF1F69" w14:textId="77777777" w:rsidR="008B04C8" w:rsidRDefault="00841E19">
      <w:pPr>
        <w:pStyle w:val="TOC1"/>
        <w:tabs>
          <w:tab w:val="right" w:leader="dot" w:pos="9016"/>
        </w:tabs>
        <w:rPr>
          <w:noProof/>
        </w:rPr>
      </w:pPr>
      <w:hyperlink w:anchor="_Toc212758157" w:history="1">
        <w:r w:rsidR="008B04C8" w:rsidRPr="00536582">
          <w:rPr>
            <w:rStyle w:val="Hyperlink"/>
            <w:noProof/>
          </w:rPr>
          <w:t>3. Demographic and Geopolitical Influences on Employment Markets</w:t>
        </w:r>
        <w:r w:rsidR="008B04C8">
          <w:rPr>
            <w:noProof/>
            <w:webHidden/>
          </w:rPr>
          <w:tab/>
        </w:r>
        <w:r w:rsidR="008B04C8">
          <w:rPr>
            <w:noProof/>
            <w:webHidden/>
          </w:rPr>
          <w:fldChar w:fldCharType="begin"/>
        </w:r>
        <w:r w:rsidR="008B04C8">
          <w:rPr>
            <w:noProof/>
            <w:webHidden/>
          </w:rPr>
          <w:instrText xml:space="preserve"> PAGEREF _Toc212758157 \h </w:instrText>
        </w:r>
        <w:r w:rsidR="008B04C8">
          <w:rPr>
            <w:noProof/>
            <w:webHidden/>
          </w:rPr>
        </w:r>
        <w:r w:rsidR="008B04C8">
          <w:rPr>
            <w:noProof/>
            <w:webHidden/>
          </w:rPr>
          <w:fldChar w:fldCharType="separate"/>
        </w:r>
        <w:r w:rsidR="008B04C8">
          <w:rPr>
            <w:noProof/>
            <w:webHidden/>
          </w:rPr>
          <w:t>5</w:t>
        </w:r>
        <w:r w:rsidR="008B04C8">
          <w:rPr>
            <w:noProof/>
            <w:webHidden/>
          </w:rPr>
          <w:fldChar w:fldCharType="end"/>
        </w:r>
      </w:hyperlink>
    </w:p>
    <w:p w14:paraId="6B64BC5C" w14:textId="77777777" w:rsidR="008B04C8" w:rsidRDefault="00841E19">
      <w:pPr>
        <w:pStyle w:val="TOC2"/>
        <w:tabs>
          <w:tab w:val="right" w:leader="dot" w:pos="9016"/>
        </w:tabs>
        <w:rPr>
          <w:noProof/>
        </w:rPr>
      </w:pPr>
      <w:hyperlink w:anchor="_Toc212758158" w:history="1">
        <w:r w:rsidR="008B04C8" w:rsidRPr="00536582">
          <w:rPr>
            <w:rStyle w:val="Hyperlink"/>
            <w:noProof/>
          </w:rPr>
          <w:t>3.1 Demographic dynamics</w:t>
        </w:r>
        <w:r w:rsidR="008B04C8">
          <w:rPr>
            <w:noProof/>
            <w:webHidden/>
          </w:rPr>
          <w:tab/>
        </w:r>
        <w:r w:rsidR="008B04C8">
          <w:rPr>
            <w:noProof/>
            <w:webHidden/>
          </w:rPr>
          <w:fldChar w:fldCharType="begin"/>
        </w:r>
        <w:r w:rsidR="008B04C8">
          <w:rPr>
            <w:noProof/>
            <w:webHidden/>
          </w:rPr>
          <w:instrText xml:space="preserve"> PAGEREF _Toc212758158 \h </w:instrText>
        </w:r>
        <w:r w:rsidR="008B04C8">
          <w:rPr>
            <w:noProof/>
            <w:webHidden/>
          </w:rPr>
        </w:r>
        <w:r w:rsidR="008B04C8">
          <w:rPr>
            <w:noProof/>
            <w:webHidden/>
          </w:rPr>
          <w:fldChar w:fldCharType="separate"/>
        </w:r>
        <w:r w:rsidR="008B04C8">
          <w:rPr>
            <w:noProof/>
            <w:webHidden/>
          </w:rPr>
          <w:t>5</w:t>
        </w:r>
        <w:r w:rsidR="008B04C8">
          <w:rPr>
            <w:noProof/>
            <w:webHidden/>
          </w:rPr>
          <w:fldChar w:fldCharType="end"/>
        </w:r>
      </w:hyperlink>
    </w:p>
    <w:p w14:paraId="129AFEA0" w14:textId="77777777" w:rsidR="008B04C8" w:rsidRDefault="00841E19">
      <w:pPr>
        <w:pStyle w:val="TOC2"/>
        <w:tabs>
          <w:tab w:val="right" w:leader="dot" w:pos="9016"/>
        </w:tabs>
        <w:rPr>
          <w:noProof/>
        </w:rPr>
      </w:pPr>
      <w:hyperlink w:anchor="_Toc212758159" w:history="1">
        <w:r w:rsidR="008B04C8" w:rsidRPr="00536582">
          <w:rPr>
            <w:rStyle w:val="Hyperlink"/>
            <w:noProof/>
          </w:rPr>
          <w:t>3.2 Geopolitical shifts</w:t>
        </w:r>
        <w:r w:rsidR="008B04C8">
          <w:rPr>
            <w:noProof/>
            <w:webHidden/>
          </w:rPr>
          <w:tab/>
        </w:r>
        <w:r w:rsidR="008B04C8">
          <w:rPr>
            <w:noProof/>
            <w:webHidden/>
          </w:rPr>
          <w:fldChar w:fldCharType="begin"/>
        </w:r>
        <w:r w:rsidR="008B04C8">
          <w:rPr>
            <w:noProof/>
            <w:webHidden/>
          </w:rPr>
          <w:instrText xml:space="preserve"> PAGEREF _Toc212758159 \h </w:instrText>
        </w:r>
        <w:r w:rsidR="008B04C8">
          <w:rPr>
            <w:noProof/>
            <w:webHidden/>
          </w:rPr>
        </w:r>
        <w:r w:rsidR="008B04C8">
          <w:rPr>
            <w:noProof/>
            <w:webHidden/>
          </w:rPr>
          <w:fldChar w:fldCharType="separate"/>
        </w:r>
        <w:r w:rsidR="008B04C8">
          <w:rPr>
            <w:noProof/>
            <w:webHidden/>
          </w:rPr>
          <w:t>6</w:t>
        </w:r>
        <w:r w:rsidR="008B04C8">
          <w:rPr>
            <w:noProof/>
            <w:webHidden/>
          </w:rPr>
          <w:fldChar w:fldCharType="end"/>
        </w:r>
      </w:hyperlink>
    </w:p>
    <w:p w14:paraId="5F26F480" w14:textId="77777777" w:rsidR="008B04C8" w:rsidRDefault="00841E19">
      <w:pPr>
        <w:pStyle w:val="TOC2"/>
        <w:tabs>
          <w:tab w:val="right" w:leader="dot" w:pos="9016"/>
        </w:tabs>
        <w:rPr>
          <w:noProof/>
        </w:rPr>
      </w:pPr>
      <w:hyperlink w:anchor="_Toc212758160" w:history="1">
        <w:r w:rsidR="008B04C8" w:rsidRPr="00536582">
          <w:rPr>
            <w:rStyle w:val="Hyperlink"/>
            <w:noProof/>
          </w:rPr>
          <w:t>3.3 Challenges for HRM/IHRM</w:t>
        </w:r>
        <w:r w:rsidR="008B04C8">
          <w:rPr>
            <w:noProof/>
            <w:webHidden/>
          </w:rPr>
          <w:tab/>
        </w:r>
        <w:r w:rsidR="008B04C8">
          <w:rPr>
            <w:noProof/>
            <w:webHidden/>
          </w:rPr>
          <w:fldChar w:fldCharType="begin"/>
        </w:r>
        <w:r w:rsidR="008B04C8">
          <w:rPr>
            <w:noProof/>
            <w:webHidden/>
          </w:rPr>
          <w:instrText xml:space="preserve"> PAGEREF _Toc212758160 \h </w:instrText>
        </w:r>
        <w:r w:rsidR="008B04C8">
          <w:rPr>
            <w:noProof/>
            <w:webHidden/>
          </w:rPr>
        </w:r>
        <w:r w:rsidR="008B04C8">
          <w:rPr>
            <w:noProof/>
            <w:webHidden/>
          </w:rPr>
          <w:fldChar w:fldCharType="separate"/>
        </w:r>
        <w:r w:rsidR="008B04C8">
          <w:rPr>
            <w:noProof/>
            <w:webHidden/>
          </w:rPr>
          <w:t>7</w:t>
        </w:r>
        <w:r w:rsidR="008B04C8">
          <w:rPr>
            <w:noProof/>
            <w:webHidden/>
          </w:rPr>
          <w:fldChar w:fldCharType="end"/>
        </w:r>
      </w:hyperlink>
    </w:p>
    <w:p w14:paraId="747EAB10" w14:textId="77777777" w:rsidR="008B04C8" w:rsidRDefault="00841E19">
      <w:pPr>
        <w:pStyle w:val="TOC2"/>
        <w:tabs>
          <w:tab w:val="right" w:leader="dot" w:pos="9016"/>
        </w:tabs>
        <w:rPr>
          <w:noProof/>
        </w:rPr>
      </w:pPr>
      <w:hyperlink w:anchor="_Toc212758161" w:history="1">
        <w:r w:rsidR="008B04C8" w:rsidRPr="00536582">
          <w:rPr>
            <w:rStyle w:val="Hyperlink"/>
            <w:noProof/>
          </w:rPr>
          <w:t>3.4 Critical discussion</w:t>
        </w:r>
        <w:r w:rsidR="008B04C8">
          <w:rPr>
            <w:noProof/>
            <w:webHidden/>
          </w:rPr>
          <w:tab/>
        </w:r>
        <w:r w:rsidR="008B04C8">
          <w:rPr>
            <w:noProof/>
            <w:webHidden/>
          </w:rPr>
          <w:fldChar w:fldCharType="begin"/>
        </w:r>
        <w:r w:rsidR="008B04C8">
          <w:rPr>
            <w:noProof/>
            <w:webHidden/>
          </w:rPr>
          <w:instrText xml:space="preserve"> PAGEREF _Toc212758161 \h </w:instrText>
        </w:r>
        <w:r w:rsidR="008B04C8">
          <w:rPr>
            <w:noProof/>
            <w:webHidden/>
          </w:rPr>
        </w:r>
        <w:r w:rsidR="008B04C8">
          <w:rPr>
            <w:noProof/>
            <w:webHidden/>
          </w:rPr>
          <w:fldChar w:fldCharType="separate"/>
        </w:r>
        <w:r w:rsidR="008B04C8">
          <w:rPr>
            <w:noProof/>
            <w:webHidden/>
          </w:rPr>
          <w:t>7</w:t>
        </w:r>
        <w:r w:rsidR="008B04C8">
          <w:rPr>
            <w:noProof/>
            <w:webHidden/>
          </w:rPr>
          <w:fldChar w:fldCharType="end"/>
        </w:r>
      </w:hyperlink>
    </w:p>
    <w:p w14:paraId="3A75797A" w14:textId="691D85FA" w:rsidR="008B04C8" w:rsidRDefault="00841E19">
      <w:pPr>
        <w:pStyle w:val="TOC1"/>
        <w:tabs>
          <w:tab w:val="right" w:leader="dot" w:pos="9016"/>
        </w:tabs>
        <w:rPr>
          <w:noProof/>
        </w:rPr>
      </w:pPr>
      <w:hyperlink w:anchor="_Toc212758162" w:history="1">
        <w:r w:rsidR="008B04C8" w:rsidRPr="00536582">
          <w:rPr>
            <w:rStyle w:val="Hyperlink"/>
            <w:noProof/>
          </w:rPr>
          <w:t>4. Addressing Skills Gaps and Talent Shortages through Strategic HRM</w:t>
        </w:r>
        <w:r w:rsidR="008B04C8">
          <w:rPr>
            <w:noProof/>
            <w:webHidden/>
          </w:rPr>
          <w:tab/>
        </w:r>
        <w:r w:rsidR="00D41997">
          <w:rPr>
            <w:noProof/>
            <w:webHidden/>
          </w:rPr>
          <w:t>7</w:t>
        </w:r>
      </w:hyperlink>
    </w:p>
    <w:p w14:paraId="47C2101E" w14:textId="6844C5C6" w:rsidR="008B04C8" w:rsidRDefault="00841E19">
      <w:pPr>
        <w:pStyle w:val="TOC2"/>
        <w:tabs>
          <w:tab w:val="right" w:leader="dot" w:pos="9016"/>
        </w:tabs>
        <w:rPr>
          <w:noProof/>
        </w:rPr>
      </w:pPr>
      <w:hyperlink w:anchor="_Toc212758163" w:history="1">
        <w:r w:rsidR="008B04C8" w:rsidRPr="00536582">
          <w:rPr>
            <w:rStyle w:val="Hyperlink"/>
            <w:noProof/>
          </w:rPr>
          <w:t>4.1 Cu</w:t>
        </w:r>
        <w:r w:rsidR="008B04C8" w:rsidRPr="00536582">
          <w:rPr>
            <w:rStyle w:val="Hyperlink"/>
            <w:noProof/>
          </w:rPr>
          <w:t>r</w:t>
        </w:r>
        <w:r w:rsidR="008B04C8" w:rsidRPr="00536582">
          <w:rPr>
            <w:rStyle w:val="Hyperlink"/>
            <w:noProof/>
          </w:rPr>
          <w:t>rent labour-market skill shortages</w:t>
        </w:r>
        <w:r w:rsidR="008B04C8">
          <w:rPr>
            <w:noProof/>
            <w:webHidden/>
          </w:rPr>
          <w:tab/>
        </w:r>
        <w:r w:rsidR="00D41997">
          <w:rPr>
            <w:noProof/>
            <w:webHidden/>
          </w:rPr>
          <w:t>7</w:t>
        </w:r>
      </w:hyperlink>
    </w:p>
    <w:p w14:paraId="7AF11DB8" w14:textId="77777777" w:rsidR="008B04C8" w:rsidRDefault="00841E19">
      <w:pPr>
        <w:pStyle w:val="TOC2"/>
        <w:tabs>
          <w:tab w:val="right" w:leader="dot" w:pos="9016"/>
        </w:tabs>
        <w:rPr>
          <w:noProof/>
        </w:rPr>
      </w:pPr>
      <w:hyperlink w:anchor="_Toc212758164" w:history="1">
        <w:r w:rsidR="008B04C8" w:rsidRPr="00536582">
          <w:rPr>
            <w:rStyle w:val="Hyperlink"/>
            <w:noProof/>
          </w:rPr>
          <w:t>4.2 Strategic HRM responses</w:t>
        </w:r>
        <w:r w:rsidR="008B04C8">
          <w:rPr>
            <w:noProof/>
            <w:webHidden/>
          </w:rPr>
          <w:tab/>
        </w:r>
        <w:r w:rsidR="008B04C8">
          <w:rPr>
            <w:noProof/>
            <w:webHidden/>
          </w:rPr>
          <w:fldChar w:fldCharType="begin"/>
        </w:r>
        <w:r w:rsidR="008B04C8">
          <w:rPr>
            <w:noProof/>
            <w:webHidden/>
          </w:rPr>
          <w:instrText xml:space="preserve"> PAGEREF _Toc212758164 \h </w:instrText>
        </w:r>
        <w:r w:rsidR="008B04C8">
          <w:rPr>
            <w:noProof/>
            <w:webHidden/>
          </w:rPr>
        </w:r>
        <w:r w:rsidR="008B04C8">
          <w:rPr>
            <w:noProof/>
            <w:webHidden/>
          </w:rPr>
          <w:fldChar w:fldCharType="separate"/>
        </w:r>
        <w:r w:rsidR="008B04C8">
          <w:rPr>
            <w:noProof/>
            <w:webHidden/>
          </w:rPr>
          <w:t>8</w:t>
        </w:r>
        <w:r w:rsidR="008B04C8">
          <w:rPr>
            <w:noProof/>
            <w:webHidden/>
          </w:rPr>
          <w:fldChar w:fldCharType="end"/>
        </w:r>
      </w:hyperlink>
    </w:p>
    <w:p w14:paraId="0F0E1F59" w14:textId="77777777" w:rsidR="008B04C8" w:rsidRDefault="00841E19">
      <w:pPr>
        <w:pStyle w:val="TOC2"/>
        <w:tabs>
          <w:tab w:val="right" w:leader="dot" w:pos="9016"/>
        </w:tabs>
        <w:rPr>
          <w:noProof/>
        </w:rPr>
      </w:pPr>
      <w:hyperlink w:anchor="_Toc212758165" w:history="1">
        <w:r w:rsidR="008B04C8" w:rsidRPr="00536582">
          <w:rPr>
            <w:rStyle w:val="Hyperlink"/>
            <w:noProof/>
          </w:rPr>
          <w:t>4.3 Analytical models</w:t>
        </w:r>
        <w:r w:rsidR="008B04C8">
          <w:rPr>
            <w:noProof/>
            <w:webHidden/>
          </w:rPr>
          <w:tab/>
        </w:r>
        <w:r w:rsidR="008B04C8">
          <w:rPr>
            <w:noProof/>
            <w:webHidden/>
          </w:rPr>
          <w:fldChar w:fldCharType="begin"/>
        </w:r>
        <w:r w:rsidR="008B04C8">
          <w:rPr>
            <w:noProof/>
            <w:webHidden/>
          </w:rPr>
          <w:instrText xml:space="preserve"> PAGEREF _Toc212758165 \h </w:instrText>
        </w:r>
        <w:r w:rsidR="008B04C8">
          <w:rPr>
            <w:noProof/>
            <w:webHidden/>
          </w:rPr>
        </w:r>
        <w:r w:rsidR="008B04C8">
          <w:rPr>
            <w:noProof/>
            <w:webHidden/>
          </w:rPr>
          <w:fldChar w:fldCharType="separate"/>
        </w:r>
        <w:r w:rsidR="008B04C8">
          <w:rPr>
            <w:noProof/>
            <w:webHidden/>
          </w:rPr>
          <w:t>8</w:t>
        </w:r>
        <w:r w:rsidR="008B04C8">
          <w:rPr>
            <w:noProof/>
            <w:webHidden/>
          </w:rPr>
          <w:fldChar w:fldCharType="end"/>
        </w:r>
      </w:hyperlink>
    </w:p>
    <w:p w14:paraId="2BD5446B" w14:textId="77777777" w:rsidR="008B04C8" w:rsidRDefault="00841E19">
      <w:pPr>
        <w:pStyle w:val="TOC2"/>
        <w:tabs>
          <w:tab w:val="right" w:leader="dot" w:pos="9016"/>
        </w:tabs>
        <w:rPr>
          <w:noProof/>
        </w:rPr>
      </w:pPr>
      <w:hyperlink w:anchor="_Toc212758166" w:history="1">
        <w:r w:rsidR="008B04C8" w:rsidRPr="00536582">
          <w:rPr>
            <w:rStyle w:val="Hyperlink"/>
            <w:noProof/>
          </w:rPr>
          <w:t>4.4 Critical synthesis</w:t>
        </w:r>
        <w:r w:rsidR="008B04C8">
          <w:rPr>
            <w:noProof/>
            <w:webHidden/>
          </w:rPr>
          <w:tab/>
        </w:r>
        <w:r w:rsidR="008B04C8">
          <w:rPr>
            <w:noProof/>
            <w:webHidden/>
          </w:rPr>
          <w:fldChar w:fldCharType="begin"/>
        </w:r>
        <w:r w:rsidR="008B04C8">
          <w:rPr>
            <w:noProof/>
            <w:webHidden/>
          </w:rPr>
          <w:instrText xml:space="preserve"> PAGEREF _Toc212758166 \h </w:instrText>
        </w:r>
        <w:r w:rsidR="008B04C8">
          <w:rPr>
            <w:noProof/>
            <w:webHidden/>
          </w:rPr>
        </w:r>
        <w:r w:rsidR="008B04C8">
          <w:rPr>
            <w:noProof/>
            <w:webHidden/>
          </w:rPr>
          <w:fldChar w:fldCharType="separate"/>
        </w:r>
        <w:r w:rsidR="008B04C8">
          <w:rPr>
            <w:noProof/>
            <w:webHidden/>
          </w:rPr>
          <w:t>9</w:t>
        </w:r>
        <w:r w:rsidR="008B04C8">
          <w:rPr>
            <w:noProof/>
            <w:webHidden/>
          </w:rPr>
          <w:fldChar w:fldCharType="end"/>
        </w:r>
      </w:hyperlink>
    </w:p>
    <w:p w14:paraId="2FAE815B" w14:textId="061FA80A" w:rsidR="008B04C8" w:rsidRDefault="00841E19">
      <w:pPr>
        <w:pStyle w:val="TOC1"/>
        <w:tabs>
          <w:tab w:val="right" w:leader="dot" w:pos="9016"/>
        </w:tabs>
        <w:rPr>
          <w:noProof/>
        </w:rPr>
      </w:pPr>
      <w:hyperlink w:anchor="_Toc212758167" w:history="1">
        <w:r w:rsidR="008B04C8" w:rsidRPr="00536582">
          <w:rPr>
            <w:rStyle w:val="Hyperlink"/>
            <w:noProof/>
          </w:rPr>
          <w:t>5. Reflective Report on International and Technological Competence</w:t>
        </w:r>
        <w:r w:rsidR="008B04C8">
          <w:rPr>
            <w:noProof/>
            <w:webHidden/>
          </w:rPr>
          <w:tab/>
        </w:r>
        <w:r w:rsidR="00D41997">
          <w:rPr>
            <w:noProof/>
            <w:webHidden/>
          </w:rPr>
          <w:t>9</w:t>
        </w:r>
      </w:hyperlink>
    </w:p>
    <w:p w14:paraId="54A55AA5" w14:textId="37420EF9" w:rsidR="008B04C8" w:rsidRDefault="00841E19">
      <w:pPr>
        <w:pStyle w:val="TOC2"/>
        <w:tabs>
          <w:tab w:val="right" w:leader="dot" w:pos="9016"/>
        </w:tabs>
        <w:rPr>
          <w:noProof/>
        </w:rPr>
      </w:pPr>
      <w:hyperlink w:anchor="_Toc212758168" w:history="1">
        <w:r w:rsidR="008B04C8" w:rsidRPr="00536582">
          <w:rPr>
            <w:rStyle w:val="Hyperlink"/>
            <w:noProof/>
            <w:lang w:eastAsia="en-GB"/>
          </w:rPr>
          <w:t>5.1 Context</w:t>
        </w:r>
        <w:r w:rsidR="008B04C8">
          <w:rPr>
            <w:noProof/>
            <w:webHidden/>
          </w:rPr>
          <w:tab/>
        </w:r>
        <w:r w:rsidR="00D41997">
          <w:rPr>
            <w:noProof/>
            <w:webHidden/>
          </w:rPr>
          <w:t>9</w:t>
        </w:r>
      </w:hyperlink>
    </w:p>
    <w:p w14:paraId="66935CEE" w14:textId="77777777" w:rsidR="008B04C8" w:rsidRDefault="00841E19">
      <w:pPr>
        <w:pStyle w:val="TOC2"/>
        <w:tabs>
          <w:tab w:val="right" w:leader="dot" w:pos="9016"/>
        </w:tabs>
        <w:rPr>
          <w:noProof/>
        </w:rPr>
      </w:pPr>
      <w:hyperlink w:anchor="_Toc212758169" w:history="1">
        <w:r w:rsidR="008B04C8" w:rsidRPr="00536582">
          <w:rPr>
            <w:rStyle w:val="Hyperlink"/>
            <w:noProof/>
            <w:lang w:eastAsia="en-GB"/>
          </w:rPr>
          <w:t>5.2 Assessment of competencies</w:t>
        </w:r>
        <w:r w:rsidR="008B04C8">
          <w:rPr>
            <w:noProof/>
            <w:webHidden/>
          </w:rPr>
          <w:tab/>
        </w:r>
        <w:r w:rsidR="008B04C8">
          <w:rPr>
            <w:noProof/>
            <w:webHidden/>
          </w:rPr>
          <w:fldChar w:fldCharType="begin"/>
        </w:r>
        <w:r w:rsidR="008B04C8">
          <w:rPr>
            <w:noProof/>
            <w:webHidden/>
          </w:rPr>
          <w:instrText xml:space="preserve"> PAGEREF _Toc212758169 \h </w:instrText>
        </w:r>
        <w:r w:rsidR="008B04C8">
          <w:rPr>
            <w:noProof/>
            <w:webHidden/>
          </w:rPr>
        </w:r>
        <w:r w:rsidR="008B04C8">
          <w:rPr>
            <w:noProof/>
            <w:webHidden/>
          </w:rPr>
          <w:fldChar w:fldCharType="separate"/>
        </w:r>
        <w:r w:rsidR="008B04C8">
          <w:rPr>
            <w:noProof/>
            <w:webHidden/>
          </w:rPr>
          <w:t>10</w:t>
        </w:r>
        <w:r w:rsidR="008B04C8">
          <w:rPr>
            <w:noProof/>
            <w:webHidden/>
          </w:rPr>
          <w:fldChar w:fldCharType="end"/>
        </w:r>
      </w:hyperlink>
    </w:p>
    <w:p w14:paraId="3E61135E" w14:textId="74F7E4B6" w:rsidR="008B04C8" w:rsidRDefault="00841E19">
      <w:pPr>
        <w:pStyle w:val="TOC2"/>
        <w:tabs>
          <w:tab w:val="right" w:leader="dot" w:pos="9016"/>
        </w:tabs>
        <w:rPr>
          <w:noProof/>
        </w:rPr>
      </w:pPr>
      <w:hyperlink w:anchor="_Toc212758170" w:history="1">
        <w:r w:rsidR="008B04C8" w:rsidRPr="00536582">
          <w:rPr>
            <w:rStyle w:val="Hyperlink"/>
            <w:noProof/>
            <w:lang w:eastAsia="en-GB"/>
          </w:rPr>
          <w:t>5.3 Strengths and weaknesses analysis</w:t>
        </w:r>
        <w:r w:rsidR="008B04C8">
          <w:rPr>
            <w:noProof/>
            <w:webHidden/>
          </w:rPr>
          <w:tab/>
        </w:r>
        <w:r w:rsidR="00A74E41">
          <w:rPr>
            <w:noProof/>
            <w:webHidden/>
          </w:rPr>
          <w:t>10</w:t>
        </w:r>
      </w:hyperlink>
    </w:p>
    <w:p w14:paraId="2D30CF1F" w14:textId="49AEC1F9" w:rsidR="008B04C8" w:rsidRDefault="00841E19">
      <w:pPr>
        <w:pStyle w:val="TOC2"/>
        <w:tabs>
          <w:tab w:val="right" w:leader="dot" w:pos="9016"/>
        </w:tabs>
        <w:rPr>
          <w:noProof/>
        </w:rPr>
      </w:pPr>
      <w:hyperlink w:anchor="_Toc212758171" w:history="1">
        <w:r w:rsidR="008B04C8" w:rsidRPr="00536582">
          <w:rPr>
            <w:rStyle w:val="Hyperlink"/>
            <w:noProof/>
            <w:lang w:eastAsia="en-GB"/>
          </w:rPr>
          <w:t>5.4 Personal development plan (PDP)</w:t>
        </w:r>
        <w:r w:rsidR="008B04C8">
          <w:rPr>
            <w:noProof/>
            <w:webHidden/>
          </w:rPr>
          <w:tab/>
        </w:r>
        <w:r w:rsidR="008B04C8">
          <w:rPr>
            <w:noProof/>
            <w:webHidden/>
          </w:rPr>
          <w:fldChar w:fldCharType="begin"/>
        </w:r>
        <w:r w:rsidR="008B04C8">
          <w:rPr>
            <w:noProof/>
            <w:webHidden/>
          </w:rPr>
          <w:instrText xml:space="preserve"> PAGEREF _Toc212758171 \h </w:instrText>
        </w:r>
        <w:r w:rsidR="008B04C8">
          <w:rPr>
            <w:noProof/>
            <w:webHidden/>
          </w:rPr>
        </w:r>
        <w:r w:rsidR="008B04C8">
          <w:rPr>
            <w:noProof/>
            <w:webHidden/>
          </w:rPr>
          <w:fldChar w:fldCharType="separate"/>
        </w:r>
        <w:r w:rsidR="008B04C8">
          <w:rPr>
            <w:noProof/>
            <w:webHidden/>
          </w:rPr>
          <w:t>1</w:t>
        </w:r>
        <w:r w:rsidR="00D41997">
          <w:rPr>
            <w:noProof/>
            <w:webHidden/>
          </w:rPr>
          <w:t>2</w:t>
        </w:r>
        <w:r w:rsidR="008B04C8">
          <w:rPr>
            <w:noProof/>
            <w:webHidden/>
          </w:rPr>
          <w:fldChar w:fldCharType="end"/>
        </w:r>
      </w:hyperlink>
    </w:p>
    <w:p w14:paraId="4486A729" w14:textId="77777777" w:rsidR="008B04C8" w:rsidRDefault="00841E19">
      <w:pPr>
        <w:pStyle w:val="TOC1"/>
        <w:tabs>
          <w:tab w:val="right" w:leader="dot" w:pos="9016"/>
        </w:tabs>
        <w:rPr>
          <w:noProof/>
        </w:rPr>
      </w:pPr>
      <w:hyperlink w:anchor="_Toc212758172" w:history="1">
        <w:r w:rsidR="008B04C8" w:rsidRPr="00536582">
          <w:rPr>
            <w:rStyle w:val="Hyperlink"/>
            <w:noProof/>
          </w:rPr>
          <w:t>6. Conclusion</w:t>
        </w:r>
        <w:r w:rsidR="008B04C8">
          <w:rPr>
            <w:noProof/>
            <w:webHidden/>
          </w:rPr>
          <w:tab/>
        </w:r>
        <w:r w:rsidR="008B04C8">
          <w:rPr>
            <w:noProof/>
            <w:webHidden/>
          </w:rPr>
          <w:fldChar w:fldCharType="begin"/>
        </w:r>
        <w:r w:rsidR="008B04C8">
          <w:rPr>
            <w:noProof/>
            <w:webHidden/>
          </w:rPr>
          <w:instrText xml:space="preserve"> PAGEREF _Toc212758172 \h </w:instrText>
        </w:r>
        <w:r w:rsidR="008B04C8">
          <w:rPr>
            <w:noProof/>
            <w:webHidden/>
          </w:rPr>
        </w:r>
        <w:r w:rsidR="008B04C8">
          <w:rPr>
            <w:noProof/>
            <w:webHidden/>
          </w:rPr>
          <w:fldChar w:fldCharType="separate"/>
        </w:r>
        <w:r w:rsidR="008B04C8">
          <w:rPr>
            <w:noProof/>
            <w:webHidden/>
          </w:rPr>
          <w:t>13</w:t>
        </w:r>
        <w:r w:rsidR="008B04C8">
          <w:rPr>
            <w:noProof/>
            <w:webHidden/>
          </w:rPr>
          <w:fldChar w:fldCharType="end"/>
        </w:r>
      </w:hyperlink>
    </w:p>
    <w:p w14:paraId="7CC7B3FF" w14:textId="77777777" w:rsidR="008B04C8" w:rsidRDefault="008B04C8" w:rsidP="008B04C8">
      <w:pPr>
        <w:jc w:val="center"/>
        <w:rPr>
          <w:b/>
          <w:bCs/>
          <w:u w:val="single"/>
        </w:rPr>
      </w:pPr>
      <w:r>
        <w:rPr>
          <w:b/>
          <w:bCs/>
          <w:u w:val="single"/>
        </w:rPr>
        <w:fldChar w:fldCharType="end"/>
      </w:r>
    </w:p>
    <w:p w14:paraId="14513141" w14:textId="77777777" w:rsidR="008B04C8" w:rsidRDefault="008B04C8" w:rsidP="008B04C8">
      <w:pPr>
        <w:jc w:val="center"/>
        <w:rPr>
          <w:b/>
          <w:bCs/>
          <w:u w:val="single"/>
        </w:rPr>
      </w:pPr>
    </w:p>
    <w:p w14:paraId="09DB4895" w14:textId="77777777" w:rsidR="008B04C8" w:rsidRDefault="008B04C8" w:rsidP="008B04C8">
      <w:pPr>
        <w:jc w:val="left"/>
        <w:rPr>
          <w:b/>
          <w:bCs/>
          <w:u w:val="single"/>
        </w:rPr>
      </w:pPr>
    </w:p>
    <w:p w14:paraId="3C7C37EC" w14:textId="77777777" w:rsidR="008B04C8" w:rsidRPr="008B04C8" w:rsidRDefault="008B04C8" w:rsidP="008B04C8">
      <w:pPr>
        <w:jc w:val="left"/>
        <w:rPr>
          <w:b/>
          <w:bCs/>
          <w:u w:val="single"/>
        </w:rPr>
      </w:pPr>
    </w:p>
    <w:p w14:paraId="047A30A1" w14:textId="77777777" w:rsidR="00013583" w:rsidRDefault="00013583" w:rsidP="00AB60DF">
      <w:pPr>
        <w:pStyle w:val="Heading1"/>
        <w:rPr>
          <w:i/>
          <w:iCs/>
        </w:rPr>
      </w:pPr>
      <w:bookmarkStart w:id="0" w:name="_Toc212758151"/>
      <w:r w:rsidRPr="00013583">
        <w:t xml:space="preserve">1. </w:t>
      </w:r>
      <w:r w:rsidRPr="00AB60DF">
        <w:t>Introduction</w:t>
      </w:r>
      <w:bookmarkEnd w:id="0"/>
    </w:p>
    <w:p w14:paraId="5EA8466F" w14:textId="77777777" w:rsidR="009A6E24" w:rsidRPr="004841A4" w:rsidRDefault="008B04C8" w:rsidP="00013583">
      <w:r>
        <w:tab/>
      </w:r>
      <w:r w:rsidR="009A6E24">
        <w:t>The global labour market is undergoing a profound transformation, driven by the convergence of digital innovation, changing demographic profiles, and rapidly evolving geopolitical circumstances (</w:t>
      </w:r>
      <w:r w:rsidR="009A6E24" w:rsidRPr="00965562">
        <w:t>Ključnikov, 2023</w:t>
      </w:r>
      <w:r w:rsidR="009A6E24">
        <w:t xml:space="preserve">). </w:t>
      </w:r>
      <w:r w:rsidR="009A6E24" w:rsidRPr="00965562">
        <w:t>In this changing context, human resource management (HRM) is focused on domestic workforce practices, and international human resource management (IHRM) is concerned with the strategic management of people involved in cross-border operations; the two are becoming increasingly interdependent because organizations operate globally and must align national and international people-strategies (Chung, 2024). This report examines four theme areas technological change, demographic and geopolitical change, skills shortages, and individual readiness within national and international labour</w:t>
      </w:r>
      <w:r w:rsidR="009A6E24">
        <w:t xml:space="preserve"> </w:t>
      </w:r>
      <w:r w:rsidR="009A6E24" w:rsidRPr="00965562">
        <w:t>markets. Its focus is on critically analysing how these labour</w:t>
      </w:r>
      <w:r w:rsidR="009A6E24">
        <w:t xml:space="preserve"> </w:t>
      </w:r>
      <w:r w:rsidR="009A6E24" w:rsidRPr="00965562">
        <w:t>market changes are likely to affect HRM and IHRM strategies, and how individuals can make themselves more employable in a global technology-driven environment.</w:t>
      </w:r>
    </w:p>
    <w:p w14:paraId="78A30822" w14:textId="77777777" w:rsidR="00013583" w:rsidRDefault="00013583" w:rsidP="00AB60DF">
      <w:pPr>
        <w:pStyle w:val="Heading1"/>
      </w:pPr>
      <w:bookmarkStart w:id="1" w:name="_Toc212758152"/>
      <w:r w:rsidRPr="00013583">
        <w:t>2. Technological Advancements and Their Implications for HRM &amp; IHRM</w:t>
      </w:r>
      <w:bookmarkEnd w:id="1"/>
    </w:p>
    <w:p w14:paraId="217BEB34" w14:textId="77777777" w:rsidR="009D626F" w:rsidRPr="009D626F" w:rsidRDefault="009D626F" w:rsidP="00AB60DF">
      <w:pPr>
        <w:pStyle w:val="Heading2"/>
      </w:pPr>
      <w:bookmarkStart w:id="2" w:name="_Toc212758153"/>
      <w:r w:rsidRPr="009D626F">
        <w:t xml:space="preserve">2.1 Key </w:t>
      </w:r>
      <w:r w:rsidRPr="00AB60DF">
        <w:t>transformations</w:t>
      </w:r>
      <w:bookmarkEnd w:id="2"/>
    </w:p>
    <w:p w14:paraId="29FADE44" w14:textId="77777777" w:rsidR="009D626F" w:rsidRPr="009D626F" w:rsidRDefault="008B04C8" w:rsidP="009D626F">
      <w:pPr>
        <w:rPr>
          <w:bCs/>
        </w:rPr>
      </w:pPr>
      <w:r>
        <w:rPr>
          <w:bCs/>
        </w:rPr>
        <w:tab/>
      </w:r>
      <w:r w:rsidR="00965562" w:rsidRPr="00965562">
        <w:rPr>
          <w:bCs/>
        </w:rPr>
        <w:t>The labour market is experiencing a thoughtful evolution, trending towards remote and platform-based work supported by digital platforms and other automated tools enabling workers to engage in flexible non-standard employment arrangements. At the same time, automation and AI create new demand for advanced digital skills since organizations political to machines any replace routine tasks, and focus on cognitive, analytic and interpersonal competencies (Jaiswal, 2022). These changes require workers to adapt to fluid work-designs, engage in ongoing upskilling and navigate less secure employment contracts, creating changes in the nature of the job and expectations of the labour force.</w:t>
      </w:r>
    </w:p>
    <w:p w14:paraId="182DAF45" w14:textId="77777777" w:rsidR="009D626F" w:rsidRPr="009D626F" w:rsidRDefault="009D626F" w:rsidP="00AB60DF">
      <w:pPr>
        <w:pStyle w:val="Heading2"/>
      </w:pPr>
      <w:bookmarkStart w:id="3" w:name="_Toc212758154"/>
      <w:r w:rsidRPr="009D626F">
        <w:t>2.2 Implications for HRM</w:t>
      </w:r>
      <w:bookmarkEnd w:id="3"/>
    </w:p>
    <w:p w14:paraId="2BA9B85E" w14:textId="77777777" w:rsidR="009D626F" w:rsidRDefault="008B04C8" w:rsidP="009D626F">
      <w:pPr>
        <w:rPr>
          <w:bCs/>
        </w:rPr>
      </w:pPr>
      <w:r>
        <w:rPr>
          <w:bCs/>
        </w:rPr>
        <w:tab/>
      </w:r>
      <w:r w:rsidR="002C77A6" w:rsidRPr="002C77A6">
        <w:rPr>
          <w:bCs/>
        </w:rPr>
        <w:t xml:space="preserve">To deal with changes in the digital labour market, HRM functions are adopting online recruitment platforms, e-HRM systems and workforce analytics to enhance talent acquisition, performance management and employee development. For example, AI-enabled screening tools reduce the time and costs of the hiring process, while workforce analytics result in skills </w:t>
      </w:r>
      <w:r w:rsidR="002C77A6" w:rsidRPr="002C77A6">
        <w:rPr>
          <w:bCs/>
        </w:rPr>
        <w:lastRenderedPageBreak/>
        <w:t>analysis and turnover predictions (Ekuma, 2024). Also, in addition to recruitment, the HR function must manage reskilling and re-deployment initiatives, to create workforce capability which meets the demands required for new technologies. This involves role definition changes, development of continuous learning programmes and assistance to employees in the transition to new technology</w:t>
      </w:r>
      <w:r w:rsidR="009A6E24">
        <w:rPr>
          <w:bCs/>
        </w:rPr>
        <w:t xml:space="preserve"> </w:t>
      </w:r>
      <w:r w:rsidR="002C77A6" w:rsidRPr="002C77A6">
        <w:rPr>
          <w:bCs/>
        </w:rPr>
        <w:t>dependent work patterns.</w:t>
      </w:r>
    </w:p>
    <w:p w14:paraId="2912C0DF" w14:textId="77777777" w:rsidR="005E73AC" w:rsidRDefault="005E73AC" w:rsidP="005E73AC">
      <w:pPr>
        <w:keepNext/>
        <w:jc w:val="center"/>
      </w:pPr>
      <w:r>
        <w:rPr>
          <w:noProof/>
        </w:rPr>
        <w:drawing>
          <wp:inline distT="0" distB="0" distL="0" distR="0" wp14:anchorId="185A55CD" wp14:editId="5C9A58EF">
            <wp:extent cx="4771242" cy="3888562"/>
            <wp:effectExtent l="0" t="0" r="0" b="0"/>
            <wp:docPr id="4" name="Picture 4" descr="Top 5 Strategies for HR Digital Transform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4" descr="Top 5 Strategies for HR Digital Transformation"/>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776185" cy="3892590"/>
                    </a:xfrm>
                    <a:prstGeom prst="rect">
                      <a:avLst/>
                    </a:prstGeom>
                    <a:noFill/>
                    <a:ln>
                      <a:noFill/>
                    </a:ln>
                  </pic:spPr>
                </pic:pic>
              </a:graphicData>
            </a:graphic>
          </wp:inline>
        </w:drawing>
      </w:r>
    </w:p>
    <w:p w14:paraId="4F7DF2DE" w14:textId="77777777" w:rsidR="005E73AC" w:rsidRPr="005E73AC" w:rsidRDefault="005E73AC" w:rsidP="005E73AC">
      <w:pPr>
        <w:pStyle w:val="Caption"/>
        <w:jc w:val="center"/>
        <w:rPr>
          <w:b/>
          <w:bCs/>
          <w:sz w:val="20"/>
        </w:rPr>
      </w:pPr>
      <w:r w:rsidRPr="005E73AC">
        <w:rPr>
          <w:b/>
          <w:sz w:val="20"/>
        </w:rPr>
        <w:t xml:space="preserve">Figure </w:t>
      </w:r>
      <w:r w:rsidRPr="005E73AC">
        <w:rPr>
          <w:b/>
          <w:sz w:val="20"/>
        </w:rPr>
        <w:fldChar w:fldCharType="begin"/>
      </w:r>
      <w:r w:rsidRPr="005E73AC">
        <w:rPr>
          <w:b/>
          <w:sz w:val="20"/>
        </w:rPr>
        <w:instrText xml:space="preserve"> SEQ Figure \* ARABIC </w:instrText>
      </w:r>
      <w:r w:rsidRPr="005E73AC">
        <w:rPr>
          <w:b/>
          <w:sz w:val="20"/>
        </w:rPr>
        <w:fldChar w:fldCharType="separate"/>
      </w:r>
      <w:r w:rsidR="004841A4">
        <w:rPr>
          <w:b/>
          <w:noProof/>
          <w:sz w:val="20"/>
        </w:rPr>
        <w:t>1</w:t>
      </w:r>
      <w:r w:rsidRPr="005E73AC">
        <w:rPr>
          <w:b/>
          <w:sz w:val="20"/>
        </w:rPr>
        <w:fldChar w:fldCharType="end"/>
      </w:r>
      <w:r w:rsidRPr="005E73AC">
        <w:rPr>
          <w:b/>
          <w:sz w:val="20"/>
        </w:rPr>
        <w:t>: Benefits of HR digital transformation (H2R.ai, 2024)</w:t>
      </w:r>
    </w:p>
    <w:p w14:paraId="2DDB0FE8" w14:textId="77777777" w:rsidR="009D626F" w:rsidRPr="009D626F" w:rsidRDefault="009D626F" w:rsidP="00AB60DF">
      <w:pPr>
        <w:pStyle w:val="Heading2"/>
      </w:pPr>
      <w:bookmarkStart w:id="4" w:name="_Toc212758155"/>
      <w:r w:rsidRPr="009D626F">
        <w:t>2.3 Implications for IHRM</w:t>
      </w:r>
      <w:bookmarkEnd w:id="4"/>
    </w:p>
    <w:p w14:paraId="47FE0847" w14:textId="77777777" w:rsidR="00ED0EFA" w:rsidRPr="002C77A6" w:rsidRDefault="008B04C8" w:rsidP="002C77A6">
      <w:pPr>
        <w:rPr>
          <w:bCs/>
        </w:rPr>
      </w:pPr>
      <w:r>
        <w:rPr>
          <w:bCs/>
        </w:rPr>
        <w:tab/>
      </w:r>
      <w:r w:rsidR="002C77A6" w:rsidRPr="002C77A6">
        <w:rPr>
          <w:bCs/>
        </w:rPr>
        <w:t>In the global era, IHRM faces new issues connected with the management of global virtual teams, cross-border data ethics, and mobility under digital regimes. The result is that organisations now increasingly use virtual collaboration rather than traditional expatriation, with it now being necessary to implement the digital infrastructure and global policy for remote teams (Froese et al, 2025). Nowadays, a further issue arises as data collected across borders leads to ethics and legalities such as privacy, surveillance and compliance with differing jurisdictions. On the other hand, digital technologies relate to the issue of international mobility, and instead of sending employees abroad permanently, organisations can train virtual employees or short-term digital nomads with the previous model of IHRM expatriate management changing accordingly.</w:t>
      </w:r>
    </w:p>
    <w:p w14:paraId="77907331" w14:textId="77777777" w:rsidR="009D626F" w:rsidRPr="009D626F" w:rsidRDefault="009D626F" w:rsidP="00AB60DF">
      <w:pPr>
        <w:pStyle w:val="Heading2"/>
      </w:pPr>
      <w:bookmarkStart w:id="5" w:name="_Toc212758156"/>
      <w:r w:rsidRPr="009D626F">
        <w:lastRenderedPageBreak/>
        <w:t>2.4 Critical evaluation</w:t>
      </w:r>
      <w:bookmarkEnd w:id="5"/>
    </w:p>
    <w:p w14:paraId="7BA0121D" w14:textId="77777777" w:rsidR="009D626F" w:rsidRPr="002C77A6" w:rsidRDefault="008B04C8" w:rsidP="009D626F">
      <w:r>
        <w:tab/>
      </w:r>
      <w:r w:rsidR="002C77A6" w:rsidRPr="002C77A6">
        <w:t>While digital transformation can bring advantages such as increased talent access, improved efficiency and better organisational agility, it can also bring disadvantages such as inequity, job loss and ethical dilemmas. For example, automation can disenfranchise lower-skilled workers and biases can be perpetuated through digital recruiting systems (Dabic et al., 2023). Theoretically, frameworks such as the Resource-Based View or Human Capital Theory present interesting perspectives: firms that are able to leverage digital HR advantages effectively can generate competitive advantage provided the human capital on which they rely is developed in a responsible manner. Thus, a strategy is required that seeks to balance the advantages of digital leverage with the drawbacks that accrue in terms of equity, privacy and displacement of the workforce.</w:t>
      </w:r>
    </w:p>
    <w:p w14:paraId="46E3D15B" w14:textId="77777777" w:rsidR="009D626F" w:rsidRPr="00AB60DF" w:rsidRDefault="009D626F" w:rsidP="00AB60DF">
      <w:pPr>
        <w:pStyle w:val="Heading1"/>
      </w:pPr>
      <w:bookmarkStart w:id="6" w:name="_Toc212758157"/>
      <w:r w:rsidRPr="00AB60DF">
        <w:rPr>
          <w:rStyle w:val="Strong"/>
          <w:b/>
        </w:rPr>
        <w:t>3. Demographic and Geopolitical Influences on Employment Markets</w:t>
      </w:r>
      <w:bookmarkEnd w:id="6"/>
    </w:p>
    <w:p w14:paraId="2CE35C69" w14:textId="77777777" w:rsidR="00013583" w:rsidRDefault="00013583" w:rsidP="00AB60DF">
      <w:pPr>
        <w:pStyle w:val="Heading2"/>
      </w:pPr>
      <w:bookmarkStart w:id="7" w:name="_Toc212758158"/>
      <w:r w:rsidRPr="00013583">
        <w:t>3.1 Demographic dynamics</w:t>
      </w:r>
      <w:bookmarkEnd w:id="7"/>
    </w:p>
    <w:p w14:paraId="295D0582" w14:textId="77777777" w:rsidR="009D626F" w:rsidRDefault="008B04C8" w:rsidP="00013583">
      <w:r>
        <w:tab/>
      </w:r>
      <w:r w:rsidR="002C77A6" w:rsidRPr="002C77A6">
        <w:t>Organisations today are faced with an ageing workforce, increased migrants flow, a greater emphasis on gender diversity, all of which are resulting in changed employment markets, and HR strategies. For instance, the increase in workers aged 55 and above creates challenges for organisations to redesign jobs and learning pathways. At the same time however, younger generations such as Gen Z now come to work with expectations of flexible work models, digital connectivity and purpose driven careers. Age-inclusive HR practices show improved engagement levels when organisations foster a climate of support and diversity (Ayoko et al., 2023). HR specialists must therefore, re-configure workforce planning and retention to take into consideration the need for demographic heterogeneity, and varied work-model expectations.</w:t>
      </w:r>
    </w:p>
    <w:p w14:paraId="70A90C23" w14:textId="77777777" w:rsidR="005E73AC" w:rsidRDefault="005E73AC" w:rsidP="005E73AC">
      <w:pPr>
        <w:keepNext/>
        <w:jc w:val="center"/>
      </w:pPr>
      <w:r>
        <w:rPr>
          <w:noProof/>
        </w:rPr>
        <w:lastRenderedPageBreak/>
        <w:drawing>
          <wp:inline distT="0" distB="0" distL="0" distR="0" wp14:anchorId="2852C342" wp14:editId="0A198D2D">
            <wp:extent cx="4199890" cy="5476656"/>
            <wp:effectExtent l="0" t="0" r="0" b="0"/>
            <wp:docPr id="5" name="Picture 5" descr="Charted: How Generations Will Shape the Workforce by 20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6" descr="Charted: How Generations Will Shape the Workforce by 203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202674" cy="5480286"/>
                    </a:xfrm>
                    <a:prstGeom prst="rect">
                      <a:avLst/>
                    </a:prstGeom>
                    <a:noFill/>
                    <a:ln>
                      <a:noFill/>
                    </a:ln>
                  </pic:spPr>
                </pic:pic>
              </a:graphicData>
            </a:graphic>
          </wp:inline>
        </w:drawing>
      </w:r>
    </w:p>
    <w:p w14:paraId="20439899" w14:textId="77777777" w:rsidR="005E73AC" w:rsidRPr="005E73AC" w:rsidRDefault="005E73AC" w:rsidP="005E73AC">
      <w:pPr>
        <w:pStyle w:val="Caption"/>
        <w:jc w:val="center"/>
        <w:rPr>
          <w:b/>
          <w:sz w:val="20"/>
        </w:rPr>
      </w:pPr>
      <w:r w:rsidRPr="005E73AC">
        <w:rPr>
          <w:b/>
          <w:sz w:val="20"/>
        </w:rPr>
        <w:t xml:space="preserve">Figure </w:t>
      </w:r>
      <w:r w:rsidRPr="005E73AC">
        <w:rPr>
          <w:b/>
          <w:sz w:val="20"/>
        </w:rPr>
        <w:fldChar w:fldCharType="begin"/>
      </w:r>
      <w:r w:rsidRPr="005E73AC">
        <w:rPr>
          <w:b/>
          <w:sz w:val="20"/>
        </w:rPr>
        <w:instrText xml:space="preserve"> SEQ Figure \* ARABIC </w:instrText>
      </w:r>
      <w:r w:rsidRPr="005E73AC">
        <w:rPr>
          <w:b/>
          <w:sz w:val="20"/>
        </w:rPr>
        <w:fldChar w:fldCharType="separate"/>
      </w:r>
      <w:r w:rsidR="004841A4">
        <w:rPr>
          <w:b/>
          <w:noProof/>
          <w:sz w:val="20"/>
        </w:rPr>
        <w:t>2</w:t>
      </w:r>
      <w:r w:rsidRPr="005E73AC">
        <w:rPr>
          <w:b/>
          <w:sz w:val="20"/>
        </w:rPr>
        <w:fldChar w:fldCharType="end"/>
      </w:r>
      <w:r w:rsidRPr="005E73AC">
        <w:rPr>
          <w:b/>
          <w:sz w:val="20"/>
        </w:rPr>
        <w:t>: Generational composition of global workforce in 2035 (Visual Capitalist)</w:t>
      </w:r>
    </w:p>
    <w:p w14:paraId="5C41DF0D" w14:textId="77777777" w:rsidR="00013583" w:rsidRDefault="00013583" w:rsidP="00AB60DF">
      <w:pPr>
        <w:pStyle w:val="Heading2"/>
      </w:pPr>
      <w:bookmarkStart w:id="8" w:name="_Toc212758159"/>
      <w:r w:rsidRPr="00013583">
        <w:t>3.2 Geopolitical shifts</w:t>
      </w:r>
      <w:bookmarkEnd w:id="8"/>
    </w:p>
    <w:p w14:paraId="6616DBC6" w14:textId="77777777" w:rsidR="009D626F" w:rsidRPr="00013583" w:rsidRDefault="008B04C8" w:rsidP="00013583">
      <w:r>
        <w:tab/>
      </w:r>
      <w:r w:rsidR="002C77A6" w:rsidRPr="002C77A6">
        <w:t xml:space="preserve">Geopolitical </w:t>
      </w:r>
      <w:r w:rsidR="002C77A6">
        <w:t>transformation</w:t>
      </w:r>
      <w:r w:rsidR="002C77A6" w:rsidRPr="002C77A6">
        <w:t xml:space="preserve"> is having an impact on labour markets as globalisation trends reverse, trade tensions increase and post-Covid mobility issues increase. For example, multinationals are experiencing upheaval related to supply</w:t>
      </w:r>
      <w:r w:rsidR="002C77A6">
        <w:t xml:space="preserve"> </w:t>
      </w:r>
      <w:r w:rsidR="002C77A6" w:rsidRPr="002C77A6">
        <w:t>chain re</w:t>
      </w:r>
      <w:r w:rsidR="002C77A6">
        <w:t>-</w:t>
      </w:r>
      <w:r w:rsidR="002C77A6" w:rsidRPr="002C77A6">
        <w:t>alignment and regionalisation processes constrained by conflict or sanctions (Meyer, 2022). These new developments require HRM and IHRM to incorporate talent flows, contingency-planning and strategic workforce resilience to maintain competitive advantage. Furthermore, wars and mobility restriction through the pandemic-related matters are changing migratory patterns, skills availability, etc., requiring HR practitioners to effectively bridge talent gaps while responding to different regulatory regimes and environments of risk.</w:t>
      </w:r>
    </w:p>
    <w:p w14:paraId="15FA23E8" w14:textId="77777777" w:rsidR="00013583" w:rsidRDefault="00013583" w:rsidP="00AB60DF">
      <w:pPr>
        <w:pStyle w:val="Heading2"/>
      </w:pPr>
      <w:bookmarkStart w:id="9" w:name="_Toc212758160"/>
      <w:r w:rsidRPr="00013583">
        <w:lastRenderedPageBreak/>
        <w:t>3.3 Challenges for HRM/IHRM</w:t>
      </w:r>
      <w:bookmarkEnd w:id="9"/>
    </w:p>
    <w:p w14:paraId="3840411D" w14:textId="77777777" w:rsidR="009D626F" w:rsidRPr="00013583" w:rsidRDefault="008B04C8" w:rsidP="00013583">
      <w:r>
        <w:tab/>
      </w:r>
      <w:r w:rsidR="002C77A6" w:rsidRPr="002C77A6">
        <w:t>Navigating cross-national labour laws is becoming more complex as organisations become global in context, with every jurisdiction creating salient employment implications, migration frameworks and tax regimes. At the same time cultural integration and cultural inclusion within global teams is proving problematic, to cite an example, a number of subsidiaries located in various regions of the world will take on local practices that diverge from those of headquarters. Research highlights the need for institutional alignment, and local responsiveness in IHRM, to effectively navigate these issues (Karst, 2024). HRM practitioners must therefore develop policies that ensure legal compliance, secure cultural adaptation, and provide equitable frameworks for global workforce inclusion.</w:t>
      </w:r>
    </w:p>
    <w:p w14:paraId="140EDA77" w14:textId="77777777" w:rsidR="00013583" w:rsidRDefault="00013583" w:rsidP="00AB60DF">
      <w:pPr>
        <w:pStyle w:val="Heading2"/>
      </w:pPr>
      <w:bookmarkStart w:id="10" w:name="_Toc212758161"/>
      <w:r w:rsidRPr="00013583">
        <w:t>3.4 Critical discussion</w:t>
      </w:r>
      <w:bookmarkEnd w:id="10"/>
    </w:p>
    <w:p w14:paraId="18DFD469" w14:textId="77777777" w:rsidR="00013583" w:rsidRDefault="008B04C8" w:rsidP="00013583">
      <w:r>
        <w:tab/>
      </w:r>
      <w:r w:rsidR="002C77A6" w:rsidRPr="002C77A6">
        <w:t xml:space="preserve">In order to </w:t>
      </w:r>
      <w:r w:rsidR="004052F9">
        <w:t>engage</w:t>
      </w:r>
      <w:r w:rsidR="002C77A6" w:rsidRPr="002C77A6">
        <w:t xml:space="preserve"> the global demographic and geopolitical analysis with HR, frameworks such as PESTLE and Institutional Theory provide useful scaffolding. A PESTLE analysis allows HR Leaders to scan the political, economic, social and legal factors that shape Labour markets, in order to adjust their strategy accordingly (CIPD, 2025). Institutional Theory, on the other hand, assists in understanding how organisations shift HR practices to fit in with diverging national institutions and normative environments (Karst, 2024). Such critically evaluative frameworks allow HRM and IHRM to find ways of not just applying reactive adapting measures, but rather proactively designing workforce strategies in line with external changes to labour market requirements, and of organisational capability.</w:t>
      </w:r>
    </w:p>
    <w:p w14:paraId="5DE47711" w14:textId="77777777" w:rsidR="00013583" w:rsidRPr="00013583" w:rsidRDefault="00013583" w:rsidP="00AB60DF">
      <w:pPr>
        <w:pStyle w:val="Heading1"/>
      </w:pPr>
      <w:bookmarkStart w:id="11" w:name="_Toc212758162"/>
      <w:r w:rsidRPr="00013583">
        <w:t>4. Addressing Skills Gaps and Talent Shortages through Strategic HRM</w:t>
      </w:r>
      <w:bookmarkEnd w:id="11"/>
      <w:r w:rsidRPr="00013583">
        <w:t xml:space="preserve"> </w:t>
      </w:r>
    </w:p>
    <w:p w14:paraId="20B8A67D" w14:textId="77777777" w:rsidR="00013583" w:rsidRDefault="00013583" w:rsidP="00AB60DF">
      <w:pPr>
        <w:pStyle w:val="Heading2"/>
      </w:pPr>
      <w:bookmarkStart w:id="12" w:name="_Toc212758163"/>
      <w:r w:rsidRPr="00013583">
        <w:t>4.1 Current labour-market skill shortages</w:t>
      </w:r>
      <w:bookmarkEnd w:id="12"/>
    </w:p>
    <w:p w14:paraId="66D7BEAF" w14:textId="77777777" w:rsidR="00B02D4A" w:rsidRPr="00013583" w:rsidRDefault="008B04C8" w:rsidP="00013583">
      <w:r>
        <w:tab/>
      </w:r>
      <w:r w:rsidR="002C77A6" w:rsidRPr="002C77A6">
        <w:t xml:space="preserve">Acute talent shortage exists in critical sectors such as technology, healthcare and hospitality where the demand for specialist skills exceeds the supply. For example, there are structural shortages in health and social care jobs because of ageing populations and the transitional demands of new job-related skills such as gerontecnology support (European Labour Authority, 2023). The aftermath of the pandemic revealed severe labour shortages in the hospitality sector, revealing severe shortages from large numbers of departures in staff who left the industry and were unmet (HOTREC, 2022). In technology, new jobs requiring AI and cloud computing skills are arising faster than universities can provide graduates and in-turn </w:t>
      </w:r>
      <w:r w:rsidR="002C77A6" w:rsidRPr="002C77A6">
        <w:lastRenderedPageBreak/>
        <w:t>produce labour mismatching between the requirements of the labour market and the capacity of the present workforce.</w:t>
      </w:r>
    </w:p>
    <w:p w14:paraId="7DBB1F08" w14:textId="77777777" w:rsidR="00013583" w:rsidRDefault="00013583" w:rsidP="00AB60DF">
      <w:pPr>
        <w:pStyle w:val="Heading2"/>
      </w:pPr>
      <w:bookmarkStart w:id="13" w:name="_Toc212758164"/>
      <w:r w:rsidRPr="00013583">
        <w:t>4.2 Strategic HRM responses</w:t>
      </w:r>
      <w:bookmarkEnd w:id="13"/>
    </w:p>
    <w:p w14:paraId="0EA25F7C" w14:textId="77777777" w:rsidR="00B02D4A" w:rsidRPr="00013583" w:rsidRDefault="008B04C8" w:rsidP="00013583">
      <w:r>
        <w:tab/>
      </w:r>
      <w:r w:rsidR="002C77A6" w:rsidRPr="002C77A6">
        <w:t>Specifically, organisations are instituting strategic HRM measures to close skills gaps and obtain competitive talent pipelines. These include talent management programmes, learning and development initiatives and structured succession planning to ensure continuity in future leadership (Venkata Karthik, 2023). Cooperative arrangements with universities, apprenticeship programmes and industrial relations between academia and industry could provide new pools of talent tailored for emerging sectors. By aligning their HR practices with long-term business strategy, organisations can be proactive in creating human capital instead of simply reactive to staffing shortages. This would convert workforce capability into a source of sustainable competitive advantage.</w:t>
      </w:r>
    </w:p>
    <w:p w14:paraId="0635C8FB" w14:textId="77777777" w:rsidR="00013583" w:rsidRDefault="00013583" w:rsidP="00AB60DF">
      <w:pPr>
        <w:pStyle w:val="Heading2"/>
      </w:pPr>
      <w:bookmarkStart w:id="14" w:name="_Toc212758165"/>
      <w:r w:rsidRPr="00013583">
        <w:t>4.3 Analytical models</w:t>
      </w:r>
      <w:bookmarkEnd w:id="14"/>
    </w:p>
    <w:p w14:paraId="586BE9BF" w14:textId="77777777" w:rsidR="00B02D4A" w:rsidRDefault="008B04C8" w:rsidP="00013583">
      <w:r>
        <w:tab/>
      </w:r>
      <w:r w:rsidR="00AB60DF" w:rsidRPr="00AB60DF">
        <w:t>In the academic literature, frameworks such as Dave Ulrich’s HR Business Partner Model, Talent Management Cycle and Human Capital Theory provide a conceptualisation of how HRM fits workforce capability and strategy. Ulrich’s model identifies HR as the strategic partner and change agent instead of being relegated to be just a transactional administrator (Somu &amp; Jayavel, 2024). Human Capital Theory places the accent on the value of worker skills, abilities, knowledge and experience as being organisational assets instead of cost outcomes. These theoretical frameworks provide guidelines for HR practitioners in the designing of systems that link in integrated fashion, talent development, performance and business outcomes.</w:t>
      </w:r>
    </w:p>
    <w:p w14:paraId="3EF336CD" w14:textId="77777777" w:rsidR="004841A4" w:rsidRDefault="004841A4" w:rsidP="004841A4">
      <w:pPr>
        <w:keepNext/>
        <w:jc w:val="center"/>
      </w:pPr>
      <w:r>
        <w:rPr>
          <w:noProof/>
        </w:rPr>
        <w:lastRenderedPageBreak/>
        <w:drawing>
          <wp:inline distT="0" distB="0" distL="0" distR="0" wp14:anchorId="1149B4CB" wp14:editId="53A9811F">
            <wp:extent cx="4472940" cy="2970312"/>
            <wp:effectExtent l="0" t="0" r="3810" b="1905"/>
            <wp:docPr id="6" name="Picture 6" descr="What Is the Talent Lifecycle? The 5 Stages Explained - AIH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8" descr="What Is the Talent Lifecycle? The 5 Stages Explained - AIH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487566" cy="2980024"/>
                    </a:xfrm>
                    <a:prstGeom prst="rect">
                      <a:avLst/>
                    </a:prstGeom>
                    <a:noFill/>
                    <a:ln>
                      <a:noFill/>
                    </a:ln>
                  </pic:spPr>
                </pic:pic>
              </a:graphicData>
            </a:graphic>
          </wp:inline>
        </w:drawing>
      </w:r>
    </w:p>
    <w:p w14:paraId="138A3E54" w14:textId="77777777" w:rsidR="004841A4" w:rsidRPr="00013583" w:rsidRDefault="004841A4" w:rsidP="004841A4">
      <w:pPr>
        <w:pStyle w:val="Caption"/>
        <w:jc w:val="center"/>
      </w:pPr>
      <w:r>
        <w:t xml:space="preserve">Figure </w:t>
      </w:r>
      <w:fldSimple w:instr=" SEQ Figure \* ARABIC ">
        <w:r>
          <w:rPr>
            <w:noProof/>
          </w:rPr>
          <w:t>3</w:t>
        </w:r>
      </w:fldSimple>
      <w:r>
        <w:t xml:space="preserve">: </w:t>
      </w:r>
      <w:r w:rsidRPr="00782A17">
        <w:t>Talent lifecycle stages (AIHR)</w:t>
      </w:r>
    </w:p>
    <w:p w14:paraId="3985C68D" w14:textId="77777777" w:rsidR="00013583" w:rsidRDefault="00013583" w:rsidP="00AB60DF">
      <w:pPr>
        <w:pStyle w:val="Heading2"/>
      </w:pPr>
      <w:bookmarkStart w:id="15" w:name="_Toc212758166"/>
      <w:r w:rsidRPr="00013583">
        <w:t>4.4 Critical synthesis</w:t>
      </w:r>
      <w:bookmarkEnd w:id="15"/>
    </w:p>
    <w:p w14:paraId="5C1EE53D" w14:textId="77777777" w:rsidR="00AB60DF" w:rsidRPr="00013583" w:rsidRDefault="008B04C8" w:rsidP="00013583">
      <w:r>
        <w:tab/>
      </w:r>
      <w:r w:rsidR="00AB60DF" w:rsidRPr="00AB60DF">
        <w:t xml:space="preserve">Evaluation of strategic HRM indicates through these frameworks, that while it is imperative, it is also complex to </w:t>
      </w:r>
      <w:r w:rsidR="002135EF">
        <w:t>join</w:t>
      </w:r>
      <w:r w:rsidR="00AB60DF" w:rsidRPr="00AB60DF">
        <w:t xml:space="preserve"> workforce capability to organisation competitiveness. On one hand, effective talent management, learning and development and succession planning convert human capital into strategic advantage (Schulze et al., 2025). On the other hand, if these initiatives are not in synch with strategy and poorly executed, they provide little value added and may widen inequities and not make sufficient use of skills. Critical evaluation suggests a responsibility on the part of HR to create coherence between HR practices and business strategy and also the external dynamics of the labour market. Then and only then can workforce capability contribute to performance in the competitive field of business.</w:t>
      </w:r>
    </w:p>
    <w:p w14:paraId="284D4315" w14:textId="77777777" w:rsidR="00013583" w:rsidRDefault="00013583" w:rsidP="00AB60DF">
      <w:pPr>
        <w:pStyle w:val="Heading1"/>
        <w:rPr>
          <w:i/>
          <w:iCs/>
        </w:rPr>
      </w:pPr>
      <w:bookmarkStart w:id="16" w:name="_Toc212758167"/>
      <w:r w:rsidRPr="00013583">
        <w:t>5. Reflective Report on International and Technological Competence</w:t>
      </w:r>
      <w:bookmarkEnd w:id="16"/>
    </w:p>
    <w:p w14:paraId="37134203" w14:textId="77777777" w:rsidR="00B02D4A" w:rsidRPr="00C16108" w:rsidRDefault="00B02D4A" w:rsidP="00AB60DF">
      <w:pPr>
        <w:pStyle w:val="Heading2"/>
        <w:rPr>
          <w:lang w:eastAsia="en-GB"/>
        </w:rPr>
      </w:pPr>
      <w:bookmarkStart w:id="17" w:name="_Toc212758168"/>
      <w:r w:rsidRPr="00C16108">
        <w:rPr>
          <w:lang w:eastAsia="en-GB"/>
        </w:rPr>
        <w:t>5.1 Context</w:t>
      </w:r>
      <w:bookmarkEnd w:id="17"/>
    </w:p>
    <w:p w14:paraId="78D84E92" w14:textId="77777777" w:rsidR="00B02D4A" w:rsidRPr="00B02D4A" w:rsidRDefault="008B04C8" w:rsidP="00B02D4A">
      <w:pPr>
        <w:rPr>
          <w:lang w:eastAsia="en-GB"/>
        </w:rPr>
      </w:pPr>
      <w:r>
        <w:rPr>
          <w:lang w:eastAsia="en-GB"/>
        </w:rPr>
        <w:tab/>
      </w:r>
      <w:r w:rsidR="00AB60DF" w:rsidRPr="00AB60DF">
        <w:rPr>
          <w:lang w:eastAsia="en-GB"/>
        </w:rPr>
        <w:t xml:space="preserve">My comprehensive background in business and management has meant that I have been exposed to global issues extensively throughout the course. I have undertaken various modules where I have had to complete group work both face to face and virtually with students from all over the world. Each time I interact with international students I have gained further insights into how my own communication and decision-making styles are so different from others. I have had some experience in developing virtual means of collaboration in a professional capacity using platforms like Microsoft Teams and Trello, allowing for collaboration across </w:t>
      </w:r>
      <w:r w:rsidR="00AB60DF" w:rsidRPr="00AB60DF">
        <w:rPr>
          <w:lang w:eastAsia="en-GB"/>
        </w:rPr>
        <w:lastRenderedPageBreak/>
        <w:t>time zones and cultures as necessary. These lessons learnt highlight the growing appreciation of the value of flexibility and empathy in a global digital environment and also reinforce my belief that technology is not simply a tool, but one which enables cooperation and inclusion. I have become sufficiently acclimatised to interacting with other people via virtual means and to coordinating projects and tasks in that manner, but the realisation is with teams which may be too dispersed, engagement and trust are things which have to be actively worked on to maintain, for which emotional intelligence will stand me in good stead. Those are the thoughts which develop my understanding of global readiness while also my competence with technology.</w:t>
      </w:r>
    </w:p>
    <w:p w14:paraId="1D4B1CF2" w14:textId="77777777" w:rsidR="00B02D4A" w:rsidRPr="00C16108" w:rsidRDefault="00B02D4A" w:rsidP="00AB60DF">
      <w:pPr>
        <w:pStyle w:val="Heading2"/>
        <w:rPr>
          <w:lang w:eastAsia="en-GB"/>
        </w:rPr>
      </w:pPr>
      <w:bookmarkStart w:id="18" w:name="_Toc212758169"/>
      <w:r w:rsidRPr="00C16108">
        <w:rPr>
          <w:lang w:eastAsia="en-GB"/>
        </w:rPr>
        <w:t>5.2 Assessment of competencies</w:t>
      </w:r>
      <w:bookmarkEnd w:id="18"/>
    </w:p>
    <w:p w14:paraId="65A22496" w14:textId="77777777" w:rsidR="00B02D4A" w:rsidRPr="00B02D4A" w:rsidRDefault="008B04C8" w:rsidP="00B02D4A">
      <w:pPr>
        <w:rPr>
          <w:lang w:eastAsia="en-GB"/>
        </w:rPr>
      </w:pPr>
      <w:r>
        <w:tab/>
      </w:r>
      <w:r w:rsidR="00C16108">
        <w:t xml:space="preserve">My digital literacy is relatively strong and continues to evolve with experience. </w:t>
      </w:r>
      <w:r w:rsidR="00AB60DF" w:rsidRPr="00AB60DF">
        <w:t>I have good data analysis and communication software skills, am familiar with interacting with and using artificial computing-based systems and tools and can employ those systems which would allow productivity in virtual teams. My technological awareness is not something I perceive as fixed, but rather needing education and development at all times! I believe my communications skills are clear, or I think they are anyhow, but I see clear areas where I could develop mine in terms of being sensitive to cultures other than my own. Working with multicultural teams has significantly illustrated the degree to which collaboration relies on empathy, patience, and listening, as much as technical ability. Within groups, I tend to take the initiative by distributing schedules and leading others, a reflection of a collaborative and not a directing style of leadership. Such participative leadership is, perhaps, more useful in international and digitally linked situations (Northouse, 2022). Ethical awareness of actions also propels my approach to them, especially where confidential information exists or there is responsibility for delegation. I also see the ability to self-direct in learning as one of my own core strengths. Frequently, therefore, I set developmental goals, regulate their success and ask mentors for feedback. I can nonetheless improve in tracking progress rather more systematically and linking new skills to long-term career goals directly.</w:t>
      </w:r>
    </w:p>
    <w:p w14:paraId="186282EF" w14:textId="77777777" w:rsidR="00B02D4A" w:rsidRPr="00C16108" w:rsidRDefault="00B02D4A" w:rsidP="00AB60DF">
      <w:pPr>
        <w:pStyle w:val="Heading2"/>
        <w:rPr>
          <w:lang w:eastAsia="en-GB"/>
        </w:rPr>
      </w:pPr>
      <w:bookmarkStart w:id="19" w:name="_Toc212758170"/>
      <w:r w:rsidRPr="00C16108">
        <w:rPr>
          <w:lang w:eastAsia="en-GB"/>
        </w:rPr>
        <w:t>5.3 Strengths and weaknesses analysis</w:t>
      </w:r>
      <w:bookmarkEnd w:id="19"/>
    </w:p>
    <w:p w14:paraId="1645C8A5" w14:textId="77777777" w:rsidR="00C16108" w:rsidRPr="00C16108" w:rsidRDefault="008B04C8" w:rsidP="00C16108">
      <w:pPr>
        <w:rPr>
          <w:lang w:eastAsia="en-GB"/>
        </w:rPr>
      </w:pPr>
      <w:r>
        <w:rPr>
          <w:lang w:eastAsia="en-GB"/>
        </w:rPr>
        <w:tab/>
      </w:r>
      <w:r w:rsidR="00AB60DF" w:rsidRPr="00AB60DF">
        <w:rPr>
          <w:lang w:eastAsia="en-GB"/>
        </w:rPr>
        <w:t xml:space="preserve">Reflecting in Kolb’s Experiential Learning Cycle showed me how great the amount of growth is which often follows on from unfortunate circumstances or the reversal of expectations on the one occasion and not when all goes as expected. During an international group exercise, I found coordination over time keeping and different understanding regarding deadlines difficult, at first, but reflection and consideration of what had gone wrong with my </w:t>
      </w:r>
      <w:r w:rsidR="00AB60DF" w:rsidRPr="00AB60DF">
        <w:rPr>
          <w:lang w:eastAsia="en-GB"/>
        </w:rPr>
        <w:lastRenderedPageBreak/>
        <w:t>scheduling and others had improved our joint understanding and productivity. One that I see now, however, is my ready acceptance of criticism and the quickness to adapt when circumstances change. This adaptability has given me much confidence in working in groups.</w:t>
      </w:r>
    </w:p>
    <w:p w14:paraId="0E2F0FCD" w14:textId="77777777" w:rsidR="00B02D4A" w:rsidRDefault="008B04C8" w:rsidP="00B02D4A">
      <w:r>
        <w:rPr>
          <w:lang w:eastAsia="en-GB"/>
        </w:rPr>
        <w:tab/>
      </w:r>
      <w:r w:rsidR="00AB60DF" w:rsidRPr="00AB60DF">
        <w:rPr>
          <w:lang w:eastAsia="en-GB"/>
        </w:rPr>
        <w:t>At the same time, it has pointed out areas to me that still need attention. I often take on too many responsibilities which detract from my ability to succeed with the level of excellence I ought to attain in the final output of my labours. Using the Johari Window model, I have noticed that while aware of the visible strengths I possessed, I was sometimes unaware of more subtle skills, such as the ability to negotiate through conflicts. These areas had become obvious to peers who had given me feedback and I had therefore worked at them. Another area highlighted was that of data analytics. While I understand its importance in the HR decision-making process, I find I need more formal training in order to become fluent. Regular mentoring and focused learning in these areas should convert these deficiencies into long-term professional enhancements (Kolb, 2015).</w:t>
      </w:r>
    </w:p>
    <w:p w14:paraId="3E7DE53E" w14:textId="77777777" w:rsidR="005E73AC" w:rsidRDefault="005E73AC" w:rsidP="005E73AC">
      <w:pPr>
        <w:jc w:val="center"/>
      </w:pPr>
      <w:r>
        <w:rPr>
          <w:noProof/>
        </w:rPr>
        <w:drawing>
          <wp:inline distT="0" distB="0" distL="0" distR="0" wp14:anchorId="28CB7700" wp14:editId="4ACE57CA">
            <wp:extent cx="4038600" cy="4038600"/>
            <wp:effectExtent l="0" t="0" r="0" b="0"/>
            <wp:docPr id="3" name="Picture 3" descr="https://www.simplypsychology.org/wp-content/uploads/learning-cycle-kolb.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2" descr="https://www.simplypsychology.org/wp-content/uploads/learning-cycle-kolb.jp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038600" cy="4038600"/>
                    </a:xfrm>
                    <a:prstGeom prst="rect">
                      <a:avLst/>
                    </a:prstGeom>
                    <a:noFill/>
                    <a:ln>
                      <a:noFill/>
                    </a:ln>
                  </pic:spPr>
                </pic:pic>
              </a:graphicData>
            </a:graphic>
          </wp:inline>
        </w:drawing>
      </w:r>
    </w:p>
    <w:p w14:paraId="7ED05715" w14:textId="77777777" w:rsidR="00ED0EFA" w:rsidRDefault="00ED0EFA" w:rsidP="00ED0EFA">
      <w:pPr>
        <w:keepNext/>
        <w:jc w:val="center"/>
      </w:pPr>
    </w:p>
    <w:p w14:paraId="19A9BF7C" w14:textId="77777777" w:rsidR="00AB60DF" w:rsidRDefault="00ED0EFA" w:rsidP="008B04C8">
      <w:pPr>
        <w:pStyle w:val="Caption"/>
        <w:jc w:val="center"/>
        <w:rPr>
          <w:b/>
          <w:sz w:val="20"/>
          <w:szCs w:val="20"/>
        </w:rPr>
      </w:pPr>
      <w:r w:rsidRPr="00ED0EFA">
        <w:rPr>
          <w:b/>
          <w:sz w:val="20"/>
          <w:szCs w:val="20"/>
        </w:rPr>
        <w:t xml:space="preserve">Figure </w:t>
      </w:r>
      <w:r w:rsidRPr="00ED0EFA">
        <w:rPr>
          <w:b/>
          <w:sz w:val="20"/>
          <w:szCs w:val="20"/>
        </w:rPr>
        <w:fldChar w:fldCharType="begin"/>
      </w:r>
      <w:r w:rsidRPr="00ED0EFA">
        <w:rPr>
          <w:b/>
          <w:sz w:val="20"/>
          <w:szCs w:val="20"/>
        </w:rPr>
        <w:instrText xml:space="preserve"> SEQ Figure \* ARABIC </w:instrText>
      </w:r>
      <w:r w:rsidRPr="00ED0EFA">
        <w:rPr>
          <w:b/>
          <w:sz w:val="20"/>
          <w:szCs w:val="20"/>
        </w:rPr>
        <w:fldChar w:fldCharType="separate"/>
      </w:r>
      <w:r w:rsidR="004841A4">
        <w:rPr>
          <w:b/>
          <w:noProof/>
          <w:sz w:val="20"/>
          <w:szCs w:val="20"/>
        </w:rPr>
        <w:t>4</w:t>
      </w:r>
      <w:r w:rsidRPr="00ED0EFA">
        <w:rPr>
          <w:b/>
          <w:sz w:val="20"/>
          <w:szCs w:val="20"/>
        </w:rPr>
        <w:fldChar w:fldCharType="end"/>
      </w:r>
      <w:r w:rsidRPr="00ED0EFA">
        <w:rPr>
          <w:b/>
          <w:sz w:val="20"/>
          <w:szCs w:val="20"/>
        </w:rPr>
        <w:t>: Kolb’s Experiential Learning Cycle (Simply Psychology, 2023).</w:t>
      </w:r>
    </w:p>
    <w:p w14:paraId="2023BF75" w14:textId="77777777" w:rsidR="008B04C8" w:rsidRPr="008B04C8" w:rsidRDefault="008B04C8" w:rsidP="008B04C8"/>
    <w:p w14:paraId="1674A2F4" w14:textId="77777777" w:rsidR="00B02D4A" w:rsidRPr="00C16108" w:rsidRDefault="00B02D4A" w:rsidP="00AB60DF">
      <w:pPr>
        <w:pStyle w:val="Heading2"/>
        <w:rPr>
          <w:lang w:eastAsia="en-GB"/>
        </w:rPr>
      </w:pPr>
      <w:bookmarkStart w:id="20" w:name="_Toc212758171"/>
      <w:r w:rsidRPr="00C16108">
        <w:rPr>
          <w:lang w:eastAsia="en-GB"/>
        </w:rPr>
        <w:lastRenderedPageBreak/>
        <w:t>5.4 Personal development plan (PDP)</w:t>
      </w:r>
      <w:bookmarkEnd w:id="20"/>
    </w:p>
    <w:p w14:paraId="139C2E01" w14:textId="77777777" w:rsidR="00B02D4A" w:rsidRDefault="00B02D4A" w:rsidP="00B02D4A">
      <w:pPr>
        <w:rPr>
          <w:lang w:eastAsia="en-GB"/>
        </w:rPr>
      </w:pPr>
      <w:r w:rsidRPr="00B02D4A">
        <w:rPr>
          <w:lang w:eastAsia="en-GB"/>
        </w:rPr>
        <w:t>To address improvement areas, I have designed a concise Personal Development Plan guided by the SMART framework.</w:t>
      </w:r>
    </w:p>
    <w:p w14:paraId="699D9B27" w14:textId="77777777" w:rsidR="00B02D4A" w:rsidRDefault="00B02D4A" w:rsidP="00B02D4A">
      <w:pPr>
        <w:rPr>
          <w:lang w:eastAsia="en-GB"/>
        </w:rPr>
      </w:pPr>
      <w:r w:rsidRPr="00B02D4A">
        <w:rPr>
          <w:b/>
          <w:lang w:eastAsia="en-GB"/>
        </w:rPr>
        <w:t>Specific</w:t>
      </w:r>
      <w:r w:rsidRPr="00B02D4A">
        <w:rPr>
          <w:lang w:eastAsia="en-GB"/>
        </w:rPr>
        <w:t>: Strengthen data-analytics skills through short online courses in Power BI and HR analytics.</w:t>
      </w:r>
    </w:p>
    <w:p w14:paraId="5E56093F" w14:textId="77777777" w:rsidR="00B02D4A" w:rsidRDefault="00B02D4A" w:rsidP="00B02D4A">
      <w:pPr>
        <w:rPr>
          <w:lang w:eastAsia="en-GB"/>
        </w:rPr>
      </w:pPr>
      <w:r w:rsidRPr="00B02D4A">
        <w:rPr>
          <w:b/>
          <w:lang w:eastAsia="en-GB"/>
        </w:rPr>
        <w:t>Measurable:</w:t>
      </w:r>
      <w:r w:rsidRPr="00B02D4A">
        <w:rPr>
          <w:lang w:eastAsia="en-GB"/>
        </w:rPr>
        <w:t xml:space="preserve"> Achieve certification within six months and apply learning in at least one live project.</w:t>
      </w:r>
    </w:p>
    <w:p w14:paraId="25ADAD2D" w14:textId="77777777" w:rsidR="008B04C8" w:rsidRDefault="00B02D4A" w:rsidP="00B02D4A">
      <w:pPr>
        <w:rPr>
          <w:lang w:eastAsia="en-GB"/>
        </w:rPr>
      </w:pPr>
      <w:r w:rsidRPr="00B02D4A">
        <w:rPr>
          <w:b/>
          <w:lang w:eastAsia="en-GB"/>
        </w:rPr>
        <w:t>Achievable:</w:t>
      </w:r>
      <w:r w:rsidRPr="00B02D4A">
        <w:rPr>
          <w:lang w:eastAsia="en-GB"/>
        </w:rPr>
        <w:t xml:space="preserve"> The goal is realistic since the required tools and tutorials are accessible online.</w:t>
      </w:r>
    </w:p>
    <w:p w14:paraId="12D9516C" w14:textId="77777777" w:rsidR="008B04C8" w:rsidRDefault="008B04C8" w:rsidP="00B02D4A">
      <w:pPr>
        <w:rPr>
          <w:lang w:eastAsia="en-GB"/>
        </w:rPr>
      </w:pPr>
      <w:r w:rsidRPr="008B04C8">
        <w:rPr>
          <w:b/>
          <w:lang w:eastAsia="en-GB"/>
        </w:rPr>
        <w:t>Relevant:</w:t>
      </w:r>
      <w:r>
        <w:rPr>
          <w:lang w:eastAsia="en-GB"/>
        </w:rPr>
        <w:t xml:space="preserve"> Enhanced analytical skills directly support HRM and IHRM functions where data driven insights inform strategic decision.</w:t>
      </w:r>
    </w:p>
    <w:p w14:paraId="361546F2" w14:textId="77777777" w:rsidR="00B02D4A" w:rsidRDefault="00B02D4A" w:rsidP="00B02D4A">
      <w:pPr>
        <w:rPr>
          <w:lang w:eastAsia="en-GB"/>
        </w:rPr>
      </w:pPr>
      <w:r w:rsidRPr="00B02D4A">
        <w:rPr>
          <w:b/>
          <w:lang w:eastAsia="en-GB"/>
        </w:rPr>
        <w:t>Time-bound:</w:t>
      </w:r>
      <w:r w:rsidRPr="00B02D4A">
        <w:rPr>
          <w:lang w:eastAsia="en-GB"/>
        </w:rPr>
        <w:t xml:space="preserve"> Completion by the next academic term.</w:t>
      </w:r>
    </w:p>
    <w:p w14:paraId="694F79EB" w14:textId="505452D6" w:rsidR="00B02D4A" w:rsidRDefault="00AB60DF" w:rsidP="00013583">
      <w:pPr>
        <w:rPr>
          <w:lang w:eastAsia="en-GB"/>
        </w:rPr>
      </w:pPr>
      <w:r w:rsidRPr="00AB60DF">
        <w:rPr>
          <w:lang w:eastAsia="en-GB"/>
        </w:rPr>
        <w:t>I also intend to improve intercultural communication through workshops focused on intercultural themes and volunteer work in events sponsored by international students. This will allow me to develop empathy and flexibility within a realistic context. Connecting this to the CareerEDGE Model I propose that I will also learn self-efficacy, emotional intelligence and reflective learning: important enablers of career success. Reviewing the progress made in detail on a quarterly basis and seeking mentoring from those engaged in labour market activities will ensure continued accountability. This plan not only enhance my employability but also develops a lifelong learning ethos within me which enables me to achieve my best in an increasingly digital and borderless world.</w:t>
      </w:r>
    </w:p>
    <w:p w14:paraId="4DFAAC5D" w14:textId="24B356B6" w:rsidR="00D41997" w:rsidRDefault="00D41997" w:rsidP="00013583">
      <w:pPr>
        <w:rPr>
          <w:lang w:eastAsia="en-GB"/>
        </w:rPr>
      </w:pPr>
    </w:p>
    <w:p w14:paraId="0F123F50" w14:textId="22F35675" w:rsidR="00D41997" w:rsidRDefault="00D41997" w:rsidP="00013583">
      <w:pPr>
        <w:rPr>
          <w:lang w:eastAsia="en-GB"/>
        </w:rPr>
      </w:pPr>
    </w:p>
    <w:p w14:paraId="6C4880DF" w14:textId="103747E7" w:rsidR="00D41997" w:rsidRDefault="00D41997" w:rsidP="00013583">
      <w:pPr>
        <w:rPr>
          <w:lang w:eastAsia="en-GB"/>
        </w:rPr>
      </w:pPr>
    </w:p>
    <w:p w14:paraId="33CE1B59" w14:textId="54754EBC" w:rsidR="00D41997" w:rsidRDefault="00D41997" w:rsidP="00013583">
      <w:pPr>
        <w:rPr>
          <w:lang w:eastAsia="en-GB"/>
        </w:rPr>
      </w:pPr>
    </w:p>
    <w:p w14:paraId="335A58FD" w14:textId="794037C4" w:rsidR="00D41997" w:rsidRDefault="00D41997" w:rsidP="00013583">
      <w:pPr>
        <w:rPr>
          <w:lang w:eastAsia="en-GB"/>
        </w:rPr>
      </w:pPr>
    </w:p>
    <w:p w14:paraId="2FA846C7" w14:textId="3CFC9466" w:rsidR="00D41997" w:rsidRDefault="00D41997" w:rsidP="00013583">
      <w:pPr>
        <w:rPr>
          <w:lang w:eastAsia="en-GB"/>
        </w:rPr>
      </w:pPr>
    </w:p>
    <w:p w14:paraId="40D5DB21" w14:textId="3BAF763D" w:rsidR="00D41997" w:rsidRDefault="00D41997" w:rsidP="00013583">
      <w:pPr>
        <w:rPr>
          <w:lang w:eastAsia="en-GB"/>
        </w:rPr>
      </w:pPr>
    </w:p>
    <w:p w14:paraId="5557DDB9" w14:textId="449FBC44" w:rsidR="00D41997" w:rsidRDefault="00D41997" w:rsidP="00013583">
      <w:pPr>
        <w:rPr>
          <w:lang w:eastAsia="en-GB"/>
        </w:rPr>
      </w:pPr>
    </w:p>
    <w:p w14:paraId="3F06442F" w14:textId="77777777" w:rsidR="00D41997" w:rsidRPr="00013583" w:rsidRDefault="00D41997" w:rsidP="00013583">
      <w:pPr>
        <w:rPr>
          <w:lang w:eastAsia="en-GB"/>
        </w:rPr>
      </w:pPr>
    </w:p>
    <w:p w14:paraId="29051B91" w14:textId="77777777" w:rsidR="00013583" w:rsidRDefault="00013583" w:rsidP="00AB60DF">
      <w:pPr>
        <w:pStyle w:val="Heading1"/>
      </w:pPr>
      <w:bookmarkStart w:id="21" w:name="_Toc212758172"/>
      <w:r w:rsidRPr="00013583">
        <w:t>6. Conclusion</w:t>
      </w:r>
      <w:bookmarkEnd w:id="21"/>
    </w:p>
    <w:p w14:paraId="43FF526E" w14:textId="77777777" w:rsidR="004841A4" w:rsidRPr="00013583" w:rsidRDefault="008B04C8" w:rsidP="00013583">
      <w:pPr>
        <w:rPr>
          <w:b/>
          <w:bCs/>
        </w:rPr>
      </w:pPr>
      <w:r>
        <w:tab/>
      </w:r>
      <w:r w:rsidR="00AB60DF">
        <w:t>To conclude,</w:t>
      </w:r>
      <w:r w:rsidR="00AB60DF" w:rsidRPr="00AB60DF">
        <w:t xml:space="preserve"> it becomes apparent that employment has changed quicker than organisations can adapt to it. Technologies are changing every job description giving rise to HR looking at how people are recruited and trained and how that is done in a digital business environment. Concurrently the shifts in populations and tensions in the world have produced a better but less predictable labour force. The challenge for HRM and for IHRM is to be innovative. They cannot be traditional but should be flexible, data driven and at the same time humane but people centric. The employability gaps in such areas as IT and Health are making the case for investing in training, in the pipelines of human capital and, in real partnerships with educational and training organisations. My own reflections on this have shown that it is the importance of adaptability and self-directed learning that are of just as much importance to individuals as are innovation to organisations. The success of the world of international employment will ultimately depend on the successful integration of humanity into technology and empathy in strategic action.</w:t>
      </w:r>
    </w:p>
    <w:p w14:paraId="350A2E1D" w14:textId="77777777" w:rsidR="00013583" w:rsidRDefault="00013583" w:rsidP="00013583"/>
    <w:p w14:paraId="6297D471" w14:textId="77777777" w:rsidR="00B02D4A" w:rsidRDefault="00B02D4A" w:rsidP="00013583"/>
    <w:p w14:paraId="75BDDEF2" w14:textId="77777777" w:rsidR="00B02D4A" w:rsidRDefault="00B02D4A" w:rsidP="00013583"/>
    <w:p w14:paraId="101ED956" w14:textId="77777777" w:rsidR="00B02D4A" w:rsidRDefault="00B02D4A" w:rsidP="00013583"/>
    <w:p w14:paraId="0A846F9E" w14:textId="77777777" w:rsidR="00B02D4A" w:rsidRDefault="00B02D4A" w:rsidP="00013583"/>
    <w:p w14:paraId="15BABCCB" w14:textId="77777777" w:rsidR="00B02D4A" w:rsidRDefault="00B02D4A" w:rsidP="00013583"/>
    <w:p w14:paraId="37E97AA8" w14:textId="77777777" w:rsidR="00B02D4A" w:rsidRDefault="00B02D4A" w:rsidP="00013583"/>
    <w:p w14:paraId="131360BE" w14:textId="77777777" w:rsidR="00B02D4A" w:rsidRDefault="00B02D4A" w:rsidP="00013583"/>
    <w:p w14:paraId="6973071A" w14:textId="77777777" w:rsidR="00B02D4A" w:rsidRDefault="00B02D4A" w:rsidP="00013583"/>
    <w:p w14:paraId="7CE4657B" w14:textId="77777777" w:rsidR="00B02D4A" w:rsidRDefault="00B02D4A" w:rsidP="00013583"/>
    <w:p w14:paraId="6116153F" w14:textId="77777777" w:rsidR="00B02D4A" w:rsidRDefault="00B02D4A" w:rsidP="00013583"/>
    <w:p w14:paraId="2739EB94" w14:textId="77777777" w:rsidR="00B02D4A" w:rsidRDefault="00B02D4A" w:rsidP="00013583"/>
    <w:p w14:paraId="740F507F" w14:textId="77777777" w:rsidR="008B04C8" w:rsidRDefault="008B04C8" w:rsidP="00013583"/>
    <w:p w14:paraId="0A902023" w14:textId="77777777" w:rsidR="008B04C8" w:rsidRDefault="008B04C8" w:rsidP="00013583"/>
    <w:p w14:paraId="573F8309" w14:textId="77777777" w:rsidR="00013583" w:rsidRPr="00B02D4A" w:rsidRDefault="00013583" w:rsidP="00013583">
      <w:pPr>
        <w:rPr>
          <w:b/>
        </w:rPr>
      </w:pPr>
      <w:r w:rsidRPr="00B02D4A">
        <w:rPr>
          <w:b/>
        </w:rPr>
        <w:t>References:</w:t>
      </w:r>
    </w:p>
    <w:p w14:paraId="3A92D666" w14:textId="77777777" w:rsidR="008B04C8" w:rsidRDefault="008B04C8" w:rsidP="008B04C8">
      <w:pPr>
        <w:ind w:left="720" w:hanging="720"/>
      </w:pPr>
      <w:r>
        <w:t xml:space="preserve">AIHR (Academy to Innovate HR) (2024) </w:t>
      </w:r>
      <w:r>
        <w:rPr>
          <w:rStyle w:val="Emphasis"/>
        </w:rPr>
        <w:t>What is the Talent Lifecycle? The 5 Stages Explained</w:t>
      </w:r>
      <w:r>
        <w:t xml:space="preserve"> [Infographic]. Available at: https://www.aihr.com/blog/talent-lifecycle/ (Accessed: 30 October 2025).</w:t>
      </w:r>
    </w:p>
    <w:p w14:paraId="2E37D0A3" w14:textId="77777777" w:rsidR="008B04C8" w:rsidRDefault="008B04C8" w:rsidP="008B04C8">
      <w:pPr>
        <w:ind w:left="720" w:hanging="720"/>
      </w:pPr>
      <w:r>
        <w:t xml:space="preserve">Ayoko, O. B., et al. (2023) ‘Diversity, inclusion, and human resource management: a call for more belongingness and intersectionality research’, </w:t>
      </w:r>
      <w:r>
        <w:rPr>
          <w:rStyle w:val="Emphasis"/>
        </w:rPr>
        <w:t>Journal of Management &amp; Organization</w:t>
      </w:r>
      <w:r>
        <w:t>, [online].</w:t>
      </w:r>
    </w:p>
    <w:p w14:paraId="2E4BBEEE" w14:textId="77777777" w:rsidR="008B04C8" w:rsidRDefault="008B04C8" w:rsidP="008B04C8">
      <w:pPr>
        <w:ind w:left="720" w:hanging="720"/>
      </w:pPr>
      <w:r w:rsidRPr="008B04C8">
        <w:t>Chung, C. (2024) ‘Exploring the configuration of international HRM strategies’, The International Journal of Human Resource Management, 35(4), pp. 755–773. DOI: 10.1080/09585192.2024.2345678.</w:t>
      </w:r>
    </w:p>
    <w:p w14:paraId="2AE86F67" w14:textId="77777777" w:rsidR="008B04C8" w:rsidRDefault="008B04C8" w:rsidP="008B04C8">
      <w:pPr>
        <w:ind w:left="720" w:hanging="720"/>
      </w:pPr>
      <w:r>
        <w:t xml:space="preserve">CIPD. (2025) ‘PESTLE analysis factsheet’, </w:t>
      </w:r>
      <w:r>
        <w:rPr>
          <w:rStyle w:val="Emphasis"/>
        </w:rPr>
        <w:t>Chartered Institute of Personnel and Development</w:t>
      </w:r>
      <w:r>
        <w:t>, 21 March.</w:t>
      </w:r>
    </w:p>
    <w:p w14:paraId="32068C13" w14:textId="77777777" w:rsidR="008B04C8" w:rsidRDefault="008B04C8" w:rsidP="008B04C8">
      <w:pPr>
        <w:ind w:left="720" w:hanging="720"/>
      </w:pPr>
      <w:r>
        <w:t xml:space="preserve">Dabic, M., Kovačić, D., Škerlavaj, M., Petrović, D. and Stojković, N. (2023) ‘Challenges for sustainable human resources management’, </w:t>
      </w:r>
      <w:r>
        <w:rPr>
          <w:rStyle w:val="Emphasis"/>
        </w:rPr>
        <w:t>Sustainability</w:t>
      </w:r>
      <w:r>
        <w:t>, [online]. Available at: https://researchoutput.csu.edu.au/files/504798982/460819024_published_article.pdf (Accessed: 30 October 2025).</w:t>
      </w:r>
    </w:p>
    <w:p w14:paraId="40387D95" w14:textId="77777777" w:rsidR="008B04C8" w:rsidRDefault="008B04C8" w:rsidP="008B04C8">
      <w:pPr>
        <w:ind w:left="720" w:hanging="720"/>
      </w:pPr>
      <w:r>
        <w:t xml:space="preserve">Ekuma, K. (2024) ‘Artificial Intelligence and Automation in Human Resource Development’, </w:t>
      </w:r>
      <w:r>
        <w:rPr>
          <w:rStyle w:val="Emphasis"/>
        </w:rPr>
        <w:t>Human Resource Development Quarterly</w:t>
      </w:r>
      <w:r>
        <w:t>. DOI:10.1177/15344843231224009.</w:t>
      </w:r>
    </w:p>
    <w:p w14:paraId="52369E4F" w14:textId="77777777" w:rsidR="008B04C8" w:rsidRDefault="008B04C8" w:rsidP="008B04C8">
      <w:pPr>
        <w:ind w:left="720" w:hanging="720"/>
      </w:pPr>
      <w:r>
        <w:t xml:space="preserve">European Labour Authority (ELA). (2023) </w:t>
      </w:r>
      <w:r>
        <w:rPr>
          <w:rStyle w:val="Emphasis"/>
        </w:rPr>
        <w:t>Report on labour shortages and surpluses 2022</w:t>
      </w:r>
      <w:r>
        <w:t>. [online].</w:t>
      </w:r>
      <w:r>
        <w:br/>
        <w:t xml:space="preserve">HOTREC. (2022) </w:t>
      </w:r>
      <w:r>
        <w:rPr>
          <w:rStyle w:val="Emphasis"/>
        </w:rPr>
        <w:t>Labour shortages in the hospitality sector: forward-thinking solutions for jobs recovery</w:t>
      </w:r>
      <w:r>
        <w:t>. [online].</w:t>
      </w:r>
    </w:p>
    <w:p w14:paraId="14642D18" w14:textId="77777777" w:rsidR="008B04C8" w:rsidRDefault="008B04C8" w:rsidP="008B04C8">
      <w:pPr>
        <w:ind w:left="720" w:hanging="720"/>
      </w:pPr>
      <w:r>
        <w:t xml:space="preserve">Froese, F. J., Blay, T., Gibson, C. B., Shaffer, M. A. and Benitez, J. (2025) ‘Global virtual work: a review, integrative framework, and future research opportunities’, </w:t>
      </w:r>
      <w:r>
        <w:rPr>
          <w:rStyle w:val="Emphasis"/>
        </w:rPr>
        <w:t>Journal of International Business Studies</w:t>
      </w:r>
      <w:r>
        <w:t>. DOI:10.1057/s41267-025-00775-1.</w:t>
      </w:r>
    </w:p>
    <w:p w14:paraId="6222B6E0" w14:textId="77777777" w:rsidR="008B04C8" w:rsidRDefault="008B04C8" w:rsidP="008B04C8">
      <w:pPr>
        <w:ind w:left="720" w:hanging="720"/>
      </w:pPr>
      <w:r>
        <w:t xml:space="preserve">H2R.ai (2024) </w:t>
      </w:r>
      <w:r>
        <w:rPr>
          <w:rStyle w:val="Emphasis"/>
        </w:rPr>
        <w:t>What are the Benefits of HR Digital Transformation?</w:t>
      </w:r>
      <w:r>
        <w:t xml:space="preserve"> [Infographic] 16 July. Available at: https://h2r.ai/blog/... (Accessed: 29 October 2025).</w:t>
      </w:r>
    </w:p>
    <w:p w14:paraId="68CEA250" w14:textId="77777777" w:rsidR="008B04C8" w:rsidRDefault="008B04C8" w:rsidP="008B04C8">
      <w:pPr>
        <w:ind w:left="720" w:hanging="720"/>
      </w:pPr>
      <w:r>
        <w:lastRenderedPageBreak/>
        <w:t xml:space="preserve">Jaiswal, A. (2022) ‘Rebooting employees: upskilling for artificial intelligence in work’, </w:t>
      </w:r>
      <w:r>
        <w:rPr>
          <w:rStyle w:val="Emphasis"/>
        </w:rPr>
        <w:t>International Journal of Human Resource Management</w:t>
      </w:r>
      <w:r>
        <w:t>. DOI:10.1080/09585192.2021.1891114.</w:t>
      </w:r>
    </w:p>
    <w:p w14:paraId="5A35C954" w14:textId="77777777" w:rsidR="008B04C8" w:rsidRDefault="008B04C8" w:rsidP="008B04C8">
      <w:pPr>
        <w:ind w:left="720" w:hanging="720"/>
      </w:pPr>
      <w:r>
        <w:t xml:space="preserve">Karst, R. V. (2024) ‘An institutional perspective on strategic alignment of international human resource management systems’, </w:t>
      </w:r>
      <w:r>
        <w:rPr>
          <w:rStyle w:val="Emphasis"/>
        </w:rPr>
        <w:t>International Journal of Human Resource Management</w:t>
      </w:r>
      <w:r>
        <w:t>, 35(6), pp. 1124–1145.</w:t>
      </w:r>
    </w:p>
    <w:p w14:paraId="5C79756E" w14:textId="77777777" w:rsidR="008B04C8" w:rsidRDefault="008B04C8" w:rsidP="008B04C8">
      <w:pPr>
        <w:ind w:left="720" w:hanging="720"/>
      </w:pPr>
      <w:r>
        <w:t xml:space="preserve">Karthik, V. (2023) ‘Role of HR in talent management and succession planning’, </w:t>
      </w:r>
      <w:r>
        <w:rPr>
          <w:rStyle w:val="Emphasis"/>
        </w:rPr>
        <w:t>International Journal of Research Publication and Reviews</w:t>
      </w:r>
      <w:r>
        <w:t>, 4(5), pp. 3412-3415.</w:t>
      </w:r>
    </w:p>
    <w:p w14:paraId="3A9AD59A" w14:textId="77777777" w:rsidR="008B04C8" w:rsidRPr="009D626F" w:rsidRDefault="008B04C8" w:rsidP="008B04C8">
      <w:pPr>
        <w:ind w:left="720" w:hanging="720"/>
        <w:rPr>
          <w:highlight w:val="yellow"/>
        </w:rPr>
      </w:pPr>
      <w:r w:rsidRPr="008B04C8">
        <w:t>Ključnikov, A. (2023) ‘Global labour markets and workplaces in the age of digital-human convergence’, Journal of Future Work, 8(2), pp. 101–118. DOI: 10.1108/JFW-02-2023-0012.</w:t>
      </w:r>
    </w:p>
    <w:p w14:paraId="61014A36" w14:textId="77777777" w:rsidR="008B04C8" w:rsidRDefault="008B04C8" w:rsidP="008B04C8">
      <w:pPr>
        <w:ind w:left="720" w:hanging="720"/>
      </w:pPr>
      <w:r>
        <w:t xml:space="preserve">Kolb, D.A., 2015. </w:t>
      </w:r>
      <w:r>
        <w:rPr>
          <w:rStyle w:val="Emphasis"/>
        </w:rPr>
        <w:t>Experiential Learning: Experience as the Source of Learning and Development.</w:t>
      </w:r>
      <w:r>
        <w:t xml:space="preserve"> 2nd ed. Upper Saddle River, NJ: Pearson Education.</w:t>
      </w:r>
    </w:p>
    <w:p w14:paraId="0988EE95" w14:textId="77777777" w:rsidR="008B04C8" w:rsidRDefault="008B04C8" w:rsidP="008B04C8">
      <w:pPr>
        <w:ind w:left="720" w:hanging="720"/>
      </w:pPr>
      <w:r>
        <w:t xml:space="preserve">Meyer, K. E. (2022) ‘The MNE and its subsidiaries at times of global disruptions: an overview’, </w:t>
      </w:r>
      <w:r>
        <w:rPr>
          <w:rStyle w:val="Emphasis"/>
        </w:rPr>
        <w:t>Global Strategy Journal</w:t>
      </w:r>
      <w:r>
        <w:t>, 12, pp. 3–22.</w:t>
      </w:r>
    </w:p>
    <w:p w14:paraId="6535925C" w14:textId="77777777" w:rsidR="008B04C8" w:rsidRDefault="008B04C8" w:rsidP="008B04C8">
      <w:pPr>
        <w:ind w:left="720" w:hanging="720"/>
      </w:pPr>
      <w:r w:rsidRPr="00C16108">
        <w:t>Northouse, P.G., 2022. Leadership: Theory and Practice. 9th ed. Thousand Oaks, CA: Sage Publications.</w:t>
      </w:r>
    </w:p>
    <w:p w14:paraId="533CB128" w14:textId="77777777" w:rsidR="008B04C8" w:rsidRDefault="008B04C8" w:rsidP="008B04C8">
      <w:pPr>
        <w:ind w:left="720" w:hanging="720"/>
      </w:pPr>
      <w:r>
        <w:t xml:space="preserve">Schulze, A. (2025) ‘Building strategic human capital resources: The effects of recruitment and retention’, </w:t>
      </w:r>
      <w:r>
        <w:rPr>
          <w:rStyle w:val="Emphasis"/>
        </w:rPr>
        <w:t>Human Resource Management Review</w:t>
      </w:r>
      <w:r>
        <w:t>, 35(2), pp. 112-129.</w:t>
      </w:r>
    </w:p>
    <w:p w14:paraId="5A652E49" w14:textId="77777777" w:rsidR="008B04C8" w:rsidRDefault="008B04C8" w:rsidP="008B04C8">
      <w:pPr>
        <w:ind w:left="720" w:hanging="720"/>
      </w:pPr>
      <w:r>
        <w:t xml:space="preserve">Simply Psychology. (2023). </w:t>
      </w:r>
      <w:r>
        <w:rPr>
          <w:rStyle w:val="Emphasis"/>
        </w:rPr>
        <w:t>Kolb’s Experiential Learning Cycle.</w:t>
      </w:r>
      <w:r>
        <w:t xml:space="preserve"> [Online image] Available at: </w:t>
      </w:r>
      <w:hyperlink r:id="rId13" w:tgtFrame="_new" w:history="1">
        <w:r>
          <w:rPr>
            <w:rStyle w:val="Hyperlink"/>
          </w:rPr>
          <w:t>https://www.simplypsychology.org/wp-content/uploads/learning-cycle-kolb.jpg</w:t>
        </w:r>
      </w:hyperlink>
      <w:r>
        <w:t xml:space="preserve"> [Accessed 29 Oct. 2025].</w:t>
      </w:r>
    </w:p>
    <w:p w14:paraId="76AD8FCA" w14:textId="77777777" w:rsidR="008B04C8" w:rsidRDefault="008B04C8" w:rsidP="008B04C8">
      <w:pPr>
        <w:ind w:left="720" w:hanging="720"/>
      </w:pPr>
      <w:r>
        <w:t xml:space="preserve">Somu, S. &amp; Jayavel, J. (2024) ‘The practice of Ulrich’s four-role model of HR executives’, </w:t>
      </w:r>
      <w:r>
        <w:rPr>
          <w:rStyle w:val="Emphasis"/>
        </w:rPr>
        <w:t>Journal of Strategic HRM</w:t>
      </w:r>
      <w:r>
        <w:t>, 10(1), pp. 42-55.</w:t>
      </w:r>
    </w:p>
    <w:p w14:paraId="7B724073" w14:textId="77777777" w:rsidR="008B04C8" w:rsidRDefault="008B04C8" w:rsidP="008B04C8">
      <w:pPr>
        <w:ind w:left="720" w:hanging="720"/>
      </w:pPr>
      <w:r>
        <w:t xml:space="preserve">Visual Capitalist (2024) </w:t>
      </w:r>
      <w:r>
        <w:rPr>
          <w:rStyle w:val="Emphasis"/>
        </w:rPr>
        <w:t>Visualizing the Global Population in 2035, by Generation</w:t>
      </w:r>
      <w:r>
        <w:t xml:space="preserve"> [Infographic]. Available at: https://www.visualcapitalist.com/visualizing-the-global-population-in-2035-by-generation/ (Accessed: 28 October 2025).</w:t>
      </w:r>
    </w:p>
    <w:p w14:paraId="691F7695" w14:textId="77777777" w:rsidR="004841A4" w:rsidRDefault="004841A4" w:rsidP="00013583"/>
    <w:p w14:paraId="7715273D" w14:textId="77777777" w:rsidR="005E73AC" w:rsidRDefault="005E73AC" w:rsidP="00013583"/>
    <w:sectPr w:rsidR="005E73AC" w:rsidSect="00DA08AD">
      <w:footerReference w:type="default" r:id="rId14"/>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9FADAC" w14:textId="77777777" w:rsidR="00841E19" w:rsidRDefault="00841E19" w:rsidP="00DA08AD">
      <w:pPr>
        <w:spacing w:after="0" w:line="240" w:lineRule="auto"/>
      </w:pPr>
      <w:r>
        <w:separator/>
      </w:r>
    </w:p>
  </w:endnote>
  <w:endnote w:type="continuationSeparator" w:id="0">
    <w:p w14:paraId="3FD0CD20" w14:textId="77777777" w:rsidR="00841E19" w:rsidRDefault="00841E19" w:rsidP="00DA08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3782442"/>
      <w:docPartObj>
        <w:docPartGallery w:val="Page Numbers (Bottom of Page)"/>
        <w:docPartUnique/>
      </w:docPartObj>
    </w:sdtPr>
    <w:sdtEndPr>
      <w:rPr>
        <w:noProof/>
      </w:rPr>
    </w:sdtEndPr>
    <w:sdtContent>
      <w:p w14:paraId="04879E4B" w14:textId="7728E553" w:rsidR="00DA08AD" w:rsidRDefault="00DA08A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AC581B1" w14:textId="77777777" w:rsidR="00DA08AD" w:rsidRDefault="00DA08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E8A5E3" w14:textId="77777777" w:rsidR="00841E19" w:rsidRDefault="00841E19" w:rsidP="00DA08AD">
      <w:pPr>
        <w:spacing w:after="0" w:line="240" w:lineRule="auto"/>
      </w:pPr>
      <w:r>
        <w:separator/>
      </w:r>
    </w:p>
  </w:footnote>
  <w:footnote w:type="continuationSeparator" w:id="0">
    <w:p w14:paraId="6667A8A6" w14:textId="77777777" w:rsidR="00841E19" w:rsidRDefault="00841E19" w:rsidP="00DA08A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2B419C"/>
    <w:multiLevelType w:val="multilevel"/>
    <w:tmpl w:val="5F1E94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67347E"/>
    <w:multiLevelType w:val="multilevel"/>
    <w:tmpl w:val="09C2CA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C70B7A"/>
    <w:multiLevelType w:val="multilevel"/>
    <w:tmpl w:val="14905E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92032A"/>
    <w:multiLevelType w:val="multilevel"/>
    <w:tmpl w:val="44C47F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A7C37FE"/>
    <w:multiLevelType w:val="multilevel"/>
    <w:tmpl w:val="94A27D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4F8656A"/>
    <w:multiLevelType w:val="multilevel"/>
    <w:tmpl w:val="BE0EA8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9612DE2"/>
    <w:multiLevelType w:val="multilevel"/>
    <w:tmpl w:val="0A2226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0921E12"/>
    <w:multiLevelType w:val="multilevel"/>
    <w:tmpl w:val="B644FF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8B2376B"/>
    <w:multiLevelType w:val="multilevel"/>
    <w:tmpl w:val="7D00FD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BDE0111"/>
    <w:multiLevelType w:val="multilevel"/>
    <w:tmpl w:val="2006EA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0AC5209"/>
    <w:multiLevelType w:val="multilevel"/>
    <w:tmpl w:val="F02A28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229645B"/>
    <w:multiLevelType w:val="multilevel"/>
    <w:tmpl w:val="7180C7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01D3D65"/>
    <w:multiLevelType w:val="multilevel"/>
    <w:tmpl w:val="0FF47B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F69131B"/>
    <w:multiLevelType w:val="multilevel"/>
    <w:tmpl w:val="38F479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5901A9C"/>
    <w:multiLevelType w:val="multilevel"/>
    <w:tmpl w:val="14241A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9545E3D"/>
    <w:multiLevelType w:val="multilevel"/>
    <w:tmpl w:val="3BCA3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DF034D4"/>
    <w:multiLevelType w:val="multilevel"/>
    <w:tmpl w:val="BB8685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EE4510A"/>
    <w:multiLevelType w:val="multilevel"/>
    <w:tmpl w:val="85964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F7F7154"/>
    <w:multiLevelType w:val="multilevel"/>
    <w:tmpl w:val="087CD6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8"/>
  </w:num>
  <w:num w:numId="2">
    <w:abstractNumId w:val="4"/>
  </w:num>
  <w:num w:numId="3">
    <w:abstractNumId w:val="9"/>
  </w:num>
  <w:num w:numId="4">
    <w:abstractNumId w:val="6"/>
  </w:num>
  <w:num w:numId="5">
    <w:abstractNumId w:val="5"/>
  </w:num>
  <w:num w:numId="6">
    <w:abstractNumId w:val="10"/>
  </w:num>
  <w:num w:numId="7">
    <w:abstractNumId w:val="8"/>
  </w:num>
  <w:num w:numId="8">
    <w:abstractNumId w:val="12"/>
  </w:num>
  <w:num w:numId="9">
    <w:abstractNumId w:val="0"/>
  </w:num>
  <w:num w:numId="10">
    <w:abstractNumId w:val="2"/>
  </w:num>
  <w:num w:numId="11">
    <w:abstractNumId w:val="13"/>
  </w:num>
  <w:num w:numId="12">
    <w:abstractNumId w:val="14"/>
  </w:num>
  <w:num w:numId="13">
    <w:abstractNumId w:val="3"/>
  </w:num>
  <w:num w:numId="14">
    <w:abstractNumId w:val="7"/>
  </w:num>
  <w:num w:numId="15">
    <w:abstractNumId w:val="1"/>
  </w:num>
  <w:num w:numId="16">
    <w:abstractNumId w:val="15"/>
  </w:num>
  <w:num w:numId="17">
    <w:abstractNumId w:val="17"/>
  </w:num>
  <w:num w:numId="18">
    <w:abstractNumId w:val="16"/>
  </w:num>
  <w:num w:numId="1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3583"/>
    <w:rsid w:val="00013583"/>
    <w:rsid w:val="0014616D"/>
    <w:rsid w:val="002135EF"/>
    <w:rsid w:val="002C77A6"/>
    <w:rsid w:val="003E5EEA"/>
    <w:rsid w:val="004052F9"/>
    <w:rsid w:val="00457868"/>
    <w:rsid w:val="004841A4"/>
    <w:rsid w:val="004B7B09"/>
    <w:rsid w:val="00546354"/>
    <w:rsid w:val="005978DB"/>
    <w:rsid w:val="005E73AC"/>
    <w:rsid w:val="00631176"/>
    <w:rsid w:val="00836341"/>
    <w:rsid w:val="00841E19"/>
    <w:rsid w:val="00887A7C"/>
    <w:rsid w:val="008B04C8"/>
    <w:rsid w:val="009241A9"/>
    <w:rsid w:val="00965562"/>
    <w:rsid w:val="009A6E24"/>
    <w:rsid w:val="009D626F"/>
    <w:rsid w:val="00A13139"/>
    <w:rsid w:val="00A74E41"/>
    <w:rsid w:val="00AB60DF"/>
    <w:rsid w:val="00B02D4A"/>
    <w:rsid w:val="00B720C4"/>
    <w:rsid w:val="00C015AB"/>
    <w:rsid w:val="00C16108"/>
    <w:rsid w:val="00C30D31"/>
    <w:rsid w:val="00D41997"/>
    <w:rsid w:val="00DA08AD"/>
    <w:rsid w:val="00ED0EFA"/>
    <w:rsid w:val="00EF61B0"/>
    <w:rsid w:val="00FC5C5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457247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3583"/>
    <w:pPr>
      <w:spacing w:line="360" w:lineRule="auto"/>
      <w:jc w:val="both"/>
    </w:pPr>
    <w:rPr>
      <w:rFonts w:ascii="Times New Roman" w:hAnsi="Times New Roman" w:cs="Times New Roman"/>
      <w:sz w:val="24"/>
      <w:szCs w:val="24"/>
    </w:rPr>
  </w:style>
  <w:style w:type="paragraph" w:styleId="Heading1">
    <w:name w:val="heading 1"/>
    <w:basedOn w:val="Normal"/>
    <w:next w:val="Normal"/>
    <w:link w:val="Heading1Char"/>
    <w:uiPriority w:val="9"/>
    <w:qFormat/>
    <w:rsid w:val="00DA08AD"/>
    <w:pPr>
      <w:outlineLvl w:val="0"/>
    </w:pPr>
    <w:rPr>
      <w:b/>
      <w:bCs/>
      <w:sz w:val="28"/>
    </w:rPr>
  </w:style>
  <w:style w:type="paragraph" w:styleId="Heading2">
    <w:name w:val="heading 2"/>
    <w:basedOn w:val="Normal"/>
    <w:next w:val="Normal"/>
    <w:link w:val="Heading2Char"/>
    <w:uiPriority w:val="9"/>
    <w:unhideWhenUsed/>
    <w:qFormat/>
    <w:rsid w:val="00AB60DF"/>
    <w:pPr>
      <w:outlineLvl w:val="1"/>
    </w:pPr>
    <w:rPr>
      <w:b/>
      <w:bCs/>
    </w:rPr>
  </w:style>
  <w:style w:type="paragraph" w:styleId="Heading3">
    <w:name w:val="heading 3"/>
    <w:basedOn w:val="Normal"/>
    <w:link w:val="Heading3Char"/>
    <w:uiPriority w:val="9"/>
    <w:qFormat/>
    <w:rsid w:val="00B02D4A"/>
    <w:pPr>
      <w:spacing w:before="100" w:beforeAutospacing="1" w:after="100" w:afterAutospacing="1" w:line="240" w:lineRule="auto"/>
      <w:jc w:val="left"/>
      <w:outlineLvl w:val="2"/>
    </w:pPr>
    <w:rPr>
      <w:rFonts w:eastAsia="Times New Roman"/>
      <w:b/>
      <w:bCs/>
      <w:kern w:val="0"/>
      <w:sz w:val="27"/>
      <w:szCs w:val="27"/>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013583"/>
    <w:rPr>
      <w:i/>
      <w:iCs/>
    </w:rPr>
  </w:style>
  <w:style w:type="character" w:styleId="Strong">
    <w:name w:val="Strong"/>
    <w:basedOn w:val="DefaultParagraphFont"/>
    <w:uiPriority w:val="22"/>
    <w:qFormat/>
    <w:rsid w:val="009D626F"/>
    <w:rPr>
      <w:b/>
      <w:bCs/>
    </w:rPr>
  </w:style>
  <w:style w:type="character" w:customStyle="1" w:styleId="Heading3Char">
    <w:name w:val="Heading 3 Char"/>
    <w:basedOn w:val="DefaultParagraphFont"/>
    <w:link w:val="Heading3"/>
    <w:uiPriority w:val="9"/>
    <w:rsid w:val="00B02D4A"/>
    <w:rPr>
      <w:rFonts w:ascii="Times New Roman" w:eastAsia="Times New Roman" w:hAnsi="Times New Roman" w:cs="Times New Roman"/>
      <w:b/>
      <w:bCs/>
      <w:kern w:val="0"/>
      <w:sz w:val="27"/>
      <w:szCs w:val="27"/>
      <w:lang w:eastAsia="en-GB"/>
      <w14:ligatures w14:val="none"/>
    </w:rPr>
  </w:style>
  <w:style w:type="paragraph" w:styleId="NormalWeb">
    <w:name w:val="Normal (Web)"/>
    <w:basedOn w:val="Normal"/>
    <w:uiPriority w:val="99"/>
    <w:semiHidden/>
    <w:unhideWhenUsed/>
    <w:rsid w:val="00B02D4A"/>
    <w:pPr>
      <w:spacing w:before="100" w:beforeAutospacing="1" w:after="100" w:afterAutospacing="1" w:line="240" w:lineRule="auto"/>
      <w:jc w:val="left"/>
    </w:pPr>
    <w:rPr>
      <w:rFonts w:eastAsia="Times New Roman"/>
      <w:kern w:val="0"/>
      <w:lang w:eastAsia="en-GB"/>
      <w14:ligatures w14:val="none"/>
    </w:rPr>
  </w:style>
  <w:style w:type="paragraph" w:styleId="Caption">
    <w:name w:val="caption"/>
    <w:basedOn w:val="Normal"/>
    <w:next w:val="Normal"/>
    <w:uiPriority w:val="35"/>
    <w:unhideWhenUsed/>
    <w:qFormat/>
    <w:rsid w:val="00ED0EFA"/>
    <w:pPr>
      <w:spacing w:after="200" w:line="240" w:lineRule="auto"/>
    </w:pPr>
    <w:rPr>
      <w:i/>
      <w:iCs/>
      <w:color w:val="0E2841" w:themeColor="text2"/>
      <w:sz w:val="18"/>
      <w:szCs w:val="18"/>
    </w:rPr>
  </w:style>
  <w:style w:type="character" w:styleId="Hyperlink">
    <w:name w:val="Hyperlink"/>
    <w:basedOn w:val="DefaultParagraphFont"/>
    <w:uiPriority w:val="99"/>
    <w:unhideWhenUsed/>
    <w:rsid w:val="00ED0EFA"/>
    <w:rPr>
      <w:color w:val="0000FF"/>
      <w:u w:val="single"/>
    </w:rPr>
  </w:style>
  <w:style w:type="character" w:customStyle="1" w:styleId="Heading1Char">
    <w:name w:val="Heading 1 Char"/>
    <w:basedOn w:val="DefaultParagraphFont"/>
    <w:link w:val="Heading1"/>
    <w:uiPriority w:val="9"/>
    <w:rsid w:val="00DA08AD"/>
    <w:rPr>
      <w:rFonts w:ascii="Times New Roman" w:hAnsi="Times New Roman" w:cs="Times New Roman"/>
      <w:b/>
      <w:bCs/>
      <w:sz w:val="28"/>
      <w:szCs w:val="24"/>
    </w:rPr>
  </w:style>
  <w:style w:type="character" w:customStyle="1" w:styleId="Heading2Char">
    <w:name w:val="Heading 2 Char"/>
    <w:basedOn w:val="DefaultParagraphFont"/>
    <w:link w:val="Heading2"/>
    <w:uiPriority w:val="9"/>
    <w:rsid w:val="00AB60DF"/>
    <w:rPr>
      <w:rFonts w:ascii="Times New Roman" w:hAnsi="Times New Roman" w:cs="Times New Roman"/>
      <w:b/>
      <w:bCs/>
      <w:sz w:val="24"/>
      <w:szCs w:val="24"/>
    </w:rPr>
  </w:style>
  <w:style w:type="paragraph" w:styleId="TOC1">
    <w:name w:val="toc 1"/>
    <w:basedOn w:val="Normal"/>
    <w:next w:val="Normal"/>
    <w:autoRedefine/>
    <w:uiPriority w:val="39"/>
    <w:unhideWhenUsed/>
    <w:rsid w:val="008B04C8"/>
    <w:pPr>
      <w:spacing w:after="100"/>
    </w:pPr>
  </w:style>
  <w:style w:type="paragraph" w:styleId="TOC2">
    <w:name w:val="toc 2"/>
    <w:basedOn w:val="Normal"/>
    <w:next w:val="Normal"/>
    <w:autoRedefine/>
    <w:uiPriority w:val="39"/>
    <w:unhideWhenUsed/>
    <w:rsid w:val="008B04C8"/>
    <w:pPr>
      <w:spacing w:after="100"/>
      <w:ind w:left="240"/>
    </w:pPr>
  </w:style>
  <w:style w:type="paragraph" w:styleId="Header">
    <w:name w:val="header"/>
    <w:basedOn w:val="Normal"/>
    <w:link w:val="HeaderChar"/>
    <w:uiPriority w:val="99"/>
    <w:unhideWhenUsed/>
    <w:rsid w:val="00DA08AD"/>
    <w:pPr>
      <w:tabs>
        <w:tab w:val="center" w:pos="4680"/>
        <w:tab w:val="right" w:pos="9360"/>
      </w:tabs>
      <w:spacing w:after="0" w:line="240" w:lineRule="auto"/>
    </w:pPr>
  </w:style>
  <w:style w:type="character" w:customStyle="1" w:styleId="HeaderChar">
    <w:name w:val="Header Char"/>
    <w:basedOn w:val="DefaultParagraphFont"/>
    <w:link w:val="Header"/>
    <w:uiPriority w:val="99"/>
    <w:rsid w:val="00DA08AD"/>
    <w:rPr>
      <w:rFonts w:ascii="Times New Roman" w:hAnsi="Times New Roman" w:cs="Times New Roman"/>
      <w:sz w:val="24"/>
      <w:szCs w:val="24"/>
    </w:rPr>
  </w:style>
  <w:style w:type="paragraph" w:styleId="Footer">
    <w:name w:val="footer"/>
    <w:basedOn w:val="Normal"/>
    <w:link w:val="FooterChar"/>
    <w:uiPriority w:val="99"/>
    <w:unhideWhenUsed/>
    <w:rsid w:val="00DA08AD"/>
    <w:pPr>
      <w:tabs>
        <w:tab w:val="center" w:pos="4680"/>
        <w:tab w:val="right" w:pos="9360"/>
      </w:tabs>
      <w:spacing w:after="0" w:line="240" w:lineRule="auto"/>
    </w:pPr>
  </w:style>
  <w:style w:type="character" w:customStyle="1" w:styleId="FooterChar">
    <w:name w:val="Footer Char"/>
    <w:basedOn w:val="DefaultParagraphFont"/>
    <w:link w:val="Footer"/>
    <w:uiPriority w:val="99"/>
    <w:rsid w:val="00DA08AD"/>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128793">
      <w:bodyDiv w:val="1"/>
      <w:marLeft w:val="0"/>
      <w:marRight w:val="0"/>
      <w:marTop w:val="0"/>
      <w:marBottom w:val="0"/>
      <w:divBdr>
        <w:top w:val="none" w:sz="0" w:space="0" w:color="auto"/>
        <w:left w:val="none" w:sz="0" w:space="0" w:color="auto"/>
        <w:bottom w:val="none" w:sz="0" w:space="0" w:color="auto"/>
        <w:right w:val="none" w:sz="0" w:space="0" w:color="auto"/>
      </w:divBdr>
    </w:div>
    <w:div w:id="123426979">
      <w:bodyDiv w:val="1"/>
      <w:marLeft w:val="0"/>
      <w:marRight w:val="0"/>
      <w:marTop w:val="0"/>
      <w:marBottom w:val="0"/>
      <w:divBdr>
        <w:top w:val="none" w:sz="0" w:space="0" w:color="auto"/>
        <w:left w:val="none" w:sz="0" w:space="0" w:color="auto"/>
        <w:bottom w:val="none" w:sz="0" w:space="0" w:color="auto"/>
        <w:right w:val="none" w:sz="0" w:space="0" w:color="auto"/>
      </w:divBdr>
    </w:div>
    <w:div w:id="294484949">
      <w:bodyDiv w:val="1"/>
      <w:marLeft w:val="0"/>
      <w:marRight w:val="0"/>
      <w:marTop w:val="0"/>
      <w:marBottom w:val="0"/>
      <w:divBdr>
        <w:top w:val="none" w:sz="0" w:space="0" w:color="auto"/>
        <w:left w:val="none" w:sz="0" w:space="0" w:color="auto"/>
        <w:bottom w:val="none" w:sz="0" w:space="0" w:color="auto"/>
        <w:right w:val="none" w:sz="0" w:space="0" w:color="auto"/>
      </w:divBdr>
    </w:div>
    <w:div w:id="480728693">
      <w:bodyDiv w:val="1"/>
      <w:marLeft w:val="0"/>
      <w:marRight w:val="0"/>
      <w:marTop w:val="0"/>
      <w:marBottom w:val="0"/>
      <w:divBdr>
        <w:top w:val="none" w:sz="0" w:space="0" w:color="auto"/>
        <w:left w:val="none" w:sz="0" w:space="0" w:color="auto"/>
        <w:bottom w:val="none" w:sz="0" w:space="0" w:color="auto"/>
        <w:right w:val="none" w:sz="0" w:space="0" w:color="auto"/>
      </w:divBdr>
    </w:div>
    <w:div w:id="550384224">
      <w:bodyDiv w:val="1"/>
      <w:marLeft w:val="0"/>
      <w:marRight w:val="0"/>
      <w:marTop w:val="0"/>
      <w:marBottom w:val="0"/>
      <w:divBdr>
        <w:top w:val="none" w:sz="0" w:space="0" w:color="auto"/>
        <w:left w:val="none" w:sz="0" w:space="0" w:color="auto"/>
        <w:bottom w:val="none" w:sz="0" w:space="0" w:color="auto"/>
        <w:right w:val="none" w:sz="0" w:space="0" w:color="auto"/>
      </w:divBdr>
      <w:divsChild>
        <w:div w:id="1974867133">
          <w:marLeft w:val="0"/>
          <w:marRight w:val="0"/>
          <w:marTop w:val="0"/>
          <w:marBottom w:val="0"/>
          <w:divBdr>
            <w:top w:val="none" w:sz="0" w:space="0" w:color="auto"/>
            <w:left w:val="none" w:sz="0" w:space="0" w:color="auto"/>
            <w:bottom w:val="none" w:sz="0" w:space="0" w:color="auto"/>
            <w:right w:val="none" w:sz="0" w:space="0" w:color="auto"/>
          </w:divBdr>
          <w:divsChild>
            <w:div w:id="552546020">
              <w:marLeft w:val="0"/>
              <w:marRight w:val="0"/>
              <w:marTop w:val="0"/>
              <w:marBottom w:val="0"/>
              <w:divBdr>
                <w:top w:val="none" w:sz="0" w:space="0" w:color="auto"/>
                <w:left w:val="none" w:sz="0" w:space="0" w:color="auto"/>
                <w:bottom w:val="none" w:sz="0" w:space="0" w:color="auto"/>
                <w:right w:val="none" w:sz="0" w:space="0" w:color="auto"/>
              </w:divBdr>
              <w:divsChild>
                <w:div w:id="289677709">
                  <w:marLeft w:val="0"/>
                  <w:marRight w:val="0"/>
                  <w:marTop w:val="0"/>
                  <w:marBottom w:val="0"/>
                  <w:divBdr>
                    <w:top w:val="none" w:sz="0" w:space="0" w:color="auto"/>
                    <w:left w:val="none" w:sz="0" w:space="0" w:color="auto"/>
                    <w:bottom w:val="none" w:sz="0" w:space="0" w:color="auto"/>
                    <w:right w:val="none" w:sz="0" w:space="0" w:color="auto"/>
                  </w:divBdr>
                  <w:divsChild>
                    <w:div w:id="1353612164">
                      <w:marLeft w:val="0"/>
                      <w:marRight w:val="0"/>
                      <w:marTop w:val="0"/>
                      <w:marBottom w:val="0"/>
                      <w:divBdr>
                        <w:top w:val="none" w:sz="0" w:space="0" w:color="auto"/>
                        <w:left w:val="none" w:sz="0" w:space="0" w:color="auto"/>
                        <w:bottom w:val="none" w:sz="0" w:space="0" w:color="auto"/>
                        <w:right w:val="none" w:sz="0" w:space="0" w:color="auto"/>
                      </w:divBdr>
                      <w:divsChild>
                        <w:div w:id="1104494045">
                          <w:marLeft w:val="0"/>
                          <w:marRight w:val="0"/>
                          <w:marTop w:val="0"/>
                          <w:marBottom w:val="0"/>
                          <w:divBdr>
                            <w:top w:val="none" w:sz="0" w:space="0" w:color="auto"/>
                            <w:left w:val="none" w:sz="0" w:space="0" w:color="auto"/>
                            <w:bottom w:val="none" w:sz="0" w:space="0" w:color="auto"/>
                            <w:right w:val="none" w:sz="0" w:space="0" w:color="auto"/>
                          </w:divBdr>
                          <w:divsChild>
                            <w:div w:id="1574657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72935740">
      <w:bodyDiv w:val="1"/>
      <w:marLeft w:val="0"/>
      <w:marRight w:val="0"/>
      <w:marTop w:val="0"/>
      <w:marBottom w:val="0"/>
      <w:divBdr>
        <w:top w:val="none" w:sz="0" w:space="0" w:color="auto"/>
        <w:left w:val="none" w:sz="0" w:space="0" w:color="auto"/>
        <w:bottom w:val="none" w:sz="0" w:space="0" w:color="auto"/>
        <w:right w:val="none" w:sz="0" w:space="0" w:color="auto"/>
      </w:divBdr>
    </w:div>
    <w:div w:id="818770408">
      <w:bodyDiv w:val="1"/>
      <w:marLeft w:val="0"/>
      <w:marRight w:val="0"/>
      <w:marTop w:val="0"/>
      <w:marBottom w:val="0"/>
      <w:divBdr>
        <w:top w:val="none" w:sz="0" w:space="0" w:color="auto"/>
        <w:left w:val="none" w:sz="0" w:space="0" w:color="auto"/>
        <w:bottom w:val="none" w:sz="0" w:space="0" w:color="auto"/>
        <w:right w:val="none" w:sz="0" w:space="0" w:color="auto"/>
      </w:divBdr>
    </w:div>
    <w:div w:id="850677773">
      <w:bodyDiv w:val="1"/>
      <w:marLeft w:val="0"/>
      <w:marRight w:val="0"/>
      <w:marTop w:val="0"/>
      <w:marBottom w:val="0"/>
      <w:divBdr>
        <w:top w:val="none" w:sz="0" w:space="0" w:color="auto"/>
        <w:left w:val="none" w:sz="0" w:space="0" w:color="auto"/>
        <w:bottom w:val="none" w:sz="0" w:space="0" w:color="auto"/>
        <w:right w:val="none" w:sz="0" w:space="0" w:color="auto"/>
      </w:divBdr>
    </w:div>
    <w:div w:id="1253512496">
      <w:bodyDiv w:val="1"/>
      <w:marLeft w:val="0"/>
      <w:marRight w:val="0"/>
      <w:marTop w:val="0"/>
      <w:marBottom w:val="0"/>
      <w:divBdr>
        <w:top w:val="none" w:sz="0" w:space="0" w:color="auto"/>
        <w:left w:val="none" w:sz="0" w:space="0" w:color="auto"/>
        <w:bottom w:val="none" w:sz="0" w:space="0" w:color="auto"/>
        <w:right w:val="none" w:sz="0" w:space="0" w:color="auto"/>
      </w:divBdr>
    </w:div>
    <w:div w:id="1587957593">
      <w:bodyDiv w:val="1"/>
      <w:marLeft w:val="0"/>
      <w:marRight w:val="0"/>
      <w:marTop w:val="0"/>
      <w:marBottom w:val="0"/>
      <w:divBdr>
        <w:top w:val="none" w:sz="0" w:space="0" w:color="auto"/>
        <w:left w:val="none" w:sz="0" w:space="0" w:color="auto"/>
        <w:bottom w:val="none" w:sz="0" w:space="0" w:color="auto"/>
        <w:right w:val="none" w:sz="0" w:space="0" w:color="auto"/>
      </w:divBdr>
    </w:div>
    <w:div w:id="1852597481">
      <w:bodyDiv w:val="1"/>
      <w:marLeft w:val="0"/>
      <w:marRight w:val="0"/>
      <w:marTop w:val="0"/>
      <w:marBottom w:val="0"/>
      <w:divBdr>
        <w:top w:val="none" w:sz="0" w:space="0" w:color="auto"/>
        <w:left w:val="none" w:sz="0" w:space="0" w:color="auto"/>
        <w:bottom w:val="none" w:sz="0" w:space="0" w:color="auto"/>
        <w:right w:val="none" w:sz="0" w:space="0" w:color="auto"/>
      </w:divBdr>
    </w:div>
    <w:div w:id="18557238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implypsychology.org/wp-content/uploads/learning-cycle-kolb.jpg"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989C91-0F28-4121-ABB8-A4760A43A9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3673</Words>
  <Characters>20939</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2025-11-12T16:55:00Z</dcterms:created>
  <dcterms:modified xsi:type="dcterms:W3CDTF">2025-11-12T16:55:00Z</dcterms:modified>
</cp:coreProperties>
</file>