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B2514" w14:textId="77777777" w:rsidR="000760AC" w:rsidRDefault="000760AC" w:rsidP="003E438C">
      <w:pPr>
        <w:spacing w:line="360" w:lineRule="auto"/>
        <w:jc w:val="center"/>
        <w:rPr>
          <w:rFonts w:ascii="Arial" w:eastAsia="Times New Roman" w:hAnsi="Arial" w:cs="Arial"/>
          <w:b/>
          <w:bCs/>
          <w:kern w:val="36"/>
          <w:sz w:val="24"/>
          <w:szCs w:val="24"/>
          <w:lang w:eastAsia="en-GB"/>
        </w:rPr>
      </w:pPr>
      <w:r>
        <w:rPr>
          <w:noProof/>
          <w:lang w:eastAsia="en-GB"/>
        </w:rPr>
        <w:drawing>
          <wp:inline distT="0" distB="0" distL="0" distR="0" wp14:anchorId="745341C7" wp14:editId="390F6A67">
            <wp:extent cx="3124200" cy="1296466"/>
            <wp:effectExtent l="0" t="0" r="0" b="0"/>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0941" cy="1295114"/>
                    </a:xfrm>
                    <a:prstGeom prst="rect">
                      <a:avLst/>
                    </a:prstGeom>
                    <a:noFill/>
                    <a:ln>
                      <a:noFill/>
                    </a:ln>
                  </pic:spPr>
                </pic:pic>
              </a:graphicData>
            </a:graphic>
          </wp:inline>
        </w:drawing>
      </w:r>
    </w:p>
    <w:p w14:paraId="33BA34E7" w14:textId="77777777" w:rsidR="000760AC" w:rsidRDefault="000760AC" w:rsidP="000760AC">
      <w:pPr>
        <w:spacing w:line="360" w:lineRule="auto"/>
        <w:jc w:val="both"/>
        <w:rPr>
          <w:rFonts w:ascii="Arial" w:eastAsia="Times New Roman" w:hAnsi="Arial" w:cs="Arial"/>
          <w:b/>
          <w:bCs/>
          <w:kern w:val="36"/>
          <w:sz w:val="24"/>
          <w:szCs w:val="24"/>
          <w:lang w:eastAsia="en-GB"/>
        </w:rPr>
      </w:pPr>
    </w:p>
    <w:p w14:paraId="098C4415"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Programme: Master of Business Administration</w:t>
      </w:r>
    </w:p>
    <w:p w14:paraId="651C9C03"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Module: Marketing Management</w:t>
      </w:r>
    </w:p>
    <w:p w14:paraId="159A1CBF" w14:textId="77777777" w:rsid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Module Code: LCMB7024</w:t>
      </w:r>
    </w:p>
    <w:p w14:paraId="544D9650" w14:textId="77777777" w:rsidR="000760AC" w:rsidRDefault="000760AC" w:rsidP="000760AC">
      <w:pPr>
        <w:spacing w:line="360" w:lineRule="auto"/>
        <w:jc w:val="center"/>
        <w:rPr>
          <w:rFonts w:ascii="Arial" w:eastAsia="Times New Roman" w:hAnsi="Arial" w:cs="Arial"/>
          <w:b/>
          <w:bCs/>
          <w:i/>
          <w:kern w:val="36"/>
          <w:sz w:val="28"/>
          <w:szCs w:val="24"/>
          <w:lang w:eastAsia="en-GB"/>
        </w:rPr>
      </w:pPr>
      <w:r w:rsidRPr="000760AC">
        <w:rPr>
          <w:rFonts w:ascii="Arial" w:eastAsia="Times New Roman" w:hAnsi="Arial" w:cs="Arial"/>
          <w:b/>
          <w:bCs/>
          <w:i/>
          <w:kern w:val="36"/>
          <w:sz w:val="28"/>
          <w:szCs w:val="24"/>
          <w:lang w:eastAsia="en-GB"/>
        </w:rPr>
        <w:t>Assignment Title:</w:t>
      </w:r>
      <w:r w:rsidRPr="000760AC">
        <w:rPr>
          <w:i/>
        </w:rPr>
        <w:t xml:space="preserve"> </w:t>
      </w:r>
      <w:r w:rsidRPr="000760AC">
        <w:rPr>
          <w:rFonts w:ascii="Arial" w:eastAsia="Times New Roman" w:hAnsi="Arial" w:cs="Arial"/>
          <w:b/>
          <w:bCs/>
          <w:i/>
          <w:kern w:val="36"/>
          <w:sz w:val="28"/>
          <w:szCs w:val="24"/>
          <w:lang w:eastAsia="en-GB"/>
        </w:rPr>
        <w:t>Assessment component 2: Marketing Strategies Portfolio</w:t>
      </w:r>
    </w:p>
    <w:p w14:paraId="3F8C6D7A" w14:textId="508C44AE"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 xml:space="preserve">Lecturer: </w:t>
      </w:r>
      <w:proofErr w:type="spellStart"/>
      <w:r w:rsidR="003E438C" w:rsidRPr="003E438C">
        <w:rPr>
          <w:rFonts w:ascii="Arial" w:eastAsia="Times New Roman" w:hAnsi="Arial" w:cs="Arial"/>
          <w:b/>
          <w:bCs/>
          <w:kern w:val="36"/>
          <w:sz w:val="28"/>
          <w:szCs w:val="24"/>
          <w:lang w:eastAsia="en-GB"/>
        </w:rPr>
        <w:t>Mustakkima</w:t>
      </w:r>
      <w:proofErr w:type="spellEnd"/>
      <w:r w:rsidR="003E438C" w:rsidRPr="003E438C">
        <w:rPr>
          <w:rFonts w:ascii="Arial" w:eastAsia="Times New Roman" w:hAnsi="Arial" w:cs="Arial"/>
          <w:b/>
          <w:bCs/>
          <w:kern w:val="36"/>
          <w:sz w:val="28"/>
          <w:szCs w:val="24"/>
          <w:lang w:eastAsia="en-GB"/>
        </w:rPr>
        <w:t xml:space="preserve"> Afrin</w:t>
      </w:r>
    </w:p>
    <w:p w14:paraId="0950C92D"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p>
    <w:p w14:paraId="7B426D61"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Student Name:</w:t>
      </w:r>
      <w:r w:rsidR="00AE29CC" w:rsidRPr="00AE29CC">
        <w:t xml:space="preserve"> </w:t>
      </w:r>
      <w:r w:rsidR="00AE29CC" w:rsidRPr="00AE29CC">
        <w:rPr>
          <w:rFonts w:ascii="Arial" w:eastAsia="Times New Roman" w:hAnsi="Arial" w:cs="Arial"/>
          <w:b/>
          <w:bCs/>
          <w:kern w:val="36"/>
          <w:sz w:val="28"/>
          <w:szCs w:val="24"/>
          <w:lang w:eastAsia="en-GB"/>
        </w:rPr>
        <w:t>Shariara Mahmud Rafat</w:t>
      </w:r>
    </w:p>
    <w:p w14:paraId="3E6B1E9F"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Student ID:</w:t>
      </w:r>
      <w:r w:rsidR="00AE29CC" w:rsidRPr="00AE29CC">
        <w:t xml:space="preserve"> </w:t>
      </w:r>
      <w:r w:rsidR="00AE29CC" w:rsidRPr="00AE29CC">
        <w:rPr>
          <w:rFonts w:ascii="Arial" w:eastAsia="Times New Roman" w:hAnsi="Arial" w:cs="Arial"/>
          <w:b/>
          <w:bCs/>
          <w:kern w:val="36"/>
          <w:sz w:val="28"/>
          <w:szCs w:val="24"/>
          <w:lang w:eastAsia="en-GB"/>
        </w:rPr>
        <w:t>2521546</w:t>
      </w:r>
    </w:p>
    <w:p w14:paraId="2E828152" w14:textId="77777777" w:rsidR="000760AC" w:rsidRPr="000760AC" w:rsidRDefault="000760AC" w:rsidP="000760AC">
      <w:pPr>
        <w:spacing w:line="360" w:lineRule="auto"/>
        <w:jc w:val="center"/>
        <w:rPr>
          <w:rFonts w:ascii="Arial" w:eastAsia="Times New Roman" w:hAnsi="Arial" w:cs="Arial"/>
          <w:b/>
          <w:bCs/>
          <w:kern w:val="36"/>
          <w:sz w:val="28"/>
          <w:szCs w:val="24"/>
          <w:lang w:eastAsia="en-GB"/>
        </w:rPr>
      </w:pPr>
      <w:r w:rsidRPr="000760AC">
        <w:rPr>
          <w:rFonts w:ascii="Arial" w:eastAsia="Times New Roman" w:hAnsi="Arial" w:cs="Arial"/>
          <w:b/>
          <w:bCs/>
          <w:kern w:val="36"/>
          <w:sz w:val="28"/>
          <w:szCs w:val="24"/>
          <w:lang w:eastAsia="en-GB"/>
        </w:rPr>
        <w:t>Submission Date: 01 May, 2026</w:t>
      </w:r>
    </w:p>
    <w:p w14:paraId="5FA7EC2C" w14:textId="77777777" w:rsidR="000760AC" w:rsidRDefault="000760AC" w:rsidP="000760AC">
      <w:pPr>
        <w:spacing w:line="360" w:lineRule="auto"/>
        <w:jc w:val="both"/>
        <w:rPr>
          <w:rFonts w:ascii="Arial" w:eastAsia="Times New Roman" w:hAnsi="Arial" w:cs="Arial"/>
          <w:b/>
          <w:bCs/>
          <w:kern w:val="36"/>
          <w:sz w:val="24"/>
          <w:szCs w:val="24"/>
          <w:lang w:eastAsia="en-GB"/>
        </w:rPr>
      </w:pPr>
    </w:p>
    <w:p w14:paraId="481C3577" w14:textId="77777777" w:rsidR="000760AC" w:rsidRDefault="000760AC" w:rsidP="000760AC">
      <w:pPr>
        <w:spacing w:line="360" w:lineRule="auto"/>
        <w:jc w:val="both"/>
        <w:rPr>
          <w:rFonts w:ascii="Arial" w:eastAsia="Times New Roman" w:hAnsi="Arial" w:cs="Arial"/>
          <w:b/>
          <w:bCs/>
          <w:kern w:val="36"/>
          <w:sz w:val="24"/>
          <w:szCs w:val="24"/>
          <w:lang w:eastAsia="en-GB"/>
        </w:rPr>
      </w:pPr>
    </w:p>
    <w:p w14:paraId="7D3BFC21" w14:textId="77777777" w:rsidR="000760AC" w:rsidRPr="000760AC" w:rsidRDefault="000760AC" w:rsidP="000760AC">
      <w:pPr>
        <w:spacing w:line="360" w:lineRule="auto"/>
        <w:jc w:val="both"/>
        <w:rPr>
          <w:rFonts w:ascii="Arial" w:eastAsia="Times New Roman" w:hAnsi="Arial" w:cs="Arial"/>
          <w:b/>
          <w:bCs/>
          <w:kern w:val="36"/>
          <w:sz w:val="24"/>
          <w:szCs w:val="24"/>
          <w:lang w:eastAsia="en-GB"/>
        </w:rPr>
      </w:pPr>
    </w:p>
    <w:p w14:paraId="01447F65" w14:textId="77777777" w:rsidR="000760AC" w:rsidRPr="000760AC" w:rsidRDefault="00A15D11" w:rsidP="003E438C">
      <w:pPr>
        <w:spacing w:line="360" w:lineRule="auto"/>
        <w:jc w:val="center"/>
        <w:rPr>
          <w:rFonts w:ascii="Arial" w:eastAsia="Times New Roman" w:hAnsi="Arial" w:cs="Arial"/>
          <w:b/>
          <w:bCs/>
          <w:kern w:val="36"/>
          <w:sz w:val="28"/>
          <w:szCs w:val="24"/>
          <w:u w:val="single"/>
          <w:lang w:eastAsia="en-GB"/>
        </w:rPr>
      </w:pPr>
      <w:r>
        <w:rPr>
          <w:rFonts w:ascii="Arial" w:eastAsia="Times New Roman" w:hAnsi="Arial" w:cs="Arial"/>
          <w:b/>
          <w:bCs/>
          <w:kern w:val="36"/>
          <w:sz w:val="28"/>
          <w:szCs w:val="24"/>
          <w:u w:val="single"/>
          <w:lang w:eastAsia="en-GB"/>
        </w:rPr>
        <w:t>Word Count: 2377</w:t>
      </w:r>
    </w:p>
    <w:sdt>
      <w:sdtPr>
        <w:rPr>
          <w:rFonts w:asciiTheme="minorHAnsi" w:eastAsiaTheme="minorHAnsi" w:hAnsiTheme="minorHAnsi" w:cstheme="minorBidi"/>
          <w:b w:val="0"/>
          <w:bCs w:val="0"/>
          <w:color w:val="auto"/>
          <w:sz w:val="22"/>
          <w:szCs w:val="22"/>
          <w:lang w:val="en-GB" w:eastAsia="en-US"/>
        </w:rPr>
        <w:id w:val="-1106971451"/>
        <w:docPartObj>
          <w:docPartGallery w:val="Table of Contents"/>
          <w:docPartUnique/>
        </w:docPartObj>
      </w:sdtPr>
      <w:sdtEndPr>
        <w:rPr>
          <w:noProof/>
        </w:rPr>
      </w:sdtEndPr>
      <w:sdtContent>
        <w:p w14:paraId="3BD7ED7B" w14:textId="77777777" w:rsidR="000760AC" w:rsidRPr="000760AC" w:rsidRDefault="000760AC" w:rsidP="000760AC">
          <w:pPr>
            <w:pStyle w:val="TOCHeading"/>
            <w:jc w:val="center"/>
            <w:rPr>
              <w:rFonts w:ascii="Arial" w:hAnsi="Arial" w:cs="Arial"/>
              <w:color w:val="auto"/>
            </w:rPr>
          </w:pPr>
          <w:r w:rsidRPr="000760AC">
            <w:rPr>
              <w:rFonts w:ascii="Arial" w:hAnsi="Arial" w:cs="Arial"/>
              <w:color w:val="auto"/>
            </w:rPr>
            <w:t>Table of Contents</w:t>
          </w:r>
        </w:p>
        <w:p w14:paraId="65BE4C78" w14:textId="77777777" w:rsidR="000760AC" w:rsidRPr="00AE29CC" w:rsidRDefault="000760AC">
          <w:pPr>
            <w:pStyle w:val="TOC1"/>
            <w:tabs>
              <w:tab w:val="right" w:leader="dot" w:pos="9350"/>
            </w:tabs>
            <w:rPr>
              <w:rFonts w:ascii="Arial" w:eastAsiaTheme="minorEastAsia" w:hAnsi="Arial" w:cs="Arial"/>
              <w:noProof/>
              <w:sz w:val="24"/>
              <w:lang w:eastAsia="en-GB"/>
            </w:rPr>
          </w:pPr>
          <w:r w:rsidRPr="00AE29CC">
            <w:rPr>
              <w:sz w:val="24"/>
            </w:rPr>
            <w:fldChar w:fldCharType="begin"/>
          </w:r>
          <w:r w:rsidRPr="00AE29CC">
            <w:rPr>
              <w:sz w:val="24"/>
            </w:rPr>
            <w:instrText xml:space="preserve"> TOC \o "1-3" \h \z \u </w:instrText>
          </w:r>
          <w:r w:rsidRPr="00AE29CC">
            <w:rPr>
              <w:sz w:val="24"/>
            </w:rPr>
            <w:fldChar w:fldCharType="separate"/>
          </w:r>
          <w:hyperlink w:anchor="_Toc228221415" w:history="1">
            <w:r w:rsidRPr="00AE29CC">
              <w:rPr>
                <w:rStyle w:val="Hyperlink"/>
                <w:rFonts w:ascii="Arial" w:eastAsia="Times New Roman" w:hAnsi="Arial" w:cs="Arial"/>
                <w:bCs/>
                <w:noProof/>
                <w:kern w:val="36"/>
                <w:sz w:val="24"/>
                <w:lang w:eastAsia="en-GB"/>
              </w:rPr>
              <w:t>1. Introduction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_Toc228221415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w:t>
            </w:r>
            <w:r w:rsidRPr="00AE29CC">
              <w:rPr>
                <w:rFonts w:ascii="Arial" w:hAnsi="Arial" w:cs="Arial"/>
                <w:noProof/>
                <w:webHidden/>
                <w:sz w:val="24"/>
              </w:rPr>
              <w:fldChar w:fldCharType="end"/>
            </w:r>
          </w:hyperlink>
        </w:p>
        <w:p w14:paraId="50887328"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16" w:history="1">
            <w:r w:rsidRPr="00AE29CC">
              <w:rPr>
                <w:rStyle w:val="Hyperlink"/>
                <w:rFonts w:ascii="Arial" w:eastAsia="Times New Roman" w:hAnsi="Arial" w:cs="Arial"/>
                <w:bCs/>
                <w:noProof/>
                <w:kern w:val="36"/>
                <w:sz w:val="24"/>
                <w:lang w:eastAsia="en-GB"/>
              </w:rPr>
              <w:t>2. STDP Analysis</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_Toc228221416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w:t>
            </w:r>
            <w:r w:rsidRPr="00AE29CC">
              <w:rPr>
                <w:rFonts w:ascii="Arial" w:hAnsi="Arial" w:cs="Arial"/>
                <w:noProof/>
                <w:webHidden/>
                <w:sz w:val="24"/>
              </w:rPr>
              <w:fldChar w:fldCharType="end"/>
            </w:r>
          </w:hyperlink>
        </w:p>
        <w:p w14:paraId="1DB69E06"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17" w:history="1">
            <w:r w:rsidRPr="00AE29CC">
              <w:rPr>
                <w:rStyle w:val="Hyperlink"/>
                <w:rFonts w:ascii="Arial" w:eastAsia="Times New Roman" w:hAnsi="Arial" w:cs="Arial"/>
                <w:bCs/>
                <w:noProof/>
                <w:sz w:val="24"/>
                <w:lang w:eastAsia="en-GB"/>
              </w:rPr>
              <w:t>2.1 Segmentation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_Toc228221417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w:t>
            </w:r>
            <w:r w:rsidRPr="00AE29CC">
              <w:rPr>
                <w:rFonts w:ascii="Arial" w:hAnsi="Arial" w:cs="Arial"/>
                <w:noProof/>
                <w:webHidden/>
                <w:sz w:val="24"/>
              </w:rPr>
              <w:fldChar w:fldCharType="end"/>
            </w:r>
          </w:hyperlink>
        </w:p>
        <w:p w14:paraId="01D91384"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18" w:history="1">
            <w:r w:rsidRPr="00AE29CC">
              <w:rPr>
                <w:rStyle w:val="Hyperlink"/>
                <w:rFonts w:ascii="Arial" w:eastAsia="Times New Roman" w:hAnsi="Arial" w:cs="Arial"/>
                <w:bCs/>
                <w:noProof/>
                <w:sz w:val="24"/>
                <w:lang w:eastAsia="en-GB"/>
              </w:rPr>
              <w:t>2.2 Targeting</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_Toc228221418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2</w:t>
            </w:r>
            <w:r w:rsidRPr="00AE29CC">
              <w:rPr>
                <w:rFonts w:ascii="Arial" w:hAnsi="Arial" w:cs="Arial"/>
                <w:noProof/>
                <w:webHidden/>
                <w:sz w:val="24"/>
              </w:rPr>
              <w:fldChar w:fldCharType="end"/>
            </w:r>
          </w:hyperlink>
        </w:p>
        <w:p w14:paraId="7FCE5F6E"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19" w:history="1">
            <w:r w:rsidRPr="00AE29CC">
              <w:rPr>
                <w:rStyle w:val="Hyperlink"/>
                <w:rFonts w:ascii="Arial" w:eastAsia="Times New Roman" w:hAnsi="Arial" w:cs="Arial"/>
                <w:bCs/>
                <w:noProof/>
                <w:sz w:val="24"/>
                <w:lang w:eastAsia="en-GB"/>
              </w:rPr>
              <w:t>2.3 Differentiation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_Toc228221419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3</w:t>
            </w:r>
            <w:r w:rsidRPr="00AE29CC">
              <w:rPr>
                <w:rFonts w:ascii="Arial" w:hAnsi="Arial" w:cs="Arial"/>
                <w:noProof/>
                <w:webHidden/>
                <w:sz w:val="24"/>
              </w:rPr>
              <w:fldChar w:fldCharType="end"/>
            </w:r>
          </w:hyperlink>
        </w:p>
        <w:p w14:paraId="2B2FECCF"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0" w:history="1">
            <w:r w:rsidRPr="00AE29CC">
              <w:rPr>
                <w:rStyle w:val="Hyperlink"/>
                <w:rFonts w:ascii="Arial" w:eastAsia="Times New Roman" w:hAnsi="Arial" w:cs="Arial"/>
                <w:bCs/>
                <w:noProof/>
                <w:sz w:val="24"/>
                <w:lang w:eastAsia="en-GB"/>
              </w:rPr>
              <w:t>2.4 Positioning</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_Toc228221420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3</w:t>
            </w:r>
            <w:r w:rsidRPr="00AE29CC">
              <w:rPr>
                <w:rFonts w:ascii="Arial" w:hAnsi="Arial" w:cs="Arial"/>
                <w:noProof/>
                <w:webHidden/>
                <w:sz w:val="24"/>
              </w:rPr>
              <w:fldChar w:fldCharType="end"/>
            </w:r>
          </w:hyperlink>
        </w:p>
        <w:p w14:paraId="689C96B1"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21" w:history="1">
            <w:r w:rsidRPr="00AE29CC">
              <w:rPr>
                <w:rStyle w:val="Hyperlink"/>
                <w:rFonts w:ascii="Arial" w:eastAsia="Times New Roman" w:hAnsi="Arial" w:cs="Arial"/>
                <w:bCs/>
                <w:noProof/>
                <w:kern w:val="36"/>
                <w:sz w:val="24"/>
                <w:lang w:eastAsia="en-GB"/>
              </w:rPr>
              <w:t>3. Marketing Mix (7Ps)</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_Toc228221421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5</w:t>
            </w:r>
            <w:r w:rsidRPr="00AE29CC">
              <w:rPr>
                <w:rFonts w:ascii="Arial" w:hAnsi="Arial" w:cs="Arial"/>
                <w:noProof/>
                <w:webHidden/>
                <w:sz w:val="24"/>
              </w:rPr>
              <w:fldChar w:fldCharType="end"/>
            </w:r>
          </w:hyperlink>
        </w:p>
        <w:p w14:paraId="5A4DE7CE"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2" w:history="1">
            <w:r w:rsidRPr="00AE29CC">
              <w:rPr>
                <w:rStyle w:val="Hyperlink"/>
                <w:rFonts w:ascii="Arial" w:eastAsia="Times New Roman" w:hAnsi="Arial" w:cs="Arial"/>
                <w:bCs/>
                <w:noProof/>
                <w:sz w:val="24"/>
                <w:lang w:eastAsia="en-GB"/>
              </w:rPr>
              <w:t>3.1 Product</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_Toc228221422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5</w:t>
            </w:r>
            <w:r w:rsidRPr="00AE29CC">
              <w:rPr>
                <w:rFonts w:ascii="Arial" w:hAnsi="Arial" w:cs="Arial"/>
                <w:noProof/>
                <w:webHidden/>
                <w:sz w:val="24"/>
              </w:rPr>
              <w:fldChar w:fldCharType="end"/>
            </w:r>
          </w:hyperlink>
        </w:p>
        <w:p w14:paraId="79C2AC10"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3" w:history="1">
            <w:r w:rsidRPr="00AE29CC">
              <w:rPr>
                <w:rStyle w:val="Hyperlink"/>
                <w:rFonts w:ascii="Arial" w:eastAsia="Times New Roman" w:hAnsi="Arial" w:cs="Arial"/>
                <w:bCs/>
                <w:noProof/>
                <w:sz w:val="24"/>
                <w:lang w:eastAsia="en-GB"/>
              </w:rPr>
              <w:t>3.2 Price</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_Toc228221423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6</w:t>
            </w:r>
            <w:r w:rsidRPr="00AE29CC">
              <w:rPr>
                <w:rFonts w:ascii="Arial" w:hAnsi="Arial" w:cs="Arial"/>
                <w:noProof/>
                <w:webHidden/>
                <w:sz w:val="24"/>
              </w:rPr>
              <w:fldChar w:fldCharType="end"/>
            </w:r>
          </w:hyperlink>
        </w:p>
        <w:p w14:paraId="3C4FE709"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4" w:history="1">
            <w:r w:rsidRPr="00AE29CC">
              <w:rPr>
                <w:rStyle w:val="Hyperlink"/>
                <w:rFonts w:ascii="Arial" w:eastAsia="Times New Roman" w:hAnsi="Arial" w:cs="Arial"/>
                <w:bCs/>
                <w:noProof/>
                <w:sz w:val="24"/>
                <w:lang w:eastAsia="en-GB"/>
              </w:rPr>
              <w:t>3.3 Place</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_Toc228221424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6</w:t>
            </w:r>
            <w:r w:rsidRPr="00AE29CC">
              <w:rPr>
                <w:rFonts w:ascii="Arial" w:hAnsi="Arial" w:cs="Arial"/>
                <w:noProof/>
                <w:webHidden/>
                <w:sz w:val="24"/>
              </w:rPr>
              <w:fldChar w:fldCharType="end"/>
            </w:r>
          </w:hyperlink>
        </w:p>
        <w:p w14:paraId="605F1C9C"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5" w:history="1">
            <w:r w:rsidRPr="00AE29CC">
              <w:rPr>
                <w:rStyle w:val="Hyperlink"/>
                <w:rFonts w:ascii="Arial" w:eastAsia="Times New Roman" w:hAnsi="Arial" w:cs="Arial"/>
                <w:bCs/>
                <w:noProof/>
                <w:sz w:val="24"/>
                <w:lang w:eastAsia="en-GB"/>
              </w:rPr>
              <w:t>3.4 Promotion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_Toc228221425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6</w:t>
            </w:r>
            <w:r w:rsidRPr="00AE29CC">
              <w:rPr>
                <w:rFonts w:ascii="Arial" w:hAnsi="Arial" w:cs="Arial"/>
                <w:noProof/>
                <w:webHidden/>
                <w:sz w:val="24"/>
              </w:rPr>
              <w:fldChar w:fldCharType="end"/>
            </w:r>
          </w:hyperlink>
        </w:p>
        <w:p w14:paraId="3BD96C6E"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6" w:history="1">
            <w:r w:rsidRPr="00AE29CC">
              <w:rPr>
                <w:rStyle w:val="Hyperlink"/>
                <w:rFonts w:ascii="Arial" w:eastAsia="Times New Roman" w:hAnsi="Arial" w:cs="Arial"/>
                <w:bCs/>
                <w:noProof/>
                <w:sz w:val="24"/>
                <w:lang w:eastAsia="en-GB"/>
              </w:rPr>
              <w:t>3.5 People</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_Toc228221426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7</w:t>
            </w:r>
            <w:r w:rsidRPr="00AE29CC">
              <w:rPr>
                <w:rFonts w:ascii="Arial" w:hAnsi="Arial" w:cs="Arial"/>
                <w:noProof/>
                <w:webHidden/>
                <w:sz w:val="24"/>
              </w:rPr>
              <w:fldChar w:fldCharType="end"/>
            </w:r>
          </w:hyperlink>
        </w:p>
        <w:p w14:paraId="1F21970C"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7" w:history="1">
            <w:r w:rsidRPr="00AE29CC">
              <w:rPr>
                <w:rStyle w:val="Hyperlink"/>
                <w:rFonts w:ascii="Arial" w:eastAsia="Times New Roman" w:hAnsi="Arial" w:cs="Arial"/>
                <w:bCs/>
                <w:noProof/>
                <w:sz w:val="24"/>
                <w:lang w:eastAsia="en-GB"/>
              </w:rPr>
              <w:t>3.6 Process</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_Toc228221427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8</w:t>
            </w:r>
            <w:r w:rsidRPr="00AE29CC">
              <w:rPr>
                <w:rFonts w:ascii="Arial" w:hAnsi="Arial" w:cs="Arial"/>
                <w:noProof/>
                <w:webHidden/>
                <w:sz w:val="24"/>
              </w:rPr>
              <w:fldChar w:fldCharType="end"/>
            </w:r>
          </w:hyperlink>
        </w:p>
        <w:p w14:paraId="66AC6E17"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28" w:history="1">
            <w:r w:rsidRPr="00AE29CC">
              <w:rPr>
                <w:rStyle w:val="Hyperlink"/>
                <w:rFonts w:ascii="Arial" w:eastAsia="Times New Roman" w:hAnsi="Arial" w:cs="Arial"/>
                <w:bCs/>
                <w:noProof/>
                <w:sz w:val="24"/>
                <w:lang w:eastAsia="en-GB"/>
              </w:rPr>
              <w:t>3.7 Physical Evidence</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_Toc228221428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8</w:t>
            </w:r>
            <w:r w:rsidRPr="00AE29CC">
              <w:rPr>
                <w:rFonts w:ascii="Arial" w:hAnsi="Arial" w:cs="Arial"/>
                <w:noProof/>
                <w:webHidden/>
                <w:sz w:val="24"/>
              </w:rPr>
              <w:fldChar w:fldCharType="end"/>
            </w:r>
          </w:hyperlink>
        </w:p>
        <w:p w14:paraId="0008542E"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29" w:history="1">
            <w:r w:rsidRPr="00AE29CC">
              <w:rPr>
                <w:rStyle w:val="Hyperlink"/>
                <w:rFonts w:ascii="Arial" w:eastAsia="Times New Roman" w:hAnsi="Arial" w:cs="Arial"/>
                <w:bCs/>
                <w:noProof/>
                <w:kern w:val="36"/>
                <w:sz w:val="24"/>
                <w:lang w:eastAsia="en-GB"/>
              </w:rPr>
              <w:t>4. Reflection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_Toc228221429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9</w:t>
            </w:r>
            <w:r w:rsidRPr="00AE29CC">
              <w:rPr>
                <w:rFonts w:ascii="Arial" w:hAnsi="Arial" w:cs="Arial"/>
                <w:noProof/>
                <w:webHidden/>
                <w:sz w:val="24"/>
              </w:rPr>
              <w:fldChar w:fldCharType="end"/>
            </w:r>
          </w:hyperlink>
        </w:p>
        <w:p w14:paraId="5A922ACC"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30" w:history="1">
            <w:r w:rsidRPr="00AE29CC">
              <w:rPr>
                <w:rStyle w:val="Hyperlink"/>
                <w:rFonts w:ascii="Arial" w:eastAsia="Times New Roman" w:hAnsi="Arial" w:cs="Arial"/>
                <w:bCs/>
                <w:noProof/>
                <w:sz w:val="24"/>
                <w:lang w:eastAsia="en-GB"/>
              </w:rPr>
              <w:t>4.1 Learning</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_Toc228221430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9</w:t>
            </w:r>
            <w:r w:rsidRPr="00AE29CC">
              <w:rPr>
                <w:rFonts w:ascii="Arial" w:hAnsi="Arial" w:cs="Arial"/>
                <w:noProof/>
                <w:webHidden/>
                <w:sz w:val="24"/>
              </w:rPr>
              <w:fldChar w:fldCharType="end"/>
            </w:r>
          </w:hyperlink>
        </w:p>
        <w:p w14:paraId="3480B5E5"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31" w:history="1">
            <w:r w:rsidRPr="00AE29CC">
              <w:rPr>
                <w:rStyle w:val="Hyperlink"/>
                <w:rFonts w:ascii="Arial" w:eastAsia="Times New Roman" w:hAnsi="Arial" w:cs="Arial"/>
                <w:bCs/>
                <w:noProof/>
                <w:sz w:val="24"/>
                <w:lang w:eastAsia="en-GB"/>
              </w:rPr>
              <w:t>4.2 Skills Gained</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_Toc228221431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9</w:t>
            </w:r>
            <w:r w:rsidRPr="00AE29CC">
              <w:rPr>
                <w:rFonts w:ascii="Arial" w:hAnsi="Arial" w:cs="Arial"/>
                <w:noProof/>
                <w:webHidden/>
                <w:sz w:val="24"/>
              </w:rPr>
              <w:fldChar w:fldCharType="end"/>
            </w:r>
          </w:hyperlink>
        </w:p>
        <w:p w14:paraId="48CED4E1"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32" w:history="1">
            <w:r w:rsidRPr="00AE29CC">
              <w:rPr>
                <w:rStyle w:val="Hyperlink"/>
                <w:rFonts w:ascii="Arial" w:eastAsia="Times New Roman" w:hAnsi="Arial" w:cs="Arial"/>
                <w:bCs/>
                <w:noProof/>
                <w:sz w:val="24"/>
                <w:lang w:eastAsia="en-GB"/>
              </w:rPr>
              <w:t>4.3 Challenges</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_Toc228221432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10</w:t>
            </w:r>
            <w:r w:rsidRPr="00AE29CC">
              <w:rPr>
                <w:rFonts w:ascii="Arial" w:hAnsi="Arial" w:cs="Arial"/>
                <w:noProof/>
                <w:webHidden/>
                <w:sz w:val="24"/>
              </w:rPr>
              <w:fldChar w:fldCharType="end"/>
            </w:r>
          </w:hyperlink>
        </w:p>
        <w:p w14:paraId="41C9888A" w14:textId="77777777" w:rsidR="000760AC" w:rsidRPr="00AE29CC" w:rsidRDefault="000760AC">
          <w:pPr>
            <w:pStyle w:val="TOC2"/>
            <w:tabs>
              <w:tab w:val="right" w:leader="dot" w:pos="9350"/>
            </w:tabs>
            <w:rPr>
              <w:rFonts w:ascii="Arial" w:eastAsiaTheme="minorEastAsia" w:hAnsi="Arial" w:cs="Arial"/>
              <w:noProof/>
              <w:sz w:val="24"/>
              <w:lang w:eastAsia="en-GB"/>
            </w:rPr>
          </w:pPr>
          <w:hyperlink w:anchor="_Toc228221433" w:history="1">
            <w:r w:rsidRPr="00AE29CC">
              <w:rPr>
                <w:rStyle w:val="Hyperlink"/>
                <w:rFonts w:ascii="Arial" w:eastAsia="Times New Roman" w:hAnsi="Arial" w:cs="Arial"/>
                <w:bCs/>
                <w:noProof/>
                <w:sz w:val="24"/>
                <w:lang w:eastAsia="en-GB"/>
              </w:rPr>
              <w:t>4.4 Future Improvement</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_Toc228221433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10</w:t>
            </w:r>
            <w:r w:rsidRPr="00AE29CC">
              <w:rPr>
                <w:rFonts w:ascii="Arial" w:hAnsi="Arial" w:cs="Arial"/>
                <w:noProof/>
                <w:webHidden/>
                <w:sz w:val="24"/>
              </w:rPr>
              <w:fldChar w:fldCharType="end"/>
            </w:r>
          </w:hyperlink>
        </w:p>
        <w:p w14:paraId="6B87F6F0"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34" w:history="1">
            <w:r w:rsidRPr="00AE29CC">
              <w:rPr>
                <w:rStyle w:val="Hyperlink"/>
                <w:rFonts w:ascii="Arial" w:hAnsi="Arial" w:cs="Arial"/>
                <w:noProof/>
                <w:sz w:val="24"/>
              </w:rPr>
              <w:t>5. Conclusion</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_Toc228221434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10</w:t>
            </w:r>
            <w:r w:rsidRPr="00AE29CC">
              <w:rPr>
                <w:rFonts w:ascii="Arial" w:hAnsi="Arial" w:cs="Arial"/>
                <w:noProof/>
                <w:webHidden/>
                <w:sz w:val="24"/>
              </w:rPr>
              <w:fldChar w:fldCharType="end"/>
            </w:r>
          </w:hyperlink>
        </w:p>
        <w:p w14:paraId="5A19491A"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35" w:history="1">
            <w:r w:rsidRPr="00AE29CC">
              <w:rPr>
                <w:rStyle w:val="Hyperlink"/>
                <w:rFonts w:ascii="Arial" w:hAnsi="Arial" w:cs="Arial"/>
                <w:noProof/>
                <w:sz w:val="24"/>
              </w:rPr>
              <w:t>6. References</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_Toc228221435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11</w:t>
            </w:r>
            <w:r w:rsidRPr="00AE29CC">
              <w:rPr>
                <w:rFonts w:ascii="Arial" w:hAnsi="Arial" w:cs="Arial"/>
                <w:noProof/>
                <w:webHidden/>
                <w:sz w:val="24"/>
              </w:rPr>
              <w:fldChar w:fldCharType="end"/>
            </w:r>
          </w:hyperlink>
        </w:p>
        <w:p w14:paraId="1716444A" w14:textId="77777777" w:rsidR="000760AC" w:rsidRPr="00AE29CC" w:rsidRDefault="000760AC">
          <w:pPr>
            <w:pStyle w:val="TOC1"/>
            <w:tabs>
              <w:tab w:val="right" w:leader="dot" w:pos="9350"/>
            </w:tabs>
            <w:rPr>
              <w:rFonts w:ascii="Arial" w:eastAsiaTheme="minorEastAsia" w:hAnsi="Arial" w:cs="Arial"/>
              <w:noProof/>
              <w:sz w:val="24"/>
              <w:lang w:eastAsia="en-GB"/>
            </w:rPr>
          </w:pPr>
          <w:hyperlink w:anchor="_Toc228221436" w:history="1">
            <w:r w:rsidRPr="00AE29CC">
              <w:rPr>
                <w:rStyle w:val="Hyperlink"/>
                <w:rFonts w:ascii="Arial" w:hAnsi="Arial" w:cs="Arial"/>
                <w:noProof/>
                <w:sz w:val="24"/>
              </w:rPr>
              <w:t>7. Appendix</w:t>
            </w:r>
            <w:r w:rsidRPr="00AE29CC">
              <w:rPr>
                <w:rFonts w:ascii="Arial" w:hAnsi="Arial" w:cs="Arial"/>
                <w:noProof/>
                <w:webHidden/>
                <w:sz w:val="24"/>
              </w:rPr>
              <w:tab/>
            </w:r>
            <w:r w:rsidRPr="00AE29CC">
              <w:rPr>
                <w:rFonts w:ascii="Arial" w:hAnsi="Arial" w:cs="Arial"/>
                <w:noProof/>
                <w:webHidden/>
                <w:sz w:val="24"/>
              </w:rPr>
              <w:fldChar w:fldCharType="begin"/>
            </w:r>
            <w:r w:rsidRPr="00AE29CC">
              <w:rPr>
                <w:rFonts w:ascii="Arial" w:hAnsi="Arial" w:cs="Arial"/>
                <w:noProof/>
                <w:webHidden/>
                <w:sz w:val="24"/>
              </w:rPr>
              <w:instrText xml:space="preserve"> PAGEREF _Toc228221436 \h </w:instrText>
            </w:r>
            <w:r w:rsidRPr="00AE29CC">
              <w:rPr>
                <w:rFonts w:ascii="Arial" w:hAnsi="Arial" w:cs="Arial"/>
                <w:noProof/>
                <w:webHidden/>
                <w:sz w:val="24"/>
              </w:rPr>
            </w:r>
            <w:r w:rsidRPr="00AE29CC">
              <w:rPr>
                <w:rFonts w:ascii="Arial" w:hAnsi="Arial" w:cs="Arial"/>
                <w:noProof/>
                <w:webHidden/>
                <w:sz w:val="24"/>
              </w:rPr>
              <w:fldChar w:fldCharType="separate"/>
            </w:r>
            <w:r w:rsidR="00AE29CC">
              <w:rPr>
                <w:rFonts w:ascii="Arial" w:hAnsi="Arial" w:cs="Arial"/>
                <w:noProof/>
                <w:webHidden/>
                <w:sz w:val="24"/>
              </w:rPr>
              <w:t>15</w:t>
            </w:r>
            <w:r w:rsidRPr="00AE29CC">
              <w:rPr>
                <w:rFonts w:ascii="Arial" w:hAnsi="Arial" w:cs="Arial"/>
                <w:noProof/>
                <w:webHidden/>
                <w:sz w:val="24"/>
              </w:rPr>
              <w:fldChar w:fldCharType="end"/>
            </w:r>
          </w:hyperlink>
        </w:p>
        <w:p w14:paraId="4C467631" w14:textId="77777777" w:rsidR="000760AC" w:rsidRDefault="000760AC">
          <w:r w:rsidRPr="00AE29CC">
            <w:rPr>
              <w:b/>
              <w:bCs/>
              <w:noProof/>
              <w:sz w:val="24"/>
            </w:rPr>
            <w:fldChar w:fldCharType="end"/>
          </w:r>
        </w:p>
      </w:sdtContent>
    </w:sdt>
    <w:p w14:paraId="46310F31" w14:textId="77777777" w:rsidR="00893C7B" w:rsidRDefault="00893C7B" w:rsidP="00893C7B">
      <w:pPr>
        <w:spacing w:line="360" w:lineRule="auto"/>
        <w:jc w:val="both"/>
        <w:rPr>
          <w:rFonts w:ascii="Arial" w:hAnsi="Arial" w:cs="Arial"/>
          <w:sz w:val="24"/>
          <w:szCs w:val="24"/>
        </w:rPr>
        <w:sectPr w:rsidR="00893C7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3209906" w14:textId="77777777" w:rsidR="00893C7B" w:rsidRPr="000760AC" w:rsidRDefault="00893C7B" w:rsidP="000760AC">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0" w:name="_Toc228221415"/>
      <w:r w:rsidRPr="000760AC">
        <w:rPr>
          <w:rFonts w:ascii="Arial" w:eastAsia="Times New Roman" w:hAnsi="Arial" w:cs="Arial"/>
          <w:b/>
          <w:bCs/>
          <w:kern w:val="36"/>
          <w:sz w:val="24"/>
          <w:szCs w:val="24"/>
          <w:lang w:eastAsia="en-GB"/>
        </w:rPr>
        <w:lastRenderedPageBreak/>
        <w:t>1. Introduction</w:t>
      </w:r>
      <w:bookmarkEnd w:id="0"/>
    </w:p>
    <w:p w14:paraId="749B6D4B"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Amazon is a worldwide technology powerhouse that is characterized by innovation and customer focus in the field of e-commerce and digital services (Stone, 2021). This report creates a brand extension model using Amazon Health+, an AI digital healthcare platform that is aimed at proactive health management. Using the principles of brand development (Kotler et al., 2021), the report examines segmentation, targeting, differentiation, positioning and the marketing mix to assess the strategic potential of this extension.</w:t>
      </w:r>
    </w:p>
    <w:p w14:paraId="09BCC897" w14:textId="77777777" w:rsidR="00893C7B" w:rsidRPr="0056334E" w:rsidRDefault="00893C7B" w:rsidP="000760AC">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 w:name="_Toc228221416"/>
      <w:r w:rsidRPr="000760AC">
        <w:rPr>
          <w:rFonts w:ascii="Arial" w:eastAsia="Times New Roman" w:hAnsi="Arial" w:cs="Arial"/>
          <w:b/>
          <w:bCs/>
          <w:kern w:val="36"/>
          <w:sz w:val="24"/>
          <w:szCs w:val="24"/>
          <w:lang w:eastAsia="en-GB"/>
        </w:rPr>
        <w:t>2. STDP Analysis</w:t>
      </w:r>
      <w:bookmarkEnd w:id="1"/>
      <w:r w:rsidRPr="000760AC">
        <w:rPr>
          <w:rFonts w:ascii="Arial" w:eastAsia="Times New Roman" w:hAnsi="Arial" w:cs="Arial"/>
          <w:b/>
          <w:bCs/>
          <w:kern w:val="36"/>
          <w:sz w:val="24"/>
          <w:szCs w:val="24"/>
          <w:lang w:eastAsia="en-GB"/>
        </w:rPr>
        <w:t xml:space="preserve"> </w:t>
      </w:r>
    </w:p>
    <w:p w14:paraId="2A680387" w14:textId="77777777" w:rsidR="00893C7B" w:rsidRPr="0056334E"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2" w:name="_Toc228221417"/>
      <w:r w:rsidRPr="000760AC">
        <w:rPr>
          <w:rFonts w:ascii="Arial" w:eastAsia="Times New Roman" w:hAnsi="Arial" w:cs="Arial"/>
          <w:b/>
          <w:bCs/>
          <w:sz w:val="24"/>
          <w:szCs w:val="24"/>
          <w:lang w:eastAsia="en-GB"/>
        </w:rPr>
        <w:t>2.1 Segmentation</w:t>
      </w:r>
      <w:bookmarkEnd w:id="2"/>
      <w:r w:rsidRPr="000760AC">
        <w:rPr>
          <w:rFonts w:ascii="Arial" w:eastAsia="Times New Roman" w:hAnsi="Arial" w:cs="Arial"/>
          <w:b/>
          <w:bCs/>
          <w:sz w:val="24"/>
          <w:szCs w:val="24"/>
          <w:lang w:eastAsia="en-GB"/>
        </w:rPr>
        <w:t xml:space="preserve"> </w:t>
      </w:r>
    </w:p>
    <w:p w14:paraId="735C0E22"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Segmentation is one of the key elements of the STP framework, which allows organisations to subdivide the broad markets into small and homogeneous groups sharing common characteristics (Kotler et al., 2024). In the case of Amazon Health+, demographic, geographic, psychographic, and behavioural variables can be effectively used to conduct segmentation.</w:t>
      </w:r>
    </w:p>
    <w:p w14:paraId="2D97221E"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Demographically, the key segments would be people who are aged between 25 and 60 years old, have a medium to a high level of income and have professional jobs. These consumers will tend to invest in digital health solutions because of their financial abilities and increasing knowledge of preventative health care (Deloitte, 2022; PwC, 2021). Moreover, the elderly population (60+ years old) is a vulnerable group because of the ageing population in the world and the growing demand on remote health monitoring services (WHO, 2022).</w:t>
      </w:r>
    </w:p>
    <w:p w14:paraId="1A04A4CE"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Amazon Health+ is geographically focused on the urban population of the developed countries and, in particular, in North America and Europe where the digital infrastructure, internet penetration, and access to smart devices have considerably developed (McKinsey, 2023). Higher rates of telemedicine and wearable technologies adoption also can be seen in these regions (Statista, 2023).</w:t>
      </w:r>
    </w:p>
    <w:p w14:paraId="3F332663"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proofErr w:type="spellStart"/>
      <w:r w:rsidRPr="000760AC">
        <w:rPr>
          <w:rFonts w:ascii="Arial" w:eastAsia="Times New Roman" w:hAnsi="Arial" w:cs="Arial"/>
          <w:sz w:val="24"/>
          <w:szCs w:val="24"/>
          <w:lang w:eastAsia="en-GB"/>
        </w:rPr>
        <w:lastRenderedPageBreak/>
        <w:t>Psychographically</w:t>
      </w:r>
      <w:proofErr w:type="spellEnd"/>
      <w:r w:rsidRPr="000760AC">
        <w:rPr>
          <w:rFonts w:ascii="Arial" w:eastAsia="Times New Roman" w:hAnsi="Arial" w:cs="Arial"/>
          <w:sz w:val="24"/>
          <w:szCs w:val="24"/>
          <w:lang w:eastAsia="en-GB"/>
        </w:rPr>
        <w:t>, the platform targets health-conscious and tech-savvy customers that value wellbeing, as well as, embrace innovative technologies. The current trend towards self-care and digital engagement in health care has been accelerated by the COVID-19 pandemic, which has further solidified the relevance of this segment (Accenture, 2021).</w:t>
      </w:r>
    </w:p>
    <w:p w14:paraId="28547C9B" w14:textId="77777777" w:rsidR="00893C7B" w:rsidRPr="0056334E"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Behaviourally, attention is on the wearable device and digital platform users and those interested in convenience and real-time health information. These are the consumers who appreciate personalised information and active healthcare offerings, which fits well with the potentials of Amazon Health+ (Statista, 2023; McKinsey, 2023).</w:t>
      </w:r>
    </w:p>
    <w:p w14:paraId="4C3D1B94" w14:textId="77777777" w:rsidR="00893C7B" w:rsidRPr="0056334E"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3" w:name="_Toc228221418"/>
      <w:r w:rsidRPr="000760AC">
        <w:rPr>
          <w:rFonts w:ascii="Arial" w:eastAsia="Times New Roman" w:hAnsi="Arial" w:cs="Arial"/>
          <w:b/>
          <w:bCs/>
          <w:sz w:val="24"/>
          <w:szCs w:val="24"/>
          <w:lang w:eastAsia="en-GB"/>
        </w:rPr>
        <w:t>2.2 Targeting</w:t>
      </w:r>
      <w:bookmarkEnd w:id="3"/>
      <w:r w:rsidRPr="000760AC">
        <w:rPr>
          <w:rFonts w:ascii="Arial" w:eastAsia="Times New Roman" w:hAnsi="Arial" w:cs="Arial"/>
          <w:b/>
          <w:bCs/>
          <w:sz w:val="24"/>
          <w:szCs w:val="24"/>
          <w:lang w:eastAsia="en-GB"/>
        </w:rPr>
        <w:t xml:space="preserve"> </w:t>
      </w:r>
    </w:p>
    <w:p w14:paraId="5F57CB5D"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According to the segmentation analysis, Amazon Health+ will pursue the differentiated targeting strategy, primarily targeting busy professionals aged 25-50 and older individuals in need of remote healthcare assistance.</w:t>
      </w:r>
    </w:p>
    <w:p w14:paraId="46219D61"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Busy people are a very appealing market as they have a high purchasing power, lack time and use online solutions. This population is efficiency-and-convenience-oriented and AI-based health monitoring services are of great interest to them. Moreover, they are already interested in the ecosystem of Amazon, such as Alexa and Prime, which raises the chances of uptake and customer lifetime value (Chaffey and Ellis-Chadwick, 2022).</w:t>
      </w:r>
    </w:p>
    <w:p w14:paraId="129F6FFA"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 aging population is also an important segment, as it is becoming more and more healthcare demanding and requires remote monitoring solutions (WHO, 2022; Deloitte, 2022). Amazon Health+ provides round-the-clock monitoring and real-time notifications, resolving such problems as chronic illnesses treatment and emergency treatment.</w:t>
      </w:r>
    </w:p>
    <w:p w14:paraId="09978637"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They are prioritised as they are the size of the market, profitable, and fits the technological capabilities of Amazon, and therefore can be scaled and gives it competitive advantage in the long-term (Kotler et al., 2024).</w:t>
      </w:r>
    </w:p>
    <w:p w14:paraId="1504AEE5" w14:textId="77777777" w:rsidR="00893C7B" w:rsidRPr="0056334E" w:rsidRDefault="00893C7B" w:rsidP="000760AC">
      <w:pPr>
        <w:spacing w:before="100" w:beforeAutospacing="1" w:after="100" w:afterAutospacing="1" w:line="360" w:lineRule="auto"/>
        <w:jc w:val="both"/>
        <w:rPr>
          <w:rFonts w:ascii="Arial" w:eastAsia="Times New Roman" w:hAnsi="Arial" w:cs="Arial"/>
          <w:sz w:val="24"/>
          <w:szCs w:val="24"/>
          <w:lang w:eastAsia="en-GB"/>
        </w:rPr>
      </w:pPr>
    </w:p>
    <w:p w14:paraId="6FB64288" w14:textId="77777777" w:rsidR="00893C7B" w:rsidRPr="0056334E"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4" w:name="_Toc228221419"/>
      <w:r w:rsidRPr="000760AC">
        <w:rPr>
          <w:rFonts w:ascii="Arial" w:eastAsia="Times New Roman" w:hAnsi="Arial" w:cs="Arial"/>
          <w:b/>
          <w:bCs/>
          <w:sz w:val="24"/>
          <w:szCs w:val="24"/>
          <w:lang w:eastAsia="en-GB"/>
        </w:rPr>
        <w:lastRenderedPageBreak/>
        <w:t>2.3 Differentiation</w:t>
      </w:r>
      <w:bookmarkEnd w:id="4"/>
      <w:r w:rsidRPr="000760AC">
        <w:rPr>
          <w:rFonts w:ascii="Arial" w:eastAsia="Times New Roman" w:hAnsi="Arial" w:cs="Arial"/>
          <w:b/>
          <w:bCs/>
          <w:sz w:val="24"/>
          <w:szCs w:val="24"/>
          <w:lang w:eastAsia="en-GB"/>
        </w:rPr>
        <w:t xml:space="preserve"> </w:t>
      </w:r>
    </w:p>
    <w:p w14:paraId="3E235637" w14:textId="77777777" w:rsidR="00675771" w:rsidRPr="00675771" w:rsidRDefault="00675771" w:rsidP="00675771">
      <w:pPr>
        <w:spacing w:before="100" w:beforeAutospacing="1" w:after="100" w:afterAutospacing="1" w:line="360" w:lineRule="auto"/>
        <w:jc w:val="both"/>
        <w:rPr>
          <w:rFonts w:ascii="Arial" w:eastAsia="Times New Roman" w:hAnsi="Arial" w:cs="Arial"/>
          <w:sz w:val="24"/>
          <w:szCs w:val="24"/>
          <w:lang w:eastAsia="en-GB"/>
        </w:rPr>
      </w:pPr>
      <w:r w:rsidRPr="00675771">
        <w:rPr>
          <w:rFonts w:ascii="Arial" w:eastAsia="Times New Roman" w:hAnsi="Arial" w:cs="Arial"/>
          <w:sz w:val="24"/>
          <w:szCs w:val="24"/>
          <w:lang w:eastAsia="en-GB"/>
        </w:rPr>
        <w:t>Amazon Health+ is one of a kind since it is the first site to combine AI technology, the voice of Alexa and real-time health tracking to offer a more customised and convenient healthcare experience. Unlike traditional healthcare that is largely reactive, Amazon Health+ is founded on continuous and preventive healthcare, and the users have ac</w:t>
      </w:r>
      <w:r>
        <w:rPr>
          <w:rFonts w:ascii="Arial" w:eastAsia="Times New Roman" w:hAnsi="Arial" w:cs="Arial"/>
          <w:sz w:val="24"/>
          <w:szCs w:val="24"/>
          <w:lang w:eastAsia="en-GB"/>
        </w:rPr>
        <w:t>tive control over their health.</w:t>
      </w:r>
    </w:p>
    <w:p w14:paraId="6CAF4ABA" w14:textId="77777777" w:rsidR="00893C7B" w:rsidRPr="0056334E" w:rsidRDefault="00675771" w:rsidP="00675771">
      <w:pPr>
        <w:spacing w:before="100" w:beforeAutospacing="1" w:after="100" w:afterAutospacing="1" w:line="360" w:lineRule="auto"/>
        <w:jc w:val="both"/>
        <w:rPr>
          <w:rFonts w:ascii="Arial" w:eastAsia="Times New Roman" w:hAnsi="Arial" w:cs="Arial"/>
          <w:sz w:val="24"/>
          <w:szCs w:val="24"/>
          <w:lang w:eastAsia="en-GB"/>
        </w:rPr>
      </w:pPr>
      <w:r w:rsidRPr="00675771">
        <w:rPr>
          <w:rFonts w:ascii="Arial" w:eastAsia="Times New Roman" w:hAnsi="Arial" w:cs="Arial"/>
          <w:sz w:val="24"/>
          <w:szCs w:val="24"/>
          <w:lang w:eastAsia="en-GB"/>
        </w:rPr>
        <w:t>The central ecosystem of Amazon (AWS, Alexa, and a wide spectrum of customer information) is one of the primary strengths that can be used to implement high-order analytics and tailored recommendations on scale (Chaffey and Ellis-Chadwick, 2022). Amazon Health+ is offering more extensive healthcare services (including remote monitoring and predictive insights) in comparison to its rivals such as Apple Health and Fitbit, which are mainly involved in the fitness tracking (McKinsey, 2023). This predisposes it as a more broad-based and scalable digital health solution (Kotler et al., 2024).</w:t>
      </w:r>
    </w:p>
    <w:p w14:paraId="1BD2BE1B" w14:textId="77777777" w:rsidR="00893C7B" w:rsidRPr="0056334E"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5" w:name="_Toc228221420"/>
      <w:r w:rsidRPr="000760AC">
        <w:rPr>
          <w:rFonts w:ascii="Arial" w:eastAsia="Times New Roman" w:hAnsi="Arial" w:cs="Arial"/>
          <w:b/>
          <w:bCs/>
          <w:sz w:val="24"/>
          <w:szCs w:val="24"/>
          <w:lang w:eastAsia="en-GB"/>
        </w:rPr>
        <w:t>2.4 Positioning</w:t>
      </w:r>
      <w:bookmarkEnd w:id="5"/>
      <w:r w:rsidRPr="000760AC">
        <w:rPr>
          <w:rFonts w:ascii="Arial" w:eastAsia="Times New Roman" w:hAnsi="Arial" w:cs="Arial"/>
          <w:b/>
          <w:bCs/>
          <w:sz w:val="24"/>
          <w:szCs w:val="24"/>
          <w:lang w:eastAsia="en-GB"/>
        </w:rPr>
        <w:t xml:space="preserve"> </w:t>
      </w:r>
    </w:p>
    <w:p w14:paraId="7ED3C116" w14:textId="77777777" w:rsidR="00577203" w:rsidRPr="000760AC" w:rsidRDefault="00675771" w:rsidP="000760AC">
      <w:pPr>
        <w:spacing w:before="100" w:beforeAutospacing="1" w:after="100" w:afterAutospacing="1" w:line="360" w:lineRule="auto"/>
        <w:jc w:val="both"/>
        <w:rPr>
          <w:rFonts w:ascii="Arial" w:eastAsia="Times New Roman" w:hAnsi="Arial" w:cs="Arial"/>
          <w:sz w:val="24"/>
          <w:szCs w:val="24"/>
          <w:lang w:eastAsia="en-GB"/>
        </w:rPr>
      </w:pPr>
      <w:r w:rsidRPr="00675771">
        <w:rPr>
          <w:rFonts w:ascii="Arial" w:eastAsia="Times New Roman" w:hAnsi="Arial" w:cs="Arial"/>
          <w:sz w:val="24"/>
          <w:szCs w:val="24"/>
          <w:lang w:eastAsia="en-GB"/>
        </w:rPr>
        <w:t xml:space="preserve">Amazon Health+ will be a high-value, technology-intensive healthcare product, which is </w:t>
      </w:r>
      <w:proofErr w:type="spellStart"/>
      <w:r w:rsidRPr="00675771">
        <w:rPr>
          <w:rFonts w:ascii="Arial" w:eastAsia="Times New Roman" w:hAnsi="Arial" w:cs="Arial"/>
          <w:sz w:val="24"/>
          <w:szCs w:val="24"/>
          <w:lang w:eastAsia="en-GB"/>
        </w:rPr>
        <w:t>centered</w:t>
      </w:r>
      <w:proofErr w:type="spellEnd"/>
      <w:r w:rsidRPr="00675771">
        <w:rPr>
          <w:rFonts w:ascii="Arial" w:eastAsia="Times New Roman" w:hAnsi="Arial" w:cs="Arial"/>
          <w:sz w:val="24"/>
          <w:szCs w:val="24"/>
          <w:lang w:eastAsia="en-GB"/>
        </w:rPr>
        <w:t xml:space="preserve"> on conven</w:t>
      </w:r>
      <w:r>
        <w:rPr>
          <w:rFonts w:ascii="Arial" w:eastAsia="Times New Roman" w:hAnsi="Arial" w:cs="Arial"/>
          <w:sz w:val="24"/>
          <w:szCs w:val="24"/>
          <w:lang w:eastAsia="en-GB"/>
        </w:rPr>
        <w:t>ience and proactive health care</w:t>
      </w:r>
      <w:r w:rsidR="001A49F9" w:rsidRPr="001A49F9">
        <w:rPr>
          <w:rFonts w:ascii="Arial" w:eastAsia="Times New Roman" w:hAnsi="Arial" w:cs="Arial"/>
          <w:sz w:val="24"/>
          <w:szCs w:val="24"/>
          <w:lang w:eastAsia="en-GB"/>
        </w:rPr>
        <w:t>. This positioning is achieved through AI, real-time monitoring, and ease of connection in the Amazon ecosystem, which develops a differentiated value proposition unlike the rivals (Kotler et al., 2021).</w:t>
      </w:r>
    </w:p>
    <w:p w14:paraId="1CA35A70" w14:textId="77777777" w:rsidR="00577203" w:rsidRDefault="007F644D" w:rsidP="007F644D">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lastRenderedPageBreak/>
        <w:drawing>
          <wp:inline distT="0" distB="0" distL="0" distR="0" wp14:anchorId="5363EC6B" wp14:editId="3B71B0D8">
            <wp:extent cx="5127811" cy="2968733"/>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131731" cy="2971002"/>
                    </a:xfrm>
                    <a:prstGeom prst="rect">
                      <a:avLst/>
                    </a:prstGeom>
                  </pic:spPr>
                </pic:pic>
              </a:graphicData>
            </a:graphic>
          </wp:inline>
        </w:drawing>
      </w:r>
    </w:p>
    <w:p w14:paraId="41D12E77" w14:textId="77777777" w:rsidR="0033261B" w:rsidRPr="0033261B" w:rsidRDefault="0033261B" w:rsidP="0033261B">
      <w:pPr>
        <w:spacing w:before="100" w:beforeAutospacing="1" w:after="100" w:afterAutospacing="1" w:line="360" w:lineRule="auto"/>
        <w:jc w:val="center"/>
        <w:rPr>
          <w:rFonts w:ascii="Arial" w:eastAsia="Times New Roman" w:hAnsi="Arial" w:cs="Arial"/>
          <w:i/>
          <w:sz w:val="24"/>
          <w:szCs w:val="24"/>
          <w:lang w:eastAsia="en-GB"/>
        </w:rPr>
      </w:pPr>
      <w:r w:rsidRPr="0033261B">
        <w:rPr>
          <w:rFonts w:ascii="Arial" w:eastAsia="Times New Roman" w:hAnsi="Arial" w:cs="Arial"/>
          <w:i/>
          <w:sz w:val="24"/>
          <w:szCs w:val="24"/>
          <w:lang w:eastAsia="en-GB"/>
        </w:rPr>
        <w:t>Figure 1: Perceptual Positioning Map of Amazon Health+ and Competitors (Made-author</w:t>
      </w:r>
      <w:r>
        <w:rPr>
          <w:rFonts w:ascii="Arial" w:eastAsia="Times New Roman" w:hAnsi="Arial" w:cs="Arial"/>
          <w:i/>
          <w:sz w:val="24"/>
          <w:szCs w:val="24"/>
          <w:lang w:eastAsia="en-GB"/>
        </w:rPr>
        <w:t>)</w:t>
      </w:r>
    </w:p>
    <w:p w14:paraId="10F0526A" w14:textId="77777777" w:rsidR="00577203" w:rsidRPr="000760AC" w:rsidRDefault="001A49F9" w:rsidP="000760AC">
      <w:pPr>
        <w:spacing w:before="100" w:beforeAutospacing="1" w:after="100" w:afterAutospacing="1" w:line="360" w:lineRule="auto"/>
        <w:jc w:val="both"/>
        <w:rPr>
          <w:rFonts w:ascii="Arial" w:eastAsia="Times New Roman" w:hAnsi="Arial" w:cs="Arial"/>
          <w:sz w:val="24"/>
          <w:szCs w:val="24"/>
          <w:lang w:eastAsia="en-GB"/>
        </w:rPr>
      </w:pPr>
      <w:r w:rsidRPr="001A49F9">
        <w:rPr>
          <w:rFonts w:ascii="Arial" w:eastAsia="Times New Roman" w:hAnsi="Arial" w:cs="Arial"/>
          <w:sz w:val="24"/>
          <w:szCs w:val="24"/>
          <w:lang w:eastAsia="en-GB"/>
        </w:rPr>
        <w:t>Compared to similar apps that are more fitness-focused, such as Fitbit, or more comprehensive like the Apple Health, Amazon Health+ offers a more comprehensive and proactive healthcare experience, resulting in its features and user experience being more advanced and involving.</w:t>
      </w:r>
      <w:r w:rsidR="00577203" w:rsidRPr="000760AC">
        <w:rPr>
          <w:rFonts w:ascii="Arial" w:eastAsia="Times New Roman" w:hAnsi="Arial" w:cs="Arial"/>
          <w:sz w:val="24"/>
          <w:szCs w:val="24"/>
          <w:lang w:eastAsia="en-GB"/>
        </w:rPr>
        <w:t xml:space="preserve"> The platform is also dominating in the high-technology and high-convenience quadrant as shown in Figure 1, which strengthens its competitive edge.</w:t>
      </w:r>
    </w:p>
    <w:p w14:paraId="6E967569" w14:textId="77777777" w:rsidR="00893C7B" w:rsidRDefault="00577203"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This stance does not only respond to the changing consumer demands but also gives Amazon a better chance to seize the value in the growing digital healthcare market (Verhoeff et al., 2021).</w:t>
      </w:r>
    </w:p>
    <w:p w14:paraId="1D23333C" w14:textId="77777777" w:rsidR="0033261B" w:rsidRDefault="0033261B" w:rsidP="000760AC">
      <w:pPr>
        <w:spacing w:before="100" w:beforeAutospacing="1" w:after="100" w:afterAutospacing="1" w:line="360" w:lineRule="auto"/>
        <w:jc w:val="both"/>
        <w:rPr>
          <w:rFonts w:ascii="Arial" w:eastAsia="Times New Roman" w:hAnsi="Arial" w:cs="Arial"/>
          <w:sz w:val="24"/>
          <w:szCs w:val="24"/>
          <w:lang w:eastAsia="en-GB"/>
        </w:rPr>
      </w:pPr>
    </w:p>
    <w:p w14:paraId="6A714276" w14:textId="77777777" w:rsidR="0033261B" w:rsidRDefault="0033261B" w:rsidP="000760AC">
      <w:pPr>
        <w:spacing w:before="100" w:beforeAutospacing="1" w:after="100" w:afterAutospacing="1" w:line="360" w:lineRule="auto"/>
        <w:jc w:val="both"/>
        <w:rPr>
          <w:rFonts w:ascii="Arial" w:eastAsia="Times New Roman" w:hAnsi="Arial" w:cs="Arial"/>
          <w:sz w:val="24"/>
          <w:szCs w:val="24"/>
          <w:lang w:eastAsia="en-GB"/>
        </w:rPr>
      </w:pPr>
    </w:p>
    <w:p w14:paraId="160F9584" w14:textId="77777777" w:rsidR="00612B3C" w:rsidRDefault="00612B3C" w:rsidP="000760AC">
      <w:pPr>
        <w:spacing w:before="100" w:beforeAutospacing="1" w:after="100" w:afterAutospacing="1" w:line="360" w:lineRule="auto"/>
        <w:jc w:val="both"/>
        <w:rPr>
          <w:rFonts w:ascii="Arial" w:eastAsia="Times New Roman" w:hAnsi="Arial" w:cs="Arial"/>
          <w:sz w:val="24"/>
          <w:szCs w:val="24"/>
          <w:lang w:eastAsia="en-GB"/>
        </w:rPr>
      </w:pPr>
    </w:p>
    <w:p w14:paraId="6EE7AAF6" w14:textId="77777777" w:rsidR="00612B3C" w:rsidRPr="0056334E" w:rsidRDefault="00612B3C" w:rsidP="000760AC">
      <w:pPr>
        <w:spacing w:before="100" w:beforeAutospacing="1" w:after="100" w:afterAutospacing="1" w:line="360" w:lineRule="auto"/>
        <w:jc w:val="both"/>
        <w:rPr>
          <w:rFonts w:ascii="Arial" w:eastAsia="Times New Roman" w:hAnsi="Arial" w:cs="Arial"/>
          <w:sz w:val="24"/>
          <w:szCs w:val="24"/>
          <w:lang w:eastAsia="en-GB"/>
        </w:rPr>
      </w:pPr>
    </w:p>
    <w:p w14:paraId="4896A08B" w14:textId="77777777" w:rsidR="00893C7B" w:rsidRDefault="00893C7B" w:rsidP="000760AC">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6" w:name="_Toc228221421"/>
      <w:r w:rsidRPr="000760AC">
        <w:rPr>
          <w:rFonts w:ascii="Arial" w:eastAsia="Times New Roman" w:hAnsi="Arial" w:cs="Arial"/>
          <w:b/>
          <w:bCs/>
          <w:kern w:val="36"/>
          <w:sz w:val="24"/>
          <w:szCs w:val="24"/>
          <w:lang w:eastAsia="en-GB"/>
        </w:rPr>
        <w:lastRenderedPageBreak/>
        <w:t>3. Marketing Mix (7Ps)</w:t>
      </w:r>
      <w:bookmarkEnd w:id="6"/>
      <w:r w:rsidRPr="000760AC">
        <w:rPr>
          <w:rFonts w:ascii="Arial" w:eastAsia="Times New Roman" w:hAnsi="Arial" w:cs="Arial"/>
          <w:b/>
          <w:bCs/>
          <w:kern w:val="36"/>
          <w:sz w:val="24"/>
          <w:szCs w:val="24"/>
          <w:lang w:eastAsia="en-GB"/>
        </w:rPr>
        <w:t xml:space="preserve"> </w:t>
      </w:r>
    </w:p>
    <w:p w14:paraId="5599D407" w14:textId="77777777" w:rsidR="0033261B" w:rsidRDefault="0033261B" w:rsidP="0033261B">
      <w:pPr>
        <w:jc w:val="center"/>
        <w:rPr>
          <w:rFonts w:ascii="Arial" w:eastAsia="Times New Roman" w:hAnsi="Arial" w:cs="Arial"/>
          <w:b/>
          <w:bCs/>
          <w:kern w:val="36"/>
          <w:sz w:val="24"/>
          <w:szCs w:val="24"/>
          <w:lang w:eastAsia="en-GB"/>
        </w:rPr>
      </w:pPr>
      <w:r>
        <w:rPr>
          <w:noProof/>
          <w:lang w:eastAsia="en-GB"/>
        </w:rPr>
        <w:drawing>
          <wp:inline distT="0" distB="0" distL="0" distR="0" wp14:anchorId="2767BC6D" wp14:editId="30339BBB">
            <wp:extent cx="4180055" cy="2339788"/>
            <wp:effectExtent l="0" t="0" r="0" b="3810"/>
            <wp:docPr id="5" name="Picture 5"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ow to use the 7Ps Marketing Mix strategy mode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82480" cy="2341145"/>
                    </a:xfrm>
                    <a:prstGeom prst="rect">
                      <a:avLst/>
                    </a:prstGeom>
                    <a:noFill/>
                    <a:ln>
                      <a:noFill/>
                    </a:ln>
                  </pic:spPr>
                </pic:pic>
              </a:graphicData>
            </a:graphic>
          </wp:inline>
        </w:drawing>
      </w:r>
    </w:p>
    <w:p w14:paraId="09680117" w14:textId="77777777" w:rsidR="0033261B" w:rsidRPr="00ED7FB4" w:rsidRDefault="0033261B" w:rsidP="0033261B">
      <w:pPr>
        <w:jc w:val="center"/>
        <w:rPr>
          <w:rFonts w:ascii="Arial" w:eastAsia="Times New Roman" w:hAnsi="Arial" w:cs="Arial"/>
          <w:bCs/>
          <w:i/>
          <w:kern w:val="36"/>
          <w:sz w:val="24"/>
          <w:szCs w:val="24"/>
          <w:lang w:eastAsia="en-GB"/>
        </w:rPr>
      </w:pPr>
      <w:r w:rsidRPr="0033261B">
        <w:rPr>
          <w:rFonts w:ascii="Arial" w:eastAsia="Times New Roman" w:hAnsi="Arial" w:cs="Arial"/>
          <w:bCs/>
          <w:i/>
          <w:kern w:val="36"/>
          <w:sz w:val="24"/>
          <w:szCs w:val="24"/>
          <w:lang w:eastAsia="en-GB"/>
        </w:rPr>
        <w:t>Figure 2: Marketing Mix (7Ps)</w:t>
      </w:r>
      <w:r w:rsidRPr="0033261B">
        <w:rPr>
          <w:i/>
        </w:rPr>
        <w:t xml:space="preserve"> </w:t>
      </w:r>
      <w:r w:rsidRPr="0033261B">
        <w:rPr>
          <w:rFonts w:ascii="Arial" w:eastAsia="Times New Roman" w:hAnsi="Arial" w:cs="Arial"/>
          <w:bCs/>
          <w:i/>
          <w:kern w:val="36"/>
          <w:sz w:val="24"/>
          <w:szCs w:val="24"/>
          <w:lang w:eastAsia="en-GB"/>
        </w:rPr>
        <w:t>(Hanlon, 2023)</w:t>
      </w:r>
    </w:p>
    <w:p w14:paraId="75FE7C16"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7" w:name="_Toc228221422"/>
      <w:r w:rsidRPr="000760AC">
        <w:rPr>
          <w:rFonts w:ascii="Arial" w:eastAsia="Times New Roman" w:hAnsi="Arial" w:cs="Arial"/>
          <w:b/>
          <w:bCs/>
          <w:sz w:val="24"/>
          <w:szCs w:val="24"/>
          <w:lang w:eastAsia="en-GB"/>
        </w:rPr>
        <w:t>3.1 Product</w:t>
      </w:r>
      <w:bookmarkEnd w:id="7"/>
      <w:r w:rsidRPr="000760AC">
        <w:rPr>
          <w:rFonts w:ascii="Arial" w:eastAsia="Times New Roman" w:hAnsi="Arial" w:cs="Arial"/>
          <w:b/>
          <w:bCs/>
          <w:sz w:val="24"/>
          <w:szCs w:val="24"/>
          <w:lang w:eastAsia="en-GB"/>
        </w:rPr>
        <w:t xml:space="preserve"> </w:t>
      </w:r>
    </w:p>
    <w:p w14:paraId="3EEB42B1"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 Amazon Health+ product strategy focuses on providing an all-purpose digital health platform which incorporates wearables, AI, and voice-activated service. Conceptualisation of products can be on a core, actual, and augmented level (Kotler et al., 2021). The main advantage is in the active health care, which helps the users to track and enhance their health at all times.</w:t>
      </w:r>
    </w:p>
    <w:p w14:paraId="626A4CF3"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 final product will have functions like AI-based health analytics, real-time tracking, and Alexa built-in, which makes it more usable and accessible (Porter and Lee, 2020). The features enable users to get personalised insights to enhance decision-making as far as health is concerned.</w:t>
      </w:r>
    </w:p>
    <w:p w14:paraId="2316FF83" w14:textId="77777777" w:rsidR="007F644D"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Cloud storage, predictive health alerts, integration with the Amazon ecosystem, and the addition of cloud storage are part of the augmented product, which adds more value (Kumar et al., 2021). This coincides with the rise in consumer need of preventative and personalised healthcare products and services, especially in the wake of an amplified move towards digital usage post-pandemic (</w:t>
      </w:r>
      <w:proofErr w:type="spellStart"/>
      <w:r w:rsidRPr="000760AC">
        <w:rPr>
          <w:rFonts w:ascii="Arial" w:eastAsia="Times New Roman" w:hAnsi="Arial" w:cs="Arial"/>
          <w:sz w:val="24"/>
          <w:szCs w:val="24"/>
          <w:lang w:eastAsia="en-GB"/>
        </w:rPr>
        <w:t>Bashshur</w:t>
      </w:r>
      <w:proofErr w:type="spellEnd"/>
      <w:r w:rsidRPr="000760AC">
        <w:rPr>
          <w:rFonts w:ascii="Arial" w:eastAsia="Times New Roman" w:hAnsi="Arial" w:cs="Arial"/>
          <w:sz w:val="24"/>
          <w:szCs w:val="24"/>
          <w:lang w:eastAsia="en-GB"/>
        </w:rPr>
        <w:t xml:space="preserve"> et al., 2020; Ting et al., 2020).</w:t>
      </w:r>
    </w:p>
    <w:p w14:paraId="44551A62" w14:textId="77777777" w:rsidR="00612B3C" w:rsidRPr="00ED7FB4" w:rsidRDefault="00612B3C" w:rsidP="000760AC">
      <w:pPr>
        <w:spacing w:before="100" w:beforeAutospacing="1" w:after="100" w:afterAutospacing="1" w:line="360" w:lineRule="auto"/>
        <w:jc w:val="both"/>
        <w:rPr>
          <w:rFonts w:ascii="Arial" w:eastAsia="Times New Roman" w:hAnsi="Arial" w:cs="Arial"/>
          <w:sz w:val="24"/>
          <w:szCs w:val="24"/>
          <w:lang w:eastAsia="en-GB"/>
        </w:rPr>
      </w:pPr>
    </w:p>
    <w:p w14:paraId="0FE1FA9F"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8" w:name="_Toc228221423"/>
      <w:r w:rsidRPr="000760AC">
        <w:rPr>
          <w:rFonts w:ascii="Arial" w:eastAsia="Times New Roman" w:hAnsi="Arial" w:cs="Arial"/>
          <w:b/>
          <w:bCs/>
          <w:sz w:val="24"/>
          <w:szCs w:val="24"/>
          <w:lang w:eastAsia="en-GB"/>
        </w:rPr>
        <w:lastRenderedPageBreak/>
        <w:t>3.2 Price</w:t>
      </w:r>
      <w:bookmarkEnd w:id="8"/>
      <w:r w:rsidRPr="000760AC">
        <w:rPr>
          <w:rFonts w:ascii="Arial" w:eastAsia="Times New Roman" w:hAnsi="Arial" w:cs="Arial"/>
          <w:b/>
          <w:bCs/>
          <w:sz w:val="24"/>
          <w:szCs w:val="24"/>
          <w:lang w:eastAsia="en-GB"/>
        </w:rPr>
        <w:t xml:space="preserve"> </w:t>
      </w:r>
    </w:p>
    <w:p w14:paraId="6B585125"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Amazon Health+ uses a value-based pricing model, which does not focus on pricing based on cost but rather on customer value (Nagle and Müller, 2020). This style is indicative of the value of convenience, innovation and personalisation in online health services. An introductory tiered subscription can be provided, with simpler monitoring at a cheaper price and more sophisticated analytics at a high cost.</w:t>
      </w:r>
    </w:p>
    <w:p w14:paraId="362DD8CD" w14:textId="77777777" w:rsidR="00893C7B" w:rsidRPr="00ED7FB4"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This type of pricing enables Amazon to serve various segments, and optimise revenue potential (</w:t>
      </w:r>
      <w:proofErr w:type="spellStart"/>
      <w:r w:rsidRPr="000760AC">
        <w:rPr>
          <w:rFonts w:ascii="Arial" w:eastAsia="Times New Roman" w:hAnsi="Arial" w:cs="Arial"/>
          <w:sz w:val="24"/>
          <w:szCs w:val="24"/>
          <w:lang w:eastAsia="en-GB"/>
        </w:rPr>
        <w:t>Hinterhuber</w:t>
      </w:r>
      <w:proofErr w:type="spellEnd"/>
      <w:r w:rsidRPr="000760AC">
        <w:rPr>
          <w:rFonts w:ascii="Arial" w:eastAsia="Times New Roman" w:hAnsi="Arial" w:cs="Arial"/>
          <w:sz w:val="24"/>
          <w:szCs w:val="24"/>
          <w:lang w:eastAsia="en-GB"/>
        </w:rPr>
        <w:t xml:space="preserve">, 2021). Also, subscription models create recurrent sources of income, which are important to keep digital platforms alive (Shankar and </w:t>
      </w:r>
      <w:proofErr w:type="spellStart"/>
      <w:r w:rsidRPr="000760AC">
        <w:rPr>
          <w:rFonts w:ascii="Arial" w:eastAsia="Times New Roman" w:hAnsi="Arial" w:cs="Arial"/>
          <w:sz w:val="24"/>
          <w:szCs w:val="24"/>
          <w:lang w:eastAsia="en-GB"/>
        </w:rPr>
        <w:t>Jebarajakirthy</w:t>
      </w:r>
      <w:proofErr w:type="spellEnd"/>
      <w:r w:rsidRPr="000760AC">
        <w:rPr>
          <w:rFonts w:ascii="Arial" w:eastAsia="Times New Roman" w:hAnsi="Arial" w:cs="Arial"/>
          <w:sz w:val="24"/>
          <w:szCs w:val="24"/>
          <w:lang w:eastAsia="en-GB"/>
        </w:rPr>
        <w:t>, 2020). Amazon has a competitive edge in the market as compared to its competitors because it is able to use economies of scale to provide competitive prices, which enhance its accessibility and market penetration (Smith, 2020).</w:t>
      </w:r>
    </w:p>
    <w:p w14:paraId="17E2FABB"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9" w:name="_Toc228221424"/>
      <w:r w:rsidRPr="000760AC">
        <w:rPr>
          <w:rFonts w:ascii="Arial" w:eastAsia="Times New Roman" w:hAnsi="Arial" w:cs="Arial"/>
          <w:b/>
          <w:bCs/>
          <w:sz w:val="24"/>
          <w:szCs w:val="24"/>
          <w:lang w:eastAsia="en-GB"/>
        </w:rPr>
        <w:t>3.3 Place</w:t>
      </w:r>
      <w:bookmarkEnd w:id="9"/>
      <w:r w:rsidRPr="000760AC">
        <w:rPr>
          <w:rFonts w:ascii="Arial" w:eastAsia="Times New Roman" w:hAnsi="Arial" w:cs="Arial"/>
          <w:b/>
          <w:bCs/>
          <w:sz w:val="24"/>
          <w:szCs w:val="24"/>
          <w:lang w:eastAsia="en-GB"/>
        </w:rPr>
        <w:t xml:space="preserve"> </w:t>
      </w:r>
    </w:p>
    <w:p w14:paraId="79B98BA2"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 Amazon Health+ place strategy will mainly be platform-based and digital, using the sophisticated technological foundation that Amazon has. The service is offered via mobile applications, cloud services, and smart devices like Alexa, so that it is readily accessible at various touchpoints (Laudon and Traver, 2021).</w:t>
      </w:r>
    </w:p>
    <w:p w14:paraId="5E2EAC6D" w14:textId="77777777" w:rsidR="00612B3C" w:rsidRPr="00ED7FB4"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Digital distribution minimizes physical infrastructure usage and allows reaching the whole world and being scaled (Chong et al., 2020). Also, platform-based delivery helps to share data in real-time, which is critical to healthcare services (Verhoff et al., 2021). The current ecosystem by Amazon makes it more convenient and users can easily incorporate the service into their daily lives. Such an omnichannel accessibility reinforces the customer experience and increases the rate of service adoption.</w:t>
      </w:r>
    </w:p>
    <w:p w14:paraId="3F99C510"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0" w:name="_Toc228221425"/>
      <w:r w:rsidRPr="000760AC">
        <w:rPr>
          <w:rFonts w:ascii="Arial" w:eastAsia="Times New Roman" w:hAnsi="Arial" w:cs="Arial"/>
          <w:b/>
          <w:bCs/>
          <w:sz w:val="24"/>
          <w:szCs w:val="24"/>
          <w:lang w:eastAsia="en-GB"/>
        </w:rPr>
        <w:t>3.4 Promotion</w:t>
      </w:r>
      <w:bookmarkEnd w:id="10"/>
      <w:r w:rsidRPr="000760AC">
        <w:rPr>
          <w:rFonts w:ascii="Arial" w:eastAsia="Times New Roman" w:hAnsi="Arial" w:cs="Arial"/>
          <w:b/>
          <w:bCs/>
          <w:sz w:val="24"/>
          <w:szCs w:val="24"/>
          <w:lang w:eastAsia="en-GB"/>
        </w:rPr>
        <w:t xml:space="preserve"> </w:t>
      </w:r>
    </w:p>
    <w:p w14:paraId="0929CD22"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 xml:space="preserve">Amazon Health+ is marketing through integrated marketing communications (IMC) strategy that provides messages that are consistent across the channels (Kitchen and </w:t>
      </w:r>
      <w:r w:rsidRPr="000760AC">
        <w:rPr>
          <w:rFonts w:ascii="Arial" w:eastAsia="Times New Roman" w:hAnsi="Arial" w:cs="Arial"/>
          <w:sz w:val="24"/>
          <w:szCs w:val="24"/>
          <w:lang w:eastAsia="en-GB"/>
        </w:rPr>
        <w:lastRenderedPageBreak/>
        <w:t>Burgmann, 2020). Digital marketing is a key element, such as social media, search engine, and targeted online advertising, which are efficient in targeting tech-savvy consumers (Dwivedi et al., 2021).</w:t>
      </w:r>
    </w:p>
    <w:p w14:paraId="23AF4E6C" w14:textId="77777777" w:rsidR="00435839" w:rsidRPr="00435839" w:rsidRDefault="00893C7B" w:rsidP="00435839">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 xml:space="preserve">Credibility and trust, which are crucial in products related to healthcare, are boosted by the use of role models, especially health and fitness professionals in influencer marketing (Lou and Yuan, 2019; </w:t>
      </w:r>
      <w:proofErr w:type="spellStart"/>
      <w:r w:rsidRPr="000760AC">
        <w:rPr>
          <w:rFonts w:ascii="Arial" w:eastAsia="Times New Roman" w:hAnsi="Arial" w:cs="Arial"/>
          <w:sz w:val="24"/>
          <w:szCs w:val="24"/>
          <w:lang w:eastAsia="en-GB"/>
        </w:rPr>
        <w:t>Hudders</w:t>
      </w:r>
      <w:proofErr w:type="spellEnd"/>
      <w:r w:rsidRPr="000760AC">
        <w:rPr>
          <w:rFonts w:ascii="Arial" w:eastAsia="Times New Roman" w:hAnsi="Arial" w:cs="Arial"/>
          <w:sz w:val="24"/>
          <w:szCs w:val="24"/>
          <w:lang w:eastAsia="en-GB"/>
        </w:rPr>
        <w:t xml:space="preserve"> et al., 2021). </w:t>
      </w:r>
      <w:r w:rsidR="00435839" w:rsidRPr="00435839">
        <w:rPr>
          <w:rFonts w:ascii="Arial" w:eastAsia="Times New Roman" w:hAnsi="Arial" w:cs="Arial"/>
          <w:sz w:val="24"/>
          <w:szCs w:val="24"/>
          <w:lang w:eastAsia="en-GB"/>
        </w:rPr>
        <w:t>Educational materials, such as webinars and blogs, can also be used to create preventative healthcare awareness, which will influence consumer behaviour (Lemon and Verhoef, 2020).</w:t>
      </w:r>
    </w:p>
    <w:p w14:paraId="17603A23" w14:textId="77777777" w:rsidR="00893C7B" w:rsidRPr="00ED7FB4" w:rsidRDefault="00435839" w:rsidP="00435839">
      <w:pPr>
        <w:spacing w:before="100" w:beforeAutospacing="1" w:after="100" w:afterAutospacing="1" w:line="360" w:lineRule="auto"/>
        <w:jc w:val="both"/>
        <w:rPr>
          <w:rFonts w:ascii="Arial" w:eastAsia="Times New Roman" w:hAnsi="Arial" w:cs="Arial"/>
          <w:sz w:val="24"/>
          <w:szCs w:val="24"/>
          <w:lang w:eastAsia="en-GB"/>
        </w:rPr>
      </w:pPr>
      <w:r w:rsidRPr="00435839">
        <w:rPr>
          <w:rFonts w:ascii="Arial" w:eastAsia="Times New Roman" w:hAnsi="Arial" w:cs="Arial"/>
          <w:sz w:val="24"/>
          <w:szCs w:val="24"/>
          <w:lang w:eastAsia="en-GB"/>
        </w:rPr>
        <w:t xml:space="preserve">Other features that allow Amazon to leverage its in-house ecosystem and stimulate customer interest are personalised recommendations and cross-promotion with Prime services (Kannan and Li, 2021). This </w:t>
      </w:r>
      <w:proofErr w:type="spellStart"/>
      <w:r w:rsidRPr="00435839">
        <w:rPr>
          <w:rFonts w:ascii="Arial" w:eastAsia="Times New Roman" w:hAnsi="Arial" w:cs="Arial"/>
          <w:sz w:val="24"/>
          <w:szCs w:val="24"/>
          <w:lang w:eastAsia="en-GB"/>
        </w:rPr>
        <w:t>multi channel</w:t>
      </w:r>
      <w:proofErr w:type="spellEnd"/>
      <w:r w:rsidRPr="00435839">
        <w:rPr>
          <w:rFonts w:ascii="Arial" w:eastAsia="Times New Roman" w:hAnsi="Arial" w:cs="Arial"/>
          <w:sz w:val="24"/>
          <w:szCs w:val="24"/>
          <w:lang w:eastAsia="en-GB"/>
        </w:rPr>
        <w:t xml:space="preserve"> will ensure reach and relevance and will make it easier to communicate and position the brand.</w:t>
      </w:r>
    </w:p>
    <w:p w14:paraId="61A30D55"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1" w:name="_Toc228221426"/>
      <w:r w:rsidRPr="000760AC">
        <w:rPr>
          <w:rFonts w:ascii="Arial" w:eastAsia="Times New Roman" w:hAnsi="Arial" w:cs="Arial"/>
          <w:b/>
          <w:bCs/>
          <w:sz w:val="24"/>
          <w:szCs w:val="24"/>
          <w:lang w:eastAsia="en-GB"/>
        </w:rPr>
        <w:t>3.5 People</w:t>
      </w:r>
      <w:bookmarkEnd w:id="11"/>
      <w:r w:rsidRPr="000760AC">
        <w:rPr>
          <w:rFonts w:ascii="Arial" w:eastAsia="Times New Roman" w:hAnsi="Arial" w:cs="Arial"/>
          <w:b/>
          <w:bCs/>
          <w:sz w:val="24"/>
          <w:szCs w:val="24"/>
          <w:lang w:eastAsia="en-GB"/>
        </w:rPr>
        <w:t xml:space="preserve"> </w:t>
      </w:r>
    </w:p>
    <w:p w14:paraId="47434DB2" w14:textId="77777777" w:rsidR="004272EC" w:rsidRPr="004272EC" w:rsidRDefault="00435839" w:rsidP="004272EC">
      <w:pPr>
        <w:spacing w:before="100" w:beforeAutospacing="1" w:after="100" w:afterAutospacing="1" w:line="360" w:lineRule="auto"/>
        <w:jc w:val="both"/>
        <w:rPr>
          <w:rFonts w:ascii="Arial" w:eastAsia="Times New Roman" w:hAnsi="Arial" w:cs="Arial"/>
          <w:sz w:val="24"/>
          <w:szCs w:val="24"/>
          <w:lang w:eastAsia="en-GB"/>
        </w:rPr>
      </w:pPr>
      <w:r w:rsidRPr="00435839">
        <w:rPr>
          <w:rFonts w:ascii="Arial" w:eastAsia="Times New Roman" w:hAnsi="Arial" w:cs="Arial"/>
          <w:sz w:val="24"/>
          <w:szCs w:val="24"/>
          <w:lang w:eastAsia="en-GB"/>
        </w:rPr>
        <w:t>The greatest stakeholders in quality service provision and customer experience are humans.</w:t>
      </w:r>
      <w:r w:rsidR="004272EC" w:rsidRPr="004272EC">
        <w:rPr>
          <w:rFonts w:ascii="Arial" w:eastAsia="Times New Roman" w:hAnsi="Arial" w:cs="Arial"/>
          <w:sz w:val="24"/>
          <w:szCs w:val="24"/>
          <w:lang w:eastAsia="en-GB"/>
        </w:rPr>
        <w:t xml:space="preserve"> Although the Google AI Learning Assistant is largely automated, a human touch is still required in areas such as customer service, content devel</w:t>
      </w:r>
      <w:r w:rsidR="004272EC">
        <w:rPr>
          <w:rFonts w:ascii="Arial" w:eastAsia="Times New Roman" w:hAnsi="Arial" w:cs="Arial"/>
          <w:sz w:val="24"/>
          <w:szCs w:val="24"/>
          <w:lang w:eastAsia="en-GB"/>
        </w:rPr>
        <w:t>opment, and system maintenance.</w:t>
      </w:r>
    </w:p>
    <w:p w14:paraId="7C087B01"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AI-based chatbots and virtual assistants provide immediate services to users and are one of the factors that make them efficient and responsive. At the same time, the quality of content and system improvement is done by teachers, p</w:t>
      </w:r>
      <w:r>
        <w:rPr>
          <w:rFonts w:ascii="Arial" w:eastAsia="Times New Roman" w:hAnsi="Arial" w:cs="Arial"/>
          <w:sz w:val="24"/>
          <w:szCs w:val="24"/>
          <w:lang w:eastAsia="en-GB"/>
        </w:rPr>
        <w:t>rogrammers and data scientists.</w:t>
      </w:r>
    </w:p>
    <w:p w14:paraId="6C63D14B" w14:textId="77777777" w:rsidR="00612B3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The combination of human skills and AI will ensure quality service delivery to the benefit of user satisfaction and trust. The creation of such a hybrid model can be seen as the result of the current dynamics of service delivery in online platforms, where human and technological interactions exist together (Huang and Rust, 2021).</w:t>
      </w:r>
    </w:p>
    <w:p w14:paraId="4C6114DE" w14:textId="77777777" w:rsidR="001A49F9" w:rsidRPr="00ED7FB4" w:rsidRDefault="001A49F9" w:rsidP="000760AC">
      <w:pPr>
        <w:spacing w:before="100" w:beforeAutospacing="1" w:after="100" w:afterAutospacing="1" w:line="360" w:lineRule="auto"/>
        <w:jc w:val="both"/>
        <w:rPr>
          <w:rFonts w:ascii="Arial" w:eastAsia="Times New Roman" w:hAnsi="Arial" w:cs="Arial"/>
          <w:sz w:val="24"/>
          <w:szCs w:val="24"/>
          <w:lang w:eastAsia="en-GB"/>
        </w:rPr>
      </w:pPr>
    </w:p>
    <w:p w14:paraId="436A74C5"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2" w:name="_Toc228221427"/>
      <w:r w:rsidRPr="000760AC">
        <w:rPr>
          <w:rFonts w:ascii="Arial" w:eastAsia="Times New Roman" w:hAnsi="Arial" w:cs="Arial"/>
          <w:b/>
          <w:bCs/>
          <w:sz w:val="24"/>
          <w:szCs w:val="24"/>
          <w:lang w:eastAsia="en-GB"/>
        </w:rPr>
        <w:lastRenderedPageBreak/>
        <w:t>3.6 Process</w:t>
      </w:r>
      <w:bookmarkEnd w:id="12"/>
      <w:r w:rsidRPr="000760AC">
        <w:rPr>
          <w:rFonts w:ascii="Arial" w:eastAsia="Times New Roman" w:hAnsi="Arial" w:cs="Arial"/>
          <w:b/>
          <w:bCs/>
          <w:sz w:val="24"/>
          <w:szCs w:val="24"/>
          <w:lang w:eastAsia="en-GB"/>
        </w:rPr>
        <w:t xml:space="preserve"> </w:t>
      </w:r>
    </w:p>
    <w:p w14:paraId="660E8786"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Process aspect is concerned with the user experience and effectiveness of the service delivery. The platform will be designed so that the experience will be both easy and smooth both in the process of onboarding and in terms of interac</w:t>
      </w:r>
      <w:r>
        <w:rPr>
          <w:rFonts w:ascii="Arial" w:eastAsia="Times New Roman" w:hAnsi="Arial" w:cs="Arial"/>
          <w:sz w:val="24"/>
          <w:szCs w:val="24"/>
          <w:lang w:eastAsia="en-GB"/>
        </w:rPr>
        <w:t>tion of on-going learning.</w:t>
      </w:r>
    </w:p>
    <w:p w14:paraId="56721757"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Users can create an account by using the existing Google accounts, view customised dashboards and receive customised recommendations based on their learning behaviour. The integration of AI will ensure that the content is regularly updated, and the learning p</w:t>
      </w:r>
      <w:r>
        <w:rPr>
          <w:rFonts w:ascii="Arial" w:eastAsia="Times New Roman" w:hAnsi="Arial" w:cs="Arial"/>
          <w:sz w:val="24"/>
          <w:szCs w:val="24"/>
          <w:lang w:eastAsia="en-GB"/>
        </w:rPr>
        <w:t>rocess is dynamic and adaptive.</w:t>
      </w:r>
    </w:p>
    <w:p w14:paraId="71F64184"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Automation also makes the system easier and efficient so customers can learn and not navigate through the system. There is also constant feedback and performance monitoring that contribute even more to user ex</w:t>
      </w:r>
      <w:r>
        <w:rPr>
          <w:rFonts w:ascii="Arial" w:eastAsia="Times New Roman" w:hAnsi="Arial" w:cs="Arial"/>
          <w:sz w:val="24"/>
          <w:szCs w:val="24"/>
          <w:lang w:eastAsia="en-GB"/>
        </w:rPr>
        <w:t>perience and learning outcomes.</w:t>
      </w:r>
    </w:p>
    <w:p w14:paraId="0F3C47C9" w14:textId="77777777" w:rsidR="00893C7B" w:rsidRPr="00ED7FB4"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The digital services should possess effective processes that have direct impact on customer satisfaction and retention (Lemon and Verhoef, 2022).</w:t>
      </w:r>
    </w:p>
    <w:p w14:paraId="169AB3FA"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3" w:name="_Toc228221428"/>
      <w:r w:rsidRPr="000760AC">
        <w:rPr>
          <w:rFonts w:ascii="Arial" w:eastAsia="Times New Roman" w:hAnsi="Arial" w:cs="Arial"/>
          <w:b/>
          <w:bCs/>
          <w:sz w:val="24"/>
          <w:szCs w:val="24"/>
          <w:lang w:eastAsia="en-GB"/>
        </w:rPr>
        <w:t>3.7 Physical Evidence</w:t>
      </w:r>
      <w:bookmarkEnd w:id="13"/>
      <w:r w:rsidRPr="000760AC">
        <w:rPr>
          <w:rFonts w:ascii="Arial" w:eastAsia="Times New Roman" w:hAnsi="Arial" w:cs="Arial"/>
          <w:b/>
          <w:bCs/>
          <w:sz w:val="24"/>
          <w:szCs w:val="24"/>
          <w:lang w:eastAsia="en-GB"/>
        </w:rPr>
        <w:t xml:space="preserve"> </w:t>
      </w:r>
    </w:p>
    <w:p w14:paraId="47F73C03"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Physical evidence relates to the physical and visual aspect which influences customer perceptions. The design of the user interface, wearable devices, dashboards and branding are the elements influencing the perceptions of users in the case of Amazon Health+ (Bitner et al., 2020).</w:t>
      </w:r>
    </w:p>
    <w:p w14:paraId="72C60FC9" w14:textId="77777777" w:rsidR="004272EC" w:rsidRPr="004272EC"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An attractive, convenient interface increases usability and feelings of reliability and quality (Rosenbaum et al., 2021). And cross-app, cross-device branding enhances awareness and confidence.</w:t>
      </w:r>
    </w:p>
    <w:p w14:paraId="335883E9" w14:textId="77777777" w:rsidR="0033261B" w:rsidRDefault="004272EC" w:rsidP="004272EC">
      <w:pPr>
        <w:spacing w:before="100" w:beforeAutospacing="1" w:after="100" w:afterAutospacing="1" w:line="360" w:lineRule="auto"/>
        <w:jc w:val="both"/>
        <w:rPr>
          <w:rFonts w:ascii="Arial" w:eastAsia="Times New Roman" w:hAnsi="Arial" w:cs="Arial"/>
          <w:sz w:val="24"/>
          <w:szCs w:val="24"/>
          <w:lang w:eastAsia="en-GB"/>
        </w:rPr>
      </w:pPr>
      <w:r w:rsidRPr="004272EC">
        <w:rPr>
          <w:rFonts w:ascii="Arial" w:eastAsia="Times New Roman" w:hAnsi="Arial" w:cs="Arial"/>
          <w:sz w:val="24"/>
          <w:szCs w:val="24"/>
          <w:lang w:eastAsia="en-GB"/>
        </w:rPr>
        <w:t xml:space="preserve">The user reviews, testimonials and performance information are considered other forms of physical evidence and impact buying </w:t>
      </w:r>
      <w:proofErr w:type="spellStart"/>
      <w:r w:rsidRPr="004272EC">
        <w:rPr>
          <w:rFonts w:ascii="Arial" w:eastAsia="Times New Roman" w:hAnsi="Arial" w:cs="Arial"/>
          <w:sz w:val="24"/>
          <w:szCs w:val="24"/>
          <w:lang w:eastAsia="en-GB"/>
        </w:rPr>
        <w:t>behavior</w:t>
      </w:r>
      <w:proofErr w:type="spellEnd"/>
      <w:r w:rsidRPr="004272EC">
        <w:rPr>
          <w:rFonts w:ascii="Arial" w:eastAsia="Times New Roman" w:hAnsi="Arial" w:cs="Arial"/>
          <w:sz w:val="24"/>
          <w:szCs w:val="24"/>
          <w:lang w:eastAsia="en-GB"/>
        </w:rPr>
        <w:t xml:space="preserve"> (</w:t>
      </w:r>
      <w:proofErr w:type="spellStart"/>
      <w:r w:rsidRPr="004272EC">
        <w:rPr>
          <w:rFonts w:ascii="Arial" w:eastAsia="Times New Roman" w:hAnsi="Arial" w:cs="Arial"/>
          <w:sz w:val="24"/>
          <w:szCs w:val="24"/>
          <w:lang w:eastAsia="en-GB"/>
        </w:rPr>
        <w:t>Ladhari</w:t>
      </w:r>
      <w:proofErr w:type="spellEnd"/>
      <w:r w:rsidRPr="004272EC">
        <w:rPr>
          <w:rFonts w:ascii="Arial" w:eastAsia="Times New Roman" w:hAnsi="Arial" w:cs="Arial"/>
          <w:sz w:val="24"/>
          <w:szCs w:val="24"/>
          <w:lang w:eastAsia="en-GB"/>
        </w:rPr>
        <w:t xml:space="preserve"> et al., 2020). Strong physical evidence can be advantageous in the context of health service online where risks are </w:t>
      </w:r>
      <w:r w:rsidRPr="004272EC">
        <w:rPr>
          <w:rFonts w:ascii="Arial" w:eastAsia="Times New Roman" w:hAnsi="Arial" w:cs="Arial"/>
          <w:sz w:val="24"/>
          <w:szCs w:val="24"/>
          <w:lang w:eastAsia="en-GB"/>
        </w:rPr>
        <w:lastRenderedPageBreak/>
        <w:t xml:space="preserve">perceived to be greater, and trust is lower. This can lead to more </w:t>
      </w:r>
      <w:proofErr w:type="spellStart"/>
      <w:r w:rsidRPr="004272EC">
        <w:rPr>
          <w:rFonts w:ascii="Arial" w:eastAsia="Times New Roman" w:hAnsi="Arial" w:cs="Arial"/>
          <w:sz w:val="24"/>
          <w:szCs w:val="24"/>
          <w:lang w:eastAsia="en-GB"/>
        </w:rPr>
        <w:t>favorable</w:t>
      </w:r>
      <w:proofErr w:type="spellEnd"/>
      <w:r w:rsidRPr="004272EC">
        <w:rPr>
          <w:rFonts w:ascii="Arial" w:eastAsia="Times New Roman" w:hAnsi="Arial" w:cs="Arial"/>
          <w:sz w:val="24"/>
          <w:szCs w:val="24"/>
          <w:lang w:eastAsia="en-GB"/>
        </w:rPr>
        <w:t xml:space="preserve"> user experience, which</w:t>
      </w:r>
      <w:r>
        <w:rPr>
          <w:rFonts w:ascii="Arial" w:eastAsia="Times New Roman" w:hAnsi="Arial" w:cs="Arial"/>
          <w:sz w:val="24"/>
          <w:szCs w:val="24"/>
          <w:lang w:eastAsia="en-GB"/>
        </w:rPr>
        <w:t xml:space="preserve"> will promote product retention</w:t>
      </w:r>
      <w:r w:rsidR="001A49F9" w:rsidRPr="001A49F9">
        <w:rPr>
          <w:rFonts w:ascii="Arial" w:eastAsia="Times New Roman" w:hAnsi="Arial" w:cs="Arial"/>
          <w:sz w:val="24"/>
          <w:szCs w:val="24"/>
          <w:lang w:eastAsia="en-GB"/>
        </w:rPr>
        <w:t>.</w:t>
      </w:r>
    </w:p>
    <w:p w14:paraId="65C95F14" w14:textId="77777777" w:rsidR="00893C7B" w:rsidRPr="00ED7FB4" w:rsidRDefault="00893C7B" w:rsidP="000760AC">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4" w:name="_Toc228221429"/>
      <w:r w:rsidRPr="000760AC">
        <w:rPr>
          <w:rFonts w:ascii="Arial" w:eastAsia="Times New Roman" w:hAnsi="Arial" w:cs="Arial"/>
          <w:b/>
          <w:bCs/>
          <w:kern w:val="36"/>
          <w:sz w:val="24"/>
          <w:szCs w:val="24"/>
          <w:lang w:eastAsia="en-GB"/>
        </w:rPr>
        <w:t>4. Reflection</w:t>
      </w:r>
      <w:bookmarkEnd w:id="14"/>
      <w:r w:rsidRPr="000760AC">
        <w:rPr>
          <w:rFonts w:ascii="Arial" w:eastAsia="Times New Roman" w:hAnsi="Arial" w:cs="Arial"/>
          <w:b/>
          <w:bCs/>
          <w:kern w:val="36"/>
          <w:sz w:val="24"/>
          <w:szCs w:val="24"/>
          <w:lang w:eastAsia="en-GB"/>
        </w:rPr>
        <w:t xml:space="preserve"> </w:t>
      </w:r>
    </w:p>
    <w:p w14:paraId="79516F82"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5" w:name="_Toc228221430"/>
      <w:r w:rsidRPr="000760AC">
        <w:rPr>
          <w:rFonts w:ascii="Arial" w:eastAsia="Times New Roman" w:hAnsi="Arial" w:cs="Arial"/>
          <w:b/>
          <w:bCs/>
          <w:sz w:val="24"/>
          <w:szCs w:val="24"/>
          <w:lang w:eastAsia="en-GB"/>
        </w:rPr>
        <w:t>4.1 Learning</w:t>
      </w:r>
      <w:bookmarkEnd w:id="15"/>
      <w:r w:rsidRPr="000760AC">
        <w:rPr>
          <w:rFonts w:ascii="Arial" w:eastAsia="Times New Roman" w:hAnsi="Arial" w:cs="Arial"/>
          <w:b/>
          <w:bCs/>
          <w:sz w:val="24"/>
          <w:szCs w:val="24"/>
          <w:lang w:eastAsia="en-GB"/>
        </w:rPr>
        <w:t xml:space="preserve"> </w:t>
      </w:r>
    </w:p>
    <w:p w14:paraId="442FC7FC" w14:textId="77777777" w:rsidR="00435839" w:rsidRPr="00435839" w:rsidRDefault="00435839" w:rsidP="00435839">
      <w:pPr>
        <w:spacing w:before="100" w:beforeAutospacing="1" w:after="100" w:afterAutospacing="1" w:line="360" w:lineRule="auto"/>
        <w:jc w:val="both"/>
        <w:rPr>
          <w:rFonts w:ascii="Arial" w:eastAsia="Times New Roman" w:hAnsi="Arial" w:cs="Arial"/>
          <w:sz w:val="24"/>
          <w:szCs w:val="24"/>
          <w:lang w:eastAsia="en-GB"/>
        </w:rPr>
      </w:pPr>
      <w:r w:rsidRPr="00435839">
        <w:rPr>
          <w:rFonts w:ascii="Arial" w:eastAsia="Times New Roman" w:hAnsi="Arial" w:cs="Arial"/>
          <w:sz w:val="24"/>
          <w:szCs w:val="24"/>
          <w:lang w:eastAsia="en-GB"/>
        </w:rPr>
        <w:t>The introduction of the Google AI Learning Assistant as a brand extension has provided an effective learning experience on the value of marketing in bringing about innovation and business development. The project allowed me to discover more about how marketing frameworks, such as STDP and the marketing mix can be applied in practice to assist in the creation of customer value and competitive advantage (Jobber and Ellis-Chadwick, 2020). In particular, I learned more about the ways in which brand extension strategies are based on the brand equity to enter the new markets, especially in a rapidly evolving market such as EdTech (Keller, 2021).</w:t>
      </w:r>
    </w:p>
    <w:p w14:paraId="7817EED4" w14:textId="77777777" w:rsidR="00893C7B" w:rsidRPr="00ED7FB4" w:rsidRDefault="00435839" w:rsidP="00435839">
      <w:pPr>
        <w:spacing w:before="100" w:beforeAutospacing="1" w:after="100" w:afterAutospacing="1" w:line="360" w:lineRule="auto"/>
        <w:jc w:val="both"/>
        <w:rPr>
          <w:rFonts w:ascii="Arial" w:eastAsia="Times New Roman" w:hAnsi="Arial" w:cs="Arial"/>
          <w:sz w:val="24"/>
          <w:szCs w:val="24"/>
          <w:lang w:eastAsia="en-GB"/>
        </w:rPr>
      </w:pPr>
      <w:r w:rsidRPr="00435839">
        <w:rPr>
          <w:rFonts w:ascii="Arial" w:eastAsia="Times New Roman" w:hAnsi="Arial" w:cs="Arial"/>
          <w:sz w:val="24"/>
          <w:szCs w:val="24"/>
          <w:lang w:eastAsia="en-GB"/>
        </w:rPr>
        <w:t>In addition to that, the task also pointed out the necessity to align the marketing strategies with the new tech trends, particularly, artificial intelligence and digital transformation. The growing use of AI in education highlights the need to ensure that organisations implement new strategies that will enable them to compete effectively in markets that are rapidly evolving (Dwivedi et al., 2021). This experience consolidated the core of strategic thinking and flexibilities in th</w:t>
      </w:r>
      <w:r>
        <w:rPr>
          <w:rFonts w:ascii="Arial" w:eastAsia="Times New Roman" w:hAnsi="Arial" w:cs="Arial"/>
          <w:sz w:val="24"/>
          <w:szCs w:val="24"/>
          <w:lang w:eastAsia="en-GB"/>
        </w:rPr>
        <w:t>e modern-day marketing practice</w:t>
      </w:r>
      <w:r w:rsidR="00B50F82" w:rsidRPr="00B50F82">
        <w:rPr>
          <w:rFonts w:ascii="Arial" w:eastAsia="Times New Roman" w:hAnsi="Arial" w:cs="Arial"/>
          <w:sz w:val="24"/>
          <w:szCs w:val="24"/>
          <w:lang w:eastAsia="en-GB"/>
        </w:rPr>
        <w:t>.</w:t>
      </w:r>
    </w:p>
    <w:p w14:paraId="49322484"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6" w:name="_Toc228221431"/>
      <w:r w:rsidRPr="000760AC">
        <w:rPr>
          <w:rFonts w:ascii="Arial" w:eastAsia="Times New Roman" w:hAnsi="Arial" w:cs="Arial"/>
          <w:b/>
          <w:bCs/>
          <w:sz w:val="24"/>
          <w:szCs w:val="24"/>
          <w:lang w:eastAsia="en-GB"/>
        </w:rPr>
        <w:t>4.2 Skills Gained</w:t>
      </w:r>
      <w:bookmarkEnd w:id="16"/>
      <w:r w:rsidRPr="000760AC">
        <w:rPr>
          <w:rFonts w:ascii="Arial" w:eastAsia="Times New Roman" w:hAnsi="Arial" w:cs="Arial"/>
          <w:b/>
          <w:bCs/>
          <w:sz w:val="24"/>
          <w:szCs w:val="24"/>
          <w:lang w:eastAsia="en-GB"/>
        </w:rPr>
        <w:t xml:space="preserve"> </w:t>
      </w:r>
    </w:p>
    <w:p w14:paraId="23AFAC34" w14:textId="77777777" w:rsidR="00893C7B" w:rsidRPr="000760AC"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 xml:space="preserve">This portfolio helped in the acquisition of a number of major professional skills. The development of my critical thinking skills was due to the ability to </w:t>
      </w:r>
      <w:proofErr w:type="spellStart"/>
      <w:r w:rsidRPr="000760AC">
        <w:rPr>
          <w:rFonts w:ascii="Arial" w:eastAsia="Times New Roman" w:hAnsi="Arial" w:cs="Arial"/>
          <w:sz w:val="24"/>
          <w:szCs w:val="24"/>
          <w:lang w:eastAsia="en-GB"/>
        </w:rPr>
        <w:t>analyze</w:t>
      </w:r>
      <w:proofErr w:type="spellEnd"/>
      <w:r w:rsidRPr="000760AC">
        <w:rPr>
          <w:rFonts w:ascii="Arial" w:eastAsia="Times New Roman" w:hAnsi="Arial" w:cs="Arial"/>
          <w:sz w:val="24"/>
          <w:szCs w:val="24"/>
          <w:lang w:eastAsia="en-GB"/>
        </w:rPr>
        <w:t xml:space="preserve"> various strategic options and support decision-making with the application of theoretical frameworks (Armstrong and Kotler, 2021). My research skills were also increased as I accessed academic and industry sources and was able to effectively identify and use credible information (Saunders et al., 2020).</w:t>
      </w:r>
    </w:p>
    <w:p w14:paraId="256E0EF9" w14:textId="77777777" w:rsidR="00893C7B" w:rsidRPr="00ED7FB4"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lastRenderedPageBreak/>
        <w:t>Also, the work on the poster enhanced my creativity and visual communication, as I needed to present complex ideas in an easy-to-understand and interesting format. My academic writing and structure were also enhanced, making sure that sections are logically arranged and coherent (Cottrell, 2021). The skills that are transferable are critical towards professional practice in marketing and strategic decision-making.</w:t>
      </w:r>
    </w:p>
    <w:p w14:paraId="0A413642"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7" w:name="_Toc228221432"/>
      <w:r w:rsidRPr="000760AC">
        <w:rPr>
          <w:rFonts w:ascii="Arial" w:eastAsia="Times New Roman" w:hAnsi="Arial" w:cs="Arial"/>
          <w:b/>
          <w:bCs/>
          <w:sz w:val="24"/>
          <w:szCs w:val="24"/>
          <w:lang w:eastAsia="en-GB"/>
        </w:rPr>
        <w:t>4.3 Challenges</w:t>
      </w:r>
      <w:bookmarkEnd w:id="17"/>
      <w:r w:rsidRPr="000760AC">
        <w:rPr>
          <w:rFonts w:ascii="Arial" w:eastAsia="Times New Roman" w:hAnsi="Arial" w:cs="Arial"/>
          <w:b/>
          <w:bCs/>
          <w:sz w:val="24"/>
          <w:szCs w:val="24"/>
          <w:lang w:eastAsia="en-GB"/>
        </w:rPr>
        <w:t xml:space="preserve"> </w:t>
      </w:r>
    </w:p>
    <w:p w14:paraId="02CB469D" w14:textId="77777777" w:rsidR="0033261B" w:rsidRPr="00ED7FB4"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The development of a realistic but innovative brand extension, which matched the current capabilities of Amazon was one of the key challenges. The use of theoretical models like STP and the marketing mix in a real-life situation needed more in-depth analysis (Kotler et al., 2021). Also, it was challenging to balance creativity and academic rigor, since ideas had to be creative and theoretically supported (Keller, 2020).</w:t>
      </w:r>
    </w:p>
    <w:p w14:paraId="4B60B732" w14:textId="77777777" w:rsidR="00893C7B" w:rsidRPr="00ED7FB4" w:rsidRDefault="00893C7B" w:rsidP="000760AC">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8" w:name="_Toc228221433"/>
      <w:r w:rsidRPr="000760AC">
        <w:rPr>
          <w:rFonts w:ascii="Arial" w:eastAsia="Times New Roman" w:hAnsi="Arial" w:cs="Arial"/>
          <w:b/>
          <w:bCs/>
          <w:sz w:val="24"/>
          <w:szCs w:val="24"/>
          <w:lang w:eastAsia="en-GB"/>
        </w:rPr>
        <w:t>4.4 Future Improvement</w:t>
      </w:r>
      <w:bookmarkEnd w:id="18"/>
      <w:r w:rsidRPr="000760AC">
        <w:rPr>
          <w:rFonts w:ascii="Arial" w:eastAsia="Times New Roman" w:hAnsi="Arial" w:cs="Arial"/>
          <w:b/>
          <w:bCs/>
          <w:sz w:val="24"/>
          <w:szCs w:val="24"/>
          <w:lang w:eastAsia="en-GB"/>
        </w:rPr>
        <w:t xml:space="preserve"> </w:t>
      </w:r>
    </w:p>
    <w:p w14:paraId="5860E1EA" w14:textId="77777777" w:rsidR="00893C7B" w:rsidRPr="00ED7FB4" w:rsidRDefault="00893C7B" w:rsidP="000760AC">
      <w:pPr>
        <w:spacing w:before="100" w:beforeAutospacing="1" w:after="100" w:afterAutospacing="1" w:line="360" w:lineRule="auto"/>
        <w:jc w:val="both"/>
        <w:rPr>
          <w:rFonts w:ascii="Arial" w:eastAsia="Times New Roman" w:hAnsi="Arial" w:cs="Arial"/>
          <w:sz w:val="24"/>
          <w:szCs w:val="24"/>
          <w:lang w:eastAsia="en-GB"/>
        </w:rPr>
      </w:pPr>
      <w:r w:rsidRPr="000760AC">
        <w:rPr>
          <w:rFonts w:ascii="Arial" w:eastAsia="Times New Roman" w:hAnsi="Arial" w:cs="Arial"/>
          <w:sz w:val="24"/>
          <w:szCs w:val="24"/>
          <w:lang w:eastAsia="en-GB"/>
        </w:rPr>
        <w:t xml:space="preserve">The next time I engage in such a project, I will strive to conduct a deeper research with a more extensive number of empirical data and academic journal articles (Saunders et al., 2020). I would also enhance my application of data-driven analysis in making strategic decisions (Verhoeff et al., 2021). </w:t>
      </w:r>
      <w:r w:rsidR="00A23ABB" w:rsidRPr="00A23ABB">
        <w:rPr>
          <w:rFonts w:ascii="Arial" w:eastAsia="Times New Roman" w:hAnsi="Arial" w:cs="Arial"/>
          <w:sz w:val="24"/>
          <w:szCs w:val="24"/>
          <w:lang w:eastAsia="en-GB"/>
        </w:rPr>
        <w:t>Presentation and design skills could be improved as well, and more visuals and more correct form are more effective to communicate and depict a more professional level.</w:t>
      </w:r>
    </w:p>
    <w:p w14:paraId="17C7BC4E" w14:textId="77777777" w:rsidR="00893C7B" w:rsidRPr="000760AC" w:rsidRDefault="00893C7B" w:rsidP="000760AC">
      <w:pPr>
        <w:pStyle w:val="Heading1"/>
        <w:spacing w:line="360" w:lineRule="auto"/>
        <w:rPr>
          <w:rFonts w:ascii="Arial" w:hAnsi="Arial" w:cs="Arial"/>
          <w:sz w:val="24"/>
          <w:szCs w:val="24"/>
        </w:rPr>
      </w:pPr>
      <w:bookmarkStart w:id="19" w:name="_Toc228221434"/>
      <w:r w:rsidRPr="000760AC">
        <w:rPr>
          <w:rFonts w:ascii="Arial" w:hAnsi="Arial" w:cs="Arial"/>
          <w:sz w:val="24"/>
          <w:szCs w:val="24"/>
        </w:rPr>
        <w:t>5. Conclusion</w:t>
      </w:r>
      <w:bookmarkEnd w:id="19"/>
    </w:p>
    <w:p w14:paraId="648FBE32" w14:textId="77777777" w:rsidR="00893C7B" w:rsidRPr="000760AC" w:rsidRDefault="00A23ABB" w:rsidP="000760AC">
      <w:pPr>
        <w:spacing w:line="360" w:lineRule="auto"/>
        <w:jc w:val="both"/>
        <w:rPr>
          <w:rFonts w:ascii="Arial" w:hAnsi="Arial" w:cs="Arial"/>
          <w:sz w:val="24"/>
          <w:szCs w:val="24"/>
        </w:rPr>
      </w:pPr>
      <w:r w:rsidRPr="00A23ABB">
        <w:rPr>
          <w:rFonts w:ascii="Arial" w:hAnsi="Arial" w:cs="Arial"/>
          <w:sz w:val="24"/>
          <w:szCs w:val="24"/>
        </w:rPr>
        <w:t>In conclusion, Amazon Health+ is a congruent brand extension that builds on Amazon technological capabilities and ecosystem. It enjoys good customer value due to good STDP and marketing mix strategies. By focusing on innovation, convenience, and digital healthcare solutions, the platform can expand in the future. This has seen it compete successfully in a fast changing and highly competitive market because of its ability to combine high level technology with user friendly services.</w:t>
      </w:r>
    </w:p>
    <w:p w14:paraId="79807767" w14:textId="77777777" w:rsidR="00612B3C" w:rsidRDefault="00612B3C" w:rsidP="00893C7B">
      <w:pPr>
        <w:spacing w:line="360" w:lineRule="auto"/>
        <w:jc w:val="both"/>
        <w:rPr>
          <w:rFonts w:ascii="Arial" w:hAnsi="Arial" w:cs="Arial"/>
          <w:sz w:val="24"/>
          <w:szCs w:val="24"/>
        </w:rPr>
      </w:pPr>
    </w:p>
    <w:p w14:paraId="50719231" w14:textId="77777777" w:rsidR="00893C7B" w:rsidRDefault="00893C7B" w:rsidP="00893C7B">
      <w:pPr>
        <w:pStyle w:val="Heading1"/>
        <w:rPr>
          <w:rFonts w:ascii="Arial" w:hAnsi="Arial" w:cs="Arial"/>
          <w:sz w:val="24"/>
          <w:szCs w:val="24"/>
        </w:rPr>
      </w:pPr>
      <w:bookmarkStart w:id="20" w:name="_Toc228221435"/>
      <w:r>
        <w:rPr>
          <w:rFonts w:ascii="Arial" w:hAnsi="Arial" w:cs="Arial"/>
          <w:sz w:val="24"/>
          <w:szCs w:val="24"/>
        </w:rPr>
        <w:lastRenderedPageBreak/>
        <w:t>6. References</w:t>
      </w:r>
      <w:bookmarkEnd w:id="20"/>
    </w:p>
    <w:p w14:paraId="300251AC"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Accenture (2021) </w:t>
      </w:r>
      <w:r w:rsidRPr="0033261B">
        <w:rPr>
          <w:rStyle w:val="Emphasis"/>
          <w:rFonts w:ascii="Arial" w:hAnsi="Arial" w:cs="Arial"/>
        </w:rPr>
        <w:t>Digital Health Technology Vision 2021</w:t>
      </w:r>
      <w:r w:rsidRPr="0033261B">
        <w:rPr>
          <w:rFonts w:ascii="Arial" w:hAnsi="Arial" w:cs="Arial"/>
        </w:rPr>
        <w:t xml:space="preserve">. Available at: </w:t>
      </w:r>
      <w:hyperlink r:id="rId16" w:tgtFrame="_new" w:history="1">
        <w:r w:rsidRPr="0033261B">
          <w:rPr>
            <w:rStyle w:val="Hyperlink"/>
            <w:rFonts w:ascii="Arial" w:hAnsi="Arial" w:cs="Arial"/>
          </w:rPr>
          <w:t>Digital Health Technology Vision Report</w:t>
        </w:r>
      </w:hyperlink>
      <w:r w:rsidRPr="0033261B">
        <w:rPr>
          <w:rFonts w:ascii="Arial" w:hAnsi="Arial" w:cs="Arial"/>
        </w:rPr>
        <w:t xml:space="preserve"> [Accessed 22 Apr. 2026].</w:t>
      </w:r>
    </w:p>
    <w:p w14:paraId="6403EE3A"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Armstrong, G. and Kotler, P. (2021) </w:t>
      </w:r>
      <w:r w:rsidRPr="0033261B">
        <w:rPr>
          <w:rStyle w:val="Emphasis"/>
          <w:rFonts w:ascii="Arial" w:hAnsi="Arial" w:cs="Arial"/>
        </w:rPr>
        <w:t>Marketing: An Introduction</w:t>
      </w:r>
      <w:r w:rsidRPr="0033261B">
        <w:rPr>
          <w:rFonts w:ascii="Arial" w:hAnsi="Arial" w:cs="Arial"/>
        </w:rPr>
        <w:t xml:space="preserve">. 14th </w:t>
      </w:r>
      <w:proofErr w:type="spellStart"/>
      <w:r w:rsidRPr="0033261B">
        <w:rPr>
          <w:rFonts w:ascii="Arial" w:hAnsi="Arial" w:cs="Arial"/>
        </w:rPr>
        <w:t>edn</w:t>
      </w:r>
      <w:proofErr w:type="spellEnd"/>
      <w:r w:rsidRPr="0033261B">
        <w:rPr>
          <w:rFonts w:ascii="Arial" w:hAnsi="Arial" w:cs="Arial"/>
        </w:rPr>
        <w:t>. Harlow: Pearson.</w:t>
      </w:r>
    </w:p>
    <w:p w14:paraId="05D71080" w14:textId="77777777" w:rsidR="0033261B" w:rsidRPr="0033261B" w:rsidRDefault="0033261B" w:rsidP="0033261B">
      <w:pPr>
        <w:pStyle w:val="NormalWeb"/>
        <w:spacing w:line="360" w:lineRule="auto"/>
        <w:jc w:val="both"/>
        <w:rPr>
          <w:rFonts w:ascii="Arial" w:hAnsi="Arial" w:cs="Arial"/>
        </w:rPr>
      </w:pPr>
      <w:proofErr w:type="spellStart"/>
      <w:r w:rsidRPr="0033261B">
        <w:rPr>
          <w:rFonts w:ascii="Arial" w:hAnsi="Arial" w:cs="Arial"/>
        </w:rPr>
        <w:t>Bashshur</w:t>
      </w:r>
      <w:proofErr w:type="spellEnd"/>
      <w:r w:rsidRPr="0033261B">
        <w:rPr>
          <w:rFonts w:ascii="Arial" w:hAnsi="Arial" w:cs="Arial"/>
        </w:rPr>
        <w:t xml:space="preserve">, R., </w:t>
      </w:r>
      <w:proofErr w:type="spellStart"/>
      <w:r w:rsidRPr="0033261B">
        <w:rPr>
          <w:rFonts w:ascii="Arial" w:hAnsi="Arial" w:cs="Arial"/>
        </w:rPr>
        <w:t>Doarn</w:t>
      </w:r>
      <w:proofErr w:type="spellEnd"/>
      <w:r w:rsidRPr="0033261B">
        <w:rPr>
          <w:rFonts w:ascii="Arial" w:hAnsi="Arial" w:cs="Arial"/>
        </w:rPr>
        <w:t xml:space="preserve">, C.R., Frenk, J.M., Kvedar, J.C. and </w:t>
      </w:r>
      <w:proofErr w:type="spellStart"/>
      <w:r w:rsidRPr="0033261B">
        <w:rPr>
          <w:rFonts w:ascii="Arial" w:hAnsi="Arial" w:cs="Arial"/>
        </w:rPr>
        <w:t>Woolliscroft</w:t>
      </w:r>
      <w:proofErr w:type="spellEnd"/>
      <w:r w:rsidRPr="0033261B">
        <w:rPr>
          <w:rFonts w:ascii="Arial" w:hAnsi="Arial" w:cs="Arial"/>
        </w:rPr>
        <w:t xml:space="preserve">, J.O. (2020) ‘Telemedicine and the COVID-19 pandemic: Lessons for the future’, </w:t>
      </w:r>
      <w:r w:rsidRPr="0033261B">
        <w:rPr>
          <w:rStyle w:val="Emphasis"/>
          <w:rFonts w:ascii="Arial" w:hAnsi="Arial" w:cs="Arial"/>
        </w:rPr>
        <w:t>Telemedicine and e-Health</w:t>
      </w:r>
      <w:r w:rsidRPr="0033261B">
        <w:rPr>
          <w:rFonts w:ascii="Arial" w:hAnsi="Arial" w:cs="Arial"/>
        </w:rPr>
        <w:t>, 26(5), pp. 571–573.</w:t>
      </w:r>
    </w:p>
    <w:p w14:paraId="26A0A16B"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Bitner, M.J., Zeithaml, V.A. and Gremler, D.D. (2020) </w:t>
      </w:r>
      <w:r w:rsidRPr="0033261B">
        <w:rPr>
          <w:rStyle w:val="Emphasis"/>
          <w:rFonts w:ascii="Arial" w:hAnsi="Arial" w:cs="Arial"/>
        </w:rPr>
        <w:t>Services Marketing: Integrating Customer Focus Across the Firm</w:t>
      </w:r>
      <w:r w:rsidRPr="0033261B">
        <w:rPr>
          <w:rFonts w:ascii="Arial" w:hAnsi="Arial" w:cs="Arial"/>
        </w:rPr>
        <w:t xml:space="preserve">. 8th </w:t>
      </w:r>
      <w:proofErr w:type="spellStart"/>
      <w:r w:rsidRPr="0033261B">
        <w:rPr>
          <w:rFonts w:ascii="Arial" w:hAnsi="Arial" w:cs="Arial"/>
        </w:rPr>
        <w:t>edn</w:t>
      </w:r>
      <w:proofErr w:type="spellEnd"/>
      <w:r w:rsidRPr="0033261B">
        <w:rPr>
          <w:rFonts w:ascii="Arial" w:hAnsi="Arial" w:cs="Arial"/>
        </w:rPr>
        <w:t>. New York: McGraw-Hill.</w:t>
      </w:r>
    </w:p>
    <w:p w14:paraId="7B5D5212"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Chaffey, D. and Ellis-Chadwick, F. (2022) </w:t>
      </w:r>
      <w:r w:rsidRPr="0033261B">
        <w:rPr>
          <w:rStyle w:val="Emphasis"/>
          <w:rFonts w:ascii="Arial" w:hAnsi="Arial" w:cs="Arial"/>
        </w:rPr>
        <w:t>Digital Marketing: Strategy, Implementation and Practice</w:t>
      </w:r>
      <w:r w:rsidRPr="0033261B">
        <w:rPr>
          <w:rFonts w:ascii="Arial" w:hAnsi="Arial" w:cs="Arial"/>
        </w:rPr>
        <w:t xml:space="preserve">. 8th </w:t>
      </w:r>
      <w:proofErr w:type="spellStart"/>
      <w:r w:rsidRPr="0033261B">
        <w:rPr>
          <w:rFonts w:ascii="Arial" w:hAnsi="Arial" w:cs="Arial"/>
        </w:rPr>
        <w:t>edn</w:t>
      </w:r>
      <w:proofErr w:type="spellEnd"/>
      <w:r w:rsidRPr="0033261B">
        <w:rPr>
          <w:rFonts w:ascii="Arial" w:hAnsi="Arial" w:cs="Arial"/>
        </w:rPr>
        <w:t>. Harlow: Pearson.</w:t>
      </w:r>
    </w:p>
    <w:p w14:paraId="46227254"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Chong, A.Y.L., Lim, E.T.K., Hua, X., Zheng, S. and Tan, C.W. (2020) ‘Business on the move: Mobile commerce adoption and consumer behaviour’, </w:t>
      </w:r>
      <w:r w:rsidRPr="0033261B">
        <w:rPr>
          <w:rStyle w:val="Emphasis"/>
          <w:rFonts w:ascii="Arial" w:hAnsi="Arial" w:cs="Arial"/>
        </w:rPr>
        <w:t>Journal of Retailing and Consumer Services</w:t>
      </w:r>
      <w:r w:rsidRPr="0033261B">
        <w:rPr>
          <w:rFonts w:ascii="Arial" w:hAnsi="Arial" w:cs="Arial"/>
        </w:rPr>
        <w:t>, 55, pp. 1–10.</w:t>
      </w:r>
    </w:p>
    <w:p w14:paraId="3288C8AC"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Cottrell, S. (2021) </w:t>
      </w:r>
      <w:r w:rsidRPr="0033261B">
        <w:rPr>
          <w:rStyle w:val="Emphasis"/>
          <w:rFonts w:ascii="Arial" w:hAnsi="Arial" w:cs="Arial"/>
        </w:rPr>
        <w:t>The Study Skills Handbook</w:t>
      </w:r>
      <w:r w:rsidRPr="0033261B">
        <w:rPr>
          <w:rFonts w:ascii="Arial" w:hAnsi="Arial" w:cs="Arial"/>
        </w:rPr>
        <w:t xml:space="preserve">. 5th </w:t>
      </w:r>
      <w:proofErr w:type="spellStart"/>
      <w:r w:rsidRPr="0033261B">
        <w:rPr>
          <w:rFonts w:ascii="Arial" w:hAnsi="Arial" w:cs="Arial"/>
        </w:rPr>
        <w:t>edn</w:t>
      </w:r>
      <w:proofErr w:type="spellEnd"/>
      <w:r w:rsidRPr="0033261B">
        <w:rPr>
          <w:rFonts w:ascii="Arial" w:hAnsi="Arial" w:cs="Arial"/>
        </w:rPr>
        <w:t>. London: Red Globe Press.</w:t>
      </w:r>
    </w:p>
    <w:p w14:paraId="44874540"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Deloitte (2022) </w:t>
      </w:r>
      <w:r w:rsidRPr="0033261B">
        <w:rPr>
          <w:rStyle w:val="Emphasis"/>
          <w:rFonts w:ascii="Arial" w:hAnsi="Arial" w:cs="Arial"/>
        </w:rPr>
        <w:t>2022 Global Health Care Outlook</w:t>
      </w:r>
      <w:r w:rsidRPr="0033261B">
        <w:rPr>
          <w:rFonts w:ascii="Arial" w:hAnsi="Arial" w:cs="Arial"/>
        </w:rPr>
        <w:t xml:space="preserve">. Available at: </w:t>
      </w:r>
      <w:hyperlink r:id="rId17" w:tgtFrame="_new" w:history="1">
        <w:r w:rsidRPr="0033261B">
          <w:rPr>
            <w:rStyle w:val="Hyperlink"/>
            <w:rFonts w:ascii="Arial" w:hAnsi="Arial" w:cs="Arial"/>
          </w:rPr>
          <w:t>Global Health Care Outlook 2022</w:t>
        </w:r>
      </w:hyperlink>
      <w:r w:rsidRPr="0033261B">
        <w:rPr>
          <w:rFonts w:ascii="Arial" w:hAnsi="Arial" w:cs="Arial"/>
        </w:rPr>
        <w:t xml:space="preserve"> [Accessed 22 Apr. 2026].</w:t>
      </w:r>
    </w:p>
    <w:p w14:paraId="14788F21"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Dwivedi, Y.K., </w:t>
      </w:r>
      <w:proofErr w:type="spellStart"/>
      <w:r w:rsidRPr="0033261B">
        <w:rPr>
          <w:rFonts w:ascii="Arial" w:hAnsi="Arial" w:cs="Arial"/>
        </w:rPr>
        <w:t>Ismagilova</w:t>
      </w:r>
      <w:proofErr w:type="spellEnd"/>
      <w:r w:rsidRPr="0033261B">
        <w:rPr>
          <w:rFonts w:ascii="Arial" w:hAnsi="Arial" w:cs="Arial"/>
        </w:rPr>
        <w:t xml:space="preserve">, E., Hughes, D.L., Carlson, J. and </w:t>
      </w:r>
      <w:proofErr w:type="spellStart"/>
      <w:r w:rsidRPr="0033261B">
        <w:rPr>
          <w:rFonts w:ascii="Arial" w:hAnsi="Arial" w:cs="Arial"/>
        </w:rPr>
        <w:t>Filieri</w:t>
      </w:r>
      <w:proofErr w:type="spellEnd"/>
      <w:r w:rsidRPr="0033261B">
        <w:rPr>
          <w:rFonts w:ascii="Arial" w:hAnsi="Arial" w:cs="Arial"/>
        </w:rPr>
        <w:t xml:space="preserve">, R. (2021) ‘Setting the future of digital and social media marketing research’, </w:t>
      </w:r>
      <w:r w:rsidRPr="0033261B">
        <w:rPr>
          <w:rStyle w:val="Emphasis"/>
          <w:rFonts w:ascii="Arial" w:hAnsi="Arial" w:cs="Arial"/>
        </w:rPr>
        <w:t>International Journal of Information Management</w:t>
      </w:r>
      <w:r w:rsidRPr="0033261B">
        <w:rPr>
          <w:rFonts w:ascii="Arial" w:hAnsi="Arial" w:cs="Arial"/>
        </w:rPr>
        <w:t>, 59, pp. 1–14.</w:t>
      </w:r>
    </w:p>
    <w:p w14:paraId="7017A786" w14:textId="77777777" w:rsidR="0033261B" w:rsidRPr="0033261B" w:rsidRDefault="0033261B" w:rsidP="0033261B">
      <w:pPr>
        <w:pStyle w:val="NormalWeb"/>
        <w:spacing w:before="0" w:beforeAutospacing="0" w:after="240" w:afterAutospacing="0" w:line="360" w:lineRule="auto"/>
        <w:jc w:val="both"/>
        <w:rPr>
          <w:rFonts w:ascii="Arial" w:hAnsi="Arial" w:cs="Arial"/>
        </w:rPr>
      </w:pPr>
      <w:r w:rsidRPr="0033261B">
        <w:rPr>
          <w:rFonts w:ascii="Arial" w:hAnsi="Arial" w:cs="Arial"/>
        </w:rPr>
        <w:t xml:space="preserve">Hanlon, A. (2023). </w:t>
      </w:r>
      <w:r w:rsidRPr="0033261B">
        <w:rPr>
          <w:rFonts w:ascii="Arial" w:hAnsi="Arial" w:cs="Arial"/>
          <w:i/>
          <w:iCs/>
        </w:rPr>
        <w:t>How to Use the 7Ps Marketing Mix</w:t>
      </w:r>
      <w:r w:rsidRPr="0033261B">
        <w:rPr>
          <w:rFonts w:ascii="Arial" w:hAnsi="Arial" w:cs="Arial"/>
        </w:rPr>
        <w:t>. [online] Smart Insights. Available at: https://www.smartinsights.com/marketing-planning/marketing-models/how-to-use-the-7ps-marketing-mix/ [Accessed 22 Apr. 2026].</w:t>
      </w:r>
    </w:p>
    <w:p w14:paraId="5682A4E8"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lastRenderedPageBreak/>
        <w:t xml:space="preserve">Harrington, R.J., Ottenbacher, M.C. and Fauser, S. (2021) ‘Strategic process management in service organisations’, </w:t>
      </w:r>
      <w:r w:rsidRPr="0033261B">
        <w:rPr>
          <w:rStyle w:val="Emphasis"/>
          <w:rFonts w:ascii="Arial" w:hAnsi="Arial" w:cs="Arial"/>
        </w:rPr>
        <w:t>Journal of Service Theory and Practice</w:t>
      </w:r>
      <w:r w:rsidRPr="0033261B">
        <w:rPr>
          <w:rFonts w:ascii="Arial" w:hAnsi="Arial" w:cs="Arial"/>
        </w:rPr>
        <w:t>, 31(2), pp. 1–15.</w:t>
      </w:r>
    </w:p>
    <w:p w14:paraId="6CFD4167" w14:textId="77777777" w:rsidR="0033261B" w:rsidRPr="0033261B" w:rsidRDefault="0033261B" w:rsidP="0033261B">
      <w:pPr>
        <w:pStyle w:val="NormalWeb"/>
        <w:spacing w:line="360" w:lineRule="auto"/>
        <w:jc w:val="both"/>
        <w:rPr>
          <w:rFonts w:ascii="Arial" w:hAnsi="Arial" w:cs="Arial"/>
        </w:rPr>
      </w:pPr>
      <w:proofErr w:type="spellStart"/>
      <w:r w:rsidRPr="0033261B">
        <w:rPr>
          <w:rFonts w:ascii="Arial" w:hAnsi="Arial" w:cs="Arial"/>
        </w:rPr>
        <w:t>Hinterhuber</w:t>
      </w:r>
      <w:proofErr w:type="spellEnd"/>
      <w:r w:rsidRPr="0033261B">
        <w:rPr>
          <w:rFonts w:ascii="Arial" w:hAnsi="Arial" w:cs="Arial"/>
        </w:rPr>
        <w:t xml:space="preserve">, A. (2021) ‘Value-based pricing in digital markets’, </w:t>
      </w:r>
      <w:r w:rsidRPr="0033261B">
        <w:rPr>
          <w:rStyle w:val="Emphasis"/>
          <w:rFonts w:ascii="Arial" w:hAnsi="Arial" w:cs="Arial"/>
        </w:rPr>
        <w:t>Journal of Business Strategy</w:t>
      </w:r>
      <w:r w:rsidRPr="0033261B">
        <w:rPr>
          <w:rFonts w:ascii="Arial" w:hAnsi="Arial" w:cs="Arial"/>
        </w:rPr>
        <w:t>, 42(4), pp. 1–10.</w:t>
      </w:r>
    </w:p>
    <w:p w14:paraId="4AC3068D"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Huang, M.H. and Rust, R.T. (2021) ‘Artificial intelligence in service’, </w:t>
      </w:r>
      <w:r w:rsidRPr="0033261B">
        <w:rPr>
          <w:rStyle w:val="Emphasis"/>
          <w:rFonts w:ascii="Arial" w:hAnsi="Arial" w:cs="Arial"/>
        </w:rPr>
        <w:t>Journal of Service Research</w:t>
      </w:r>
      <w:r w:rsidRPr="0033261B">
        <w:rPr>
          <w:rFonts w:ascii="Arial" w:hAnsi="Arial" w:cs="Arial"/>
        </w:rPr>
        <w:t>, 24(1), pp. 3–19.</w:t>
      </w:r>
    </w:p>
    <w:p w14:paraId="36DF2C0F"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Kannan, P.K. and Li, H. (2021) ‘Digital marketing: A framework, review and research agenda’, </w:t>
      </w:r>
      <w:r w:rsidRPr="0033261B">
        <w:rPr>
          <w:rStyle w:val="Emphasis"/>
          <w:rFonts w:ascii="Arial" w:hAnsi="Arial" w:cs="Arial"/>
        </w:rPr>
        <w:t>International Journal of Research in Marketing</w:t>
      </w:r>
      <w:r w:rsidRPr="0033261B">
        <w:rPr>
          <w:rFonts w:ascii="Arial" w:hAnsi="Arial" w:cs="Arial"/>
        </w:rPr>
        <w:t>, 38(1), pp. 22–45.</w:t>
      </w:r>
    </w:p>
    <w:p w14:paraId="2AAA1750"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Keller, K.L. (2020) </w:t>
      </w:r>
      <w:r w:rsidRPr="0033261B">
        <w:rPr>
          <w:rStyle w:val="Emphasis"/>
          <w:rFonts w:ascii="Arial" w:hAnsi="Arial" w:cs="Arial"/>
        </w:rPr>
        <w:t>Strategic Brand Management: Building, Measuring, and Managing Brand Equity</w:t>
      </w:r>
      <w:r w:rsidRPr="0033261B">
        <w:rPr>
          <w:rFonts w:ascii="Arial" w:hAnsi="Arial" w:cs="Arial"/>
        </w:rPr>
        <w:t xml:space="preserve">. 5th </w:t>
      </w:r>
      <w:proofErr w:type="spellStart"/>
      <w:r w:rsidRPr="0033261B">
        <w:rPr>
          <w:rFonts w:ascii="Arial" w:hAnsi="Arial" w:cs="Arial"/>
        </w:rPr>
        <w:t>edn</w:t>
      </w:r>
      <w:proofErr w:type="spellEnd"/>
      <w:r w:rsidRPr="0033261B">
        <w:rPr>
          <w:rFonts w:ascii="Arial" w:hAnsi="Arial" w:cs="Arial"/>
        </w:rPr>
        <w:t>. Harlow: Pearson.</w:t>
      </w:r>
    </w:p>
    <w:p w14:paraId="5A4D2610"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Kitchen, P.J. and Burgmann, I. (2020) ‘Integrated marketing communication: Making it work at a strategic level’, </w:t>
      </w:r>
      <w:r w:rsidRPr="0033261B">
        <w:rPr>
          <w:rStyle w:val="Emphasis"/>
          <w:rFonts w:ascii="Arial" w:hAnsi="Arial" w:cs="Arial"/>
        </w:rPr>
        <w:t>Journal of Business Strategy</w:t>
      </w:r>
      <w:r w:rsidRPr="0033261B">
        <w:rPr>
          <w:rFonts w:ascii="Arial" w:hAnsi="Arial" w:cs="Arial"/>
        </w:rPr>
        <w:t>, 41(6), pp. 1–8.</w:t>
      </w:r>
    </w:p>
    <w:p w14:paraId="5CBA1106"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Kotler, P., Keller, K.L. and Chernev, A. (2021) </w:t>
      </w:r>
      <w:r w:rsidRPr="0033261B">
        <w:rPr>
          <w:rStyle w:val="Emphasis"/>
          <w:rFonts w:ascii="Arial" w:hAnsi="Arial" w:cs="Arial"/>
        </w:rPr>
        <w:t>Marketing Management</w:t>
      </w:r>
      <w:r w:rsidRPr="0033261B">
        <w:rPr>
          <w:rFonts w:ascii="Arial" w:hAnsi="Arial" w:cs="Arial"/>
        </w:rPr>
        <w:t xml:space="preserve">. 16th </w:t>
      </w:r>
      <w:proofErr w:type="spellStart"/>
      <w:r w:rsidRPr="0033261B">
        <w:rPr>
          <w:rFonts w:ascii="Arial" w:hAnsi="Arial" w:cs="Arial"/>
        </w:rPr>
        <w:t>edn</w:t>
      </w:r>
      <w:proofErr w:type="spellEnd"/>
      <w:r w:rsidRPr="0033261B">
        <w:rPr>
          <w:rFonts w:ascii="Arial" w:hAnsi="Arial" w:cs="Arial"/>
        </w:rPr>
        <w:t>. Harlow: Pearson.</w:t>
      </w:r>
    </w:p>
    <w:p w14:paraId="692BEB85"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Kumar, V., Dixit, A., </w:t>
      </w:r>
      <w:proofErr w:type="spellStart"/>
      <w:r w:rsidRPr="0033261B">
        <w:rPr>
          <w:rFonts w:ascii="Arial" w:hAnsi="Arial" w:cs="Arial"/>
        </w:rPr>
        <w:t>Javalgi</w:t>
      </w:r>
      <w:proofErr w:type="spellEnd"/>
      <w:r w:rsidRPr="0033261B">
        <w:rPr>
          <w:rFonts w:ascii="Arial" w:hAnsi="Arial" w:cs="Arial"/>
        </w:rPr>
        <w:t xml:space="preserve">, R.G. and Dass, M. (2021) ‘Digital transformation of firms: Opportunities and challenges’, </w:t>
      </w:r>
      <w:r w:rsidRPr="0033261B">
        <w:rPr>
          <w:rStyle w:val="Emphasis"/>
          <w:rFonts w:ascii="Arial" w:hAnsi="Arial" w:cs="Arial"/>
        </w:rPr>
        <w:t>Journal of Business Research</w:t>
      </w:r>
      <w:r w:rsidRPr="0033261B">
        <w:rPr>
          <w:rFonts w:ascii="Arial" w:hAnsi="Arial" w:cs="Arial"/>
        </w:rPr>
        <w:t>, 122, pp. 1–10.</w:t>
      </w:r>
    </w:p>
    <w:p w14:paraId="54F72D13" w14:textId="77777777" w:rsidR="0033261B" w:rsidRPr="0033261B" w:rsidRDefault="0033261B" w:rsidP="0033261B">
      <w:pPr>
        <w:pStyle w:val="NormalWeb"/>
        <w:spacing w:line="360" w:lineRule="auto"/>
        <w:jc w:val="both"/>
        <w:rPr>
          <w:rFonts w:ascii="Arial" w:hAnsi="Arial" w:cs="Arial"/>
        </w:rPr>
      </w:pPr>
      <w:proofErr w:type="spellStart"/>
      <w:r w:rsidRPr="0033261B">
        <w:rPr>
          <w:rFonts w:ascii="Arial" w:hAnsi="Arial" w:cs="Arial"/>
        </w:rPr>
        <w:t>Ladhari</w:t>
      </w:r>
      <w:proofErr w:type="spellEnd"/>
      <w:r w:rsidRPr="0033261B">
        <w:rPr>
          <w:rFonts w:ascii="Arial" w:hAnsi="Arial" w:cs="Arial"/>
        </w:rPr>
        <w:t xml:space="preserve">, R., Massa, E. and </w:t>
      </w:r>
      <w:proofErr w:type="spellStart"/>
      <w:r w:rsidRPr="0033261B">
        <w:rPr>
          <w:rFonts w:ascii="Arial" w:hAnsi="Arial" w:cs="Arial"/>
        </w:rPr>
        <w:t>Skandrani</w:t>
      </w:r>
      <w:proofErr w:type="spellEnd"/>
      <w:r w:rsidRPr="0033261B">
        <w:rPr>
          <w:rFonts w:ascii="Arial" w:hAnsi="Arial" w:cs="Arial"/>
        </w:rPr>
        <w:t xml:space="preserve">, H. (2020) ‘YouTube vloggers’ influence on consumer decision-making’, </w:t>
      </w:r>
      <w:r w:rsidRPr="0033261B">
        <w:rPr>
          <w:rStyle w:val="Emphasis"/>
          <w:rFonts w:ascii="Arial" w:hAnsi="Arial" w:cs="Arial"/>
        </w:rPr>
        <w:t>Journal of Retailing and Consumer Services</w:t>
      </w:r>
      <w:r w:rsidRPr="0033261B">
        <w:rPr>
          <w:rFonts w:ascii="Arial" w:hAnsi="Arial" w:cs="Arial"/>
        </w:rPr>
        <w:t>, 53, pp. 1–10.</w:t>
      </w:r>
    </w:p>
    <w:p w14:paraId="298910FD"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Lemon, K.N. and Verhoef, P.C. (2020) ‘Understanding customer experience throughout the customer journey’, </w:t>
      </w:r>
      <w:r w:rsidRPr="0033261B">
        <w:rPr>
          <w:rStyle w:val="Emphasis"/>
          <w:rFonts w:ascii="Arial" w:hAnsi="Arial" w:cs="Arial"/>
        </w:rPr>
        <w:t>Journal of Marketing</w:t>
      </w:r>
      <w:r w:rsidRPr="0033261B">
        <w:rPr>
          <w:rFonts w:ascii="Arial" w:hAnsi="Arial" w:cs="Arial"/>
        </w:rPr>
        <w:t>, 84(6), pp. 69–96.</w:t>
      </w:r>
    </w:p>
    <w:p w14:paraId="0A5D80A5"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Lou, C. and Yuan, S. (2019) ‘Influencer marketing effectiveness’, </w:t>
      </w:r>
      <w:r w:rsidRPr="0033261B">
        <w:rPr>
          <w:rStyle w:val="Emphasis"/>
          <w:rFonts w:ascii="Arial" w:hAnsi="Arial" w:cs="Arial"/>
        </w:rPr>
        <w:t>Journal of Interactive Advertising</w:t>
      </w:r>
      <w:r w:rsidRPr="0033261B">
        <w:rPr>
          <w:rFonts w:ascii="Arial" w:hAnsi="Arial" w:cs="Arial"/>
        </w:rPr>
        <w:t>, 19(1), pp. 58–73.</w:t>
      </w:r>
    </w:p>
    <w:p w14:paraId="401CFF66"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lastRenderedPageBreak/>
        <w:t xml:space="preserve">Martin, K., Borah, A. and Palmatier, R.W. (2020) ‘Data privacy: Effects on customer trust’, </w:t>
      </w:r>
      <w:r w:rsidRPr="0033261B">
        <w:rPr>
          <w:rStyle w:val="Emphasis"/>
          <w:rFonts w:ascii="Arial" w:hAnsi="Arial" w:cs="Arial"/>
        </w:rPr>
        <w:t>Journal of Marketing</w:t>
      </w:r>
      <w:r w:rsidRPr="0033261B">
        <w:rPr>
          <w:rFonts w:ascii="Arial" w:hAnsi="Arial" w:cs="Arial"/>
        </w:rPr>
        <w:t>, 84(1), pp. 36–58.</w:t>
      </w:r>
    </w:p>
    <w:p w14:paraId="337ED481"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McKinsey &amp; Company (2024) </w:t>
      </w:r>
      <w:r w:rsidRPr="0033261B">
        <w:rPr>
          <w:rStyle w:val="Emphasis"/>
          <w:rFonts w:ascii="Arial" w:hAnsi="Arial" w:cs="Arial"/>
        </w:rPr>
        <w:t>Digital transformation: Health systems’ investment priorities</w:t>
      </w:r>
      <w:r w:rsidRPr="0033261B">
        <w:rPr>
          <w:rFonts w:ascii="Arial" w:hAnsi="Arial" w:cs="Arial"/>
        </w:rPr>
        <w:t xml:space="preserve">. Available at: </w:t>
      </w:r>
      <w:hyperlink r:id="rId18" w:tgtFrame="_new" w:history="1">
        <w:r w:rsidRPr="0033261B">
          <w:rPr>
            <w:rStyle w:val="Hyperlink"/>
            <w:rFonts w:ascii="Arial" w:hAnsi="Arial" w:cs="Arial"/>
          </w:rPr>
          <w:t>Healthcare Digital Transformation Insights</w:t>
        </w:r>
      </w:hyperlink>
      <w:r w:rsidRPr="0033261B">
        <w:rPr>
          <w:rFonts w:ascii="Arial" w:hAnsi="Arial" w:cs="Arial"/>
        </w:rPr>
        <w:t xml:space="preserve"> [Accessed 22 Apr. 2026].</w:t>
      </w:r>
    </w:p>
    <w:p w14:paraId="23AB3AA6"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Nagle, T.T. and Müller, G. (2020) </w:t>
      </w:r>
      <w:r w:rsidRPr="0033261B">
        <w:rPr>
          <w:rStyle w:val="Emphasis"/>
          <w:rFonts w:ascii="Arial" w:hAnsi="Arial" w:cs="Arial"/>
        </w:rPr>
        <w:t>The Strategy and Tactics of Pricing</w:t>
      </w:r>
      <w:r w:rsidRPr="0033261B">
        <w:rPr>
          <w:rFonts w:ascii="Arial" w:hAnsi="Arial" w:cs="Arial"/>
        </w:rPr>
        <w:t xml:space="preserve">. 6th </w:t>
      </w:r>
      <w:proofErr w:type="spellStart"/>
      <w:r w:rsidRPr="0033261B">
        <w:rPr>
          <w:rFonts w:ascii="Arial" w:hAnsi="Arial" w:cs="Arial"/>
        </w:rPr>
        <w:t>edn</w:t>
      </w:r>
      <w:proofErr w:type="spellEnd"/>
      <w:r w:rsidRPr="0033261B">
        <w:rPr>
          <w:rFonts w:ascii="Arial" w:hAnsi="Arial" w:cs="Arial"/>
        </w:rPr>
        <w:t>. New York: Routledge.</w:t>
      </w:r>
    </w:p>
    <w:p w14:paraId="7AF5A75A" w14:textId="77777777" w:rsidR="0033261B" w:rsidRPr="0033261B" w:rsidRDefault="0033261B" w:rsidP="0033261B">
      <w:pPr>
        <w:pStyle w:val="NormalWeb"/>
        <w:spacing w:line="360" w:lineRule="auto"/>
        <w:jc w:val="both"/>
        <w:rPr>
          <w:rFonts w:ascii="Arial" w:hAnsi="Arial" w:cs="Arial"/>
        </w:rPr>
      </w:pPr>
      <w:proofErr w:type="spellStart"/>
      <w:r w:rsidRPr="0033261B">
        <w:rPr>
          <w:rFonts w:ascii="Arial" w:hAnsi="Arial" w:cs="Arial"/>
        </w:rPr>
        <w:t>Opresnik</w:t>
      </w:r>
      <w:proofErr w:type="spellEnd"/>
      <w:r w:rsidRPr="0033261B">
        <w:rPr>
          <w:rFonts w:ascii="Arial" w:hAnsi="Arial" w:cs="Arial"/>
        </w:rPr>
        <w:t xml:space="preserve">, M.O. and Hollensen, S. (2020) ‘The marketing </w:t>
      </w:r>
      <w:proofErr w:type="gramStart"/>
      <w:r w:rsidRPr="0033261B">
        <w:rPr>
          <w:rFonts w:ascii="Arial" w:hAnsi="Arial" w:cs="Arial"/>
        </w:rPr>
        <w:t>mix</w:t>
      </w:r>
      <w:proofErr w:type="gramEnd"/>
      <w:r w:rsidRPr="0033261B">
        <w:rPr>
          <w:rFonts w:ascii="Arial" w:hAnsi="Arial" w:cs="Arial"/>
        </w:rPr>
        <w:t xml:space="preserve"> revisited’, in Helmold, M. (ed.) </w:t>
      </w:r>
      <w:r w:rsidRPr="0033261B">
        <w:rPr>
          <w:rStyle w:val="Emphasis"/>
          <w:rFonts w:ascii="Arial" w:hAnsi="Arial" w:cs="Arial"/>
        </w:rPr>
        <w:t>Performance Excellence in Marketing, Sales and Pricing</w:t>
      </w:r>
      <w:r w:rsidRPr="0033261B">
        <w:rPr>
          <w:rFonts w:ascii="Arial" w:hAnsi="Arial" w:cs="Arial"/>
        </w:rPr>
        <w:t xml:space="preserve">. Cham: Springer. Available at: </w:t>
      </w:r>
      <w:hyperlink r:id="rId19" w:tgtFrame="_new" w:history="1">
        <w:r w:rsidRPr="0033261B">
          <w:rPr>
            <w:rStyle w:val="Hyperlink"/>
            <w:rFonts w:ascii="Arial" w:hAnsi="Arial" w:cs="Arial"/>
          </w:rPr>
          <w:t>https://link.springer.com/chapter/10.1007/978-3-031-10097-0_9</w:t>
        </w:r>
      </w:hyperlink>
      <w:r w:rsidRPr="0033261B">
        <w:rPr>
          <w:rFonts w:ascii="Arial" w:hAnsi="Arial" w:cs="Arial"/>
        </w:rPr>
        <w:t xml:space="preserve"> [Accessed 22 Apr. 2026]. </w:t>
      </w:r>
    </w:p>
    <w:p w14:paraId="3D22189D"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Porter, M.E. and Lee, T.H. (2020) ‘The strategy that will fix healthcare’, </w:t>
      </w:r>
      <w:r w:rsidRPr="0033261B">
        <w:rPr>
          <w:rStyle w:val="Emphasis"/>
          <w:rFonts w:ascii="Arial" w:hAnsi="Arial" w:cs="Arial"/>
        </w:rPr>
        <w:t>Harvard Business Review</w:t>
      </w:r>
      <w:r w:rsidRPr="0033261B">
        <w:rPr>
          <w:rFonts w:ascii="Arial" w:hAnsi="Arial" w:cs="Arial"/>
        </w:rPr>
        <w:t xml:space="preserve">. Available at: </w:t>
      </w:r>
      <w:hyperlink r:id="rId20" w:tgtFrame="_new" w:history="1">
        <w:r w:rsidRPr="0033261B">
          <w:rPr>
            <w:rStyle w:val="Hyperlink"/>
            <w:rFonts w:ascii="Arial" w:hAnsi="Arial" w:cs="Arial"/>
          </w:rPr>
          <w:t>https://hbr.org</w:t>
        </w:r>
      </w:hyperlink>
      <w:r w:rsidRPr="0033261B">
        <w:rPr>
          <w:rFonts w:ascii="Arial" w:hAnsi="Arial" w:cs="Arial"/>
        </w:rPr>
        <w:t xml:space="preserve"> [Accessed 22 Apr. 2026].</w:t>
      </w:r>
    </w:p>
    <w:p w14:paraId="60170EAF"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PwC (2021) </w:t>
      </w:r>
      <w:r w:rsidRPr="0033261B">
        <w:rPr>
          <w:rStyle w:val="Emphasis"/>
          <w:rFonts w:ascii="Arial" w:hAnsi="Arial" w:cs="Arial"/>
        </w:rPr>
        <w:t>Global Consumer Insights Pulse Survey: Healthcare trends</w:t>
      </w:r>
      <w:r w:rsidRPr="0033261B">
        <w:rPr>
          <w:rFonts w:ascii="Arial" w:hAnsi="Arial" w:cs="Arial"/>
        </w:rPr>
        <w:t xml:space="preserve">. Available at: </w:t>
      </w:r>
      <w:hyperlink r:id="rId21" w:tgtFrame="_new" w:history="1">
        <w:r w:rsidRPr="0033261B">
          <w:rPr>
            <w:rStyle w:val="Hyperlink"/>
            <w:rFonts w:ascii="Arial" w:hAnsi="Arial" w:cs="Arial"/>
          </w:rPr>
          <w:t>https://www.pwc.com</w:t>
        </w:r>
      </w:hyperlink>
      <w:r w:rsidRPr="0033261B">
        <w:rPr>
          <w:rFonts w:ascii="Arial" w:hAnsi="Arial" w:cs="Arial"/>
        </w:rPr>
        <w:t xml:space="preserve"> [Accessed 22 Apr. 2026].</w:t>
      </w:r>
    </w:p>
    <w:p w14:paraId="6F9B2CA2"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Saunders, M., Lewis, P. and Thornhill, A. (2020) </w:t>
      </w:r>
      <w:r w:rsidRPr="0033261B">
        <w:rPr>
          <w:rStyle w:val="Emphasis"/>
          <w:rFonts w:ascii="Arial" w:hAnsi="Arial" w:cs="Arial"/>
        </w:rPr>
        <w:t>Research Methods for Business Students</w:t>
      </w:r>
      <w:r w:rsidRPr="0033261B">
        <w:rPr>
          <w:rFonts w:ascii="Arial" w:hAnsi="Arial" w:cs="Arial"/>
        </w:rPr>
        <w:t xml:space="preserve">. 8th </w:t>
      </w:r>
      <w:proofErr w:type="spellStart"/>
      <w:r w:rsidRPr="0033261B">
        <w:rPr>
          <w:rFonts w:ascii="Arial" w:hAnsi="Arial" w:cs="Arial"/>
        </w:rPr>
        <w:t>edn</w:t>
      </w:r>
      <w:proofErr w:type="spellEnd"/>
      <w:r w:rsidRPr="0033261B">
        <w:rPr>
          <w:rFonts w:ascii="Arial" w:hAnsi="Arial" w:cs="Arial"/>
        </w:rPr>
        <w:t>. Harlow: Pearson.</w:t>
      </w:r>
    </w:p>
    <w:p w14:paraId="2F0C339F"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Smith, K.T. (2020) ‘Pricing strategies in competitive markets’, </w:t>
      </w:r>
      <w:r w:rsidRPr="0033261B">
        <w:rPr>
          <w:rStyle w:val="Emphasis"/>
          <w:rFonts w:ascii="Arial" w:hAnsi="Arial" w:cs="Arial"/>
        </w:rPr>
        <w:t>Journal of Marketing Analytics</w:t>
      </w:r>
      <w:r w:rsidRPr="0033261B">
        <w:rPr>
          <w:rFonts w:ascii="Arial" w:hAnsi="Arial" w:cs="Arial"/>
        </w:rPr>
        <w:t>, 8(2), pp. 1–12.</w:t>
      </w:r>
    </w:p>
    <w:p w14:paraId="02251C7A"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Statista (2023) </w:t>
      </w:r>
      <w:r w:rsidRPr="0033261B">
        <w:rPr>
          <w:rStyle w:val="Emphasis"/>
          <w:rFonts w:ascii="Arial" w:hAnsi="Arial" w:cs="Arial"/>
        </w:rPr>
        <w:t>Wearable technology market size worldwide</w:t>
      </w:r>
      <w:r w:rsidRPr="0033261B">
        <w:rPr>
          <w:rFonts w:ascii="Arial" w:hAnsi="Arial" w:cs="Arial"/>
        </w:rPr>
        <w:t xml:space="preserve">. Available at: </w:t>
      </w:r>
      <w:hyperlink r:id="rId22" w:tgtFrame="_new" w:history="1">
        <w:r w:rsidRPr="0033261B">
          <w:rPr>
            <w:rStyle w:val="Hyperlink"/>
            <w:rFonts w:ascii="Arial" w:hAnsi="Arial" w:cs="Arial"/>
          </w:rPr>
          <w:t>https://www.statista.com</w:t>
        </w:r>
      </w:hyperlink>
      <w:r w:rsidRPr="0033261B">
        <w:rPr>
          <w:rFonts w:ascii="Arial" w:hAnsi="Arial" w:cs="Arial"/>
        </w:rPr>
        <w:t xml:space="preserve"> [Accessed 22 Apr. 2026].</w:t>
      </w:r>
    </w:p>
    <w:p w14:paraId="64C23342"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Stone, B. (2021) </w:t>
      </w:r>
      <w:r w:rsidRPr="0033261B">
        <w:rPr>
          <w:rStyle w:val="Emphasis"/>
          <w:rFonts w:ascii="Arial" w:hAnsi="Arial" w:cs="Arial"/>
        </w:rPr>
        <w:t>Amazon Unbound: Jeff Bezos and the Invention of a Global Empire</w:t>
      </w:r>
      <w:r w:rsidRPr="0033261B">
        <w:rPr>
          <w:rFonts w:ascii="Arial" w:hAnsi="Arial" w:cs="Arial"/>
        </w:rPr>
        <w:t>. New York: Simon &amp; Schuster.</w:t>
      </w:r>
    </w:p>
    <w:p w14:paraId="09355B00"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lastRenderedPageBreak/>
        <w:t xml:space="preserve">Ting, D.S.W., Carin, L., </w:t>
      </w:r>
      <w:proofErr w:type="spellStart"/>
      <w:r w:rsidRPr="0033261B">
        <w:rPr>
          <w:rFonts w:ascii="Arial" w:hAnsi="Arial" w:cs="Arial"/>
        </w:rPr>
        <w:t>Dzau</w:t>
      </w:r>
      <w:proofErr w:type="spellEnd"/>
      <w:r w:rsidRPr="0033261B">
        <w:rPr>
          <w:rFonts w:ascii="Arial" w:hAnsi="Arial" w:cs="Arial"/>
        </w:rPr>
        <w:t xml:space="preserve">, V. and Wong, T.Y. (2020) ‘Digital technology and COVID-19’, </w:t>
      </w:r>
      <w:r w:rsidRPr="0033261B">
        <w:rPr>
          <w:rStyle w:val="Emphasis"/>
          <w:rFonts w:ascii="Arial" w:hAnsi="Arial" w:cs="Arial"/>
        </w:rPr>
        <w:t>Nature Medicine</w:t>
      </w:r>
      <w:r w:rsidRPr="0033261B">
        <w:rPr>
          <w:rFonts w:ascii="Arial" w:hAnsi="Arial" w:cs="Arial"/>
        </w:rPr>
        <w:t>, 26(4), pp. 459–461.</w:t>
      </w:r>
    </w:p>
    <w:p w14:paraId="5EF0C852"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Verhoef, P.C., Broekhuizen, T., Bart, Y. and Bhattacharya, A. (2021) ‘Digital transformation and customer experience’, </w:t>
      </w:r>
      <w:r w:rsidRPr="0033261B">
        <w:rPr>
          <w:rStyle w:val="Emphasis"/>
          <w:rFonts w:ascii="Arial" w:hAnsi="Arial" w:cs="Arial"/>
        </w:rPr>
        <w:t>Journal of Business Research</w:t>
      </w:r>
      <w:r w:rsidRPr="0033261B">
        <w:rPr>
          <w:rFonts w:ascii="Arial" w:hAnsi="Arial" w:cs="Arial"/>
        </w:rPr>
        <w:t>, 122, pp. 889–901.</w:t>
      </w:r>
    </w:p>
    <w:p w14:paraId="5641C9E7"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Wirtz, J. and Lovelock, C. (2021) </w:t>
      </w:r>
      <w:r w:rsidRPr="0033261B">
        <w:rPr>
          <w:rStyle w:val="Emphasis"/>
          <w:rFonts w:ascii="Arial" w:hAnsi="Arial" w:cs="Arial"/>
        </w:rPr>
        <w:t>Services Marketing: People, Technology, Strategy</w:t>
      </w:r>
      <w:r w:rsidRPr="0033261B">
        <w:rPr>
          <w:rFonts w:ascii="Arial" w:hAnsi="Arial" w:cs="Arial"/>
        </w:rPr>
        <w:t xml:space="preserve">. 9th </w:t>
      </w:r>
      <w:proofErr w:type="spellStart"/>
      <w:r w:rsidRPr="0033261B">
        <w:rPr>
          <w:rFonts w:ascii="Arial" w:hAnsi="Arial" w:cs="Arial"/>
        </w:rPr>
        <w:t>edn</w:t>
      </w:r>
      <w:proofErr w:type="spellEnd"/>
      <w:r w:rsidRPr="0033261B">
        <w:rPr>
          <w:rFonts w:ascii="Arial" w:hAnsi="Arial" w:cs="Arial"/>
        </w:rPr>
        <w:t>. Singapore: World Scientific.</w:t>
      </w:r>
    </w:p>
    <w:p w14:paraId="34EB9423"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World Economic Forum (2022) </w:t>
      </w:r>
      <w:r w:rsidRPr="0033261B">
        <w:rPr>
          <w:rStyle w:val="Emphasis"/>
          <w:rFonts w:ascii="Arial" w:hAnsi="Arial" w:cs="Arial"/>
        </w:rPr>
        <w:t>6 key issues shaping the future of global healthcare</w:t>
      </w:r>
      <w:r w:rsidRPr="0033261B">
        <w:rPr>
          <w:rFonts w:ascii="Arial" w:hAnsi="Arial" w:cs="Arial"/>
        </w:rPr>
        <w:t xml:space="preserve">. Available at: </w:t>
      </w:r>
      <w:hyperlink r:id="rId23" w:tgtFrame="_new" w:history="1">
        <w:r w:rsidRPr="0033261B">
          <w:rPr>
            <w:rStyle w:val="Hyperlink"/>
            <w:rFonts w:ascii="Arial" w:hAnsi="Arial" w:cs="Arial"/>
          </w:rPr>
          <w:t>Future of Healthcare Trends</w:t>
        </w:r>
      </w:hyperlink>
      <w:r w:rsidRPr="0033261B">
        <w:rPr>
          <w:rFonts w:ascii="Arial" w:hAnsi="Arial" w:cs="Arial"/>
        </w:rPr>
        <w:t xml:space="preserve"> [Accessed 22 Apr. 2026].</w:t>
      </w:r>
    </w:p>
    <w:p w14:paraId="4C9EC7CC"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World Health Organization (WHO) (2022) </w:t>
      </w:r>
      <w:r w:rsidRPr="0033261B">
        <w:rPr>
          <w:rStyle w:val="Emphasis"/>
          <w:rFonts w:ascii="Arial" w:hAnsi="Arial" w:cs="Arial"/>
        </w:rPr>
        <w:t>Ageing and health</w:t>
      </w:r>
      <w:r w:rsidRPr="0033261B">
        <w:rPr>
          <w:rFonts w:ascii="Arial" w:hAnsi="Arial" w:cs="Arial"/>
        </w:rPr>
        <w:t xml:space="preserve">. Available at: </w:t>
      </w:r>
      <w:hyperlink r:id="rId24" w:tgtFrame="_new" w:history="1">
        <w:r w:rsidRPr="0033261B">
          <w:rPr>
            <w:rStyle w:val="Hyperlink"/>
            <w:rFonts w:ascii="Arial" w:hAnsi="Arial" w:cs="Arial"/>
          </w:rPr>
          <w:t>https://www.who.int/news-room/fact-sheets/detail/ageing-and-health</w:t>
        </w:r>
      </w:hyperlink>
      <w:r w:rsidRPr="0033261B">
        <w:rPr>
          <w:rFonts w:ascii="Arial" w:hAnsi="Arial" w:cs="Arial"/>
        </w:rPr>
        <w:t xml:space="preserve"> [Accessed 22 Apr. 2026].</w:t>
      </w:r>
    </w:p>
    <w:p w14:paraId="0263C916" w14:textId="77777777" w:rsidR="0033261B" w:rsidRPr="0033261B" w:rsidRDefault="0033261B" w:rsidP="0033261B">
      <w:pPr>
        <w:pStyle w:val="NormalWeb"/>
        <w:spacing w:line="360" w:lineRule="auto"/>
        <w:jc w:val="both"/>
        <w:rPr>
          <w:rFonts w:ascii="Arial" w:hAnsi="Arial" w:cs="Arial"/>
        </w:rPr>
      </w:pPr>
      <w:r w:rsidRPr="0033261B">
        <w:rPr>
          <w:rFonts w:ascii="Arial" w:hAnsi="Arial" w:cs="Arial"/>
        </w:rPr>
        <w:t xml:space="preserve">Zeithaml, V.A., Bitner, M.J. and Gremler, D.D. (2020) </w:t>
      </w:r>
      <w:r w:rsidRPr="0033261B">
        <w:rPr>
          <w:rStyle w:val="Emphasis"/>
          <w:rFonts w:ascii="Arial" w:hAnsi="Arial" w:cs="Arial"/>
        </w:rPr>
        <w:t>Services Marketing</w:t>
      </w:r>
      <w:r w:rsidRPr="0033261B">
        <w:rPr>
          <w:rFonts w:ascii="Arial" w:hAnsi="Arial" w:cs="Arial"/>
        </w:rPr>
        <w:t xml:space="preserve">. 8th </w:t>
      </w:r>
      <w:proofErr w:type="spellStart"/>
      <w:r w:rsidRPr="0033261B">
        <w:rPr>
          <w:rFonts w:ascii="Arial" w:hAnsi="Arial" w:cs="Arial"/>
        </w:rPr>
        <w:t>edn</w:t>
      </w:r>
      <w:proofErr w:type="spellEnd"/>
      <w:r w:rsidRPr="0033261B">
        <w:rPr>
          <w:rFonts w:ascii="Arial" w:hAnsi="Arial" w:cs="Arial"/>
        </w:rPr>
        <w:t>. New York: McGraw-Hill.</w:t>
      </w:r>
    </w:p>
    <w:p w14:paraId="4925FAA7" w14:textId="77777777" w:rsidR="000760AC" w:rsidRDefault="000760AC" w:rsidP="00577203">
      <w:pPr>
        <w:pStyle w:val="NormalWeb"/>
        <w:spacing w:line="360" w:lineRule="auto"/>
        <w:jc w:val="both"/>
        <w:rPr>
          <w:rFonts w:ascii="Arial" w:hAnsi="Arial" w:cs="Arial"/>
        </w:rPr>
      </w:pPr>
    </w:p>
    <w:p w14:paraId="510DB235" w14:textId="77777777" w:rsidR="000760AC" w:rsidRDefault="000760AC" w:rsidP="00577203">
      <w:pPr>
        <w:pStyle w:val="NormalWeb"/>
        <w:spacing w:line="360" w:lineRule="auto"/>
        <w:jc w:val="both"/>
        <w:rPr>
          <w:rFonts w:ascii="Arial" w:hAnsi="Arial" w:cs="Arial"/>
        </w:rPr>
      </w:pPr>
    </w:p>
    <w:p w14:paraId="157A8E6C" w14:textId="77777777" w:rsidR="000760AC" w:rsidRDefault="000760AC" w:rsidP="00577203">
      <w:pPr>
        <w:pStyle w:val="NormalWeb"/>
        <w:spacing w:line="360" w:lineRule="auto"/>
        <w:jc w:val="both"/>
        <w:rPr>
          <w:rFonts w:ascii="Arial" w:hAnsi="Arial" w:cs="Arial"/>
        </w:rPr>
      </w:pPr>
    </w:p>
    <w:p w14:paraId="19B67FAE" w14:textId="77777777" w:rsidR="000760AC" w:rsidRDefault="000760AC" w:rsidP="00577203">
      <w:pPr>
        <w:pStyle w:val="NormalWeb"/>
        <w:spacing w:line="360" w:lineRule="auto"/>
        <w:jc w:val="both"/>
        <w:rPr>
          <w:rFonts w:ascii="Arial" w:hAnsi="Arial" w:cs="Arial"/>
        </w:rPr>
      </w:pPr>
    </w:p>
    <w:p w14:paraId="094D03C4" w14:textId="77777777" w:rsidR="000760AC" w:rsidRDefault="000760AC" w:rsidP="00577203">
      <w:pPr>
        <w:pStyle w:val="NormalWeb"/>
        <w:spacing w:line="360" w:lineRule="auto"/>
        <w:jc w:val="both"/>
        <w:rPr>
          <w:rFonts w:ascii="Arial" w:hAnsi="Arial" w:cs="Arial"/>
        </w:rPr>
      </w:pPr>
    </w:p>
    <w:p w14:paraId="6A96299A" w14:textId="77777777" w:rsidR="00F37A12" w:rsidRDefault="00F37A12" w:rsidP="00577203">
      <w:pPr>
        <w:pStyle w:val="NormalWeb"/>
        <w:spacing w:line="360" w:lineRule="auto"/>
        <w:jc w:val="both"/>
        <w:rPr>
          <w:rFonts w:ascii="Arial" w:hAnsi="Arial" w:cs="Arial"/>
        </w:rPr>
      </w:pPr>
    </w:p>
    <w:p w14:paraId="1DC6EA04" w14:textId="77777777" w:rsidR="00AE29CC" w:rsidRDefault="00AE29CC" w:rsidP="00577203">
      <w:pPr>
        <w:pStyle w:val="NormalWeb"/>
        <w:spacing w:line="360" w:lineRule="auto"/>
        <w:jc w:val="both"/>
        <w:rPr>
          <w:rFonts w:ascii="Arial" w:hAnsi="Arial" w:cs="Arial"/>
        </w:rPr>
      </w:pPr>
    </w:p>
    <w:p w14:paraId="730C5299" w14:textId="77777777" w:rsidR="00AE29CC" w:rsidRDefault="00AE29CC" w:rsidP="00577203">
      <w:pPr>
        <w:pStyle w:val="NormalWeb"/>
        <w:spacing w:line="360" w:lineRule="auto"/>
        <w:jc w:val="both"/>
        <w:rPr>
          <w:rFonts w:ascii="Arial" w:hAnsi="Arial" w:cs="Arial"/>
        </w:rPr>
      </w:pPr>
    </w:p>
    <w:p w14:paraId="3AC9ABCC" w14:textId="77777777" w:rsidR="000760AC" w:rsidRPr="000760AC" w:rsidRDefault="000760AC" w:rsidP="000760AC">
      <w:pPr>
        <w:pStyle w:val="NormalWeb"/>
        <w:spacing w:line="360" w:lineRule="auto"/>
        <w:jc w:val="both"/>
        <w:outlineLvl w:val="0"/>
        <w:rPr>
          <w:rFonts w:ascii="Arial" w:hAnsi="Arial" w:cs="Arial"/>
          <w:b/>
        </w:rPr>
      </w:pPr>
      <w:bookmarkStart w:id="21" w:name="_Toc228221436"/>
      <w:r w:rsidRPr="000760AC">
        <w:rPr>
          <w:rFonts w:ascii="Arial" w:hAnsi="Arial" w:cs="Arial"/>
          <w:b/>
        </w:rPr>
        <w:lastRenderedPageBreak/>
        <w:t>7. Appendix</w:t>
      </w:r>
      <w:bookmarkEnd w:id="21"/>
    </w:p>
    <w:p w14:paraId="65D08075" w14:textId="77777777" w:rsidR="000760AC" w:rsidRPr="000760AC" w:rsidRDefault="000760AC" w:rsidP="000760AC">
      <w:pPr>
        <w:pStyle w:val="NormalWeb"/>
        <w:spacing w:line="360" w:lineRule="auto"/>
        <w:jc w:val="both"/>
        <w:outlineLvl w:val="1"/>
        <w:rPr>
          <w:rFonts w:ascii="Arial" w:hAnsi="Arial" w:cs="Arial"/>
          <w:b/>
        </w:rPr>
      </w:pPr>
      <w:r w:rsidRPr="000760AC">
        <w:rPr>
          <w:rFonts w:ascii="Arial" w:hAnsi="Arial" w:cs="Arial"/>
          <w:b/>
        </w:rPr>
        <w:t>Poster</w:t>
      </w:r>
    </w:p>
    <w:p w14:paraId="0ADCF00F" w14:textId="77777777" w:rsidR="000760AC" w:rsidRDefault="000760AC" w:rsidP="00577203">
      <w:pPr>
        <w:pStyle w:val="NormalWeb"/>
        <w:spacing w:line="360" w:lineRule="auto"/>
        <w:jc w:val="both"/>
        <w:rPr>
          <w:rFonts w:ascii="Arial" w:hAnsi="Arial" w:cs="Arial"/>
        </w:rPr>
      </w:pPr>
      <w:r>
        <w:rPr>
          <w:noProof/>
        </w:rPr>
        <w:drawing>
          <wp:inline distT="0" distB="0" distL="0" distR="0" wp14:anchorId="6A84C1B0" wp14:editId="57DAA353">
            <wp:extent cx="6246316" cy="471543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6246316" cy="4715435"/>
                    </a:xfrm>
                    <a:prstGeom prst="rect">
                      <a:avLst/>
                    </a:prstGeom>
                  </pic:spPr>
                </pic:pic>
              </a:graphicData>
            </a:graphic>
          </wp:inline>
        </w:drawing>
      </w:r>
    </w:p>
    <w:p w14:paraId="58F223F9" w14:textId="77777777" w:rsidR="000760AC" w:rsidRDefault="000760AC" w:rsidP="00577203">
      <w:pPr>
        <w:pStyle w:val="NormalWeb"/>
        <w:spacing w:line="360" w:lineRule="auto"/>
        <w:jc w:val="both"/>
        <w:rPr>
          <w:rFonts w:ascii="Arial" w:hAnsi="Arial" w:cs="Arial"/>
        </w:rPr>
      </w:pPr>
    </w:p>
    <w:p w14:paraId="5C5AEDF5" w14:textId="77777777" w:rsidR="000760AC" w:rsidRPr="00975743" w:rsidRDefault="000760AC" w:rsidP="00577203">
      <w:pPr>
        <w:pStyle w:val="NormalWeb"/>
        <w:spacing w:line="360" w:lineRule="auto"/>
        <w:jc w:val="both"/>
        <w:rPr>
          <w:rFonts w:ascii="Arial" w:hAnsi="Arial" w:cs="Arial"/>
        </w:rPr>
      </w:pPr>
    </w:p>
    <w:sectPr w:rsidR="000760AC" w:rsidRPr="00975743" w:rsidSect="000760AC">
      <w:footerReference w:type="defaul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F04E9" w14:textId="77777777" w:rsidR="00D65992" w:rsidRDefault="00D65992" w:rsidP="000760AC">
      <w:pPr>
        <w:spacing w:after="0" w:line="240" w:lineRule="auto"/>
      </w:pPr>
      <w:r>
        <w:separator/>
      </w:r>
    </w:p>
  </w:endnote>
  <w:endnote w:type="continuationSeparator" w:id="0">
    <w:p w14:paraId="34F600FE" w14:textId="77777777" w:rsidR="00D65992" w:rsidRDefault="00D65992" w:rsidP="00076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348F4" w14:textId="77777777" w:rsidR="003B1850" w:rsidRDefault="003B18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5A96F9" w14:textId="77777777" w:rsidR="000760AC" w:rsidRDefault="000760AC">
    <w:pPr>
      <w:pStyle w:val="Footer"/>
      <w:jc w:val="center"/>
    </w:pPr>
  </w:p>
  <w:p w14:paraId="255EAA3F" w14:textId="77777777" w:rsidR="000760AC" w:rsidRDefault="000760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82857" w14:textId="77777777" w:rsidR="003B1850" w:rsidRDefault="003B185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0054176"/>
      <w:docPartObj>
        <w:docPartGallery w:val="Page Numbers (Bottom of Page)"/>
        <w:docPartUnique/>
      </w:docPartObj>
    </w:sdtPr>
    <w:sdtEndPr>
      <w:rPr>
        <w:noProof/>
      </w:rPr>
    </w:sdtEndPr>
    <w:sdtContent>
      <w:p w14:paraId="3A66BBAF" w14:textId="77777777" w:rsidR="000760AC" w:rsidRDefault="000760AC">
        <w:pPr>
          <w:pStyle w:val="Footer"/>
          <w:jc w:val="center"/>
        </w:pPr>
        <w:r>
          <w:fldChar w:fldCharType="begin"/>
        </w:r>
        <w:r>
          <w:instrText xml:space="preserve"> PAGE   \* MERGEFORMAT </w:instrText>
        </w:r>
        <w:r>
          <w:fldChar w:fldCharType="separate"/>
        </w:r>
        <w:r w:rsidR="00E77C43">
          <w:rPr>
            <w:noProof/>
          </w:rPr>
          <w:t>1</w:t>
        </w:r>
        <w:r>
          <w:rPr>
            <w:noProof/>
          </w:rPr>
          <w:fldChar w:fldCharType="end"/>
        </w:r>
      </w:p>
    </w:sdtContent>
  </w:sdt>
  <w:p w14:paraId="123AFFA5" w14:textId="77777777" w:rsidR="000760AC" w:rsidRDefault="00076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D71A7" w14:textId="77777777" w:rsidR="00D65992" w:rsidRDefault="00D65992" w:rsidP="000760AC">
      <w:pPr>
        <w:spacing w:after="0" w:line="240" w:lineRule="auto"/>
      </w:pPr>
      <w:r>
        <w:separator/>
      </w:r>
    </w:p>
  </w:footnote>
  <w:footnote w:type="continuationSeparator" w:id="0">
    <w:p w14:paraId="270E3F73" w14:textId="77777777" w:rsidR="00D65992" w:rsidRDefault="00D65992" w:rsidP="000760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4E6E12" w14:textId="77777777" w:rsidR="003B1850" w:rsidRDefault="003B18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4E57B2" w14:textId="77777777" w:rsidR="003B1850" w:rsidRDefault="003B18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18DB4" w14:textId="77777777" w:rsidR="003B1850" w:rsidRDefault="003B18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44972"/>
    <w:multiLevelType w:val="hybridMultilevel"/>
    <w:tmpl w:val="A52407E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7B1833"/>
    <w:multiLevelType w:val="hybridMultilevel"/>
    <w:tmpl w:val="3B3CC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CB7260"/>
    <w:multiLevelType w:val="hybridMultilevel"/>
    <w:tmpl w:val="20E4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471534">
    <w:abstractNumId w:val="2"/>
  </w:num>
  <w:num w:numId="2" w16cid:durableId="1994530305">
    <w:abstractNumId w:val="0"/>
  </w:num>
  <w:num w:numId="3" w16cid:durableId="2122147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6334E"/>
    <w:rsid w:val="00023F1C"/>
    <w:rsid w:val="00036732"/>
    <w:rsid w:val="000760AC"/>
    <w:rsid w:val="001039DB"/>
    <w:rsid w:val="001A49F9"/>
    <w:rsid w:val="001C7F2D"/>
    <w:rsid w:val="0033261B"/>
    <w:rsid w:val="003B1850"/>
    <w:rsid w:val="003E438C"/>
    <w:rsid w:val="004272EC"/>
    <w:rsid w:val="00435839"/>
    <w:rsid w:val="0056334E"/>
    <w:rsid w:val="00577203"/>
    <w:rsid w:val="00612B3C"/>
    <w:rsid w:val="00675771"/>
    <w:rsid w:val="006D400F"/>
    <w:rsid w:val="00727748"/>
    <w:rsid w:val="00730BA5"/>
    <w:rsid w:val="007F644D"/>
    <w:rsid w:val="00893C7B"/>
    <w:rsid w:val="00A15D11"/>
    <w:rsid w:val="00A23ABB"/>
    <w:rsid w:val="00AE29CC"/>
    <w:rsid w:val="00B50F82"/>
    <w:rsid w:val="00BC151F"/>
    <w:rsid w:val="00CC1234"/>
    <w:rsid w:val="00CF1F25"/>
    <w:rsid w:val="00D65992"/>
    <w:rsid w:val="00E77C43"/>
    <w:rsid w:val="00EC5298"/>
    <w:rsid w:val="00F37A12"/>
    <w:rsid w:val="00FE3FF8"/>
    <w:rsid w:val="00FE4E6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7ACC96"/>
  <w15:docId w15:val="{47C6A79B-A788-D146-BF1B-B62B24078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33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6334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34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6334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6334E"/>
    <w:rPr>
      <w:b/>
      <w:bCs/>
    </w:rPr>
  </w:style>
  <w:style w:type="paragraph" w:styleId="NormalWeb">
    <w:name w:val="Normal (Web)"/>
    <w:basedOn w:val="Normal"/>
    <w:uiPriority w:val="99"/>
    <w:semiHidden/>
    <w:unhideWhenUsed/>
    <w:rsid w:val="005633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7203"/>
    <w:rPr>
      <w:i/>
      <w:iCs/>
    </w:rPr>
  </w:style>
  <w:style w:type="character" w:styleId="Hyperlink">
    <w:name w:val="Hyperlink"/>
    <w:basedOn w:val="DefaultParagraphFont"/>
    <w:uiPriority w:val="99"/>
    <w:unhideWhenUsed/>
    <w:rsid w:val="00577203"/>
    <w:rPr>
      <w:color w:val="0000FF"/>
      <w:u w:val="single"/>
    </w:rPr>
  </w:style>
  <w:style w:type="paragraph" w:styleId="TOCHeading">
    <w:name w:val="TOC Heading"/>
    <w:basedOn w:val="Heading1"/>
    <w:next w:val="Normal"/>
    <w:uiPriority w:val="39"/>
    <w:semiHidden/>
    <w:unhideWhenUsed/>
    <w:qFormat/>
    <w:rsid w:val="000760AC"/>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0760AC"/>
    <w:pPr>
      <w:spacing w:after="100"/>
    </w:pPr>
  </w:style>
  <w:style w:type="paragraph" w:styleId="TOC2">
    <w:name w:val="toc 2"/>
    <w:basedOn w:val="Normal"/>
    <w:next w:val="Normal"/>
    <w:autoRedefine/>
    <w:uiPriority w:val="39"/>
    <w:unhideWhenUsed/>
    <w:rsid w:val="000760AC"/>
    <w:pPr>
      <w:spacing w:after="100"/>
      <w:ind w:left="220"/>
    </w:pPr>
  </w:style>
  <w:style w:type="paragraph" w:styleId="BalloonText">
    <w:name w:val="Balloon Text"/>
    <w:basedOn w:val="Normal"/>
    <w:link w:val="BalloonTextChar"/>
    <w:uiPriority w:val="99"/>
    <w:semiHidden/>
    <w:unhideWhenUsed/>
    <w:rsid w:val="000760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0AC"/>
    <w:rPr>
      <w:rFonts w:ascii="Tahoma" w:hAnsi="Tahoma" w:cs="Tahoma"/>
      <w:sz w:val="16"/>
      <w:szCs w:val="16"/>
    </w:rPr>
  </w:style>
  <w:style w:type="paragraph" w:styleId="Header">
    <w:name w:val="header"/>
    <w:basedOn w:val="Normal"/>
    <w:link w:val="HeaderChar"/>
    <w:uiPriority w:val="99"/>
    <w:unhideWhenUsed/>
    <w:rsid w:val="000760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60AC"/>
  </w:style>
  <w:style w:type="paragraph" w:styleId="Footer">
    <w:name w:val="footer"/>
    <w:basedOn w:val="Normal"/>
    <w:link w:val="FooterChar"/>
    <w:uiPriority w:val="99"/>
    <w:unhideWhenUsed/>
    <w:rsid w:val="000760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6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2338312">
      <w:bodyDiv w:val="1"/>
      <w:marLeft w:val="0"/>
      <w:marRight w:val="0"/>
      <w:marTop w:val="0"/>
      <w:marBottom w:val="0"/>
      <w:divBdr>
        <w:top w:val="none" w:sz="0" w:space="0" w:color="auto"/>
        <w:left w:val="none" w:sz="0" w:space="0" w:color="auto"/>
        <w:bottom w:val="none" w:sz="0" w:space="0" w:color="auto"/>
        <w:right w:val="none" w:sz="0" w:space="0" w:color="auto"/>
      </w:divBdr>
    </w:div>
    <w:div w:id="1050374782">
      <w:bodyDiv w:val="1"/>
      <w:marLeft w:val="0"/>
      <w:marRight w:val="0"/>
      <w:marTop w:val="0"/>
      <w:marBottom w:val="0"/>
      <w:divBdr>
        <w:top w:val="none" w:sz="0" w:space="0" w:color="auto"/>
        <w:left w:val="none" w:sz="0" w:space="0" w:color="auto"/>
        <w:bottom w:val="none" w:sz="0" w:space="0" w:color="auto"/>
        <w:right w:val="none" w:sz="0" w:space="0" w:color="auto"/>
      </w:divBdr>
    </w:div>
    <w:div w:id="1589121292">
      <w:bodyDiv w:val="1"/>
      <w:marLeft w:val="0"/>
      <w:marRight w:val="0"/>
      <w:marTop w:val="0"/>
      <w:marBottom w:val="0"/>
      <w:divBdr>
        <w:top w:val="none" w:sz="0" w:space="0" w:color="auto"/>
        <w:left w:val="none" w:sz="0" w:space="0" w:color="auto"/>
        <w:bottom w:val="none" w:sz="0" w:space="0" w:color="auto"/>
        <w:right w:val="none" w:sz="0" w:space="0" w:color="auto"/>
      </w:divBdr>
      <w:divsChild>
        <w:div w:id="1630932665">
          <w:marLeft w:val="0"/>
          <w:marRight w:val="0"/>
          <w:marTop w:val="0"/>
          <w:marBottom w:val="0"/>
          <w:divBdr>
            <w:top w:val="none" w:sz="0" w:space="0" w:color="auto"/>
            <w:left w:val="none" w:sz="0" w:space="0" w:color="auto"/>
            <w:bottom w:val="none" w:sz="0" w:space="0" w:color="auto"/>
            <w:right w:val="none" w:sz="0" w:space="0" w:color="auto"/>
          </w:divBdr>
        </w:div>
      </w:divsChild>
    </w:div>
    <w:div w:id="1936287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mckinsey.com/industries/healthcare/our-insights/digital-transformation-health-systems-investment-priorities?utm_source=chatgpt.com" TargetMode="External"/><Relationship Id="rId26"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hyperlink" Target="https://www.pwc.com"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www.deloitte.com/na/en/Industries/life-sciences-health-care/perspectives/global-health-care-sector-outlook.html?utm_source=chatgpt.com"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accenture.com/content/dam/accenture/final/a-com-migration/pdf/pdf-156/accenture-digital-health-tech-vision-2021.pdf?utm_source=chatgpt.com" TargetMode="External"/><Relationship Id="rId20" Type="http://schemas.openxmlformats.org/officeDocument/2006/relationships/hyperlink" Target="https://hbr.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who.int/news-room/fact-sheets/detail/ageing-and-health" TargetMode="Externa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www.weforum.org/stories/2022/02/global-healthcare-2022-mental-health/?utm_source=chatgpt.com"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link.springer.com/chapter/10.1007/978-3-031-10097-0_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hyperlink" Target="https://www.statista.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3655</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Md Naeem Rezwan (2522417)</cp:lastModifiedBy>
  <cp:revision>3</cp:revision>
  <dcterms:created xsi:type="dcterms:W3CDTF">2026-04-27T16:51:00Z</dcterms:created>
  <dcterms:modified xsi:type="dcterms:W3CDTF">2026-04-28T23:40:00Z</dcterms:modified>
</cp:coreProperties>
</file>