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79B826" w14:textId="77777777" w:rsidR="006C5BD8" w:rsidRPr="006C5BD8" w:rsidRDefault="006C5BD8" w:rsidP="006C5BD8">
      <w:pPr>
        <w:pStyle w:val="NoSpacing"/>
        <w:jc w:val="both"/>
        <w:rPr>
          <w:rFonts w:ascii="Times New Roman" w:hAnsi="Times New Roman" w:cs="Times New Roman"/>
        </w:rPr>
      </w:pPr>
    </w:p>
    <w:p w14:paraId="4BA6B854" w14:textId="77777777" w:rsidR="006C5BD8" w:rsidRPr="006C5BD8" w:rsidRDefault="006C5BD8" w:rsidP="006C5BD8">
      <w:pPr>
        <w:pStyle w:val="NoSpacing"/>
        <w:ind w:left="4320" w:firstLine="720"/>
        <w:jc w:val="both"/>
        <w:rPr>
          <w:rFonts w:ascii="Times New Roman" w:hAnsi="Times New Roman" w:cs="Times New Roman"/>
        </w:rPr>
      </w:pPr>
    </w:p>
    <w:p w14:paraId="4CE4E300" w14:textId="00294E1F" w:rsidR="006C5BD8" w:rsidRPr="006C5BD8" w:rsidRDefault="006C5BD8" w:rsidP="006C5BD8">
      <w:pPr>
        <w:pStyle w:val="NoSpacing"/>
        <w:ind w:left="4320" w:firstLine="720"/>
        <w:jc w:val="both"/>
        <w:rPr>
          <w:rFonts w:ascii="Times New Roman" w:hAnsi="Times New Roman" w:cs="Times New Roman"/>
        </w:rPr>
      </w:pPr>
      <w:r w:rsidRPr="006C5BD8">
        <w:rPr>
          <w:rFonts w:ascii="Times New Roman" w:hAnsi="Times New Roman" w:cs="Times New Roman"/>
        </w:rPr>
        <w:t>SARAH BOTFIELD</w:t>
      </w:r>
    </w:p>
    <w:p w14:paraId="64464352" w14:textId="0C163099" w:rsidR="006C5BD8" w:rsidRPr="006C5BD8" w:rsidRDefault="006C5BD8" w:rsidP="006C5BD8">
      <w:pPr>
        <w:pStyle w:val="NoSpacing"/>
        <w:ind w:left="4320" w:firstLine="720"/>
        <w:jc w:val="both"/>
        <w:rPr>
          <w:rFonts w:ascii="Times New Roman" w:hAnsi="Times New Roman" w:cs="Times New Roman"/>
        </w:rPr>
      </w:pPr>
      <w:r w:rsidRPr="006C5BD8">
        <w:rPr>
          <w:rFonts w:ascii="Times New Roman" w:hAnsi="Times New Roman" w:cs="Times New Roman"/>
        </w:rPr>
        <w:tab/>
        <w:t>BMHP6027 EOP C2</w:t>
      </w:r>
    </w:p>
    <w:p w14:paraId="7DED48A8" w14:textId="77777777" w:rsidR="006C5BD8" w:rsidRPr="006C5BD8" w:rsidRDefault="006C5BD8" w:rsidP="006C5BD8">
      <w:pPr>
        <w:pStyle w:val="NoSpacing"/>
        <w:jc w:val="both"/>
        <w:rPr>
          <w:rFonts w:ascii="Times New Roman" w:hAnsi="Times New Roman" w:cs="Times New Roman"/>
        </w:rPr>
      </w:pPr>
    </w:p>
    <w:p w14:paraId="67121C3C" w14:textId="77777777" w:rsidR="006C5BD8" w:rsidRPr="006C5BD8" w:rsidRDefault="006C5BD8" w:rsidP="006C5BD8">
      <w:pPr>
        <w:pStyle w:val="NoSpacing"/>
        <w:jc w:val="both"/>
        <w:rPr>
          <w:rFonts w:ascii="Times New Roman" w:hAnsi="Times New Roman" w:cs="Times New Roman"/>
        </w:rPr>
      </w:pPr>
    </w:p>
    <w:p w14:paraId="70F4E58A" w14:textId="13094E6B" w:rsidR="006C5BD8" w:rsidRPr="006C5BD8" w:rsidRDefault="006C5BD8" w:rsidP="006C5BD8">
      <w:pPr>
        <w:pStyle w:val="NoSpacing"/>
        <w:jc w:val="both"/>
        <w:rPr>
          <w:rFonts w:ascii="Times New Roman" w:hAnsi="Times New Roman" w:cs="Times New Roman"/>
          <w:b/>
          <w:bCs/>
        </w:rPr>
      </w:pPr>
      <w:r w:rsidRPr="006C5BD8">
        <w:rPr>
          <w:rFonts w:ascii="Times New Roman" w:hAnsi="Times New Roman" w:cs="Times New Roman"/>
          <w:b/>
          <w:bCs/>
        </w:rPr>
        <w:t>Debate / Discussion</w:t>
      </w:r>
    </w:p>
    <w:p w14:paraId="3B694B1F" w14:textId="77777777" w:rsidR="006C5BD8" w:rsidRPr="006C5BD8" w:rsidRDefault="006C5BD8" w:rsidP="006C5BD8">
      <w:pPr>
        <w:pStyle w:val="NoSpacing"/>
        <w:jc w:val="both"/>
        <w:rPr>
          <w:rFonts w:ascii="Times New Roman" w:hAnsi="Times New Roman" w:cs="Times New Roman"/>
        </w:rPr>
      </w:pPr>
    </w:p>
    <w:p w14:paraId="7E16E5ED" w14:textId="66ADFA54"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Topic:</w:t>
      </w:r>
    </w:p>
    <w:p w14:paraId="4F7FAC9C" w14:textId="77777777" w:rsidR="006C5BD8" w:rsidRPr="006C5BD8" w:rsidRDefault="006C5BD8" w:rsidP="006C5BD8">
      <w:pPr>
        <w:pStyle w:val="NoSpacing"/>
        <w:jc w:val="both"/>
        <w:rPr>
          <w:rFonts w:ascii="Times New Roman" w:hAnsi="Times New Roman" w:cs="Times New Roman"/>
        </w:rPr>
      </w:pPr>
    </w:p>
    <w:p w14:paraId="700DABB8" w14:textId="1A23B39B" w:rsidR="006C5BD8" w:rsidRPr="006C5BD8" w:rsidRDefault="006C5BD8" w:rsidP="006C5BD8">
      <w:pPr>
        <w:pStyle w:val="NoSpacing"/>
        <w:jc w:val="both"/>
        <w:rPr>
          <w:rFonts w:ascii="Times New Roman" w:hAnsi="Times New Roman" w:cs="Times New Roman"/>
          <w:b/>
          <w:bCs/>
          <w:u w:val="single"/>
        </w:rPr>
      </w:pPr>
      <w:r w:rsidRPr="006C5BD8">
        <w:rPr>
          <w:rFonts w:ascii="Times New Roman" w:hAnsi="Times New Roman" w:cs="Times New Roman"/>
          <w:b/>
          <w:bCs/>
          <w:u w:val="single"/>
        </w:rPr>
        <w:t xml:space="preserve">Should health and social care services </w:t>
      </w:r>
      <w:r w:rsidRPr="006C5BD8">
        <w:rPr>
          <w:rFonts w:ascii="Times New Roman" w:hAnsi="Times New Roman" w:cs="Times New Roman"/>
          <w:b/>
          <w:bCs/>
          <w:u w:val="single"/>
        </w:rPr>
        <w:t>prioritize</w:t>
      </w:r>
      <w:r w:rsidRPr="006C5BD8">
        <w:rPr>
          <w:rFonts w:ascii="Times New Roman" w:hAnsi="Times New Roman" w:cs="Times New Roman"/>
          <w:b/>
          <w:bCs/>
          <w:u w:val="single"/>
        </w:rPr>
        <w:t xml:space="preserve"> ageing in place rather than residential care for older adults?</w:t>
      </w:r>
    </w:p>
    <w:p w14:paraId="5781A3E2" w14:textId="77777777" w:rsidR="006C5BD8" w:rsidRPr="006C5BD8" w:rsidRDefault="006C5BD8" w:rsidP="006C5BD8">
      <w:pPr>
        <w:pStyle w:val="NoSpacing"/>
        <w:jc w:val="both"/>
        <w:rPr>
          <w:rFonts w:ascii="Times New Roman" w:hAnsi="Times New Roman" w:cs="Times New Roman"/>
        </w:rPr>
      </w:pPr>
    </w:p>
    <w:p w14:paraId="7419C6B3" w14:textId="468CF1DC"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Introduction: Context of the Debate</w:t>
      </w:r>
    </w:p>
    <w:p w14:paraId="49331E3C" w14:textId="28275EB0"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The ageing population represents one of the most significant social transformations of the 21st century. Advances in medical science, improved public health interventions, and better living conditions have contributed to increased life expectancy across the United Kingdom and globally. As a result, the proportion of individuals aged 65 and above continues to rise, placing considerable pressure on health and social care systems. According to the World Health Organization (2021), global populations are ageing at an unprecedented rate, and by 2050 the number of people aged 60 and over will double.</w:t>
      </w:r>
    </w:p>
    <w:p w14:paraId="491BC368"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This demographic shift has intensified debates about how and where care should be delivered to older adults. Traditionally, residential care homes and nursing facilities were seen as the most appropriate settings for individuals experiencing frailty, chronic illness, or reduced mobility. However, modern health and social care policy increasingly promotes “ageing in place” — a model that enables older adults to remain in their own homes for as long as possible, supported by community-based services.</w:t>
      </w:r>
    </w:p>
    <w:p w14:paraId="49243DEE" w14:textId="77777777" w:rsidR="006C5BD8" w:rsidRPr="006C5BD8" w:rsidRDefault="006C5BD8" w:rsidP="006C5BD8">
      <w:pPr>
        <w:pStyle w:val="NoSpacing"/>
        <w:jc w:val="both"/>
        <w:rPr>
          <w:rFonts w:ascii="Times New Roman" w:hAnsi="Times New Roman" w:cs="Times New Roman"/>
        </w:rPr>
      </w:pPr>
    </w:p>
    <w:p w14:paraId="5F2C6765" w14:textId="096850A5"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The debate is highly significant because it affects:</w:t>
      </w:r>
    </w:p>
    <w:p w14:paraId="79DA58B3" w14:textId="01EA8118"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Quality of life and dignity</w:t>
      </w:r>
    </w:p>
    <w:p w14:paraId="68F30C01" w14:textId="5B4A6FE9"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Autonomy and independenc</w:t>
      </w:r>
      <w:r w:rsidRPr="006C5BD8">
        <w:rPr>
          <w:rFonts w:ascii="Times New Roman" w:hAnsi="Times New Roman" w:cs="Times New Roman"/>
        </w:rPr>
        <w:t>e</w:t>
      </w:r>
    </w:p>
    <w:p w14:paraId="2A2D09A8" w14:textId="0842DBB3"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 xml:space="preserve">Mental and emotional </w:t>
      </w:r>
      <w:r w:rsidRPr="006C5BD8">
        <w:rPr>
          <w:rFonts w:ascii="Times New Roman" w:hAnsi="Times New Roman" w:cs="Times New Roman"/>
        </w:rPr>
        <w:t>well-being</w:t>
      </w:r>
    </w:p>
    <w:p w14:paraId="2CF28914" w14:textId="3C56716E"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Public expenditure</w:t>
      </w:r>
    </w:p>
    <w:p w14:paraId="6F819257"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Workforce planning</w:t>
      </w:r>
    </w:p>
    <w:p w14:paraId="58D7F7C9" w14:textId="77777777" w:rsidR="006C5BD8" w:rsidRPr="006C5BD8" w:rsidRDefault="006C5BD8" w:rsidP="006C5BD8">
      <w:pPr>
        <w:pStyle w:val="NoSpacing"/>
        <w:jc w:val="both"/>
        <w:rPr>
          <w:rFonts w:ascii="Times New Roman" w:hAnsi="Times New Roman" w:cs="Times New Roman"/>
        </w:rPr>
      </w:pPr>
    </w:p>
    <w:p w14:paraId="55B11A2A" w14:textId="56BEC0C4"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Safeguarding and risk management</w:t>
      </w:r>
    </w:p>
    <w:p w14:paraId="064594B4" w14:textId="170E50AF"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 xml:space="preserve">In a system already under financial strain, policymakers must determine whether </w:t>
      </w:r>
      <w:r w:rsidRPr="006C5BD8">
        <w:rPr>
          <w:rFonts w:ascii="Times New Roman" w:hAnsi="Times New Roman" w:cs="Times New Roman"/>
        </w:rPr>
        <w:t>prioritizing</w:t>
      </w:r>
      <w:r w:rsidRPr="006C5BD8">
        <w:rPr>
          <w:rFonts w:ascii="Times New Roman" w:hAnsi="Times New Roman" w:cs="Times New Roman"/>
        </w:rPr>
        <w:t xml:space="preserve"> home-based care offers better outcomes than institutional residential care.</w:t>
      </w:r>
    </w:p>
    <w:p w14:paraId="36666FE5" w14:textId="77777777" w:rsidR="006C5BD8" w:rsidRPr="006C5BD8" w:rsidRDefault="006C5BD8" w:rsidP="006C5BD8">
      <w:pPr>
        <w:pStyle w:val="NoSpacing"/>
        <w:jc w:val="both"/>
        <w:rPr>
          <w:rFonts w:ascii="Times New Roman" w:hAnsi="Times New Roman" w:cs="Times New Roman"/>
        </w:rPr>
      </w:pPr>
    </w:p>
    <w:p w14:paraId="1FA5B09A" w14:textId="6EF5F5F8"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Position</w:t>
      </w:r>
    </w:p>
    <w:p w14:paraId="45F4D625" w14:textId="5FE539AB"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 xml:space="preserve">This discussion argues that health and social care services should </w:t>
      </w:r>
      <w:proofErr w:type="spellStart"/>
      <w:r w:rsidRPr="006C5BD8">
        <w:rPr>
          <w:rFonts w:ascii="Times New Roman" w:hAnsi="Times New Roman" w:cs="Times New Roman"/>
        </w:rPr>
        <w:t>prioritise</w:t>
      </w:r>
      <w:proofErr w:type="spellEnd"/>
      <w:r w:rsidRPr="006C5BD8">
        <w:rPr>
          <w:rFonts w:ascii="Times New Roman" w:hAnsi="Times New Roman" w:cs="Times New Roman"/>
        </w:rPr>
        <w:t xml:space="preserve"> ageing in place over residential care, except in cases where individuals have complex medical conditions, severe cognitive impairment, or safeguarding risks that cannot be safely managed at home.</w:t>
      </w:r>
    </w:p>
    <w:p w14:paraId="5CC814BE"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While residential care remains an essential component of the care system, it should be considered a last resort rather than the default solution. Ageing in place better aligns with principles of person-</w:t>
      </w:r>
      <w:proofErr w:type="spellStart"/>
      <w:r w:rsidRPr="006C5BD8">
        <w:rPr>
          <w:rFonts w:ascii="Times New Roman" w:hAnsi="Times New Roman" w:cs="Times New Roman"/>
        </w:rPr>
        <w:t>centred</w:t>
      </w:r>
      <w:proofErr w:type="spellEnd"/>
      <w:r w:rsidRPr="006C5BD8">
        <w:rPr>
          <w:rFonts w:ascii="Times New Roman" w:hAnsi="Times New Roman" w:cs="Times New Roman"/>
        </w:rPr>
        <w:t xml:space="preserve"> care, autonomy, dignity, emotional wellbeing, and long-term sustainability.</w:t>
      </w:r>
    </w:p>
    <w:p w14:paraId="02D0ABEC" w14:textId="77777777" w:rsidR="006C5BD8" w:rsidRPr="006C5BD8" w:rsidRDefault="006C5BD8" w:rsidP="006C5BD8">
      <w:pPr>
        <w:pStyle w:val="NoSpacing"/>
        <w:jc w:val="both"/>
        <w:rPr>
          <w:rFonts w:ascii="Times New Roman" w:hAnsi="Times New Roman" w:cs="Times New Roman"/>
        </w:rPr>
      </w:pPr>
    </w:p>
    <w:p w14:paraId="762964AB" w14:textId="77E23BD8"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b/>
          <w:bCs/>
        </w:rPr>
        <w:t>Argument 1</w:t>
      </w:r>
      <w:r w:rsidRPr="006C5BD8">
        <w:rPr>
          <w:rFonts w:ascii="Times New Roman" w:hAnsi="Times New Roman" w:cs="Times New Roman"/>
        </w:rPr>
        <w:t>: Ageing in Place Promotes Independence, Autonomy and Dignity</w:t>
      </w:r>
    </w:p>
    <w:p w14:paraId="2571431C" w14:textId="3D1ECECC"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A central principle in health and social care practice is respect for autonomy. Person-</w:t>
      </w:r>
      <w:proofErr w:type="spellStart"/>
      <w:r w:rsidRPr="006C5BD8">
        <w:rPr>
          <w:rFonts w:ascii="Times New Roman" w:hAnsi="Times New Roman" w:cs="Times New Roman"/>
        </w:rPr>
        <w:t>centred</w:t>
      </w:r>
      <w:proofErr w:type="spellEnd"/>
      <w:r w:rsidRPr="006C5BD8">
        <w:rPr>
          <w:rFonts w:ascii="Times New Roman" w:hAnsi="Times New Roman" w:cs="Times New Roman"/>
        </w:rPr>
        <w:t xml:space="preserve"> care frameworks </w:t>
      </w:r>
      <w:proofErr w:type="spellStart"/>
      <w:r w:rsidRPr="006C5BD8">
        <w:rPr>
          <w:rFonts w:ascii="Times New Roman" w:hAnsi="Times New Roman" w:cs="Times New Roman"/>
        </w:rPr>
        <w:t>emphasise</w:t>
      </w:r>
      <w:proofErr w:type="spellEnd"/>
      <w:r w:rsidRPr="006C5BD8">
        <w:rPr>
          <w:rFonts w:ascii="Times New Roman" w:hAnsi="Times New Roman" w:cs="Times New Roman"/>
        </w:rPr>
        <w:t xml:space="preserve"> that individuals should be active participants in decisions about their care. Ageing in place directly supports this principle by allowing older adults to maintain control over daily routines, lifestyle choices, and personal preferences.</w:t>
      </w:r>
    </w:p>
    <w:p w14:paraId="77E16D7A" w14:textId="61F02F5D"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 xml:space="preserve">Remaining in one's own home preserves familiarity, identity, and a sense of ownership. The home environment often holds emotional and symbolic meaning, representing independence, family history, and community belonging. In contrast, residential care settings may impose institutional routines such as fixed </w:t>
      </w:r>
      <w:proofErr w:type="gramStart"/>
      <w:r w:rsidRPr="006C5BD8">
        <w:rPr>
          <w:rFonts w:ascii="Times New Roman" w:hAnsi="Times New Roman" w:cs="Times New Roman"/>
        </w:rPr>
        <w:t>meal times</w:t>
      </w:r>
      <w:proofErr w:type="gramEnd"/>
      <w:r w:rsidRPr="006C5BD8">
        <w:rPr>
          <w:rFonts w:ascii="Times New Roman" w:hAnsi="Times New Roman" w:cs="Times New Roman"/>
        </w:rPr>
        <w:t>, structured activities, and shared spaces that limit personal freedom.</w:t>
      </w:r>
    </w:p>
    <w:p w14:paraId="78F396E0" w14:textId="5655F905"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 xml:space="preserve">Research by Wiles et al. (2012) highlights </w:t>
      </w:r>
      <w:proofErr w:type="gramStart"/>
      <w:r w:rsidRPr="006C5BD8">
        <w:rPr>
          <w:rFonts w:ascii="Times New Roman" w:hAnsi="Times New Roman" w:cs="Times New Roman"/>
        </w:rPr>
        <w:t>that older adults</w:t>
      </w:r>
      <w:proofErr w:type="gramEnd"/>
      <w:r w:rsidRPr="006C5BD8">
        <w:rPr>
          <w:rFonts w:ascii="Times New Roman" w:hAnsi="Times New Roman" w:cs="Times New Roman"/>
        </w:rPr>
        <w:t xml:space="preserve"> associate ageing in place with dignity, security, and continuity of self. Losing one's home can create psychological distress and feelings of displacement. Therefore, </w:t>
      </w:r>
      <w:proofErr w:type="spellStart"/>
      <w:r w:rsidRPr="006C5BD8">
        <w:rPr>
          <w:rFonts w:ascii="Times New Roman" w:hAnsi="Times New Roman" w:cs="Times New Roman"/>
        </w:rPr>
        <w:t>prioritising</w:t>
      </w:r>
      <w:proofErr w:type="spellEnd"/>
      <w:r w:rsidRPr="006C5BD8">
        <w:rPr>
          <w:rFonts w:ascii="Times New Roman" w:hAnsi="Times New Roman" w:cs="Times New Roman"/>
        </w:rPr>
        <w:t xml:space="preserve"> ageing in place respects human rights principles, including the right to private and family life.</w:t>
      </w:r>
    </w:p>
    <w:p w14:paraId="33F01799"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Furthermore, independence is linked to better health outcomes. When older adults are encouraged to manage daily activities with appropriate support rather than becoming passive recipients of institutional care, they often retain functional abilities for longer.</w:t>
      </w:r>
    </w:p>
    <w:p w14:paraId="1CC604C0" w14:textId="77777777" w:rsidR="006C5BD8" w:rsidRPr="006C5BD8" w:rsidRDefault="006C5BD8" w:rsidP="006C5BD8">
      <w:pPr>
        <w:pStyle w:val="NoSpacing"/>
        <w:jc w:val="both"/>
        <w:rPr>
          <w:rFonts w:ascii="Times New Roman" w:hAnsi="Times New Roman" w:cs="Times New Roman"/>
        </w:rPr>
      </w:pPr>
    </w:p>
    <w:p w14:paraId="6A7782F7" w14:textId="3B3F26C8"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Evidence Supporting Argument 1</w:t>
      </w:r>
    </w:p>
    <w:p w14:paraId="43900DEE" w14:textId="54124793" w:rsidR="006C5BD8" w:rsidRPr="006C5BD8" w:rsidRDefault="006C5BD8" w:rsidP="006C5BD8">
      <w:pPr>
        <w:pStyle w:val="NoSpacing"/>
        <w:jc w:val="both"/>
        <w:rPr>
          <w:rFonts w:ascii="Times New Roman" w:hAnsi="Times New Roman" w:cs="Times New Roman"/>
        </w:rPr>
      </w:pPr>
      <w:proofErr w:type="gramStart"/>
      <w:r w:rsidRPr="006C5BD8">
        <w:rPr>
          <w:rFonts w:ascii="Times New Roman" w:hAnsi="Times New Roman" w:cs="Times New Roman"/>
        </w:rPr>
        <w:t>The majority of</w:t>
      </w:r>
      <w:proofErr w:type="gramEnd"/>
      <w:r w:rsidRPr="006C5BD8">
        <w:rPr>
          <w:rFonts w:ascii="Times New Roman" w:hAnsi="Times New Roman" w:cs="Times New Roman"/>
        </w:rPr>
        <w:t xml:space="preserve"> older adults express a preference to remain at home rather than move into residential </w:t>
      </w:r>
      <w:proofErr w:type="spellStart"/>
      <w:proofErr w:type="gramStart"/>
      <w:r w:rsidRPr="006C5BD8">
        <w:rPr>
          <w:rFonts w:ascii="Times New Roman" w:hAnsi="Times New Roman" w:cs="Times New Roman"/>
        </w:rPr>
        <w:t>care.Studies</w:t>
      </w:r>
      <w:proofErr w:type="spellEnd"/>
      <w:proofErr w:type="gramEnd"/>
      <w:r w:rsidRPr="006C5BD8">
        <w:rPr>
          <w:rFonts w:ascii="Times New Roman" w:hAnsi="Times New Roman" w:cs="Times New Roman"/>
        </w:rPr>
        <w:t xml:space="preserve"> link autonomy with improved psychological wellbeing.</w:t>
      </w:r>
    </w:p>
    <w:p w14:paraId="3A05B74E" w14:textId="1D03CE23"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Person-</w:t>
      </w:r>
      <w:proofErr w:type="spellStart"/>
      <w:r w:rsidRPr="006C5BD8">
        <w:rPr>
          <w:rFonts w:ascii="Times New Roman" w:hAnsi="Times New Roman" w:cs="Times New Roman"/>
        </w:rPr>
        <w:t>centred</w:t>
      </w:r>
      <w:proofErr w:type="spellEnd"/>
      <w:r w:rsidRPr="006C5BD8">
        <w:rPr>
          <w:rFonts w:ascii="Times New Roman" w:hAnsi="Times New Roman" w:cs="Times New Roman"/>
        </w:rPr>
        <w:t xml:space="preserve"> care policies promote individual choice and control.</w:t>
      </w:r>
      <w:r w:rsidRPr="006C5BD8">
        <w:rPr>
          <w:rFonts w:ascii="Times New Roman" w:hAnsi="Times New Roman" w:cs="Times New Roman"/>
        </w:rPr>
        <w:t xml:space="preserve"> </w:t>
      </w:r>
      <w:r w:rsidRPr="006C5BD8">
        <w:rPr>
          <w:rFonts w:ascii="Times New Roman" w:hAnsi="Times New Roman" w:cs="Times New Roman"/>
        </w:rPr>
        <w:t>Thus, ageing in place reinforces the ethical foundations of modern health and social care practice.</w:t>
      </w:r>
    </w:p>
    <w:p w14:paraId="0855EBA1" w14:textId="77777777" w:rsidR="006C5BD8" w:rsidRPr="006C5BD8" w:rsidRDefault="006C5BD8" w:rsidP="006C5BD8">
      <w:pPr>
        <w:pStyle w:val="NoSpacing"/>
        <w:jc w:val="both"/>
        <w:rPr>
          <w:rFonts w:ascii="Times New Roman" w:hAnsi="Times New Roman" w:cs="Times New Roman"/>
        </w:rPr>
      </w:pPr>
    </w:p>
    <w:p w14:paraId="3CF8C97E" w14:textId="3607DAA0"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Argument 2: Ageing in Place Can Be More Cost-Effective and Sustainable</w:t>
      </w:r>
    </w:p>
    <w:p w14:paraId="2A84C29C" w14:textId="665AF1A8"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Financial sustainability is a critical concern in health and social care systems. Residential care requires significant funding for staffing, accommodation, food provision, medical oversight, utilities, and infrastructure maintenance. These costs place a heavy burden on public funds and local authorities.</w:t>
      </w:r>
    </w:p>
    <w:p w14:paraId="7A2B24F8" w14:textId="49F5A973"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In contrast, ageing in place relies on targeted interventions such as:</w:t>
      </w:r>
    </w:p>
    <w:p w14:paraId="68D18697" w14:textId="5DD54D12"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Domiciliary care visits</w:t>
      </w:r>
      <w:r w:rsidRPr="006C5BD8">
        <w:rPr>
          <w:rFonts w:ascii="Times New Roman" w:hAnsi="Times New Roman" w:cs="Times New Roman"/>
        </w:rPr>
        <w:t xml:space="preserve">, </w:t>
      </w:r>
      <w:r w:rsidRPr="006C5BD8">
        <w:rPr>
          <w:rFonts w:ascii="Times New Roman" w:hAnsi="Times New Roman" w:cs="Times New Roman"/>
        </w:rPr>
        <w:t xml:space="preserve">Community </w:t>
      </w:r>
      <w:proofErr w:type="gramStart"/>
      <w:r w:rsidRPr="006C5BD8">
        <w:rPr>
          <w:rFonts w:ascii="Times New Roman" w:hAnsi="Times New Roman" w:cs="Times New Roman"/>
        </w:rPr>
        <w:t>nursing</w:t>
      </w:r>
      <w:r w:rsidRPr="006C5BD8">
        <w:rPr>
          <w:rFonts w:ascii="Times New Roman" w:hAnsi="Times New Roman" w:cs="Times New Roman"/>
        </w:rPr>
        <w:t xml:space="preserve"> ,</w:t>
      </w:r>
      <w:r w:rsidRPr="006C5BD8">
        <w:rPr>
          <w:rFonts w:ascii="Times New Roman" w:hAnsi="Times New Roman" w:cs="Times New Roman"/>
        </w:rPr>
        <w:t>Occupational</w:t>
      </w:r>
      <w:proofErr w:type="gramEnd"/>
      <w:r w:rsidRPr="006C5BD8">
        <w:rPr>
          <w:rFonts w:ascii="Times New Roman" w:hAnsi="Times New Roman" w:cs="Times New Roman"/>
        </w:rPr>
        <w:t xml:space="preserve"> </w:t>
      </w:r>
      <w:proofErr w:type="gramStart"/>
      <w:r w:rsidRPr="006C5BD8">
        <w:rPr>
          <w:rFonts w:ascii="Times New Roman" w:hAnsi="Times New Roman" w:cs="Times New Roman"/>
        </w:rPr>
        <w:t>therapy</w:t>
      </w:r>
      <w:r w:rsidRPr="006C5BD8">
        <w:rPr>
          <w:rFonts w:ascii="Times New Roman" w:hAnsi="Times New Roman" w:cs="Times New Roman"/>
        </w:rPr>
        <w:t xml:space="preserve"> ,</w:t>
      </w:r>
      <w:r w:rsidRPr="006C5BD8">
        <w:rPr>
          <w:rFonts w:ascii="Times New Roman" w:hAnsi="Times New Roman" w:cs="Times New Roman"/>
        </w:rPr>
        <w:t>Telehealth</w:t>
      </w:r>
      <w:proofErr w:type="gramEnd"/>
      <w:r w:rsidRPr="006C5BD8">
        <w:rPr>
          <w:rFonts w:ascii="Times New Roman" w:hAnsi="Times New Roman" w:cs="Times New Roman"/>
        </w:rPr>
        <w:t xml:space="preserve"> and assistive technologies</w:t>
      </w:r>
      <w:r w:rsidRPr="006C5BD8">
        <w:rPr>
          <w:rFonts w:ascii="Times New Roman" w:hAnsi="Times New Roman" w:cs="Times New Roman"/>
        </w:rPr>
        <w:t xml:space="preserve">, </w:t>
      </w:r>
      <w:proofErr w:type="gramStart"/>
      <w:r w:rsidRPr="006C5BD8">
        <w:rPr>
          <w:rFonts w:ascii="Times New Roman" w:hAnsi="Times New Roman" w:cs="Times New Roman"/>
        </w:rPr>
        <w:t>Home</w:t>
      </w:r>
      <w:proofErr w:type="gramEnd"/>
      <w:r w:rsidRPr="006C5BD8">
        <w:rPr>
          <w:rFonts w:ascii="Times New Roman" w:hAnsi="Times New Roman" w:cs="Times New Roman"/>
        </w:rPr>
        <w:t xml:space="preserve"> </w:t>
      </w:r>
      <w:proofErr w:type="gramStart"/>
      <w:r w:rsidRPr="006C5BD8">
        <w:rPr>
          <w:rFonts w:ascii="Times New Roman" w:hAnsi="Times New Roman" w:cs="Times New Roman"/>
        </w:rPr>
        <w:t>adaptations</w:t>
      </w:r>
      <w:r w:rsidRPr="006C5BD8">
        <w:rPr>
          <w:rFonts w:ascii="Times New Roman" w:hAnsi="Times New Roman" w:cs="Times New Roman"/>
        </w:rPr>
        <w:t xml:space="preserve"> .</w:t>
      </w:r>
      <w:r w:rsidRPr="006C5BD8">
        <w:rPr>
          <w:rFonts w:ascii="Times New Roman" w:hAnsi="Times New Roman" w:cs="Times New Roman"/>
        </w:rPr>
        <w:t>Although</w:t>
      </w:r>
      <w:proofErr w:type="gramEnd"/>
      <w:r w:rsidRPr="006C5BD8">
        <w:rPr>
          <w:rFonts w:ascii="Times New Roman" w:hAnsi="Times New Roman" w:cs="Times New Roman"/>
        </w:rPr>
        <w:t xml:space="preserve"> these services require investment, they are often less expensive than long-term residential placements.</w:t>
      </w:r>
    </w:p>
    <w:p w14:paraId="36D569F1"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Preventative community care can also reduce emergency hospital admissions. Older adults supported at home are less likely to experience avoidable crises when community services intervene early. Integrated care models that combine social care, primary care, and community health services demonstrate improved coordination and reduced duplication of services.</w:t>
      </w:r>
    </w:p>
    <w:p w14:paraId="329E65C5"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Delaying residential care placement by even a few years can generate substantial cost savings across the system.</w:t>
      </w:r>
    </w:p>
    <w:p w14:paraId="01B30758" w14:textId="77777777" w:rsidR="006C5BD8" w:rsidRPr="006C5BD8" w:rsidRDefault="006C5BD8" w:rsidP="006C5BD8">
      <w:pPr>
        <w:pStyle w:val="NoSpacing"/>
        <w:jc w:val="both"/>
        <w:rPr>
          <w:rFonts w:ascii="Times New Roman" w:hAnsi="Times New Roman" w:cs="Times New Roman"/>
        </w:rPr>
      </w:pPr>
    </w:p>
    <w:p w14:paraId="04D929C4" w14:textId="5AFA88E6"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Evidence Supporting Argument 2</w:t>
      </w:r>
    </w:p>
    <w:p w14:paraId="718B3840" w14:textId="5862C5D5"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Community-based care reduces hospital readmission rates.</w:t>
      </w:r>
    </w:p>
    <w:p w14:paraId="01617DF7" w14:textId="604C53E5"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Early intervention delays entry into costly residential care.</w:t>
      </w:r>
    </w:p>
    <w:p w14:paraId="30617493" w14:textId="6B3B5806"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Telecare and assistive technology improve safety at lower cost.</w:t>
      </w:r>
    </w:p>
    <w:p w14:paraId="25C1ECDB"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 xml:space="preserve">Given increasing demand and limited resources, </w:t>
      </w:r>
      <w:proofErr w:type="spellStart"/>
      <w:r w:rsidRPr="006C5BD8">
        <w:rPr>
          <w:rFonts w:ascii="Times New Roman" w:hAnsi="Times New Roman" w:cs="Times New Roman"/>
        </w:rPr>
        <w:t>prioritising</w:t>
      </w:r>
      <w:proofErr w:type="spellEnd"/>
      <w:r w:rsidRPr="006C5BD8">
        <w:rPr>
          <w:rFonts w:ascii="Times New Roman" w:hAnsi="Times New Roman" w:cs="Times New Roman"/>
        </w:rPr>
        <w:t xml:space="preserve"> ageing in place supports long-term sustainability.</w:t>
      </w:r>
    </w:p>
    <w:p w14:paraId="1BA8474B" w14:textId="77777777" w:rsidR="006C5BD8" w:rsidRPr="006C5BD8" w:rsidRDefault="006C5BD8" w:rsidP="006C5BD8">
      <w:pPr>
        <w:pStyle w:val="NoSpacing"/>
        <w:jc w:val="both"/>
        <w:rPr>
          <w:rFonts w:ascii="Times New Roman" w:hAnsi="Times New Roman" w:cs="Times New Roman"/>
        </w:rPr>
      </w:pPr>
    </w:p>
    <w:p w14:paraId="6FA1CBCF" w14:textId="5EACC43B"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Argument 3: Emotional, Social and Psychological Wellbeing</w:t>
      </w:r>
    </w:p>
    <w:p w14:paraId="0DF24566" w14:textId="24F0F48F"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Loneliness and social isolation are significant risk factors for poor health among older adults. Research consistently links loneliness with depression, cognitive decline, and increased mortality.</w:t>
      </w:r>
    </w:p>
    <w:p w14:paraId="662D93F7" w14:textId="4AE2E5B8"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Ageing in place allows individuals to maintain:</w:t>
      </w:r>
    </w:p>
    <w:p w14:paraId="7279A2E3" w14:textId="7D93A087" w:rsidR="006C5BD8" w:rsidRPr="006C5BD8" w:rsidRDefault="006C5BD8" w:rsidP="006C5BD8">
      <w:pPr>
        <w:pStyle w:val="NoSpacing"/>
        <w:jc w:val="both"/>
        <w:rPr>
          <w:rFonts w:ascii="Times New Roman" w:hAnsi="Times New Roman" w:cs="Times New Roman"/>
        </w:rPr>
      </w:pPr>
      <w:proofErr w:type="spellStart"/>
      <w:r w:rsidRPr="006C5BD8">
        <w:rPr>
          <w:rFonts w:ascii="Times New Roman" w:hAnsi="Times New Roman" w:cs="Times New Roman"/>
        </w:rPr>
        <w:t>Neighbourhood</w:t>
      </w:r>
      <w:proofErr w:type="spellEnd"/>
      <w:r w:rsidRPr="006C5BD8">
        <w:rPr>
          <w:rFonts w:ascii="Times New Roman" w:hAnsi="Times New Roman" w:cs="Times New Roman"/>
        </w:rPr>
        <w:t xml:space="preserve"> relationships</w:t>
      </w:r>
    </w:p>
    <w:p w14:paraId="7D864A8F" w14:textId="23824F55"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Family connections</w:t>
      </w:r>
    </w:p>
    <w:p w14:paraId="7D95C77E" w14:textId="592A461F"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Community engagement</w:t>
      </w:r>
    </w:p>
    <w:p w14:paraId="76132C99"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Cultural and religious participation</w:t>
      </w:r>
    </w:p>
    <w:p w14:paraId="58A2E54A" w14:textId="77777777" w:rsidR="006C5BD8" w:rsidRPr="006C5BD8" w:rsidRDefault="006C5BD8" w:rsidP="006C5BD8">
      <w:pPr>
        <w:pStyle w:val="NoSpacing"/>
        <w:jc w:val="both"/>
        <w:rPr>
          <w:rFonts w:ascii="Times New Roman" w:hAnsi="Times New Roman" w:cs="Times New Roman"/>
        </w:rPr>
      </w:pPr>
    </w:p>
    <w:p w14:paraId="1D0F7267" w14:textId="3788C8D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Residential care, although providing structured social interaction, may disconnect individuals from established social networks. Transitioning into care homes can trigger grief, anxiety, and adjustment difficulties</w:t>
      </w:r>
      <w:r w:rsidRPr="006C5BD8">
        <w:rPr>
          <w:rFonts w:ascii="Times New Roman" w:hAnsi="Times New Roman" w:cs="Times New Roman"/>
        </w:rPr>
        <w:t xml:space="preserve">. </w:t>
      </w:r>
      <w:r w:rsidRPr="006C5BD8">
        <w:rPr>
          <w:rFonts w:ascii="Times New Roman" w:hAnsi="Times New Roman" w:cs="Times New Roman"/>
        </w:rPr>
        <w:t>For individuals in early stages of dementia, familiar environments can reduce confusion and anxiety. Home settings provide continuity and stability that institutional settings may disrupt.</w:t>
      </w:r>
    </w:p>
    <w:p w14:paraId="74A4A099" w14:textId="77777777" w:rsidR="006C5BD8" w:rsidRPr="006C5BD8" w:rsidRDefault="006C5BD8" w:rsidP="006C5BD8">
      <w:pPr>
        <w:pStyle w:val="NoSpacing"/>
        <w:jc w:val="both"/>
        <w:rPr>
          <w:rFonts w:ascii="Times New Roman" w:hAnsi="Times New Roman" w:cs="Times New Roman"/>
        </w:rPr>
      </w:pPr>
    </w:p>
    <w:p w14:paraId="493E06FE" w14:textId="158DB3CE"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Evidence Supporting Argument 3</w:t>
      </w:r>
    </w:p>
    <w:p w14:paraId="53FF2497" w14:textId="78379530"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Social connectedness is linked to improved mental health outcomes.</w:t>
      </w:r>
    </w:p>
    <w:p w14:paraId="6A4CFA78" w14:textId="07634ADA"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 xml:space="preserve">Familiar surroundings reduce </w:t>
      </w:r>
      <w:proofErr w:type="spellStart"/>
      <w:r w:rsidRPr="006C5BD8">
        <w:rPr>
          <w:rFonts w:ascii="Times New Roman" w:hAnsi="Times New Roman" w:cs="Times New Roman"/>
        </w:rPr>
        <w:t>behavioural</w:t>
      </w:r>
      <w:proofErr w:type="spellEnd"/>
      <w:r w:rsidRPr="006C5BD8">
        <w:rPr>
          <w:rFonts w:ascii="Times New Roman" w:hAnsi="Times New Roman" w:cs="Times New Roman"/>
        </w:rPr>
        <w:t xml:space="preserve"> distress in dementia.</w:t>
      </w:r>
    </w:p>
    <w:p w14:paraId="5CDC7D5F" w14:textId="073B3CC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Community engagement enhances life satisfaction.</w:t>
      </w:r>
    </w:p>
    <w:p w14:paraId="11C2819A"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Therefore, ageing in place supports holistic wellbeing — not merely physical health.</w:t>
      </w:r>
    </w:p>
    <w:p w14:paraId="6DF2AD7C" w14:textId="77777777" w:rsidR="006C5BD8" w:rsidRPr="006C5BD8" w:rsidRDefault="006C5BD8" w:rsidP="006C5BD8">
      <w:pPr>
        <w:pStyle w:val="NoSpacing"/>
        <w:jc w:val="both"/>
        <w:rPr>
          <w:rFonts w:ascii="Times New Roman" w:hAnsi="Times New Roman" w:cs="Times New Roman"/>
        </w:rPr>
      </w:pPr>
    </w:p>
    <w:p w14:paraId="11F66543"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Responding to Opposing Arguments</w:t>
      </w:r>
    </w:p>
    <w:p w14:paraId="34976E84"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Opposing Argument 1: Residential Care Provides Greater Safety</w:t>
      </w:r>
    </w:p>
    <w:p w14:paraId="30779A1E" w14:textId="77777777" w:rsidR="006C5BD8" w:rsidRPr="006C5BD8" w:rsidRDefault="006C5BD8" w:rsidP="006C5BD8">
      <w:pPr>
        <w:pStyle w:val="NoSpacing"/>
        <w:jc w:val="both"/>
        <w:rPr>
          <w:rFonts w:ascii="Times New Roman" w:hAnsi="Times New Roman" w:cs="Times New Roman"/>
        </w:rPr>
      </w:pPr>
    </w:p>
    <w:p w14:paraId="77603468"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Critics argue that residential care ensures 24-hour supervision, reducing risks such as falls, medication errors, or neglect. From a safeguarding perspective, institutional settings appear safer.</w:t>
      </w:r>
    </w:p>
    <w:p w14:paraId="40C76CDF" w14:textId="77777777" w:rsidR="006C5BD8" w:rsidRPr="006C5BD8" w:rsidRDefault="006C5BD8" w:rsidP="006C5BD8">
      <w:pPr>
        <w:pStyle w:val="NoSpacing"/>
        <w:jc w:val="both"/>
        <w:rPr>
          <w:rFonts w:ascii="Times New Roman" w:hAnsi="Times New Roman" w:cs="Times New Roman"/>
        </w:rPr>
      </w:pPr>
    </w:p>
    <w:p w14:paraId="3DA880DA"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Critical Response</w:t>
      </w:r>
    </w:p>
    <w:p w14:paraId="0463FCDF" w14:textId="77777777" w:rsidR="006C5BD8" w:rsidRPr="006C5BD8" w:rsidRDefault="006C5BD8" w:rsidP="006C5BD8">
      <w:pPr>
        <w:pStyle w:val="NoSpacing"/>
        <w:jc w:val="both"/>
        <w:rPr>
          <w:rFonts w:ascii="Times New Roman" w:hAnsi="Times New Roman" w:cs="Times New Roman"/>
        </w:rPr>
      </w:pPr>
    </w:p>
    <w:p w14:paraId="0AE8AA0B"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While supervision is beneficial for high-risk individuals, it is incorrect to assume that residential care is inherently safer. Care home neglect scandals demonstrate that institutional environments can also pose risks.</w:t>
      </w:r>
    </w:p>
    <w:p w14:paraId="1AD00FDC" w14:textId="77777777" w:rsidR="006C5BD8" w:rsidRPr="006C5BD8" w:rsidRDefault="006C5BD8" w:rsidP="006C5BD8">
      <w:pPr>
        <w:pStyle w:val="NoSpacing"/>
        <w:jc w:val="both"/>
        <w:rPr>
          <w:rFonts w:ascii="Times New Roman" w:hAnsi="Times New Roman" w:cs="Times New Roman"/>
        </w:rPr>
      </w:pPr>
    </w:p>
    <w:p w14:paraId="3AFD36AD"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Moreover, technological advancements now allow:</w:t>
      </w:r>
    </w:p>
    <w:p w14:paraId="1F2756D4" w14:textId="77777777" w:rsidR="006C5BD8" w:rsidRPr="006C5BD8" w:rsidRDefault="006C5BD8" w:rsidP="006C5BD8">
      <w:pPr>
        <w:pStyle w:val="NoSpacing"/>
        <w:jc w:val="both"/>
        <w:rPr>
          <w:rFonts w:ascii="Times New Roman" w:hAnsi="Times New Roman" w:cs="Times New Roman"/>
        </w:rPr>
      </w:pPr>
    </w:p>
    <w:p w14:paraId="433ABD89"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Remote health monitoring</w:t>
      </w:r>
    </w:p>
    <w:p w14:paraId="3F86054A" w14:textId="77777777" w:rsidR="006C5BD8" w:rsidRPr="006C5BD8" w:rsidRDefault="006C5BD8" w:rsidP="006C5BD8">
      <w:pPr>
        <w:pStyle w:val="NoSpacing"/>
        <w:jc w:val="both"/>
        <w:rPr>
          <w:rFonts w:ascii="Times New Roman" w:hAnsi="Times New Roman" w:cs="Times New Roman"/>
        </w:rPr>
      </w:pPr>
    </w:p>
    <w:p w14:paraId="1385BD87"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Fall detection systems</w:t>
      </w:r>
    </w:p>
    <w:p w14:paraId="0CC4AF20" w14:textId="77777777" w:rsidR="006C5BD8" w:rsidRPr="006C5BD8" w:rsidRDefault="006C5BD8" w:rsidP="006C5BD8">
      <w:pPr>
        <w:pStyle w:val="NoSpacing"/>
        <w:jc w:val="both"/>
        <w:rPr>
          <w:rFonts w:ascii="Times New Roman" w:hAnsi="Times New Roman" w:cs="Times New Roman"/>
        </w:rPr>
      </w:pPr>
    </w:p>
    <w:p w14:paraId="707F123F"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Medication reminders</w:t>
      </w:r>
    </w:p>
    <w:p w14:paraId="55EC00DC" w14:textId="77777777" w:rsidR="006C5BD8" w:rsidRPr="006C5BD8" w:rsidRDefault="006C5BD8" w:rsidP="006C5BD8">
      <w:pPr>
        <w:pStyle w:val="NoSpacing"/>
        <w:jc w:val="both"/>
        <w:rPr>
          <w:rFonts w:ascii="Times New Roman" w:hAnsi="Times New Roman" w:cs="Times New Roman"/>
        </w:rPr>
      </w:pPr>
    </w:p>
    <w:p w14:paraId="59E9C911"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Emergency alarm systems</w:t>
      </w:r>
    </w:p>
    <w:p w14:paraId="78D38683" w14:textId="77777777" w:rsidR="006C5BD8" w:rsidRPr="006C5BD8" w:rsidRDefault="006C5BD8" w:rsidP="006C5BD8">
      <w:pPr>
        <w:pStyle w:val="NoSpacing"/>
        <w:jc w:val="both"/>
        <w:rPr>
          <w:rFonts w:ascii="Times New Roman" w:hAnsi="Times New Roman" w:cs="Times New Roman"/>
        </w:rPr>
      </w:pPr>
    </w:p>
    <w:p w14:paraId="65DC3AA9"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Risk should be assessed individually rather than assuming institutional care is universally safer. With proper assessment and community support, many risks can be managed effectively at home.</w:t>
      </w:r>
    </w:p>
    <w:p w14:paraId="4CC354F6" w14:textId="77777777" w:rsidR="006C5BD8" w:rsidRPr="006C5BD8" w:rsidRDefault="006C5BD8" w:rsidP="006C5BD8">
      <w:pPr>
        <w:pStyle w:val="NoSpacing"/>
        <w:jc w:val="both"/>
        <w:rPr>
          <w:rFonts w:ascii="Times New Roman" w:hAnsi="Times New Roman" w:cs="Times New Roman"/>
        </w:rPr>
      </w:pPr>
    </w:p>
    <w:p w14:paraId="7C9F4CF6"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Opposing Argument 2: Family Caregiver Burden</w:t>
      </w:r>
    </w:p>
    <w:p w14:paraId="06587348" w14:textId="77777777" w:rsidR="006C5BD8" w:rsidRPr="006C5BD8" w:rsidRDefault="006C5BD8" w:rsidP="006C5BD8">
      <w:pPr>
        <w:pStyle w:val="NoSpacing"/>
        <w:jc w:val="both"/>
        <w:rPr>
          <w:rFonts w:ascii="Times New Roman" w:hAnsi="Times New Roman" w:cs="Times New Roman"/>
        </w:rPr>
      </w:pPr>
    </w:p>
    <w:p w14:paraId="0A4B32A7"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Another argument is that ageing in place shifts responsibility onto family members, leading to stress and burnout.</w:t>
      </w:r>
    </w:p>
    <w:p w14:paraId="01E2EB91" w14:textId="77777777" w:rsidR="006C5BD8" w:rsidRPr="006C5BD8" w:rsidRDefault="006C5BD8" w:rsidP="006C5BD8">
      <w:pPr>
        <w:pStyle w:val="NoSpacing"/>
        <w:jc w:val="both"/>
        <w:rPr>
          <w:rFonts w:ascii="Times New Roman" w:hAnsi="Times New Roman" w:cs="Times New Roman"/>
        </w:rPr>
      </w:pPr>
    </w:p>
    <w:p w14:paraId="7973C44F"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Critical Response</w:t>
      </w:r>
    </w:p>
    <w:p w14:paraId="693EF21A" w14:textId="77777777" w:rsidR="006C5BD8" w:rsidRPr="006C5BD8" w:rsidRDefault="006C5BD8" w:rsidP="006C5BD8">
      <w:pPr>
        <w:pStyle w:val="NoSpacing"/>
        <w:jc w:val="both"/>
        <w:rPr>
          <w:rFonts w:ascii="Times New Roman" w:hAnsi="Times New Roman" w:cs="Times New Roman"/>
        </w:rPr>
      </w:pPr>
    </w:p>
    <w:p w14:paraId="2EDAB37A"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Caregiver burden is a genuine concern. However, the solution lies in strengthening formal support systems rather than defaulting to residential placement. Respite care, financial allowances, professional home visits, and community support groups can mitigate caregiver strain.</w:t>
      </w:r>
    </w:p>
    <w:p w14:paraId="1724159B" w14:textId="77777777" w:rsidR="006C5BD8" w:rsidRPr="006C5BD8" w:rsidRDefault="006C5BD8" w:rsidP="006C5BD8">
      <w:pPr>
        <w:pStyle w:val="NoSpacing"/>
        <w:jc w:val="both"/>
        <w:rPr>
          <w:rFonts w:ascii="Times New Roman" w:hAnsi="Times New Roman" w:cs="Times New Roman"/>
        </w:rPr>
      </w:pPr>
    </w:p>
    <w:p w14:paraId="48692D9A" w14:textId="0FD1108A"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Blaming ageing in place for caregiver stress ignores systemic underfunding of community services. The issue is not the model itself but inadequate implementation.</w:t>
      </w:r>
    </w:p>
    <w:p w14:paraId="610DD4DC" w14:textId="62743893"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Opposing Argument 3: Residential Care Offers Social Interaction</w:t>
      </w:r>
    </w:p>
    <w:p w14:paraId="6AABF561"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Some argue that care homes prevent loneliness by providing communal activities and peer interaction.</w:t>
      </w:r>
    </w:p>
    <w:p w14:paraId="61F174EF" w14:textId="77777777" w:rsidR="006C5BD8" w:rsidRPr="006C5BD8" w:rsidRDefault="006C5BD8" w:rsidP="006C5BD8">
      <w:pPr>
        <w:pStyle w:val="NoSpacing"/>
        <w:jc w:val="both"/>
        <w:rPr>
          <w:rFonts w:ascii="Times New Roman" w:hAnsi="Times New Roman" w:cs="Times New Roman"/>
        </w:rPr>
      </w:pPr>
    </w:p>
    <w:p w14:paraId="6E0DF5F9" w14:textId="1FAB5352"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Critical Response</w:t>
      </w:r>
    </w:p>
    <w:p w14:paraId="28A24D9D"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While residential settings may offer structured activities, quality of interaction varies. Social engagement in one’s own community may be more meaningful than institutional group activities. Additionally, loneliness can still occur within care homes.</w:t>
      </w:r>
    </w:p>
    <w:p w14:paraId="7588591F" w14:textId="77777777" w:rsidR="006C5BD8" w:rsidRPr="006C5BD8" w:rsidRDefault="006C5BD8" w:rsidP="006C5BD8">
      <w:pPr>
        <w:pStyle w:val="NoSpacing"/>
        <w:jc w:val="both"/>
        <w:rPr>
          <w:rFonts w:ascii="Times New Roman" w:hAnsi="Times New Roman" w:cs="Times New Roman"/>
        </w:rPr>
      </w:pPr>
    </w:p>
    <w:p w14:paraId="679D5AD7" w14:textId="0AA82432"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Balanced Perspective</w:t>
      </w:r>
    </w:p>
    <w:p w14:paraId="5A8664E2" w14:textId="788AC0B9"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It is important to acknowledge that ageing in place is not suitable for every individual. Older adults with:</w:t>
      </w:r>
    </w:p>
    <w:p w14:paraId="5FEA6706" w14:textId="2FE3E73C"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Advanced dementia</w:t>
      </w:r>
      <w:r w:rsidRPr="006C5BD8">
        <w:rPr>
          <w:rFonts w:ascii="Times New Roman" w:hAnsi="Times New Roman" w:cs="Times New Roman"/>
        </w:rPr>
        <w:t xml:space="preserve">, </w:t>
      </w:r>
      <w:r w:rsidRPr="006C5BD8">
        <w:rPr>
          <w:rFonts w:ascii="Times New Roman" w:hAnsi="Times New Roman" w:cs="Times New Roman"/>
        </w:rPr>
        <w:t>Severe frailty</w:t>
      </w:r>
      <w:r w:rsidRPr="006C5BD8">
        <w:rPr>
          <w:rFonts w:ascii="Times New Roman" w:hAnsi="Times New Roman" w:cs="Times New Roman"/>
        </w:rPr>
        <w:t xml:space="preserve">, </w:t>
      </w:r>
      <w:r w:rsidRPr="006C5BD8">
        <w:rPr>
          <w:rFonts w:ascii="Times New Roman" w:hAnsi="Times New Roman" w:cs="Times New Roman"/>
        </w:rPr>
        <w:t>Complex medical needs</w:t>
      </w:r>
      <w:r w:rsidRPr="006C5BD8">
        <w:rPr>
          <w:rFonts w:ascii="Times New Roman" w:hAnsi="Times New Roman" w:cs="Times New Roman"/>
        </w:rPr>
        <w:t xml:space="preserve">, </w:t>
      </w:r>
      <w:r w:rsidRPr="006C5BD8">
        <w:rPr>
          <w:rFonts w:ascii="Times New Roman" w:hAnsi="Times New Roman" w:cs="Times New Roman"/>
        </w:rPr>
        <w:t>High safeguarding risks</w:t>
      </w:r>
      <w:r w:rsidRPr="006C5BD8">
        <w:rPr>
          <w:rFonts w:ascii="Times New Roman" w:hAnsi="Times New Roman" w:cs="Times New Roman"/>
        </w:rPr>
        <w:t xml:space="preserve"> </w:t>
      </w:r>
      <w:r w:rsidRPr="006C5BD8">
        <w:rPr>
          <w:rFonts w:ascii="Times New Roman" w:hAnsi="Times New Roman" w:cs="Times New Roman"/>
        </w:rPr>
        <w:t>may require residential or nursing care for their safety and wellbeing.</w:t>
      </w:r>
      <w:r w:rsidRPr="006C5BD8">
        <w:rPr>
          <w:rFonts w:ascii="Times New Roman" w:hAnsi="Times New Roman" w:cs="Times New Roman"/>
        </w:rPr>
        <w:t xml:space="preserve"> </w:t>
      </w:r>
      <w:r w:rsidRPr="006C5BD8">
        <w:rPr>
          <w:rFonts w:ascii="Times New Roman" w:hAnsi="Times New Roman" w:cs="Times New Roman"/>
        </w:rPr>
        <w:t xml:space="preserve">Therefore, the debate should not frame the issue as an absolute choice but rather a continuum of care, where ageing in place is </w:t>
      </w:r>
      <w:proofErr w:type="spellStart"/>
      <w:r w:rsidRPr="006C5BD8">
        <w:rPr>
          <w:rFonts w:ascii="Times New Roman" w:hAnsi="Times New Roman" w:cs="Times New Roman"/>
        </w:rPr>
        <w:t>prioritised</w:t>
      </w:r>
      <w:proofErr w:type="spellEnd"/>
      <w:r w:rsidRPr="006C5BD8">
        <w:rPr>
          <w:rFonts w:ascii="Times New Roman" w:hAnsi="Times New Roman" w:cs="Times New Roman"/>
        </w:rPr>
        <w:t xml:space="preserve"> whenever safely possible.</w:t>
      </w:r>
    </w:p>
    <w:p w14:paraId="3E7F3476" w14:textId="77777777" w:rsidR="006C5BD8" w:rsidRPr="006C5BD8" w:rsidRDefault="006C5BD8" w:rsidP="006C5BD8">
      <w:pPr>
        <w:pStyle w:val="NoSpacing"/>
        <w:jc w:val="both"/>
        <w:rPr>
          <w:rFonts w:ascii="Times New Roman" w:hAnsi="Times New Roman" w:cs="Times New Roman"/>
        </w:rPr>
      </w:pPr>
    </w:p>
    <w:p w14:paraId="42D32306" w14:textId="552AADBB"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Conclusion</w:t>
      </w:r>
    </w:p>
    <w:p w14:paraId="6EBF7145" w14:textId="6157BCF8"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 xml:space="preserve">In conclusion, health and social care services should </w:t>
      </w:r>
      <w:proofErr w:type="spellStart"/>
      <w:r w:rsidRPr="006C5BD8">
        <w:rPr>
          <w:rFonts w:ascii="Times New Roman" w:hAnsi="Times New Roman" w:cs="Times New Roman"/>
        </w:rPr>
        <w:t>prioritise</w:t>
      </w:r>
      <w:proofErr w:type="spellEnd"/>
      <w:r w:rsidRPr="006C5BD8">
        <w:rPr>
          <w:rFonts w:ascii="Times New Roman" w:hAnsi="Times New Roman" w:cs="Times New Roman"/>
        </w:rPr>
        <w:t xml:space="preserve"> ageing in place because it:</w:t>
      </w:r>
    </w:p>
    <w:p w14:paraId="0301DF33" w14:textId="7DF94E5B"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Promotes autonomy and dignity</w:t>
      </w:r>
    </w:p>
    <w:p w14:paraId="15C7251A" w14:textId="603FF836"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Supports emotional and social wellbeing</w:t>
      </w:r>
    </w:p>
    <w:p w14:paraId="2151F5F6" w14:textId="7291334C"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Aligns with person-</w:t>
      </w:r>
      <w:proofErr w:type="spellStart"/>
      <w:r w:rsidRPr="006C5BD8">
        <w:rPr>
          <w:rFonts w:ascii="Times New Roman" w:hAnsi="Times New Roman" w:cs="Times New Roman"/>
        </w:rPr>
        <w:t>centred</w:t>
      </w:r>
      <w:proofErr w:type="spellEnd"/>
      <w:r w:rsidRPr="006C5BD8">
        <w:rPr>
          <w:rFonts w:ascii="Times New Roman" w:hAnsi="Times New Roman" w:cs="Times New Roman"/>
        </w:rPr>
        <w:t xml:space="preserve"> care principles</w:t>
      </w:r>
    </w:p>
    <w:p w14:paraId="60559C7B" w14:textId="77777777"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Offers potential cost-effectiveness and sustainability</w:t>
      </w:r>
    </w:p>
    <w:p w14:paraId="3B26519D" w14:textId="4769F29B" w:rsidR="006C5BD8"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Residential care remains an essential safety net for individuals with complex needs. However, it should not replace community-based care when individuals can safely remain at home.</w:t>
      </w:r>
    </w:p>
    <w:p w14:paraId="0202BC27" w14:textId="4815BE70" w:rsidR="004A0DD0" w:rsidRPr="006C5BD8" w:rsidRDefault="006C5BD8" w:rsidP="006C5BD8">
      <w:pPr>
        <w:pStyle w:val="NoSpacing"/>
        <w:jc w:val="both"/>
        <w:rPr>
          <w:rFonts w:ascii="Times New Roman" w:hAnsi="Times New Roman" w:cs="Times New Roman"/>
        </w:rPr>
      </w:pPr>
      <w:r w:rsidRPr="006C5BD8">
        <w:rPr>
          <w:rFonts w:ascii="Times New Roman" w:hAnsi="Times New Roman" w:cs="Times New Roman"/>
        </w:rPr>
        <w:t>A rebalanced system that invests in community services, caregiver support, and assistive technologies represents the most ethical and sustainable approach to supporting older adults in contemporary health and social care systems.</w:t>
      </w:r>
    </w:p>
    <w:p w14:paraId="3CC74534" w14:textId="77777777" w:rsidR="006C5BD8" w:rsidRPr="006C5BD8" w:rsidRDefault="006C5BD8" w:rsidP="006C5BD8">
      <w:pPr>
        <w:pStyle w:val="NoSpacing"/>
        <w:jc w:val="both"/>
        <w:rPr>
          <w:rFonts w:ascii="Times New Roman" w:hAnsi="Times New Roman" w:cs="Times New Roman"/>
        </w:rPr>
      </w:pPr>
    </w:p>
    <w:p w14:paraId="25303830" w14:textId="7A04095A" w:rsidR="006C5BD8" w:rsidRPr="006C5BD8" w:rsidRDefault="006C5BD8" w:rsidP="006C5BD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C5BD8">
        <w:rPr>
          <w:rFonts w:ascii="Times New Roman" w:eastAsia="Times New Roman" w:hAnsi="Times New Roman" w:cs="Times New Roman"/>
          <w:b/>
          <w:bCs/>
          <w:kern w:val="0"/>
          <w:sz w:val="36"/>
          <w:szCs w:val="36"/>
          <w14:ligatures w14:val="none"/>
        </w:rPr>
        <w:t xml:space="preserve">References </w:t>
      </w:r>
    </w:p>
    <w:p w14:paraId="45E849F3"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Age UK (2022) </w:t>
      </w:r>
      <w:r w:rsidRPr="006C5BD8">
        <w:rPr>
          <w:rFonts w:ascii="Times New Roman" w:eastAsia="Times New Roman" w:hAnsi="Times New Roman" w:cs="Times New Roman"/>
          <w:i/>
          <w:iCs/>
          <w:kern w:val="0"/>
          <w14:ligatures w14:val="none"/>
        </w:rPr>
        <w:t>Loneliness and isolation in later life</w:t>
      </w:r>
      <w:r w:rsidRPr="006C5BD8">
        <w:rPr>
          <w:rFonts w:ascii="Times New Roman" w:eastAsia="Times New Roman" w:hAnsi="Times New Roman" w:cs="Times New Roman"/>
          <w:kern w:val="0"/>
          <w14:ligatures w14:val="none"/>
        </w:rPr>
        <w:t>. London: Age UK.</w:t>
      </w:r>
    </w:p>
    <w:p w14:paraId="7B69D82C"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Age UK (2023) </w:t>
      </w:r>
      <w:r w:rsidRPr="006C5BD8">
        <w:rPr>
          <w:rFonts w:ascii="Times New Roman" w:eastAsia="Times New Roman" w:hAnsi="Times New Roman" w:cs="Times New Roman"/>
          <w:i/>
          <w:iCs/>
          <w:kern w:val="0"/>
          <w14:ligatures w14:val="none"/>
        </w:rPr>
        <w:t>Later life in the United Kingdom</w:t>
      </w:r>
      <w:r w:rsidRPr="006C5BD8">
        <w:rPr>
          <w:rFonts w:ascii="Times New Roman" w:eastAsia="Times New Roman" w:hAnsi="Times New Roman" w:cs="Times New Roman"/>
          <w:kern w:val="0"/>
          <w14:ligatures w14:val="none"/>
        </w:rPr>
        <w:t>. London: Age UK.</w:t>
      </w:r>
    </w:p>
    <w:p w14:paraId="26971B94"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Alzheimer’s Society (2021) </w:t>
      </w:r>
      <w:r w:rsidRPr="006C5BD8">
        <w:rPr>
          <w:rFonts w:ascii="Times New Roman" w:eastAsia="Times New Roman" w:hAnsi="Times New Roman" w:cs="Times New Roman"/>
          <w:i/>
          <w:iCs/>
          <w:kern w:val="0"/>
          <w14:ligatures w14:val="none"/>
        </w:rPr>
        <w:t>Dementia-friendly communities: Evidence and impact</w:t>
      </w:r>
      <w:r w:rsidRPr="006C5BD8">
        <w:rPr>
          <w:rFonts w:ascii="Times New Roman" w:eastAsia="Times New Roman" w:hAnsi="Times New Roman" w:cs="Times New Roman"/>
          <w:kern w:val="0"/>
          <w14:ligatures w14:val="none"/>
        </w:rPr>
        <w:t>. London: Alzheimer’s Society.</w:t>
      </w:r>
    </w:p>
    <w:p w14:paraId="0E09BF88"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Bowers, B., Esmond, S. and Jacobson, N. (2020) ‘The relationship between housing and health for older adults’, </w:t>
      </w:r>
      <w:r w:rsidRPr="006C5BD8">
        <w:rPr>
          <w:rFonts w:ascii="Times New Roman" w:eastAsia="Times New Roman" w:hAnsi="Times New Roman" w:cs="Times New Roman"/>
          <w:i/>
          <w:iCs/>
          <w:kern w:val="0"/>
          <w14:ligatures w14:val="none"/>
        </w:rPr>
        <w:t>Journal of Housing for the Elderly</w:t>
      </w:r>
      <w:r w:rsidRPr="006C5BD8">
        <w:rPr>
          <w:rFonts w:ascii="Times New Roman" w:eastAsia="Times New Roman" w:hAnsi="Times New Roman" w:cs="Times New Roman"/>
          <w:kern w:val="0"/>
          <w14:ligatures w14:val="none"/>
        </w:rPr>
        <w:t>, 34(2), pp. 123–140.</w:t>
      </w:r>
    </w:p>
    <w:p w14:paraId="270571D1"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Boyd, C.M., Landefeld, C.S., Counsell, S.R. et al. (2005) ‘Recovery of activities of daily living in older adults after hospitalization’, </w:t>
      </w:r>
      <w:r w:rsidRPr="006C5BD8">
        <w:rPr>
          <w:rFonts w:ascii="Times New Roman" w:eastAsia="Times New Roman" w:hAnsi="Times New Roman" w:cs="Times New Roman"/>
          <w:i/>
          <w:iCs/>
          <w:kern w:val="0"/>
          <w14:ligatures w14:val="none"/>
        </w:rPr>
        <w:t>Journal of the American Geriatrics Society</w:t>
      </w:r>
      <w:r w:rsidRPr="006C5BD8">
        <w:rPr>
          <w:rFonts w:ascii="Times New Roman" w:eastAsia="Times New Roman" w:hAnsi="Times New Roman" w:cs="Times New Roman"/>
          <w:kern w:val="0"/>
          <w14:ligatures w14:val="none"/>
        </w:rPr>
        <w:t>, 53(12), pp. 2171–2179.</w:t>
      </w:r>
    </w:p>
    <w:p w14:paraId="16EC1540"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Department of Health and Social Care (2021) </w:t>
      </w:r>
      <w:r w:rsidRPr="006C5BD8">
        <w:rPr>
          <w:rFonts w:ascii="Times New Roman" w:eastAsia="Times New Roman" w:hAnsi="Times New Roman" w:cs="Times New Roman"/>
          <w:i/>
          <w:iCs/>
          <w:kern w:val="0"/>
          <w14:ligatures w14:val="none"/>
        </w:rPr>
        <w:t>People at the heart of care: Adult social care reform</w:t>
      </w:r>
      <w:r w:rsidRPr="006C5BD8">
        <w:rPr>
          <w:rFonts w:ascii="Times New Roman" w:eastAsia="Times New Roman" w:hAnsi="Times New Roman" w:cs="Times New Roman"/>
          <w:kern w:val="0"/>
          <w14:ligatures w14:val="none"/>
        </w:rPr>
        <w:t>. London: DHSC.</w:t>
      </w:r>
    </w:p>
    <w:p w14:paraId="79F8062C"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Department of Health and Social Care (2022) </w:t>
      </w:r>
      <w:r w:rsidRPr="006C5BD8">
        <w:rPr>
          <w:rFonts w:ascii="Times New Roman" w:eastAsia="Times New Roman" w:hAnsi="Times New Roman" w:cs="Times New Roman"/>
          <w:i/>
          <w:iCs/>
          <w:kern w:val="0"/>
          <w14:ligatures w14:val="none"/>
        </w:rPr>
        <w:t>Integration and innovation: Working together to improve health and social care</w:t>
      </w:r>
      <w:r w:rsidRPr="006C5BD8">
        <w:rPr>
          <w:rFonts w:ascii="Times New Roman" w:eastAsia="Times New Roman" w:hAnsi="Times New Roman" w:cs="Times New Roman"/>
          <w:kern w:val="0"/>
          <w14:ligatures w14:val="none"/>
        </w:rPr>
        <w:t>. London: DHSC.</w:t>
      </w:r>
    </w:p>
    <w:p w14:paraId="3B11C297"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proofErr w:type="spellStart"/>
      <w:r w:rsidRPr="006C5BD8">
        <w:rPr>
          <w:rFonts w:ascii="Times New Roman" w:eastAsia="Times New Roman" w:hAnsi="Times New Roman" w:cs="Times New Roman"/>
          <w:kern w:val="0"/>
          <w14:ligatures w14:val="none"/>
        </w:rPr>
        <w:t>Dunér</w:t>
      </w:r>
      <w:proofErr w:type="spellEnd"/>
      <w:r w:rsidRPr="006C5BD8">
        <w:rPr>
          <w:rFonts w:ascii="Times New Roman" w:eastAsia="Times New Roman" w:hAnsi="Times New Roman" w:cs="Times New Roman"/>
          <w:kern w:val="0"/>
          <w14:ligatures w14:val="none"/>
        </w:rPr>
        <w:t xml:space="preserve">, A. and Nordström, M. (2018) ‘Intentions and strategies among elderly people: Coping with ageing at home’, </w:t>
      </w:r>
      <w:r w:rsidRPr="006C5BD8">
        <w:rPr>
          <w:rFonts w:ascii="Times New Roman" w:eastAsia="Times New Roman" w:hAnsi="Times New Roman" w:cs="Times New Roman"/>
          <w:i/>
          <w:iCs/>
          <w:kern w:val="0"/>
          <w14:ligatures w14:val="none"/>
        </w:rPr>
        <w:t>Journal of Aging Studies</w:t>
      </w:r>
      <w:r w:rsidRPr="006C5BD8">
        <w:rPr>
          <w:rFonts w:ascii="Times New Roman" w:eastAsia="Times New Roman" w:hAnsi="Times New Roman" w:cs="Times New Roman"/>
          <w:kern w:val="0"/>
          <w14:ligatures w14:val="none"/>
        </w:rPr>
        <w:t>, 47, pp. 38–45.</w:t>
      </w:r>
    </w:p>
    <w:p w14:paraId="3362F765"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proofErr w:type="spellStart"/>
      <w:r w:rsidRPr="006C5BD8">
        <w:rPr>
          <w:rFonts w:ascii="Times New Roman" w:eastAsia="Times New Roman" w:hAnsi="Times New Roman" w:cs="Times New Roman"/>
          <w:kern w:val="0"/>
          <w14:ligatures w14:val="none"/>
        </w:rPr>
        <w:t>Gobbens</w:t>
      </w:r>
      <w:proofErr w:type="spellEnd"/>
      <w:r w:rsidRPr="006C5BD8">
        <w:rPr>
          <w:rFonts w:ascii="Times New Roman" w:eastAsia="Times New Roman" w:hAnsi="Times New Roman" w:cs="Times New Roman"/>
          <w:kern w:val="0"/>
          <w14:ligatures w14:val="none"/>
        </w:rPr>
        <w:t xml:space="preserve">, R.J.J. and van Assen, M.A.L.M. (2017) ‘Explaining frailty by lifestyle’, </w:t>
      </w:r>
      <w:r w:rsidRPr="006C5BD8">
        <w:rPr>
          <w:rFonts w:ascii="Times New Roman" w:eastAsia="Times New Roman" w:hAnsi="Times New Roman" w:cs="Times New Roman"/>
          <w:i/>
          <w:iCs/>
          <w:kern w:val="0"/>
          <w14:ligatures w14:val="none"/>
        </w:rPr>
        <w:t>Archives of Gerontology and Geriatrics</w:t>
      </w:r>
      <w:r w:rsidRPr="006C5BD8">
        <w:rPr>
          <w:rFonts w:ascii="Times New Roman" w:eastAsia="Times New Roman" w:hAnsi="Times New Roman" w:cs="Times New Roman"/>
          <w:kern w:val="0"/>
          <w14:ligatures w14:val="none"/>
        </w:rPr>
        <w:t>, 69, pp. 27–33.</w:t>
      </w:r>
    </w:p>
    <w:p w14:paraId="76B99DAD"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HM Government (2021) </w:t>
      </w:r>
      <w:r w:rsidRPr="006C5BD8">
        <w:rPr>
          <w:rFonts w:ascii="Times New Roman" w:eastAsia="Times New Roman" w:hAnsi="Times New Roman" w:cs="Times New Roman"/>
          <w:i/>
          <w:iCs/>
          <w:kern w:val="0"/>
          <w14:ligatures w14:val="none"/>
        </w:rPr>
        <w:t>Build back better: Our plan for health and social care</w:t>
      </w:r>
      <w:r w:rsidRPr="006C5BD8">
        <w:rPr>
          <w:rFonts w:ascii="Times New Roman" w:eastAsia="Times New Roman" w:hAnsi="Times New Roman" w:cs="Times New Roman"/>
          <w:kern w:val="0"/>
          <w14:ligatures w14:val="none"/>
        </w:rPr>
        <w:t>. London: HMSO.</w:t>
      </w:r>
    </w:p>
    <w:p w14:paraId="49E2FAB2"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Kingston, A., Wohland, P., Wittenberg, R. et al. (2018) ‘Is late-life dependency increasing or not?’, </w:t>
      </w:r>
      <w:r w:rsidRPr="006C5BD8">
        <w:rPr>
          <w:rFonts w:ascii="Times New Roman" w:eastAsia="Times New Roman" w:hAnsi="Times New Roman" w:cs="Times New Roman"/>
          <w:i/>
          <w:iCs/>
          <w:kern w:val="0"/>
          <w14:ligatures w14:val="none"/>
        </w:rPr>
        <w:t>The Lancet</w:t>
      </w:r>
      <w:r w:rsidRPr="006C5BD8">
        <w:rPr>
          <w:rFonts w:ascii="Times New Roman" w:eastAsia="Times New Roman" w:hAnsi="Times New Roman" w:cs="Times New Roman"/>
          <w:kern w:val="0"/>
          <w14:ligatures w14:val="none"/>
        </w:rPr>
        <w:t>, 391(10148), pp. 2426–2437.</w:t>
      </w:r>
    </w:p>
    <w:p w14:paraId="23B85A74"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Local Government Association (2022) </w:t>
      </w:r>
      <w:r w:rsidRPr="006C5BD8">
        <w:rPr>
          <w:rFonts w:ascii="Times New Roman" w:eastAsia="Times New Roman" w:hAnsi="Times New Roman" w:cs="Times New Roman"/>
          <w:i/>
          <w:iCs/>
          <w:kern w:val="0"/>
          <w14:ligatures w14:val="none"/>
        </w:rPr>
        <w:t>Housing our ageing population</w:t>
      </w:r>
      <w:r w:rsidRPr="006C5BD8">
        <w:rPr>
          <w:rFonts w:ascii="Times New Roman" w:eastAsia="Times New Roman" w:hAnsi="Times New Roman" w:cs="Times New Roman"/>
          <w:kern w:val="0"/>
          <w14:ligatures w14:val="none"/>
        </w:rPr>
        <w:t>. London: LGA.</w:t>
      </w:r>
    </w:p>
    <w:p w14:paraId="7272DB2B"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Means, R. (</w:t>
      </w:r>
      <w:proofErr w:type="gramStart"/>
      <w:r w:rsidRPr="006C5BD8">
        <w:rPr>
          <w:rFonts w:ascii="Times New Roman" w:eastAsia="Times New Roman" w:hAnsi="Times New Roman" w:cs="Times New Roman"/>
          <w:kern w:val="0"/>
          <w14:ligatures w14:val="none"/>
        </w:rPr>
        <w:t>2007) ‘</w:t>
      </w:r>
      <w:proofErr w:type="gramEnd"/>
      <w:r w:rsidRPr="006C5BD8">
        <w:rPr>
          <w:rFonts w:ascii="Times New Roman" w:eastAsia="Times New Roman" w:hAnsi="Times New Roman" w:cs="Times New Roman"/>
          <w:kern w:val="0"/>
          <w14:ligatures w14:val="none"/>
        </w:rPr>
        <w:t xml:space="preserve">Safe as houses? Ageing in place and vulnerable older people in the UK’, </w:t>
      </w:r>
      <w:r w:rsidRPr="006C5BD8">
        <w:rPr>
          <w:rFonts w:ascii="Times New Roman" w:eastAsia="Times New Roman" w:hAnsi="Times New Roman" w:cs="Times New Roman"/>
          <w:i/>
          <w:iCs/>
          <w:kern w:val="0"/>
          <w14:ligatures w14:val="none"/>
        </w:rPr>
        <w:t>Social Policy &amp; Administration</w:t>
      </w:r>
      <w:r w:rsidRPr="006C5BD8">
        <w:rPr>
          <w:rFonts w:ascii="Times New Roman" w:eastAsia="Times New Roman" w:hAnsi="Times New Roman" w:cs="Times New Roman"/>
          <w:kern w:val="0"/>
          <w14:ligatures w14:val="none"/>
        </w:rPr>
        <w:t>, 41(1), pp. 65–85.</w:t>
      </w:r>
    </w:p>
    <w:p w14:paraId="3B4F0851"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NHS Digital (2022) </w:t>
      </w:r>
      <w:r w:rsidRPr="006C5BD8">
        <w:rPr>
          <w:rFonts w:ascii="Times New Roman" w:eastAsia="Times New Roman" w:hAnsi="Times New Roman" w:cs="Times New Roman"/>
          <w:i/>
          <w:iCs/>
          <w:kern w:val="0"/>
          <w14:ligatures w14:val="none"/>
        </w:rPr>
        <w:t>Health and care of older people in England</w:t>
      </w:r>
      <w:r w:rsidRPr="006C5BD8">
        <w:rPr>
          <w:rFonts w:ascii="Times New Roman" w:eastAsia="Times New Roman" w:hAnsi="Times New Roman" w:cs="Times New Roman"/>
          <w:kern w:val="0"/>
          <w14:ligatures w14:val="none"/>
        </w:rPr>
        <w:t>. London: NHS Digital.</w:t>
      </w:r>
    </w:p>
    <w:p w14:paraId="61FEE377"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NHS England (2023) </w:t>
      </w:r>
      <w:r w:rsidRPr="006C5BD8">
        <w:rPr>
          <w:rFonts w:ascii="Times New Roman" w:eastAsia="Times New Roman" w:hAnsi="Times New Roman" w:cs="Times New Roman"/>
          <w:i/>
          <w:iCs/>
          <w:kern w:val="0"/>
          <w14:ligatures w14:val="none"/>
        </w:rPr>
        <w:t>Community health services framework</w:t>
      </w:r>
      <w:r w:rsidRPr="006C5BD8">
        <w:rPr>
          <w:rFonts w:ascii="Times New Roman" w:eastAsia="Times New Roman" w:hAnsi="Times New Roman" w:cs="Times New Roman"/>
          <w:kern w:val="0"/>
          <w14:ligatures w14:val="none"/>
        </w:rPr>
        <w:t>. London: NHS England.</w:t>
      </w:r>
    </w:p>
    <w:p w14:paraId="0A69367B"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Oliver, D., Foot, C. and Humphries, R. (2014) </w:t>
      </w:r>
      <w:r w:rsidRPr="006C5BD8">
        <w:rPr>
          <w:rFonts w:ascii="Times New Roman" w:eastAsia="Times New Roman" w:hAnsi="Times New Roman" w:cs="Times New Roman"/>
          <w:i/>
          <w:iCs/>
          <w:kern w:val="0"/>
          <w14:ligatures w14:val="none"/>
        </w:rPr>
        <w:t>Making our health and care systems fit for an ageing population</w:t>
      </w:r>
      <w:r w:rsidRPr="006C5BD8">
        <w:rPr>
          <w:rFonts w:ascii="Times New Roman" w:eastAsia="Times New Roman" w:hAnsi="Times New Roman" w:cs="Times New Roman"/>
          <w:kern w:val="0"/>
          <w14:ligatures w14:val="none"/>
        </w:rPr>
        <w:t>. London: The King’s Fund.</w:t>
      </w:r>
    </w:p>
    <w:p w14:paraId="015BD5E5"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Public Health England (2022) </w:t>
      </w:r>
      <w:r w:rsidRPr="006C5BD8">
        <w:rPr>
          <w:rFonts w:ascii="Times New Roman" w:eastAsia="Times New Roman" w:hAnsi="Times New Roman" w:cs="Times New Roman"/>
          <w:i/>
          <w:iCs/>
          <w:kern w:val="0"/>
          <w14:ligatures w14:val="none"/>
        </w:rPr>
        <w:t>Health and wellbeing in later life</w:t>
      </w:r>
      <w:r w:rsidRPr="006C5BD8">
        <w:rPr>
          <w:rFonts w:ascii="Times New Roman" w:eastAsia="Times New Roman" w:hAnsi="Times New Roman" w:cs="Times New Roman"/>
          <w:kern w:val="0"/>
          <w14:ligatures w14:val="none"/>
        </w:rPr>
        <w:t>. London: PHE.</w:t>
      </w:r>
    </w:p>
    <w:p w14:paraId="3B295110"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Sixsmith, A. and Sixsmith, J. (2008) ‘Ageing in place in the United Kingdom’, </w:t>
      </w:r>
      <w:r w:rsidRPr="006C5BD8">
        <w:rPr>
          <w:rFonts w:ascii="Times New Roman" w:eastAsia="Times New Roman" w:hAnsi="Times New Roman" w:cs="Times New Roman"/>
          <w:i/>
          <w:iCs/>
          <w:kern w:val="0"/>
          <w14:ligatures w14:val="none"/>
        </w:rPr>
        <w:t>Ageing International</w:t>
      </w:r>
      <w:r w:rsidRPr="006C5BD8">
        <w:rPr>
          <w:rFonts w:ascii="Times New Roman" w:eastAsia="Times New Roman" w:hAnsi="Times New Roman" w:cs="Times New Roman"/>
          <w:kern w:val="0"/>
          <w14:ligatures w14:val="none"/>
        </w:rPr>
        <w:t>, 32(3), pp. 219–235.</w:t>
      </w:r>
    </w:p>
    <w:p w14:paraId="3B17A65C"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The King’s Fund (2023) </w:t>
      </w:r>
      <w:r w:rsidRPr="006C5BD8">
        <w:rPr>
          <w:rFonts w:ascii="Times New Roman" w:eastAsia="Times New Roman" w:hAnsi="Times New Roman" w:cs="Times New Roman"/>
          <w:i/>
          <w:iCs/>
          <w:kern w:val="0"/>
          <w14:ligatures w14:val="none"/>
        </w:rPr>
        <w:t>Social care for older people: Challenges and opportunities</w:t>
      </w:r>
      <w:r w:rsidRPr="006C5BD8">
        <w:rPr>
          <w:rFonts w:ascii="Times New Roman" w:eastAsia="Times New Roman" w:hAnsi="Times New Roman" w:cs="Times New Roman"/>
          <w:kern w:val="0"/>
          <w14:ligatures w14:val="none"/>
        </w:rPr>
        <w:t>. London: The King’s Fund.</w:t>
      </w:r>
    </w:p>
    <w:p w14:paraId="1555EAAC"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Victor, C.R., </w:t>
      </w:r>
      <w:proofErr w:type="spellStart"/>
      <w:r w:rsidRPr="006C5BD8">
        <w:rPr>
          <w:rFonts w:ascii="Times New Roman" w:eastAsia="Times New Roman" w:hAnsi="Times New Roman" w:cs="Times New Roman"/>
          <w:kern w:val="0"/>
          <w14:ligatures w14:val="none"/>
        </w:rPr>
        <w:t>Scambler</w:t>
      </w:r>
      <w:proofErr w:type="spellEnd"/>
      <w:r w:rsidRPr="006C5BD8">
        <w:rPr>
          <w:rFonts w:ascii="Times New Roman" w:eastAsia="Times New Roman" w:hAnsi="Times New Roman" w:cs="Times New Roman"/>
          <w:kern w:val="0"/>
          <w14:ligatures w14:val="none"/>
        </w:rPr>
        <w:t xml:space="preserve">, S.J., Bowling, A. and Bond, J. (2005) ‘The prevalence of, and risk factors for, loneliness in later life’, </w:t>
      </w:r>
      <w:r w:rsidRPr="006C5BD8">
        <w:rPr>
          <w:rFonts w:ascii="Times New Roman" w:eastAsia="Times New Roman" w:hAnsi="Times New Roman" w:cs="Times New Roman"/>
          <w:i/>
          <w:iCs/>
          <w:kern w:val="0"/>
          <w14:ligatures w14:val="none"/>
        </w:rPr>
        <w:t>Ageing &amp; Society</w:t>
      </w:r>
      <w:r w:rsidRPr="006C5BD8">
        <w:rPr>
          <w:rFonts w:ascii="Times New Roman" w:eastAsia="Times New Roman" w:hAnsi="Times New Roman" w:cs="Times New Roman"/>
          <w:kern w:val="0"/>
          <w14:ligatures w14:val="none"/>
        </w:rPr>
        <w:t>, 25(3), pp. 357–375.</w:t>
      </w:r>
    </w:p>
    <w:p w14:paraId="1C187465"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Wiles, J.L., </w:t>
      </w:r>
      <w:proofErr w:type="spellStart"/>
      <w:r w:rsidRPr="006C5BD8">
        <w:rPr>
          <w:rFonts w:ascii="Times New Roman" w:eastAsia="Times New Roman" w:hAnsi="Times New Roman" w:cs="Times New Roman"/>
          <w:kern w:val="0"/>
          <w14:ligatures w14:val="none"/>
        </w:rPr>
        <w:t>Leibing</w:t>
      </w:r>
      <w:proofErr w:type="spellEnd"/>
      <w:r w:rsidRPr="006C5BD8">
        <w:rPr>
          <w:rFonts w:ascii="Times New Roman" w:eastAsia="Times New Roman" w:hAnsi="Times New Roman" w:cs="Times New Roman"/>
          <w:kern w:val="0"/>
          <w14:ligatures w14:val="none"/>
        </w:rPr>
        <w:t xml:space="preserve">, A., Guberman, N., Reeve, J. and Allen, R.E.S. (2012) ‘The meaning of ageing in place to older people’, </w:t>
      </w:r>
      <w:r w:rsidRPr="006C5BD8">
        <w:rPr>
          <w:rFonts w:ascii="Times New Roman" w:eastAsia="Times New Roman" w:hAnsi="Times New Roman" w:cs="Times New Roman"/>
          <w:i/>
          <w:iCs/>
          <w:kern w:val="0"/>
          <w14:ligatures w14:val="none"/>
        </w:rPr>
        <w:t>The Gerontologist</w:t>
      </w:r>
      <w:r w:rsidRPr="006C5BD8">
        <w:rPr>
          <w:rFonts w:ascii="Times New Roman" w:eastAsia="Times New Roman" w:hAnsi="Times New Roman" w:cs="Times New Roman"/>
          <w:kern w:val="0"/>
          <w14:ligatures w14:val="none"/>
        </w:rPr>
        <w:t>, 52(3), pp. 357–366.</w:t>
      </w:r>
    </w:p>
    <w:p w14:paraId="71360B19"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World Health Organization (2015) </w:t>
      </w:r>
      <w:r w:rsidRPr="006C5BD8">
        <w:rPr>
          <w:rFonts w:ascii="Times New Roman" w:eastAsia="Times New Roman" w:hAnsi="Times New Roman" w:cs="Times New Roman"/>
          <w:i/>
          <w:iCs/>
          <w:kern w:val="0"/>
          <w14:ligatures w14:val="none"/>
        </w:rPr>
        <w:t>World report on ageing and health</w:t>
      </w:r>
      <w:r w:rsidRPr="006C5BD8">
        <w:rPr>
          <w:rFonts w:ascii="Times New Roman" w:eastAsia="Times New Roman" w:hAnsi="Times New Roman" w:cs="Times New Roman"/>
          <w:kern w:val="0"/>
          <w14:ligatures w14:val="none"/>
        </w:rPr>
        <w:t>. Geneva: WHO.</w:t>
      </w:r>
    </w:p>
    <w:p w14:paraId="4154B811" w14:textId="77777777" w:rsidR="006C5BD8" w:rsidRPr="006C5BD8" w:rsidRDefault="006C5BD8" w:rsidP="006C5BD8">
      <w:pPr>
        <w:spacing w:before="100" w:beforeAutospacing="1" w:after="100" w:afterAutospacing="1" w:line="240" w:lineRule="auto"/>
        <w:rPr>
          <w:rFonts w:ascii="Times New Roman" w:eastAsia="Times New Roman" w:hAnsi="Times New Roman" w:cs="Times New Roman"/>
          <w:kern w:val="0"/>
          <w14:ligatures w14:val="none"/>
        </w:rPr>
      </w:pPr>
      <w:r w:rsidRPr="006C5BD8">
        <w:rPr>
          <w:rFonts w:ascii="Times New Roman" w:eastAsia="Times New Roman" w:hAnsi="Times New Roman" w:cs="Times New Roman"/>
          <w:kern w:val="0"/>
          <w14:ligatures w14:val="none"/>
        </w:rPr>
        <w:t xml:space="preserve">World Health Organization (2021) </w:t>
      </w:r>
      <w:r w:rsidRPr="006C5BD8">
        <w:rPr>
          <w:rFonts w:ascii="Times New Roman" w:eastAsia="Times New Roman" w:hAnsi="Times New Roman" w:cs="Times New Roman"/>
          <w:i/>
          <w:iCs/>
          <w:kern w:val="0"/>
          <w14:ligatures w14:val="none"/>
        </w:rPr>
        <w:t>Ageing and health</w:t>
      </w:r>
      <w:r w:rsidRPr="006C5BD8">
        <w:rPr>
          <w:rFonts w:ascii="Times New Roman" w:eastAsia="Times New Roman" w:hAnsi="Times New Roman" w:cs="Times New Roman"/>
          <w:kern w:val="0"/>
          <w14:ligatures w14:val="none"/>
        </w:rPr>
        <w:t>. Geneva: WHO.</w:t>
      </w:r>
    </w:p>
    <w:p w14:paraId="54580DBE" w14:textId="77777777" w:rsidR="006C5BD8" w:rsidRPr="006C5BD8" w:rsidRDefault="006C5BD8" w:rsidP="006C5BD8">
      <w:pPr>
        <w:pStyle w:val="NoSpacing"/>
        <w:jc w:val="both"/>
        <w:rPr>
          <w:rFonts w:ascii="Times New Roman" w:hAnsi="Times New Roman" w:cs="Times New Roman"/>
        </w:rPr>
      </w:pPr>
    </w:p>
    <w:sectPr w:rsidR="006C5BD8" w:rsidRPr="006C5B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BD8"/>
    <w:rsid w:val="002011B1"/>
    <w:rsid w:val="00393DCE"/>
    <w:rsid w:val="004A0DD0"/>
    <w:rsid w:val="006C5BD8"/>
    <w:rsid w:val="00A300EF"/>
    <w:rsid w:val="00FE23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4117A"/>
  <w15:chartTrackingRefBased/>
  <w15:docId w15:val="{D420F94A-8B65-411C-9EB3-64A976783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5B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5B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5B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5B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5B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5B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5B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5B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5B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B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5B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5B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5B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5B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5B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5B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5B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5BD8"/>
    <w:rPr>
      <w:rFonts w:eastAsiaTheme="majorEastAsia" w:cstheme="majorBidi"/>
      <w:color w:val="272727" w:themeColor="text1" w:themeTint="D8"/>
    </w:rPr>
  </w:style>
  <w:style w:type="paragraph" w:styleId="Title">
    <w:name w:val="Title"/>
    <w:basedOn w:val="Normal"/>
    <w:next w:val="Normal"/>
    <w:link w:val="TitleChar"/>
    <w:uiPriority w:val="10"/>
    <w:qFormat/>
    <w:rsid w:val="006C5B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5B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5B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5B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5BD8"/>
    <w:pPr>
      <w:spacing w:before="160"/>
      <w:jc w:val="center"/>
    </w:pPr>
    <w:rPr>
      <w:i/>
      <w:iCs/>
      <w:color w:val="404040" w:themeColor="text1" w:themeTint="BF"/>
    </w:rPr>
  </w:style>
  <w:style w:type="character" w:customStyle="1" w:styleId="QuoteChar">
    <w:name w:val="Quote Char"/>
    <w:basedOn w:val="DefaultParagraphFont"/>
    <w:link w:val="Quote"/>
    <w:uiPriority w:val="29"/>
    <w:rsid w:val="006C5BD8"/>
    <w:rPr>
      <w:i/>
      <w:iCs/>
      <w:color w:val="404040" w:themeColor="text1" w:themeTint="BF"/>
    </w:rPr>
  </w:style>
  <w:style w:type="paragraph" w:styleId="ListParagraph">
    <w:name w:val="List Paragraph"/>
    <w:basedOn w:val="Normal"/>
    <w:uiPriority w:val="34"/>
    <w:qFormat/>
    <w:rsid w:val="006C5BD8"/>
    <w:pPr>
      <w:ind w:left="720"/>
      <w:contextualSpacing/>
    </w:pPr>
  </w:style>
  <w:style w:type="character" w:styleId="IntenseEmphasis">
    <w:name w:val="Intense Emphasis"/>
    <w:basedOn w:val="DefaultParagraphFont"/>
    <w:uiPriority w:val="21"/>
    <w:qFormat/>
    <w:rsid w:val="006C5BD8"/>
    <w:rPr>
      <w:i/>
      <w:iCs/>
      <w:color w:val="0F4761" w:themeColor="accent1" w:themeShade="BF"/>
    </w:rPr>
  </w:style>
  <w:style w:type="paragraph" w:styleId="IntenseQuote">
    <w:name w:val="Intense Quote"/>
    <w:basedOn w:val="Normal"/>
    <w:next w:val="Normal"/>
    <w:link w:val="IntenseQuoteChar"/>
    <w:uiPriority w:val="30"/>
    <w:qFormat/>
    <w:rsid w:val="006C5B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5BD8"/>
    <w:rPr>
      <w:i/>
      <w:iCs/>
      <w:color w:val="0F4761" w:themeColor="accent1" w:themeShade="BF"/>
    </w:rPr>
  </w:style>
  <w:style w:type="character" w:styleId="IntenseReference">
    <w:name w:val="Intense Reference"/>
    <w:basedOn w:val="DefaultParagraphFont"/>
    <w:uiPriority w:val="32"/>
    <w:qFormat/>
    <w:rsid w:val="006C5BD8"/>
    <w:rPr>
      <w:b/>
      <w:bCs/>
      <w:smallCaps/>
      <w:color w:val="0F4761" w:themeColor="accent1" w:themeShade="BF"/>
      <w:spacing w:val="5"/>
    </w:rPr>
  </w:style>
  <w:style w:type="paragraph" w:styleId="NoSpacing">
    <w:name w:val="No Spacing"/>
    <w:uiPriority w:val="1"/>
    <w:qFormat/>
    <w:rsid w:val="006C5BD8"/>
    <w:pPr>
      <w:spacing w:after="0" w:line="240" w:lineRule="auto"/>
    </w:pPr>
  </w:style>
  <w:style w:type="character" w:styleId="Strong">
    <w:name w:val="Strong"/>
    <w:basedOn w:val="DefaultParagraphFont"/>
    <w:uiPriority w:val="22"/>
    <w:qFormat/>
    <w:rsid w:val="006C5BD8"/>
    <w:rPr>
      <w:b/>
      <w:bCs/>
    </w:rPr>
  </w:style>
  <w:style w:type="paragraph" w:styleId="NormalWeb">
    <w:name w:val="Normal (Web)"/>
    <w:basedOn w:val="Normal"/>
    <w:uiPriority w:val="99"/>
    <w:semiHidden/>
    <w:unhideWhenUsed/>
    <w:rsid w:val="006C5BD8"/>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6C5BD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BAB7E0-A972-4108-800B-1090C4095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1854</Words>
  <Characters>10572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Osei</dc:creator>
  <cp:keywords/>
  <dc:description/>
  <cp:lastModifiedBy>Robert Osei</cp:lastModifiedBy>
  <cp:revision>2</cp:revision>
  <dcterms:created xsi:type="dcterms:W3CDTF">2026-02-18T17:53:00Z</dcterms:created>
  <dcterms:modified xsi:type="dcterms:W3CDTF">2026-02-18T17:53:00Z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6006e531-d7a1-42b1-bf9e-6ab9f2a583f1</vt:lpwstr>
  </property>
</Properties>
</file>