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62413" w14:textId="5BD3F8AC" w:rsidR="00487B04" w:rsidRPr="000F28B0" w:rsidRDefault="00487B04" w:rsidP="00D96396">
      <w:pPr>
        <w:spacing w:line="360" w:lineRule="auto"/>
        <w:rPr>
          <w:rFonts w:ascii="Arial" w:hAnsi="Arial" w:cs="Arial"/>
          <w:sz w:val="30"/>
          <w:szCs w:val="30"/>
        </w:rPr>
      </w:pPr>
      <w:r w:rsidRPr="000F28B0">
        <w:rPr>
          <w:rFonts w:ascii="Arial" w:hAnsi="Arial" w:cs="Arial"/>
          <w:sz w:val="30"/>
          <w:szCs w:val="30"/>
        </w:rPr>
        <w:t xml:space="preserve">Charlie Payton </w:t>
      </w:r>
    </w:p>
    <w:p w14:paraId="554A0419" w14:textId="7D03942D" w:rsidR="00487B04" w:rsidRPr="000F28B0" w:rsidRDefault="00867632" w:rsidP="00D96396">
      <w:pPr>
        <w:spacing w:line="360" w:lineRule="auto"/>
        <w:rPr>
          <w:rFonts w:ascii="Arial" w:hAnsi="Arial" w:cs="Arial"/>
          <w:sz w:val="30"/>
          <w:szCs w:val="30"/>
        </w:rPr>
      </w:pPr>
      <w:r w:rsidRPr="000F28B0">
        <w:rPr>
          <w:rFonts w:ascii="Arial" w:hAnsi="Arial" w:cs="Arial"/>
          <w:sz w:val="30"/>
          <w:szCs w:val="30"/>
        </w:rPr>
        <w:t>2334149</w:t>
      </w:r>
    </w:p>
    <w:p w14:paraId="15BDC22F" w14:textId="1C32536B" w:rsidR="00867632" w:rsidRPr="000F28B0" w:rsidRDefault="00867632" w:rsidP="00D96396">
      <w:pPr>
        <w:spacing w:line="360" w:lineRule="auto"/>
        <w:rPr>
          <w:rFonts w:ascii="Arial" w:hAnsi="Arial" w:cs="Arial"/>
          <w:sz w:val="30"/>
          <w:szCs w:val="30"/>
        </w:rPr>
      </w:pPr>
      <w:r w:rsidRPr="000F28B0">
        <w:rPr>
          <w:rFonts w:ascii="Arial" w:hAnsi="Arial" w:cs="Arial"/>
          <w:sz w:val="30"/>
          <w:szCs w:val="30"/>
        </w:rPr>
        <w:t>BMHP5016</w:t>
      </w:r>
    </w:p>
    <w:p w14:paraId="71BAEDCD" w14:textId="77777777" w:rsidR="00867632" w:rsidRPr="000F28B0" w:rsidRDefault="00867632" w:rsidP="00D96396">
      <w:pPr>
        <w:spacing w:line="360" w:lineRule="auto"/>
        <w:rPr>
          <w:rFonts w:ascii="Arial" w:eastAsia="Times New Roman" w:hAnsi="Arial" w:cs="Arial"/>
          <w:b/>
          <w:bCs/>
          <w:kern w:val="0"/>
          <w:sz w:val="30"/>
          <w:szCs w:val="30"/>
          <w14:ligatures w14:val="none"/>
        </w:rPr>
      </w:pPr>
    </w:p>
    <w:p w14:paraId="7E9F9945" w14:textId="77777777" w:rsidR="00532632" w:rsidRPr="00E27D14" w:rsidRDefault="00532632" w:rsidP="00D96396">
      <w:pPr>
        <w:spacing w:before="100" w:beforeAutospacing="1" w:after="100" w:afterAutospacing="1" w:line="360" w:lineRule="auto"/>
        <w:rPr>
          <w:rFonts w:ascii="Arial" w:hAnsi="Arial" w:cs="Arial"/>
          <w:kern w:val="0"/>
          <w:sz w:val="30"/>
          <w:szCs w:val="30"/>
          <w:u w:val="single"/>
          <w14:ligatures w14:val="none"/>
        </w:rPr>
      </w:pPr>
      <w:r w:rsidRPr="00E27D14">
        <w:rPr>
          <w:rFonts w:ascii="Arial" w:hAnsi="Arial" w:cs="Arial"/>
          <w:kern w:val="0"/>
          <w:sz w:val="30"/>
          <w:szCs w:val="30"/>
          <w:u w:val="single"/>
          <w14:ligatures w14:val="none"/>
        </w:rPr>
        <w:t>Person-Centred Care and Partnership Working in Health and Social Care</w:t>
      </w:r>
    </w:p>
    <w:p w14:paraId="4BC7E5AD" w14:textId="08CCD8F1" w:rsidR="00532632" w:rsidRPr="00E27D14" w:rsidRDefault="00532632" w:rsidP="00D96396">
      <w:pPr>
        <w:spacing w:after="0" w:line="360" w:lineRule="auto"/>
        <w:rPr>
          <w:rFonts w:ascii="Arial" w:hAnsi="Arial" w:cs="Arial"/>
          <w:sz w:val="30"/>
          <w:szCs w:val="30"/>
          <w:u w:val="single"/>
        </w:rPr>
      </w:pPr>
    </w:p>
    <w:p w14:paraId="0534B934" w14:textId="77777777" w:rsidR="00DA5A0D" w:rsidRPr="00E27D14" w:rsidRDefault="00DA5A0D" w:rsidP="00D96396">
      <w:pPr>
        <w:spacing w:after="0" w:line="360" w:lineRule="auto"/>
        <w:rPr>
          <w:rFonts w:ascii="Arial" w:eastAsia="Times New Roman" w:hAnsi="Arial" w:cs="Arial"/>
          <w:kern w:val="0"/>
          <w:sz w:val="30"/>
          <w:szCs w:val="30"/>
          <w:u w:val="single"/>
          <w14:ligatures w14:val="none"/>
        </w:rPr>
      </w:pPr>
    </w:p>
    <w:p w14:paraId="631DA167"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Person-centred care (PCC) and partnership working (PW) are essential components of modern health and social care. Historically, care delivery was largely paternalistic, with decisions made predominantly by professionals rather than the service user. Contemporary practice emphasises autonomy, dignity, and collaborative approaches that respect the individual’s preferences, values, and needs (NHS England, 2016; Department of Health and Social Care [DHSC], 2019). PCC prioritises individual involvement in decision-making, while partnership working ensures that multiple professionals, organisations, and carers collaborate to provide holistic and coordinated care (Glasby &amp; Dickinson, 2014).</w:t>
      </w:r>
    </w:p>
    <w:p w14:paraId="02C5E6A1"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7D2D6BC7"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In the context of dementia care within care home settings, both PCC and PW are particularly critical. Individuals with dementia often experience cognitive impairment, communication difficulties, and behavioural changes that require highly tailored interventions. Partnership working, in this context, involves coordination between care home staff, healthcare professionals, social services, families, and external specialists. Effective integration of these approaches can improve quality of life, promote dignity, and enhance safety.</w:t>
      </w:r>
    </w:p>
    <w:p w14:paraId="528CA176"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781B197C"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This report critically evaluates PCC and PW, examining theoretical underpinnings, ethical considerations, practical application in a care home for people with dementia, and relevant legislation and policy. Recommendations for future development in the UK are also provided.</w:t>
      </w:r>
    </w:p>
    <w:p w14:paraId="42ADA049" w14:textId="77777777" w:rsidR="00DA5A0D" w:rsidRPr="000F28B0" w:rsidRDefault="00DA5A0D" w:rsidP="00D96396">
      <w:pPr>
        <w:spacing w:after="0" w:line="360" w:lineRule="auto"/>
        <w:rPr>
          <w:rFonts w:ascii="Arial" w:eastAsia="Times New Roman" w:hAnsi="Arial" w:cs="Arial"/>
          <w:kern w:val="0"/>
          <w:sz w:val="30"/>
          <w:szCs w:val="30"/>
          <w14:ligatures w14:val="none"/>
        </w:rPr>
      </w:pPr>
      <w:r w:rsidRPr="000F28B0">
        <w:rPr>
          <w:rFonts w:ascii="Arial" w:eastAsia="Times New Roman" w:hAnsi="Arial" w:cs="Arial"/>
          <w:noProof/>
          <w:kern w:val="0"/>
          <w:sz w:val="30"/>
          <w:szCs w:val="30"/>
          <w14:ligatures w14:val="none"/>
        </w:rPr>
        <mc:AlternateContent>
          <mc:Choice Requires="wps">
            <w:drawing>
              <wp:inline distT="0" distB="0" distL="0" distR="0" wp14:anchorId="1E053017" wp14:editId="48129AED">
                <wp:extent cx="5731510" cy="1270"/>
                <wp:effectExtent l="0" t="31750" r="0" b="36830"/>
                <wp:docPr id="914191718" name="Rectangle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FF09A0E" id="Rectangle 8"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9EADC20" w14:textId="77777777" w:rsidR="00DA5A0D" w:rsidRPr="00E27D14" w:rsidRDefault="00DA5A0D" w:rsidP="00D96396">
      <w:pPr>
        <w:spacing w:before="100" w:beforeAutospacing="1" w:after="100" w:afterAutospacing="1" w:line="360" w:lineRule="auto"/>
        <w:outlineLvl w:val="1"/>
        <w:rPr>
          <w:rFonts w:ascii="Arial" w:hAnsi="Arial" w:cs="Arial"/>
          <w:b/>
          <w:bCs/>
          <w:kern w:val="0"/>
          <w:sz w:val="30"/>
          <w:szCs w:val="30"/>
          <w:u w:val="single"/>
          <w14:ligatures w14:val="none"/>
        </w:rPr>
      </w:pPr>
      <w:r w:rsidRPr="00E27D14">
        <w:rPr>
          <w:rFonts w:ascii="Arial" w:eastAsia="Times New Roman" w:hAnsi="Arial" w:cs="Arial"/>
          <w:b/>
          <w:bCs/>
          <w:kern w:val="0"/>
          <w:sz w:val="30"/>
          <w:szCs w:val="30"/>
          <w:u w:val="single"/>
          <w14:ligatures w14:val="none"/>
        </w:rPr>
        <w:t>Person-Centred Care: Definition, Benefits, and Limitations</w:t>
      </w:r>
    </w:p>
    <w:p w14:paraId="620B75AA"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6CADE3E1"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Person-centred care is defined as an approach that places the individual at the centre of care planning and delivery, ensuring that their values, needs, and preferences are respected (NHS England, 2016). Kitwood (1997) emphasises that PCC in dementia care focuses on recognising personhood, maintaining dignity, and supporting meaningful engagement despite cognitive decline. The approach goes beyond medical or task-focused care to address emotional, social, and psychological dimensions of well-being.</w:t>
      </w:r>
    </w:p>
    <w:p w14:paraId="660C28DF"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7B88CFB2"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Benefits of PCC include improved patient engagement, satisfaction, and adherence to care plans. When individuals feel involved and respected, they are more likely to participate in activities and maintain routines that promote well-being (McCormack &amp; McCance, 2017). PCC also promotes autonomy, which is critical in dementia care, as it supports remaining abilities and preferences, fostering a sense of identity. Additionally, PCC improves communication and trust between staff, residents, and families, contributing to enhanced safety and satisfaction (</w:t>
      </w:r>
      <w:proofErr w:type="spellStart"/>
      <w:r w:rsidRPr="000F28B0">
        <w:rPr>
          <w:rFonts w:ascii="Arial" w:hAnsi="Arial" w:cs="Arial"/>
          <w:kern w:val="0"/>
          <w:sz w:val="30"/>
          <w:szCs w:val="30"/>
          <w14:ligatures w14:val="none"/>
        </w:rPr>
        <w:t>Brooker</w:t>
      </w:r>
      <w:proofErr w:type="spellEnd"/>
      <w:r w:rsidRPr="000F28B0">
        <w:rPr>
          <w:rFonts w:ascii="Arial" w:hAnsi="Arial" w:cs="Arial"/>
          <w:kern w:val="0"/>
          <w:sz w:val="30"/>
          <w:szCs w:val="30"/>
          <w14:ligatures w14:val="none"/>
        </w:rPr>
        <w:t>, 2007).</w:t>
      </w:r>
    </w:p>
    <w:p w14:paraId="4A94D3F4"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4A940DE2"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Despite these benefits, there are limitations. Time and resource constraints in care homes can impede the delivery of fully personalised care (</w:t>
      </w:r>
      <w:proofErr w:type="spellStart"/>
      <w:r w:rsidRPr="000F28B0">
        <w:rPr>
          <w:rFonts w:ascii="Arial" w:hAnsi="Arial" w:cs="Arial"/>
          <w:kern w:val="0"/>
          <w:sz w:val="30"/>
          <w:szCs w:val="30"/>
          <w14:ligatures w14:val="none"/>
        </w:rPr>
        <w:t>Edvardsson</w:t>
      </w:r>
      <w:proofErr w:type="spellEnd"/>
      <w:r w:rsidRPr="000F28B0">
        <w:rPr>
          <w:rFonts w:ascii="Arial" w:hAnsi="Arial" w:cs="Arial"/>
          <w:kern w:val="0"/>
          <w:sz w:val="30"/>
          <w:szCs w:val="30"/>
          <w14:ligatures w14:val="none"/>
        </w:rPr>
        <w:t xml:space="preserve"> et al., 2011). High staff turnover, reliance on unqualified carers, and workload pressures often result in task-focused rather than person-focused care. Variability in staff training and understanding of PCC can lead to inconsistent practice. Furthermore, individuals with advanced dementia may have reduced capacity to express preferences, necessitating surrogate decision-making (Fazio et al., 2018).</w:t>
      </w:r>
    </w:p>
    <w:p w14:paraId="2CE57391"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798F3AB1"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Critically, while PCC is strongly advocated in policy, its implementation is contingent on organisational culture, training, and leadership. Without adequate support, PCC may be inconsistently applied, highlighting the gap between policy ideals and practical delivery (McCormack &amp; McCance, 2017).</w:t>
      </w:r>
    </w:p>
    <w:p w14:paraId="06CBA146" w14:textId="77777777" w:rsidR="00DA5A0D" w:rsidRPr="000F28B0" w:rsidRDefault="00DA5A0D" w:rsidP="00D96396">
      <w:pPr>
        <w:spacing w:after="0" w:line="360" w:lineRule="auto"/>
        <w:rPr>
          <w:rFonts w:ascii="Arial" w:eastAsia="Times New Roman" w:hAnsi="Arial" w:cs="Arial"/>
          <w:kern w:val="0"/>
          <w:sz w:val="30"/>
          <w:szCs w:val="30"/>
          <w14:ligatures w14:val="none"/>
        </w:rPr>
      </w:pPr>
      <w:r w:rsidRPr="000F28B0">
        <w:rPr>
          <w:rFonts w:ascii="Arial" w:eastAsia="Times New Roman" w:hAnsi="Arial" w:cs="Arial"/>
          <w:noProof/>
          <w:kern w:val="0"/>
          <w:sz w:val="30"/>
          <w:szCs w:val="30"/>
          <w14:ligatures w14:val="none"/>
        </w:rPr>
        <mc:AlternateContent>
          <mc:Choice Requires="wps">
            <w:drawing>
              <wp:inline distT="0" distB="0" distL="0" distR="0" wp14:anchorId="0CCE5543" wp14:editId="62A992AD">
                <wp:extent cx="5731510" cy="1270"/>
                <wp:effectExtent l="0" t="31750" r="0" b="36830"/>
                <wp:docPr id="313039140"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722E2C09" id="Rectangle 7"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4CF6AF67" w14:textId="77777777" w:rsidR="00DA5A0D" w:rsidRPr="00E27D14" w:rsidRDefault="00DA5A0D" w:rsidP="00D96396">
      <w:pPr>
        <w:spacing w:before="100" w:beforeAutospacing="1" w:after="100" w:afterAutospacing="1" w:line="360" w:lineRule="auto"/>
        <w:outlineLvl w:val="1"/>
        <w:rPr>
          <w:rFonts w:ascii="Arial" w:hAnsi="Arial" w:cs="Arial"/>
          <w:b/>
          <w:bCs/>
          <w:kern w:val="0"/>
          <w:sz w:val="30"/>
          <w:szCs w:val="30"/>
          <w:u w:val="single"/>
          <w14:ligatures w14:val="none"/>
        </w:rPr>
      </w:pPr>
      <w:r w:rsidRPr="00E27D14">
        <w:rPr>
          <w:rFonts w:ascii="Arial" w:eastAsia="Times New Roman" w:hAnsi="Arial" w:cs="Arial"/>
          <w:b/>
          <w:bCs/>
          <w:kern w:val="0"/>
          <w:sz w:val="30"/>
          <w:szCs w:val="30"/>
          <w:u w:val="single"/>
          <w14:ligatures w14:val="none"/>
        </w:rPr>
        <w:t>Theoretical Framework Underpinning Person-Centred Care</w:t>
      </w:r>
    </w:p>
    <w:p w14:paraId="2EB3EC5E" w14:textId="77777777" w:rsidR="00DA5A0D" w:rsidRPr="00E27D14" w:rsidRDefault="00DA5A0D" w:rsidP="00D96396">
      <w:pPr>
        <w:spacing w:before="100" w:beforeAutospacing="1" w:after="100" w:afterAutospacing="1" w:line="360" w:lineRule="auto"/>
        <w:rPr>
          <w:rFonts w:ascii="Arial" w:hAnsi="Arial" w:cs="Arial"/>
          <w:kern w:val="0"/>
          <w:sz w:val="30"/>
          <w:szCs w:val="30"/>
          <w:u w:val="single"/>
          <w14:ligatures w14:val="none"/>
        </w:rPr>
      </w:pPr>
    </w:p>
    <w:p w14:paraId="477FA5D8"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Carl Rogers’ person-centred theory provides a foundational framework for PCC. Rogers (1951) argued that individuals possess an inherent capacity for self-growth and self-actualisation when supported in an empathetic and accepting environment. His theory identifies three core conditions: empathy, unconditional positive regard, and congruence.</w:t>
      </w:r>
    </w:p>
    <w:p w14:paraId="070A2531"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2B41747C"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Empathy requires understanding the individual’s perspective, unconditional positive regard involves non-judgemental acceptance, and congruence emphasises authenticity and honesty in relationships. In dementia care, these principles translate into staff understanding residents’ unique experiences, maintaining respect for their individuality, and providing consistent, authentic interactions (McCormack &amp; McCance, 2017).</w:t>
      </w:r>
    </w:p>
    <w:p w14:paraId="091E8EEB"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745D86FD"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A strength of Rogers’ theory is its holistic focus, encouraging consideration of emotional, psychological, and social needs alongside physical care. However, limitations exist. The theory presumes that all staff can consistently apply these principles, which may be unrealistic in high-pressure care home environments. Furthermore, while the theory emphasises autonomy, individuals with advanced dementia may lack the capacity to make decisions, necessitating surrogate input (Fazio et al., 2018).</w:t>
      </w:r>
    </w:p>
    <w:p w14:paraId="43108BE6"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6CD3D749"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Critically, Rogers’ theory is idealistic but provides a valuable conceptual framework to guide training, supervision, and organisational culture in care homes (</w:t>
      </w:r>
      <w:proofErr w:type="spellStart"/>
      <w:r w:rsidRPr="000F28B0">
        <w:rPr>
          <w:rFonts w:ascii="Arial" w:hAnsi="Arial" w:cs="Arial"/>
          <w:kern w:val="0"/>
          <w:sz w:val="30"/>
          <w:szCs w:val="30"/>
          <w14:ligatures w14:val="none"/>
        </w:rPr>
        <w:t>Brooker</w:t>
      </w:r>
      <w:proofErr w:type="spellEnd"/>
      <w:r w:rsidRPr="000F28B0">
        <w:rPr>
          <w:rFonts w:ascii="Arial" w:hAnsi="Arial" w:cs="Arial"/>
          <w:kern w:val="0"/>
          <w:sz w:val="30"/>
          <w:szCs w:val="30"/>
          <w14:ligatures w14:val="none"/>
        </w:rPr>
        <w:t>, 2007). Its integration into practice requires adaptation to practical constraints, such as staffing ratios and care home policies.</w:t>
      </w:r>
    </w:p>
    <w:p w14:paraId="15F6F878" w14:textId="77777777" w:rsidR="00DA5A0D" w:rsidRPr="000F28B0" w:rsidRDefault="00DA5A0D" w:rsidP="00D96396">
      <w:pPr>
        <w:spacing w:after="0" w:line="360" w:lineRule="auto"/>
        <w:rPr>
          <w:rFonts w:ascii="Arial" w:eastAsia="Times New Roman" w:hAnsi="Arial" w:cs="Arial"/>
          <w:kern w:val="0"/>
          <w:sz w:val="30"/>
          <w:szCs w:val="30"/>
          <w14:ligatures w14:val="none"/>
        </w:rPr>
      </w:pPr>
      <w:r w:rsidRPr="000F28B0">
        <w:rPr>
          <w:rFonts w:ascii="Arial" w:eastAsia="Times New Roman" w:hAnsi="Arial" w:cs="Arial"/>
          <w:noProof/>
          <w:kern w:val="0"/>
          <w:sz w:val="30"/>
          <w:szCs w:val="30"/>
          <w14:ligatures w14:val="none"/>
        </w:rPr>
        <mc:AlternateContent>
          <mc:Choice Requires="wps">
            <w:drawing>
              <wp:inline distT="0" distB="0" distL="0" distR="0" wp14:anchorId="1E6CDE8D" wp14:editId="51A289AF">
                <wp:extent cx="5731510" cy="1270"/>
                <wp:effectExtent l="0" t="31750" r="0" b="36830"/>
                <wp:docPr id="1477814342" name="Rectangle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831FC8D" id="Rectangle 6"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EA6CB1E" w14:textId="77777777" w:rsidR="00DA5A0D" w:rsidRPr="00E27D14" w:rsidRDefault="00DA5A0D" w:rsidP="00D96396">
      <w:pPr>
        <w:spacing w:before="100" w:beforeAutospacing="1" w:after="100" w:afterAutospacing="1" w:line="360" w:lineRule="auto"/>
        <w:outlineLvl w:val="1"/>
        <w:rPr>
          <w:rFonts w:ascii="Arial" w:hAnsi="Arial" w:cs="Arial"/>
          <w:b/>
          <w:bCs/>
          <w:kern w:val="0"/>
          <w:sz w:val="30"/>
          <w:szCs w:val="30"/>
          <w:u w:val="single"/>
          <w14:ligatures w14:val="none"/>
        </w:rPr>
      </w:pPr>
      <w:r w:rsidRPr="00E27D14">
        <w:rPr>
          <w:rFonts w:ascii="Arial" w:eastAsia="Times New Roman" w:hAnsi="Arial" w:cs="Arial"/>
          <w:b/>
          <w:bCs/>
          <w:kern w:val="0"/>
          <w:sz w:val="30"/>
          <w:szCs w:val="30"/>
          <w:u w:val="single"/>
          <w14:ligatures w14:val="none"/>
        </w:rPr>
        <w:t>Ethical Principles in Health and Social Care</w:t>
      </w:r>
    </w:p>
    <w:p w14:paraId="1FCB083B" w14:textId="77777777" w:rsidR="00DA5A0D" w:rsidRPr="00E27D14" w:rsidRDefault="00DA5A0D" w:rsidP="00D96396">
      <w:pPr>
        <w:spacing w:before="100" w:beforeAutospacing="1" w:after="100" w:afterAutospacing="1" w:line="360" w:lineRule="auto"/>
        <w:rPr>
          <w:rFonts w:ascii="Arial" w:hAnsi="Arial" w:cs="Arial"/>
          <w:kern w:val="0"/>
          <w:sz w:val="30"/>
          <w:szCs w:val="30"/>
          <w:u w:val="single"/>
          <w14:ligatures w14:val="none"/>
        </w:rPr>
      </w:pPr>
    </w:p>
    <w:p w14:paraId="4B077A1A"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Ethical practice underpins PCC and PW. The four principles—autonomy, beneficence, non-maleficence, and justice—are central to decision-making in health and social care (Beauchamp &amp; Childress, 2019).</w:t>
      </w:r>
    </w:p>
    <w:p w14:paraId="78E419E6" w14:textId="77777777" w:rsidR="00DA5A0D" w:rsidRPr="000F28B0" w:rsidRDefault="00DA5A0D" w:rsidP="00D96396">
      <w:pPr>
        <w:numPr>
          <w:ilvl w:val="0"/>
          <w:numId w:val="3"/>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Autonomy: Supporting residents’ right to make choices, even when capacity is reduced, aligns with PCC. Advance care planning and involving families can uphold autonomy where direct decision-making is compromised.</w:t>
      </w:r>
    </w:p>
    <w:p w14:paraId="61C28051" w14:textId="77777777" w:rsidR="00DA5A0D" w:rsidRPr="000F28B0" w:rsidRDefault="00DA5A0D" w:rsidP="00D96396">
      <w:pPr>
        <w:numPr>
          <w:ilvl w:val="0"/>
          <w:numId w:val="3"/>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Beneficence: Staff act in the best interest of residents, ensuring interventions enhance well-being. In dementia care, this includes personalised activities, nutrition, and safe environments.</w:t>
      </w:r>
    </w:p>
    <w:p w14:paraId="7DC195B0" w14:textId="77777777" w:rsidR="00DA5A0D" w:rsidRPr="000F28B0" w:rsidRDefault="00DA5A0D" w:rsidP="00D96396">
      <w:pPr>
        <w:numPr>
          <w:ilvl w:val="0"/>
          <w:numId w:val="3"/>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Non-maleficence: Avoiding harm is critical, especially in dementia care where residents may be vulnerable to abuse, neglect, or unsafe environments.</w:t>
      </w:r>
    </w:p>
    <w:p w14:paraId="06988138" w14:textId="77777777" w:rsidR="00DA5A0D" w:rsidRPr="000F28B0" w:rsidRDefault="00DA5A0D" w:rsidP="00D96396">
      <w:pPr>
        <w:numPr>
          <w:ilvl w:val="0"/>
          <w:numId w:val="3"/>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Justice: Ensuring equitable access to care, regardless of background, diagnosis, or financial status, is vital in care home settings (Gillon, 1994).</w:t>
      </w:r>
    </w:p>
    <w:p w14:paraId="23A1F39F"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170BF008"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Ethical dilemmas frequently arise, such as when residents refuse medication or interventions, creating tension between autonomy and beneficence. Resolving these conflicts requires careful judgement, communication with families, and adherence to ethical and legal frameworks (Fry &amp; Johnstone, 2008).</w:t>
      </w:r>
    </w:p>
    <w:p w14:paraId="40043182"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7BEC1074"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Critically, embedding ethics into daily practice in care homes requires structured policies, training, and leadership that promote reflective practice and ethical decision-making.</w:t>
      </w:r>
    </w:p>
    <w:p w14:paraId="2A40363E" w14:textId="77777777" w:rsidR="00DA5A0D" w:rsidRPr="000F28B0" w:rsidRDefault="00DA5A0D" w:rsidP="00D96396">
      <w:pPr>
        <w:spacing w:after="0" w:line="360" w:lineRule="auto"/>
        <w:rPr>
          <w:rFonts w:ascii="Arial" w:eastAsia="Times New Roman" w:hAnsi="Arial" w:cs="Arial"/>
          <w:kern w:val="0"/>
          <w:sz w:val="30"/>
          <w:szCs w:val="30"/>
          <w14:ligatures w14:val="none"/>
        </w:rPr>
      </w:pPr>
      <w:r w:rsidRPr="000F28B0">
        <w:rPr>
          <w:rFonts w:ascii="Arial" w:eastAsia="Times New Roman" w:hAnsi="Arial" w:cs="Arial"/>
          <w:noProof/>
          <w:kern w:val="0"/>
          <w:sz w:val="30"/>
          <w:szCs w:val="30"/>
          <w14:ligatures w14:val="none"/>
        </w:rPr>
        <mc:AlternateContent>
          <mc:Choice Requires="wps">
            <w:drawing>
              <wp:inline distT="0" distB="0" distL="0" distR="0" wp14:anchorId="6388DCD5" wp14:editId="148CC48D">
                <wp:extent cx="5731510" cy="1270"/>
                <wp:effectExtent l="0" t="31750" r="0" b="36830"/>
                <wp:docPr id="919594146"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464E78C5" id="Rectangle 5"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C6DA4FD" w14:textId="77777777" w:rsidR="00DA5A0D" w:rsidRPr="00E27D14" w:rsidRDefault="00DA5A0D" w:rsidP="00D96396">
      <w:pPr>
        <w:spacing w:before="100" w:beforeAutospacing="1" w:after="100" w:afterAutospacing="1" w:line="360" w:lineRule="auto"/>
        <w:outlineLvl w:val="1"/>
        <w:rPr>
          <w:rFonts w:ascii="Arial" w:hAnsi="Arial" w:cs="Arial"/>
          <w:b/>
          <w:bCs/>
          <w:kern w:val="0"/>
          <w:sz w:val="30"/>
          <w:szCs w:val="30"/>
          <w:u w:val="single"/>
          <w14:ligatures w14:val="none"/>
        </w:rPr>
      </w:pPr>
      <w:r w:rsidRPr="00E27D14">
        <w:rPr>
          <w:rFonts w:ascii="Arial" w:eastAsia="Times New Roman" w:hAnsi="Arial" w:cs="Arial"/>
          <w:b/>
          <w:bCs/>
          <w:kern w:val="0"/>
          <w:sz w:val="30"/>
          <w:szCs w:val="30"/>
          <w:u w:val="single"/>
          <w14:ligatures w14:val="none"/>
        </w:rPr>
        <w:t>Evaluation of Partnership Working</w:t>
      </w:r>
    </w:p>
    <w:p w14:paraId="155F6E28"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0911ABC2"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Partnership working is essential in dementia care homes, where complex needs necessitate collaboration across disciplines and agencies (Glasby &amp; Dickinson, 2014). PW involves coordination between care home staff, healthcare professionals, social workers, families, and community services to ensure holistic care.</w:t>
      </w:r>
    </w:p>
    <w:p w14:paraId="05F6DFF0"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6AF99EFA"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 xml:space="preserve">Benefits of PW include improved care planning, holistic assessment, and coordinated interventions (World Health </w:t>
      </w:r>
      <w:proofErr w:type="spellStart"/>
      <w:r w:rsidRPr="000F28B0">
        <w:rPr>
          <w:rFonts w:ascii="Arial" w:hAnsi="Arial" w:cs="Arial"/>
          <w:kern w:val="0"/>
          <w:sz w:val="30"/>
          <w:szCs w:val="30"/>
          <w14:ligatures w14:val="none"/>
        </w:rPr>
        <w:t>Organization</w:t>
      </w:r>
      <w:proofErr w:type="spellEnd"/>
      <w:r w:rsidRPr="000F28B0">
        <w:rPr>
          <w:rFonts w:ascii="Arial" w:hAnsi="Arial" w:cs="Arial"/>
          <w:kern w:val="0"/>
          <w:sz w:val="30"/>
          <w:szCs w:val="30"/>
          <w14:ligatures w14:val="none"/>
        </w:rPr>
        <w:t>, 2015). For example, a resident’s cognitive decline may require joint input from a GP, occupational therapist, and psychologist, ensuring that both health and social needs are addressed. PW also reduces duplication and enhances communication, preventing errors and improving efficiency.</w:t>
      </w:r>
    </w:p>
    <w:p w14:paraId="0554BDC8"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1F0156C8"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 xml:space="preserve">However, challenges exist. Differing professional cultures, communication barriers, and unclear roles can hinder collaboration (Cameron &amp; </w:t>
      </w:r>
      <w:proofErr w:type="spellStart"/>
      <w:r w:rsidRPr="000F28B0">
        <w:rPr>
          <w:rFonts w:ascii="Arial" w:hAnsi="Arial" w:cs="Arial"/>
          <w:kern w:val="0"/>
          <w:sz w:val="30"/>
          <w:szCs w:val="30"/>
          <w14:ligatures w14:val="none"/>
        </w:rPr>
        <w:t>Lart</w:t>
      </w:r>
      <w:proofErr w:type="spellEnd"/>
      <w:r w:rsidRPr="000F28B0">
        <w:rPr>
          <w:rFonts w:ascii="Arial" w:hAnsi="Arial" w:cs="Arial"/>
          <w:kern w:val="0"/>
          <w:sz w:val="30"/>
          <w:szCs w:val="30"/>
          <w14:ligatures w14:val="none"/>
        </w:rPr>
        <w:t>, 2003). Data sharing and confidentiality issues may prevent timely information exchange. Furthermore, staff turnover in care homes can disrupt continuity, undermining partnership efforts.</w:t>
      </w:r>
    </w:p>
    <w:p w14:paraId="116B082E"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5225982A"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Critically, successful partnership working relies on strong leadership, clear communication structures, and shared goals. Effective inter-agency collaboration improves outcomes for residents, supports staff, and aligns with policy expectations.</w:t>
      </w:r>
    </w:p>
    <w:p w14:paraId="074B59BB" w14:textId="77777777" w:rsidR="00DA5A0D" w:rsidRPr="000F28B0" w:rsidRDefault="00DA5A0D" w:rsidP="00D96396">
      <w:pPr>
        <w:spacing w:after="0" w:line="360" w:lineRule="auto"/>
        <w:rPr>
          <w:rFonts w:ascii="Arial" w:eastAsia="Times New Roman" w:hAnsi="Arial" w:cs="Arial"/>
          <w:kern w:val="0"/>
          <w:sz w:val="30"/>
          <w:szCs w:val="30"/>
          <w14:ligatures w14:val="none"/>
        </w:rPr>
      </w:pPr>
      <w:r w:rsidRPr="000F28B0">
        <w:rPr>
          <w:rFonts w:ascii="Arial" w:eastAsia="Times New Roman" w:hAnsi="Arial" w:cs="Arial"/>
          <w:noProof/>
          <w:kern w:val="0"/>
          <w:sz w:val="30"/>
          <w:szCs w:val="30"/>
          <w14:ligatures w14:val="none"/>
        </w:rPr>
        <mc:AlternateContent>
          <mc:Choice Requires="wps">
            <w:drawing>
              <wp:inline distT="0" distB="0" distL="0" distR="0" wp14:anchorId="775D21A5" wp14:editId="4AE0C1A2">
                <wp:extent cx="5731510" cy="1270"/>
                <wp:effectExtent l="0" t="31750" r="0" b="36830"/>
                <wp:docPr id="808007239" name="Rectangl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0029B33F" id="Rectangle 4"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0BDFF92" w14:textId="77777777" w:rsidR="00DA5A0D" w:rsidRPr="004C6435" w:rsidRDefault="00DA5A0D" w:rsidP="00D96396">
      <w:pPr>
        <w:spacing w:before="100" w:beforeAutospacing="1" w:after="100" w:afterAutospacing="1" w:line="360" w:lineRule="auto"/>
        <w:outlineLvl w:val="1"/>
        <w:rPr>
          <w:rFonts w:ascii="Arial" w:hAnsi="Arial" w:cs="Arial"/>
          <w:b/>
          <w:bCs/>
          <w:kern w:val="0"/>
          <w:sz w:val="30"/>
          <w:szCs w:val="30"/>
          <w:u w:val="single"/>
          <w14:ligatures w14:val="none"/>
        </w:rPr>
      </w:pPr>
      <w:r w:rsidRPr="004C6435">
        <w:rPr>
          <w:rFonts w:ascii="Arial" w:eastAsia="Times New Roman" w:hAnsi="Arial" w:cs="Arial"/>
          <w:b/>
          <w:bCs/>
          <w:kern w:val="0"/>
          <w:sz w:val="30"/>
          <w:szCs w:val="30"/>
          <w:u w:val="single"/>
          <w14:ligatures w14:val="none"/>
        </w:rPr>
        <w:t>Application of Partnership Working in a Dementia Care Home</w:t>
      </w:r>
    </w:p>
    <w:p w14:paraId="44027D6C"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2E927BF7"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In practice, partnership working is often demonstrated through multidisciplinary team (MDT) meetings in care homes. For example, consider a resident with moderate dementia exhibiting agitation and sleep disturbances. The MDT may include care assistants, nurses, GP, occupational therapist, psychologist, and family members. Collaborative assessment ensures interventions address physical health, environmental triggers, behavioural symptoms, and emotional needs (Reeves et al., 2017).</w:t>
      </w:r>
    </w:p>
    <w:p w14:paraId="44AA8381"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5C83BE5C"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Shared care plans, regular meetings, and clear documentation facilitate coordinated care. Families contribute vital information on personal history and preferences, supporting PCC. External agencies, such as community mental health teams, may provide additional expertise for complex cases (Fazio et al., 2018).</w:t>
      </w:r>
    </w:p>
    <w:p w14:paraId="452AA8BD"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109821EC"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However, effective MDT functioning requires staff training, clear role definitions, and mechanisms to address conflicts. Leadership and organisational culture are critical in promoting a collaborative environment (Glasby, 2017). Without these, partnership working may be fragmented, reducing the effectiveness of care.</w:t>
      </w:r>
    </w:p>
    <w:p w14:paraId="375A043F" w14:textId="77777777" w:rsidR="00DA5A0D" w:rsidRPr="000F28B0" w:rsidRDefault="00DA5A0D" w:rsidP="00D96396">
      <w:pPr>
        <w:spacing w:after="0" w:line="360" w:lineRule="auto"/>
        <w:rPr>
          <w:rFonts w:ascii="Arial" w:eastAsia="Times New Roman" w:hAnsi="Arial" w:cs="Arial"/>
          <w:kern w:val="0"/>
          <w:sz w:val="30"/>
          <w:szCs w:val="30"/>
          <w14:ligatures w14:val="none"/>
        </w:rPr>
      </w:pPr>
      <w:r w:rsidRPr="000F28B0">
        <w:rPr>
          <w:rFonts w:ascii="Arial" w:eastAsia="Times New Roman" w:hAnsi="Arial" w:cs="Arial"/>
          <w:noProof/>
          <w:kern w:val="0"/>
          <w:sz w:val="30"/>
          <w:szCs w:val="30"/>
          <w14:ligatures w14:val="none"/>
        </w:rPr>
        <mc:AlternateContent>
          <mc:Choice Requires="wps">
            <w:drawing>
              <wp:inline distT="0" distB="0" distL="0" distR="0" wp14:anchorId="2B714616" wp14:editId="339A727D">
                <wp:extent cx="5731510" cy="1270"/>
                <wp:effectExtent l="0" t="31750" r="0" b="36830"/>
                <wp:docPr id="1613745372" name="Rectangl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1E329383" id="Rectangle 3"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1361B07E" w14:textId="77777777" w:rsidR="00DA5A0D" w:rsidRPr="004C6435" w:rsidRDefault="00DA5A0D" w:rsidP="00D96396">
      <w:pPr>
        <w:spacing w:before="100" w:beforeAutospacing="1" w:after="100" w:afterAutospacing="1" w:line="360" w:lineRule="auto"/>
        <w:outlineLvl w:val="1"/>
        <w:rPr>
          <w:rFonts w:ascii="Arial" w:hAnsi="Arial" w:cs="Arial"/>
          <w:b/>
          <w:bCs/>
          <w:kern w:val="0"/>
          <w:sz w:val="30"/>
          <w:szCs w:val="30"/>
          <w:u w:val="single"/>
          <w14:ligatures w14:val="none"/>
        </w:rPr>
      </w:pPr>
      <w:r w:rsidRPr="004C6435">
        <w:rPr>
          <w:rFonts w:ascii="Arial" w:eastAsia="Times New Roman" w:hAnsi="Arial" w:cs="Arial"/>
          <w:b/>
          <w:bCs/>
          <w:kern w:val="0"/>
          <w:sz w:val="30"/>
          <w:szCs w:val="30"/>
          <w:u w:val="single"/>
          <w14:ligatures w14:val="none"/>
        </w:rPr>
        <w:t>Policy and Legislation</w:t>
      </w:r>
    </w:p>
    <w:p w14:paraId="25BC8FD1"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4DE607B0"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Several UK policies and legislation underpin PCC and PW:</w:t>
      </w:r>
    </w:p>
    <w:p w14:paraId="0CC1BEB6" w14:textId="77777777" w:rsidR="00DA5A0D" w:rsidRPr="000F28B0" w:rsidRDefault="00DA5A0D" w:rsidP="00D96396">
      <w:pPr>
        <w:numPr>
          <w:ilvl w:val="0"/>
          <w:numId w:val="4"/>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Care Act 2014: Emphasises well-being, personalisation, and integrated working.</w:t>
      </w:r>
    </w:p>
    <w:p w14:paraId="7FBE0270" w14:textId="77777777" w:rsidR="00DA5A0D" w:rsidRPr="000F28B0" w:rsidRDefault="00DA5A0D" w:rsidP="00D96396">
      <w:pPr>
        <w:numPr>
          <w:ilvl w:val="0"/>
          <w:numId w:val="4"/>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Health and Social Care Act 2012: Promotes service integration and quality improvement.</w:t>
      </w:r>
    </w:p>
    <w:p w14:paraId="377076FA" w14:textId="77777777" w:rsidR="00DA5A0D" w:rsidRPr="000F28B0" w:rsidRDefault="00DA5A0D" w:rsidP="00D96396">
      <w:pPr>
        <w:numPr>
          <w:ilvl w:val="0"/>
          <w:numId w:val="4"/>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NHS Long Term Plan (2019): Highlights personalised care and integrated care systems.</w:t>
      </w:r>
    </w:p>
    <w:p w14:paraId="70912B0F" w14:textId="77777777" w:rsidR="00DA5A0D" w:rsidRPr="000F28B0" w:rsidRDefault="00DA5A0D" w:rsidP="00D96396">
      <w:pPr>
        <w:numPr>
          <w:ilvl w:val="0"/>
          <w:numId w:val="4"/>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Mental Capacity Act 2005: Provides a legal framework for decision-making for those lacking capacity.</w:t>
      </w:r>
    </w:p>
    <w:p w14:paraId="0C2DE147" w14:textId="77777777" w:rsidR="00DA5A0D" w:rsidRPr="000F28B0" w:rsidRDefault="00DA5A0D" w:rsidP="00D96396">
      <w:pPr>
        <w:numPr>
          <w:ilvl w:val="0"/>
          <w:numId w:val="4"/>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NICE Dementia Guidelines (2018): Advocate PCC and multidisciplinary management.</w:t>
      </w:r>
    </w:p>
    <w:p w14:paraId="572819D0"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3873232B"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These frameworks provide clear guidance for care homes, supporting both person-centred approaches and inter-agency collaboration. Implementation remains challenging due to workforce limitations, resource constraints, and organisational variation (Glasby, 2017).</w:t>
      </w:r>
    </w:p>
    <w:p w14:paraId="341903F6" w14:textId="77777777" w:rsidR="00DA5A0D" w:rsidRPr="000F28B0" w:rsidRDefault="00DA5A0D" w:rsidP="00D96396">
      <w:pPr>
        <w:spacing w:after="0" w:line="360" w:lineRule="auto"/>
        <w:rPr>
          <w:rFonts w:ascii="Arial" w:eastAsia="Times New Roman" w:hAnsi="Arial" w:cs="Arial"/>
          <w:kern w:val="0"/>
          <w:sz w:val="30"/>
          <w:szCs w:val="30"/>
          <w14:ligatures w14:val="none"/>
        </w:rPr>
      </w:pPr>
      <w:r w:rsidRPr="000F28B0">
        <w:rPr>
          <w:rFonts w:ascii="Arial" w:eastAsia="Times New Roman" w:hAnsi="Arial" w:cs="Arial"/>
          <w:noProof/>
          <w:kern w:val="0"/>
          <w:sz w:val="30"/>
          <w:szCs w:val="30"/>
          <w14:ligatures w14:val="none"/>
        </w:rPr>
        <mc:AlternateContent>
          <mc:Choice Requires="wps">
            <w:drawing>
              <wp:inline distT="0" distB="0" distL="0" distR="0" wp14:anchorId="4726FD9A" wp14:editId="3DDBCEC4">
                <wp:extent cx="5731510" cy="1270"/>
                <wp:effectExtent l="0" t="31750" r="0" b="36830"/>
                <wp:docPr id="1767338811"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6162F202" id="Rectangle 2"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3EB9B7F4" w14:textId="77777777" w:rsidR="00DA5A0D" w:rsidRPr="004C6435" w:rsidRDefault="00DA5A0D" w:rsidP="00D96396">
      <w:pPr>
        <w:spacing w:before="100" w:beforeAutospacing="1" w:after="100" w:afterAutospacing="1" w:line="360" w:lineRule="auto"/>
        <w:outlineLvl w:val="1"/>
        <w:rPr>
          <w:rFonts w:ascii="Arial" w:hAnsi="Arial" w:cs="Arial"/>
          <w:b/>
          <w:bCs/>
          <w:kern w:val="0"/>
          <w:sz w:val="30"/>
          <w:szCs w:val="30"/>
          <w:u w:val="single"/>
          <w14:ligatures w14:val="none"/>
        </w:rPr>
      </w:pPr>
      <w:r w:rsidRPr="004C6435">
        <w:rPr>
          <w:rFonts w:ascii="Arial" w:eastAsia="Times New Roman" w:hAnsi="Arial" w:cs="Arial"/>
          <w:b/>
          <w:bCs/>
          <w:kern w:val="0"/>
          <w:sz w:val="30"/>
          <w:szCs w:val="30"/>
          <w:u w:val="single"/>
          <w14:ligatures w14:val="none"/>
        </w:rPr>
        <w:t>Recommendations for Future Development</w:t>
      </w:r>
    </w:p>
    <w:p w14:paraId="75D2DF55" w14:textId="77777777" w:rsidR="00DA5A0D" w:rsidRPr="004C6435" w:rsidRDefault="00DA5A0D" w:rsidP="00D96396">
      <w:pPr>
        <w:spacing w:before="100" w:beforeAutospacing="1" w:after="100" w:afterAutospacing="1" w:line="360" w:lineRule="auto"/>
        <w:rPr>
          <w:rFonts w:ascii="Arial" w:hAnsi="Arial" w:cs="Arial"/>
          <w:kern w:val="0"/>
          <w:sz w:val="30"/>
          <w:szCs w:val="30"/>
          <w:u w:val="single"/>
          <w14:ligatures w14:val="none"/>
        </w:rPr>
      </w:pPr>
    </w:p>
    <w:p w14:paraId="35CEBBF6"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To enhance PCC and PW in dementia care homes, the following are recommended:</w:t>
      </w:r>
    </w:p>
    <w:p w14:paraId="570D9E6A" w14:textId="77777777" w:rsidR="00DA5A0D" w:rsidRPr="000F28B0" w:rsidRDefault="00DA5A0D" w:rsidP="00D96396">
      <w:pPr>
        <w:numPr>
          <w:ilvl w:val="0"/>
          <w:numId w:val="5"/>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Investment in Staffing and Training: Ensure adequate ratios and training in dementia care, communication, and PCC principles.</w:t>
      </w:r>
    </w:p>
    <w:p w14:paraId="40831E60" w14:textId="77777777" w:rsidR="00DA5A0D" w:rsidRPr="000F28B0" w:rsidRDefault="00DA5A0D" w:rsidP="00D96396">
      <w:pPr>
        <w:numPr>
          <w:ilvl w:val="0"/>
          <w:numId w:val="5"/>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Strengthen Multidisciplinary Collaboration: Implement regular MDT meetings with defined roles and responsibilities.</w:t>
      </w:r>
    </w:p>
    <w:p w14:paraId="013128DD" w14:textId="77777777" w:rsidR="00DA5A0D" w:rsidRPr="000F28B0" w:rsidRDefault="00DA5A0D" w:rsidP="00D96396">
      <w:pPr>
        <w:numPr>
          <w:ilvl w:val="0"/>
          <w:numId w:val="5"/>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Use of Technology: Digital records and communication tools can improve coordination and reduce errors.</w:t>
      </w:r>
    </w:p>
    <w:p w14:paraId="55F94D8C" w14:textId="77777777" w:rsidR="00DA5A0D" w:rsidRPr="000F28B0" w:rsidRDefault="00DA5A0D" w:rsidP="00D96396">
      <w:pPr>
        <w:numPr>
          <w:ilvl w:val="0"/>
          <w:numId w:val="5"/>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Organisational Culture: Promote leadership that values collaboration, reflective practice, and person-centred approaches.</w:t>
      </w:r>
    </w:p>
    <w:p w14:paraId="5820D498" w14:textId="77777777" w:rsidR="00DA5A0D" w:rsidRPr="000F28B0" w:rsidRDefault="00DA5A0D" w:rsidP="00D96396">
      <w:pPr>
        <w:numPr>
          <w:ilvl w:val="0"/>
          <w:numId w:val="5"/>
        </w:num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Family and Community Engagement: Actively involve families and community agencies in planning and evaluation of care.</w:t>
      </w:r>
    </w:p>
    <w:p w14:paraId="7E889D43"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5A060F92"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These recommendations align with national policy objectives and support sustainable, high-quality care for residents.</w:t>
      </w:r>
    </w:p>
    <w:p w14:paraId="35903406" w14:textId="77777777" w:rsidR="00DA5A0D" w:rsidRPr="000F28B0" w:rsidRDefault="00DA5A0D" w:rsidP="00D96396">
      <w:pPr>
        <w:spacing w:after="0" w:line="360" w:lineRule="auto"/>
        <w:rPr>
          <w:rFonts w:ascii="Arial" w:eastAsia="Times New Roman" w:hAnsi="Arial" w:cs="Arial"/>
          <w:kern w:val="0"/>
          <w:sz w:val="30"/>
          <w:szCs w:val="30"/>
          <w14:ligatures w14:val="none"/>
        </w:rPr>
      </w:pPr>
      <w:r w:rsidRPr="000F28B0">
        <w:rPr>
          <w:rFonts w:ascii="Arial" w:eastAsia="Times New Roman" w:hAnsi="Arial" w:cs="Arial"/>
          <w:noProof/>
          <w:kern w:val="0"/>
          <w:sz w:val="30"/>
          <w:szCs w:val="30"/>
          <w14:ligatures w14:val="none"/>
        </w:rPr>
        <mc:AlternateContent>
          <mc:Choice Requires="wps">
            <w:drawing>
              <wp:inline distT="0" distB="0" distL="0" distR="0" wp14:anchorId="34981C88" wp14:editId="4A8B5364">
                <wp:extent cx="5731510" cy="1270"/>
                <wp:effectExtent l="0" t="31750" r="0" b="36830"/>
                <wp:docPr id="435125502" name="Rectangle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w14:anchorId="3AC9B762" id="Rectangle 1" o:spid="_x0000_s1026" style="width:451.3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filled="f">
                <w10:anchorlock/>
              </v:rect>
            </w:pict>
          </mc:Fallback>
        </mc:AlternateContent>
      </w:r>
    </w:p>
    <w:p w14:paraId="782897CD" w14:textId="77777777" w:rsidR="00DA5A0D" w:rsidRPr="004C6435" w:rsidRDefault="00DA5A0D" w:rsidP="00D96396">
      <w:pPr>
        <w:spacing w:before="100" w:beforeAutospacing="1" w:after="100" w:afterAutospacing="1" w:line="360" w:lineRule="auto"/>
        <w:outlineLvl w:val="1"/>
        <w:rPr>
          <w:rFonts w:ascii="Arial" w:hAnsi="Arial" w:cs="Arial"/>
          <w:b/>
          <w:bCs/>
          <w:kern w:val="0"/>
          <w:sz w:val="30"/>
          <w:szCs w:val="30"/>
          <w:u w:val="single"/>
          <w14:ligatures w14:val="none"/>
        </w:rPr>
      </w:pPr>
      <w:r w:rsidRPr="004C6435">
        <w:rPr>
          <w:rFonts w:ascii="Arial" w:eastAsia="Times New Roman" w:hAnsi="Arial" w:cs="Arial"/>
          <w:b/>
          <w:bCs/>
          <w:kern w:val="0"/>
          <w:sz w:val="30"/>
          <w:szCs w:val="30"/>
          <w:u w:val="single"/>
          <w14:ligatures w14:val="none"/>
        </w:rPr>
        <w:t>Conclusion</w:t>
      </w:r>
    </w:p>
    <w:p w14:paraId="48549A91"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70BA99B2"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Person-centred care and partnership working are fundamental to delivering high-quality health and social care in care home settings for people with dementia. PCC enhances autonomy, satisfaction, and well-being, while PW ensures coordinated and holistic care. Theoretical frameworks such as Rogers’ person-centred theory, combined with ethical principles and legislation, provide guidance for practice.</w:t>
      </w:r>
    </w:p>
    <w:p w14:paraId="41A72685"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p>
    <w:p w14:paraId="447D8286" w14:textId="77777777" w:rsidR="00DA5A0D" w:rsidRPr="000F28B0" w:rsidRDefault="00DA5A0D" w:rsidP="00D96396">
      <w:pPr>
        <w:spacing w:before="100" w:beforeAutospacing="1" w:after="100" w:afterAutospacing="1" w:line="360" w:lineRule="auto"/>
        <w:rPr>
          <w:rFonts w:ascii="Arial" w:hAnsi="Arial" w:cs="Arial"/>
          <w:kern w:val="0"/>
          <w:sz w:val="30"/>
          <w:szCs w:val="30"/>
          <w14:ligatures w14:val="none"/>
        </w:rPr>
      </w:pPr>
      <w:r w:rsidRPr="000F28B0">
        <w:rPr>
          <w:rFonts w:ascii="Arial" w:hAnsi="Arial" w:cs="Arial"/>
          <w:kern w:val="0"/>
          <w:sz w:val="30"/>
          <w:szCs w:val="30"/>
          <w14:ligatures w14:val="none"/>
        </w:rPr>
        <w:t>While challenges such as resource limitations, workforce pressures, and implementation variability exist, addressing these through training, organisational culture, and structured collaboration can improve care outcomes. Future development should focus on embedding PCC and PW into organisational structures, promoting multidisciplinary collaboration, and involving service users and families in meaningful decision-making.</w:t>
      </w:r>
    </w:p>
    <w:p w14:paraId="0462CD28" w14:textId="77777777" w:rsidR="00D96396" w:rsidRPr="000F28B0" w:rsidRDefault="00D96396" w:rsidP="00D96396">
      <w:pPr>
        <w:spacing w:before="100" w:beforeAutospacing="1" w:after="100" w:afterAutospacing="1" w:line="360" w:lineRule="auto"/>
        <w:rPr>
          <w:rFonts w:ascii="Times New Roman" w:hAnsi="Times New Roman" w:cs="Times New Roman"/>
          <w:kern w:val="0"/>
          <w:sz w:val="30"/>
          <w:szCs w:val="30"/>
          <w14:ligatures w14:val="none"/>
        </w:rPr>
      </w:pPr>
    </w:p>
    <w:p w14:paraId="2872A9F6" w14:textId="77777777" w:rsidR="00F11B8A" w:rsidRPr="000F28B0" w:rsidRDefault="00F11B8A" w:rsidP="00871E4A">
      <w:pPr>
        <w:spacing w:before="100" w:beforeAutospacing="1" w:after="100" w:afterAutospacing="1" w:line="360" w:lineRule="auto"/>
        <w:outlineLvl w:val="0"/>
        <w:rPr>
          <w:rFonts w:ascii="Arial" w:eastAsia="Times New Roman" w:hAnsi="Arial" w:cs="Arial"/>
          <w:b/>
          <w:bCs/>
          <w:kern w:val="36"/>
          <w:sz w:val="30"/>
          <w:szCs w:val="30"/>
          <w:u w:val="single"/>
          <w14:ligatures w14:val="none"/>
        </w:rPr>
      </w:pPr>
      <w:r w:rsidRPr="000F28B0">
        <w:rPr>
          <w:rFonts w:ascii="Arial" w:eastAsia="Times New Roman" w:hAnsi="Arial" w:cs="Arial"/>
          <w:b/>
          <w:bCs/>
          <w:kern w:val="36"/>
          <w:sz w:val="30"/>
          <w:szCs w:val="30"/>
          <w:u w:val="single"/>
          <w14:ligatures w14:val="none"/>
        </w:rPr>
        <w:t>Reference List</w:t>
      </w:r>
    </w:p>
    <w:p w14:paraId="186964B2"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Beauchamp, T.L. &amp; Childress, J.F. (2019) </w:t>
      </w:r>
      <w:r w:rsidRPr="000F28B0">
        <w:rPr>
          <w:rStyle w:val="s2"/>
          <w:rFonts w:ascii="Arial" w:hAnsi="Arial" w:cs="Arial"/>
          <w:sz w:val="30"/>
          <w:szCs w:val="30"/>
        </w:rPr>
        <w:t>Principles of Biomedical Ethics</w:t>
      </w:r>
      <w:r w:rsidRPr="000F28B0">
        <w:rPr>
          <w:rStyle w:val="s1"/>
          <w:rFonts w:ascii="Arial" w:hAnsi="Arial" w:cs="Arial"/>
          <w:sz w:val="30"/>
          <w:szCs w:val="30"/>
        </w:rPr>
        <w:t>. 8th edn. Oxford: Oxford University Press.</w:t>
      </w:r>
    </w:p>
    <w:p w14:paraId="1E48D03E" w14:textId="77777777" w:rsidR="00781054" w:rsidRPr="000F28B0" w:rsidRDefault="00781054" w:rsidP="00871E4A">
      <w:pPr>
        <w:pStyle w:val="p1"/>
        <w:numPr>
          <w:ilvl w:val="0"/>
          <w:numId w:val="6"/>
        </w:numPr>
        <w:spacing w:line="360" w:lineRule="auto"/>
        <w:rPr>
          <w:rFonts w:ascii="Arial" w:hAnsi="Arial" w:cs="Arial"/>
          <w:sz w:val="30"/>
          <w:szCs w:val="30"/>
        </w:rPr>
      </w:pPr>
      <w:proofErr w:type="spellStart"/>
      <w:r w:rsidRPr="000F28B0">
        <w:rPr>
          <w:rStyle w:val="s1"/>
          <w:rFonts w:ascii="Arial" w:hAnsi="Arial" w:cs="Arial"/>
          <w:sz w:val="30"/>
          <w:szCs w:val="30"/>
        </w:rPr>
        <w:t>Brooker</w:t>
      </w:r>
      <w:proofErr w:type="spellEnd"/>
      <w:r w:rsidRPr="000F28B0">
        <w:rPr>
          <w:rStyle w:val="s1"/>
          <w:rFonts w:ascii="Arial" w:hAnsi="Arial" w:cs="Arial"/>
          <w:sz w:val="30"/>
          <w:szCs w:val="30"/>
        </w:rPr>
        <w:t xml:space="preserve">, D. (2007) </w:t>
      </w:r>
      <w:r w:rsidRPr="000F28B0">
        <w:rPr>
          <w:rStyle w:val="s2"/>
          <w:rFonts w:ascii="Arial" w:hAnsi="Arial" w:cs="Arial"/>
          <w:sz w:val="30"/>
          <w:szCs w:val="30"/>
        </w:rPr>
        <w:t>Person-Centred Dementia Care: Making Services Better</w:t>
      </w:r>
      <w:r w:rsidRPr="000F28B0">
        <w:rPr>
          <w:rStyle w:val="s1"/>
          <w:rFonts w:ascii="Arial" w:hAnsi="Arial" w:cs="Arial"/>
          <w:sz w:val="30"/>
          <w:szCs w:val="30"/>
        </w:rPr>
        <w:t>. London: Jessica Kingsley Publishers.</w:t>
      </w:r>
    </w:p>
    <w:p w14:paraId="6A698A40"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Cameron, A. &amp; </w:t>
      </w:r>
      <w:proofErr w:type="spellStart"/>
      <w:r w:rsidRPr="000F28B0">
        <w:rPr>
          <w:rStyle w:val="s1"/>
          <w:rFonts w:ascii="Arial" w:hAnsi="Arial" w:cs="Arial"/>
          <w:sz w:val="30"/>
          <w:szCs w:val="30"/>
        </w:rPr>
        <w:t>Lart</w:t>
      </w:r>
      <w:proofErr w:type="spellEnd"/>
      <w:r w:rsidRPr="000F28B0">
        <w:rPr>
          <w:rStyle w:val="s1"/>
          <w:rFonts w:ascii="Arial" w:hAnsi="Arial" w:cs="Arial"/>
          <w:sz w:val="30"/>
          <w:szCs w:val="30"/>
        </w:rPr>
        <w:t xml:space="preserve">, R. (2003) ‘Factors promoting and obstacles hindering joint working’, </w:t>
      </w:r>
      <w:r w:rsidRPr="000F28B0">
        <w:rPr>
          <w:rStyle w:val="s2"/>
          <w:rFonts w:ascii="Arial" w:hAnsi="Arial" w:cs="Arial"/>
          <w:sz w:val="30"/>
          <w:szCs w:val="30"/>
        </w:rPr>
        <w:t>Journal of Integrated Care</w:t>
      </w:r>
      <w:r w:rsidRPr="000F28B0">
        <w:rPr>
          <w:rStyle w:val="s1"/>
          <w:rFonts w:ascii="Arial" w:hAnsi="Arial" w:cs="Arial"/>
          <w:sz w:val="30"/>
          <w:szCs w:val="30"/>
        </w:rPr>
        <w:t>, 11(2), pp. 9–17.</w:t>
      </w:r>
    </w:p>
    <w:p w14:paraId="6DE9AE23"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Care Act (2014). London: The Stationery Office.</w:t>
      </w:r>
    </w:p>
    <w:p w14:paraId="38CA5C57"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Department of Health and Social Care (2012) </w:t>
      </w:r>
      <w:r w:rsidRPr="000F28B0">
        <w:rPr>
          <w:rStyle w:val="s2"/>
          <w:rFonts w:ascii="Arial" w:hAnsi="Arial" w:cs="Arial"/>
          <w:sz w:val="30"/>
          <w:szCs w:val="30"/>
        </w:rPr>
        <w:t>Health and Social Care Act 2012</w:t>
      </w:r>
      <w:r w:rsidRPr="000F28B0">
        <w:rPr>
          <w:rStyle w:val="s1"/>
          <w:rFonts w:ascii="Arial" w:hAnsi="Arial" w:cs="Arial"/>
          <w:sz w:val="30"/>
          <w:szCs w:val="30"/>
        </w:rPr>
        <w:t>. London: TSO.</w:t>
      </w:r>
    </w:p>
    <w:p w14:paraId="46455789"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Department of Health and Social Care (2019) </w:t>
      </w:r>
      <w:r w:rsidRPr="000F28B0">
        <w:rPr>
          <w:rStyle w:val="s2"/>
          <w:rFonts w:ascii="Arial" w:hAnsi="Arial" w:cs="Arial"/>
          <w:sz w:val="30"/>
          <w:szCs w:val="30"/>
        </w:rPr>
        <w:t>NHS Long Term Plan</w:t>
      </w:r>
      <w:r w:rsidRPr="000F28B0">
        <w:rPr>
          <w:rStyle w:val="s1"/>
          <w:rFonts w:ascii="Arial" w:hAnsi="Arial" w:cs="Arial"/>
          <w:sz w:val="30"/>
          <w:szCs w:val="30"/>
        </w:rPr>
        <w:t>. London: DHSC.</w:t>
      </w:r>
    </w:p>
    <w:p w14:paraId="6D3C0C1E" w14:textId="77777777" w:rsidR="00781054" w:rsidRPr="000F28B0" w:rsidRDefault="00781054" w:rsidP="00871E4A">
      <w:pPr>
        <w:pStyle w:val="p1"/>
        <w:numPr>
          <w:ilvl w:val="0"/>
          <w:numId w:val="6"/>
        </w:numPr>
        <w:spacing w:line="360" w:lineRule="auto"/>
        <w:rPr>
          <w:rFonts w:ascii="Arial" w:hAnsi="Arial" w:cs="Arial"/>
          <w:sz w:val="30"/>
          <w:szCs w:val="30"/>
        </w:rPr>
      </w:pPr>
      <w:proofErr w:type="spellStart"/>
      <w:r w:rsidRPr="000F28B0">
        <w:rPr>
          <w:rStyle w:val="s1"/>
          <w:rFonts w:ascii="Arial" w:hAnsi="Arial" w:cs="Arial"/>
          <w:sz w:val="30"/>
          <w:szCs w:val="30"/>
        </w:rPr>
        <w:t>Edvardsson</w:t>
      </w:r>
      <w:proofErr w:type="spellEnd"/>
      <w:r w:rsidRPr="000F28B0">
        <w:rPr>
          <w:rStyle w:val="s1"/>
          <w:rFonts w:ascii="Arial" w:hAnsi="Arial" w:cs="Arial"/>
          <w:sz w:val="30"/>
          <w:szCs w:val="30"/>
        </w:rPr>
        <w:t xml:space="preserve">, D., </w:t>
      </w:r>
      <w:proofErr w:type="spellStart"/>
      <w:r w:rsidRPr="000F28B0">
        <w:rPr>
          <w:rStyle w:val="s1"/>
          <w:rFonts w:ascii="Arial" w:hAnsi="Arial" w:cs="Arial"/>
          <w:sz w:val="30"/>
          <w:szCs w:val="30"/>
        </w:rPr>
        <w:t>Winblad</w:t>
      </w:r>
      <w:proofErr w:type="spellEnd"/>
      <w:r w:rsidRPr="000F28B0">
        <w:rPr>
          <w:rStyle w:val="s1"/>
          <w:rFonts w:ascii="Arial" w:hAnsi="Arial" w:cs="Arial"/>
          <w:sz w:val="30"/>
          <w:szCs w:val="30"/>
        </w:rPr>
        <w:t xml:space="preserve">, B. &amp; Sandman, P.O. (2011) ‘Person-centred care of people with severe Alzheimer’s disease: current status and ways forward’, </w:t>
      </w:r>
      <w:r w:rsidRPr="000F28B0">
        <w:rPr>
          <w:rStyle w:val="s2"/>
          <w:rFonts w:ascii="Arial" w:hAnsi="Arial" w:cs="Arial"/>
          <w:sz w:val="30"/>
          <w:szCs w:val="30"/>
        </w:rPr>
        <w:t>The Lancet Neurology</w:t>
      </w:r>
      <w:r w:rsidRPr="000F28B0">
        <w:rPr>
          <w:rStyle w:val="s1"/>
          <w:rFonts w:ascii="Arial" w:hAnsi="Arial" w:cs="Arial"/>
          <w:sz w:val="30"/>
          <w:szCs w:val="30"/>
        </w:rPr>
        <w:t>, 10(12), pp. 1006–1014.</w:t>
      </w:r>
    </w:p>
    <w:p w14:paraId="33A9C393"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Fazio, S., Pace, D., </w:t>
      </w:r>
      <w:proofErr w:type="spellStart"/>
      <w:r w:rsidRPr="000F28B0">
        <w:rPr>
          <w:rStyle w:val="s1"/>
          <w:rFonts w:ascii="Arial" w:hAnsi="Arial" w:cs="Arial"/>
          <w:sz w:val="30"/>
          <w:szCs w:val="30"/>
        </w:rPr>
        <w:t>Flinner</w:t>
      </w:r>
      <w:proofErr w:type="spellEnd"/>
      <w:r w:rsidRPr="000F28B0">
        <w:rPr>
          <w:rStyle w:val="s1"/>
          <w:rFonts w:ascii="Arial" w:hAnsi="Arial" w:cs="Arial"/>
          <w:sz w:val="30"/>
          <w:szCs w:val="30"/>
        </w:rPr>
        <w:t xml:space="preserve">, J. &amp; </w:t>
      </w:r>
      <w:proofErr w:type="spellStart"/>
      <w:r w:rsidRPr="000F28B0">
        <w:rPr>
          <w:rStyle w:val="s1"/>
          <w:rFonts w:ascii="Arial" w:hAnsi="Arial" w:cs="Arial"/>
          <w:sz w:val="30"/>
          <w:szCs w:val="30"/>
        </w:rPr>
        <w:t>Kallmyer</w:t>
      </w:r>
      <w:proofErr w:type="spellEnd"/>
      <w:r w:rsidRPr="000F28B0">
        <w:rPr>
          <w:rStyle w:val="s1"/>
          <w:rFonts w:ascii="Arial" w:hAnsi="Arial" w:cs="Arial"/>
          <w:sz w:val="30"/>
          <w:szCs w:val="30"/>
        </w:rPr>
        <w:t xml:space="preserve">, B. (2018) ‘The fundamentals of </w:t>
      </w:r>
      <w:proofErr w:type="spellStart"/>
      <w:r w:rsidRPr="000F28B0">
        <w:rPr>
          <w:rStyle w:val="s1"/>
          <w:rFonts w:ascii="Arial" w:hAnsi="Arial" w:cs="Arial"/>
          <w:sz w:val="30"/>
          <w:szCs w:val="30"/>
        </w:rPr>
        <w:t>person-centered</w:t>
      </w:r>
      <w:proofErr w:type="spellEnd"/>
      <w:r w:rsidRPr="000F28B0">
        <w:rPr>
          <w:rStyle w:val="s1"/>
          <w:rFonts w:ascii="Arial" w:hAnsi="Arial" w:cs="Arial"/>
          <w:sz w:val="30"/>
          <w:szCs w:val="30"/>
        </w:rPr>
        <w:t xml:space="preserve"> care for individuals with dementia’, </w:t>
      </w:r>
      <w:r w:rsidRPr="000F28B0">
        <w:rPr>
          <w:rStyle w:val="s2"/>
          <w:rFonts w:ascii="Arial" w:hAnsi="Arial" w:cs="Arial"/>
          <w:sz w:val="30"/>
          <w:szCs w:val="30"/>
        </w:rPr>
        <w:t>The Gerontologist</w:t>
      </w:r>
      <w:r w:rsidRPr="000F28B0">
        <w:rPr>
          <w:rStyle w:val="s1"/>
          <w:rFonts w:ascii="Arial" w:hAnsi="Arial" w:cs="Arial"/>
          <w:sz w:val="30"/>
          <w:szCs w:val="30"/>
        </w:rPr>
        <w:t>, 58(</w:t>
      </w:r>
      <w:proofErr w:type="spellStart"/>
      <w:r w:rsidRPr="000F28B0">
        <w:rPr>
          <w:rStyle w:val="s1"/>
          <w:rFonts w:ascii="Arial" w:hAnsi="Arial" w:cs="Arial"/>
          <w:sz w:val="30"/>
          <w:szCs w:val="30"/>
        </w:rPr>
        <w:t>suppl_1</w:t>
      </w:r>
      <w:proofErr w:type="spellEnd"/>
      <w:r w:rsidRPr="000F28B0">
        <w:rPr>
          <w:rStyle w:val="s1"/>
          <w:rFonts w:ascii="Arial" w:hAnsi="Arial" w:cs="Arial"/>
          <w:sz w:val="30"/>
          <w:szCs w:val="30"/>
        </w:rPr>
        <w:t>), pp. S10–S19.</w:t>
      </w:r>
    </w:p>
    <w:p w14:paraId="12C0AECE"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Fry, S. &amp; Johnstone, M. (2008) </w:t>
      </w:r>
      <w:r w:rsidRPr="000F28B0">
        <w:rPr>
          <w:rStyle w:val="s2"/>
          <w:rFonts w:ascii="Arial" w:hAnsi="Arial" w:cs="Arial"/>
          <w:sz w:val="30"/>
          <w:szCs w:val="30"/>
        </w:rPr>
        <w:t>Ethics in Nursing and Health Care: Principles and Practice</w:t>
      </w:r>
      <w:r w:rsidRPr="000F28B0">
        <w:rPr>
          <w:rStyle w:val="s1"/>
          <w:rFonts w:ascii="Arial" w:hAnsi="Arial" w:cs="Arial"/>
          <w:sz w:val="30"/>
          <w:szCs w:val="30"/>
        </w:rPr>
        <w:t>. 3rd edn. Oxford: Blackwell Publishing.</w:t>
      </w:r>
    </w:p>
    <w:p w14:paraId="04FEC47F"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Gillon, R. (1994) ‘Medical ethics: four principles plus attention to scope’, </w:t>
      </w:r>
      <w:r w:rsidRPr="000F28B0">
        <w:rPr>
          <w:rStyle w:val="s2"/>
          <w:rFonts w:ascii="Arial" w:hAnsi="Arial" w:cs="Arial"/>
          <w:sz w:val="30"/>
          <w:szCs w:val="30"/>
        </w:rPr>
        <w:t>BMJ</w:t>
      </w:r>
      <w:r w:rsidRPr="000F28B0">
        <w:rPr>
          <w:rStyle w:val="s1"/>
          <w:rFonts w:ascii="Arial" w:hAnsi="Arial" w:cs="Arial"/>
          <w:sz w:val="30"/>
          <w:szCs w:val="30"/>
        </w:rPr>
        <w:t>, 309(6948), pp. 184–188.</w:t>
      </w:r>
    </w:p>
    <w:p w14:paraId="3CC4DD55"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Glasby, J. (2017) </w:t>
      </w:r>
      <w:r w:rsidRPr="000F28B0">
        <w:rPr>
          <w:rStyle w:val="s2"/>
          <w:rFonts w:ascii="Arial" w:hAnsi="Arial" w:cs="Arial"/>
          <w:sz w:val="30"/>
          <w:szCs w:val="30"/>
        </w:rPr>
        <w:t>Understanding Health and Social Care</w:t>
      </w:r>
      <w:r w:rsidRPr="000F28B0">
        <w:rPr>
          <w:rStyle w:val="s1"/>
          <w:rFonts w:ascii="Arial" w:hAnsi="Arial" w:cs="Arial"/>
          <w:sz w:val="30"/>
          <w:szCs w:val="30"/>
        </w:rPr>
        <w:t>. 2nd edn. Bristol: Policy Press.</w:t>
      </w:r>
    </w:p>
    <w:p w14:paraId="676BCB43"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Glasby, J. &amp; Dickinson, H. (2014) </w:t>
      </w:r>
      <w:r w:rsidRPr="000F28B0">
        <w:rPr>
          <w:rStyle w:val="s2"/>
          <w:rFonts w:ascii="Arial" w:hAnsi="Arial" w:cs="Arial"/>
          <w:sz w:val="30"/>
          <w:szCs w:val="30"/>
        </w:rPr>
        <w:t xml:space="preserve">Partnership Working in </w:t>
      </w:r>
      <w:bookmarkStart w:id="0" w:name="_Int_cTkR5gTZ"/>
      <w:r w:rsidRPr="000F28B0">
        <w:rPr>
          <w:rStyle w:val="s2"/>
          <w:rFonts w:ascii="Arial" w:hAnsi="Arial" w:cs="Arial"/>
          <w:sz w:val="30"/>
          <w:szCs w:val="30"/>
        </w:rPr>
        <w:t>Health</w:t>
      </w:r>
      <w:bookmarkEnd w:id="0"/>
      <w:r w:rsidRPr="000F28B0">
        <w:rPr>
          <w:rStyle w:val="s2"/>
          <w:rFonts w:ascii="Arial" w:hAnsi="Arial" w:cs="Arial"/>
          <w:sz w:val="30"/>
          <w:szCs w:val="30"/>
        </w:rPr>
        <w:t xml:space="preserve"> and Social Care</w:t>
      </w:r>
      <w:r w:rsidRPr="000F28B0">
        <w:rPr>
          <w:rStyle w:val="s1"/>
          <w:rFonts w:ascii="Arial" w:hAnsi="Arial" w:cs="Arial"/>
          <w:sz w:val="30"/>
          <w:szCs w:val="30"/>
        </w:rPr>
        <w:t>. Bristol: Policy Press.</w:t>
      </w:r>
    </w:p>
    <w:p w14:paraId="2D61AAD3"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Kitwood, T. (1997) </w:t>
      </w:r>
      <w:r w:rsidRPr="000F28B0">
        <w:rPr>
          <w:rStyle w:val="s2"/>
          <w:rFonts w:ascii="Arial" w:hAnsi="Arial" w:cs="Arial"/>
          <w:sz w:val="30"/>
          <w:szCs w:val="30"/>
        </w:rPr>
        <w:t>Dementia Reconsidered: The Person Comes First</w:t>
      </w:r>
      <w:r w:rsidRPr="000F28B0">
        <w:rPr>
          <w:rStyle w:val="s1"/>
          <w:rFonts w:ascii="Arial" w:hAnsi="Arial" w:cs="Arial"/>
          <w:sz w:val="30"/>
          <w:szCs w:val="30"/>
        </w:rPr>
        <w:t>. Buckingham: Open University Press.</w:t>
      </w:r>
    </w:p>
    <w:p w14:paraId="16E32032"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McCormack, B. &amp; McCance, T. (2017) </w:t>
      </w:r>
      <w:r w:rsidRPr="000F28B0">
        <w:rPr>
          <w:rStyle w:val="s2"/>
          <w:rFonts w:ascii="Arial" w:hAnsi="Arial" w:cs="Arial"/>
          <w:sz w:val="30"/>
          <w:szCs w:val="30"/>
        </w:rPr>
        <w:t>Person-Centred Practice in Nursing and Health Care</w:t>
      </w:r>
      <w:r w:rsidRPr="000F28B0">
        <w:rPr>
          <w:rStyle w:val="s1"/>
          <w:rFonts w:ascii="Arial" w:hAnsi="Arial" w:cs="Arial"/>
          <w:sz w:val="30"/>
          <w:szCs w:val="30"/>
        </w:rPr>
        <w:t>. 2nd edn. Oxford: Wiley-Blackwell.</w:t>
      </w:r>
    </w:p>
    <w:p w14:paraId="2256D2D7"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NHS England (2016) </w:t>
      </w:r>
      <w:r w:rsidRPr="000F28B0">
        <w:rPr>
          <w:rStyle w:val="s2"/>
          <w:rFonts w:ascii="Arial" w:hAnsi="Arial" w:cs="Arial"/>
          <w:sz w:val="30"/>
          <w:szCs w:val="30"/>
        </w:rPr>
        <w:t>Person-Centred Care Framework</w:t>
      </w:r>
      <w:r w:rsidRPr="000F28B0">
        <w:rPr>
          <w:rStyle w:val="s1"/>
          <w:rFonts w:ascii="Arial" w:hAnsi="Arial" w:cs="Arial"/>
          <w:sz w:val="30"/>
          <w:szCs w:val="30"/>
        </w:rPr>
        <w:t>. Available at: https://www.england.nhs.uk/personalisedcare (Accessed: 3 April 2026).</w:t>
      </w:r>
    </w:p>
    <w:p w14:paraId="77E3502D"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NICE (2018) </w:t>
      </w:r>
      <w:r w:rsidRPr="000F28B0">
        <w:rPr>
          <w:rStyle w:val="s2"/>
          <w:rFonts w:ascii="Arial" w:hAnsi="Arial" w:cs="Arial"/>
          <w:sz w:val="30"/>
          <w:szCs w:val="30"/>
        </w:rPr>
        <w:t>Dementia: Assessment, Management and Support</w:t>
      </w:r>
      <w:r w:rsidRPr="000F28B0">
        <w:rPr>
          <w:rStyle w:val="s1"/>
          <w:rFonts w:ascii="Arial" w:hAnsi="Arial" w:cs="Arial"/>
          <w:sz w:val="30"/>
          <w:szCs w:val="30"/>
        </w:rPr>
        <w:t>. London: National Institute for Health and Care Excellence.</w:t>
      </w:r>
    </w:p>
    <w:p w14:paraId="6687D8E3" w14:textId="77777777"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Reeves, S., Lewin, S., Espin, S. &amp; Zwarenstein, M. (2017) </w:t>
      </w:r>
      <w:r w:rsidRPr="000F28B0">
        <w:rPr>
          <w:rStyle w:val="s2"/>
          <w:rFonts w:ascii="Arial" w:hAnsi="Arial" w:cs="Arial"/>
          <w:sz w:val="30"/>
          <w:szCs w:val="30"/>
        </w:rPr>
        <w:t>Interprofessional Teamwork for Health and Social Care</w:t>
      </w:r>
      <w:r w:rsidRPr="000F28B0">
        <w:rPr>
          <w:rStyle w:val="s1"/>
          <w:rFonts w:ascii="Arial" w:hAnsi="Arial" w:cs="Arial"/>
          <w:sz w:val="30"/>
          <w:szCs w:val="30"/>
        </w:rPr>
        <w:t>. Oxford: Wiley-Blackwell.</w:t>
      </w:r>
    </w:p>
    <w:p w14:paraId="04987720" w14:textId="120A7B8B" w:rsidR="00781054" w:rsidRPr="000F28B0" w:rsidRDefault="00781054" w:rsidP="00871E4A">
      <w:pPr>
        <w:pStyle w:val="p1"/>
        <w:numPr>
          <w:ilvl w:val="0"/>
          <w:numId w:val="6"/>
        </w:numPr>
        <w:spacing w:line="360" w:lineRule="auto"/>
        <w:rPr>
          <w:rFonts w:ascii="Arial" w:hAnsi="Arial" w:cs="Arial"/>
          <w:sz w:val="30"/>
          <w:szCs w:val="30"/>
        </w:rPr>
      </w:pPr>
      <w:r w:rsidRPr="000F28B0">
        <w:rPr>
          <w:rStyle w:val="s1"/>
          <w:rFonts w:ascii="Arial" w:hAnsi="Arial" w:cs="Arial"/>
          <w:sz w:val="30"/>
          <w:szCs w:val="30"/>
        </w:rPr>
        <w:t xml:space="preserve">World Health </w:t>
      </w:r>
      <w:r w:rsidR="000F28B0" w:rsidRPr="000F28B0">
        <w:rPr>
          <w:rStyle w:val="s1"/>
          <w:rFonts w:ascii="Arial" w:hAnsi="Arial" w:cs="Arial"/>
          <w:sz w:val="30"/>
          <w:szCs w:val="30"/>
        </w:rPr>
        <w:t>Organisation</w:t>
      </w:r>
      <w:r w:rsidRPr="000F28B0">
        <w:rPr>
          <w:rStyle w:val="s1"/>
          <w:rFonts w:ascii="Arial" w:hAnsi="Arial" w:cs="Arial"/>
          <w:sz w:val="30"/>
          <w:szCs w:val="30"/>
        </w:rPr>
        <w:t xml:space="preserve"> (2015) </w:t>
      </w:r>
      <w:r w:rsidRPr="000F28B0">
        <w:rPr>
          <w:rStyle w:val="s2"/>
          <w:rFonts w:ascii="Arial" w:hAnsi="Arial" w:cs="Arial"/>
          <w:sz w:val="30"/>
          <w:szCs w:val="30"/>
        </w:rPr>
        <w:t>People-Centred and Integrated Health Services: An Overview of the Evidence</w:t>
      </w:r>
      <w:r w:rsidRPr="000F28B0">
        <w:rPr>
          <w:rStyle w:val="s1"/>
          <w:rFonts w:ascii="Arial" w:hAnsi="Arial" w:cs="Arial"/>
          <w:sz w:val="30"/>
          <w:szCs w:val="30"/>
        </w:rPr>
        <w:t>. Geneva: WHO.</w:t>
      </w:r>
    </w:p>
    <w:p w14:paraId="0C91A484" w14:textId="77777777" w:rsidR="00D96396" w:rsidRPr="000F28B0" w:rsidRDefault="00D96396" w:rsidP="00871E4A">
      <w:pPr>
        <w:spacing w:before="100" w:beforeAutospacing="1" w:after="100" w:afterAutospacing="1" w:line="360" w:lineRule="auto"/>
        <w:rPr>
          <w:rFonts w:ascii="Arial" w:hAnsi="Arial" w:cs="Arial"/>
          <w:kern w:val="0"/>
          <w:sz w:val="30"/>
          <w:szCs w:val="30"/>
          <w14:ligatures w14:val="none"/>
        </w:rPr>
      </w:pPr>
    </w:p>
    <w:p w14:paraId="40B15803" w14:textId="77777777" w:rsidR="00117451" w:rsidRPr="000F28B0" w:rsidRDefault="00117451" w:rsidP="00871E4A">
      <w:pPr>
        <w:spacing w:line="360" w:lineRule="auto"/>
        <w:rPr>
          <w:rFonts w:ascii="Arial" w:hAnsi="Arial" w:cs="Arial"/>
          <w:sz w:val="30"/>
          <w:szCs w:val="30"/>
        </w:rPr>
      </w:pPr>
    </w:p>
    <w:sectPr w:rsidR="00117451" w:rsidRPr="000F28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cTkR5gTZ" int2:invalidationBookmarkName="" int2:hashCode="NwPNIWiB0zA6EK" int2:id="EHZrqaYE">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C1A0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461B3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E64261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EB39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4428D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BD669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99827787">
    <w:abstractNumId w:val="0"/>
  </w:num>
  <w:num w:numId="2" w16cid:durableId="867765415">
    <w:abstractNumId w:val="3"/>
  </w:num>
  <w:num w:numId="3" w16cid:durableId="1126120883">
    <w:abstractNumId w:val="5"/>
  </w:num>
  <w:num w:numId="4" w16cid:durableId="1078207080">
    <w:abstractNumId w:val="4"/>
  </w:num>
  <w:num w:numId="5" w16cid:durableId="1893731007">
    <w:abstractNumId w:val="2"/>
  </w:num>
  <w:num w:numId="6" w16cid:durableId="15038559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7B04"/>
    <w:rsid w:val="000F28B0"/>
    <w:rsid w:val="00117451"/>
    <w:rsid w:val="003A07C5"/>
    <w:rsid w:val="003A09F7"/>
    <w:rsid w:val="003D09EC"/>
    <w:rsid w:val="003F5967"/>
    <w:rsid w:val="00432101"/>
    <w:rsid w:val="004445AF"/>
    <w:rsid w:val="00487B04"/>
    <w:rsid w:val="004C6435"/>
    <w:rsid w:val="0052373E"/>
    <w:rsid w:val="00532632"/>
    <w:rsid w:val="005A7CD9"/>
    <w:rsid w:val="005D4214"/>
    <w:rsid w:val="00627E32"/>
    <w:rsid w:val="006B6ABD"/>
    <w:rsid w:val="00781054"/>
    <w:rsid w:val="00867632"/>
    <w:rsid w:val="00871E4A"/>
    <w:rsid w:val="00897293"/>
    <w:rsid w:val="00AC65BC"/>
    <w:rsid w:val="00D96396"/>
    <w:rsid w:val="00DA5A0D"/>
    <w:rsid w:val="00E127D4"/>
    <w:rsid w:val="00E27D14"/>
    <w:rsid w:val="00E72181"/>
    <w:rsid w:val="00F11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CF6A3"/>
  <w15:chartTrackingRefBased/>
  <w15:docId w15:val="{17DAB816-E24D-4340-A630-EEA88034B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7B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7B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87B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87B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7B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7B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7B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7B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7B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7B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87B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87B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87B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7B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7B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7B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7B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7B04"/>
    <w:rPr>
      <w:rFonts w:eastAsiaTheme="majorEastAsia" w:cstheme="majorBidi"/>
      <w:color w:val="272727" w:themeColor="text1" w:themeTint="D8"/>
    </w:rPr>
  </w:style>
  <w:style w:type="paragraph" w:styleId="Title">
    <w:name w:val="Title"/>
    <w:basedOn w:val="Normal"/>
    <w:next w:val="Normal"/>
    <w:link w:val="TitleChar"/>
    <w:uiPriority w:val="10"/>
    <w:qFormat/>
    <w:rsid w:val="00487B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7B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7B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7B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7B04"/>
    <w:pPr>
      <w:spacing w:before="160"/>
      <w:jc w:val="center"/>
    </w:pPr>
    <w:rPr>
      <w:i/>
      <w:iCs/>
      <w:color w:val="404040" w:themeColor="text1" w:themeTint="BF"/>
    </w:rPr>
  </w:style>
  <w:style w:type="character" w:customStyle="1" w:styleId="QuoteChar">
    <w:name w:val="Quote Char"/>
    <w:basedOn w:val="DefaultParagraphFont"/>
    <w:link w:val="Quote"/>
    <w:uiPriority w:val="29"/>
    <w:rsid w:val="00487B04"/>
    <w:rPr>
      <w:i/>
      <w:iCs/>
      <w:color w:val="404040" w:themeColor="text1" w:themeTint="BF"/>
    </w:rPr>
  </w:style>
  <w:style w:type="paragraph" w:styleId="ListParagraph">
    <w:name w:val="List Paragraph"/>
    <w:basedOn w:val="Normal"/>
    <w:uiPriority w:val="34"/>
    <w:qFormat/>
    <w:rsid w:val="00487B04"/>
    <w:pPr>
      <w:ind w:left="720"/>
      <w:contextualSpacing/>
    </w:pPr>
  </w:style>
  <w:style w:type="character" w:styleId="IntenseEmphasis">
    <w:name w:val="Intense Emphasis"/>
    <w:basedOn w:val="DefaultParagraphFont"/>
    <w:uiPriority w:val="21"/>
    <w:qFormat/>
    <w:rsid w:val="00487B04"/>
    <w:rPr>
      <w:i/>
      <w:iCs/>
      <w:color w:val="0F4761" w:themeColor="accent1" w:themeShade="BF"/>
    </w:rPr>
  </w:style>
  <w:style w:type="paragraph" w:styleId="IntenseQuote">
    <w:name w:val="Intense Quote"/>
    <w:basedOn w:val="Normal"/>
    <w:next w:val="Normal"/>
    <w:link w:val="IntenseQuoteChar"/>
    <w:uiPriority w:val="30"/>
    <w:qFormat/>
    <w:rsid w:val="00487B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7B04"/>
    <w:rPr>
      <w:i/>
      <w:iCs/>
      <w:color w:val="0F4761" w:themeColor="accent1" w:themeShade="BF"/>
    </w:rPr>
  </w:style>
  <w:style w:type="character" w:styleId="IntenseReference">
    <w:name w:val="Intense Reference"/>
    <w:basedOn w:val="DefaultParagraphFont"/>
    <w:uiPriority w:val="32"/>
    <w:qFormat/>
    <w:rsid w:val="00487B04"/>
    <w:rPr>
      <w:b/>
      <w:bCs/>
      <w:smallCaps/>
      <w:color w:val="0F4761" w:themeColor="accent1" w:themeShade="BF"/>
      <w:spacing w:val="5"/>
    </w:rPr>
  </w:style>
  <w:style w:type="character" w:customStyle="1" w:styleId="s1">
    <w:name w:val="s1"/>
    <w:basedOn w:val="DefaultParagraphFont"/>
    <w:rsid w:val="006B6ABD"/>
  </w:style>
  <w:style w:type="paragraph" w:customStyle="1" w:styleId="p2">
    <w:name w:val="p2"/>
    <w:basedOn w:val="Normal"/>
    <w:rsid w:val="006B6ABD"/>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6B6ABD"/>
  </w:style>
  <w:style w:type="paragraph" w:customStyle="1" w:styleId="p3">
    <w:name w:val="p3"/>
    <w:basedOn w:val="Normal"/>
    <w:rsid w:val="006B6ABD"/>
    <w:pPr>
      <w:spacing w:before="100" w:beforeAutospacing="1" w:after="100" w:afterAutospacing="1" w:line="240" w:lineRule="auto"/>
    </w:pPr>
    <w:rPr>
      <w:rFonts w:ascii="Times New Roman" w:hAnsi="Times New Roman" w:cs="Times New Roman"/>
      <w:kern w:val="0"/>
      <w14:ligatures w14:val="none"/>
    </w:rPr>
  </w:style>
  <w:style w:type="paragraph" w:customStyle="1" w:styleId="p1">
    <w:name w:val="p1"/>
    <w:basedOn w:val="Normal"/>
    <w:rsid w:val="00532632"/>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532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2051</Words>
  <Characters>11694</Characters>
  <Application>Microsoft Office Word</Application>
  <DocSecurity>0</DocSecurity>
  <Lines>97</Lines>
  <Paragraphs>27</Paragraphs>
  <ScaleCrop>false</ScaleCrop>
  <Company/>
  <LinksUpToDate>false</LinksUpToDate>
  <CharactersWithSpaces>13718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Payton</dc:creator>
  <cp:keywords/>
  <dc:description/>
  <cp:lastModifiedBy>charlie Payton</cp:lastModifiedBy>
  <cp:revision>2</cp:revision>
  <dcterms:created xsi:type="dcterms:W3CDTF">2026-04-03T07:59:00Z</dcterms:created>
  <dcterms:modified xsi:type="dcterms:W3CDTF">2026-04-03T07:59:00Z</dcterms:modified>
</cp:coreProperties>
</file>