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F573A" w14:textId="15CFA3E1" w:rsidR="00431EA4" w:rsidRDefault="0061054C" w:rsidP="0061054C">
      <w:pPr>
        <w:pStyle w:val="Title"/>
      </w:pPr>
      <w:r>
        <w:t>Object Biography</w:t>
      </w:r>
    </w:p>
    <w:p w14:paraId="6D9FB70B" w14:textId="77777777" w:rsidR="0061054C" w:rsidRDefault="0061054C" w:rsidP="0061054C"/>
    <w:p w14:paraId="70920E31" w14:textId="77777777" w:rsidR="008B0B65" w:rsidRDefault="008B0B65" w:rsidP="0061054C"/>
    <w:p w14:paraId="19D9D20F" w14:textId="77777777" w:rsidR="008B0B65" w:rsidRPr="008B0B65" w:rsidRDefault="008B0B65" w:rsidP="008B0B65">
      <w:r w:rsidRPr="008B0B65">
        <w:t>The Magor Pill ship came to light in 1994 during drainage operations near Caldicot, Monmouthshire, Wales. This medieval vessel, estimated to date back to approximately 1244 AD, is thought to have been a coastal trading ship that met its fate in the Severn Estuary. The estuary’s thick mud helped preserve much of its oak and elm structure, providing valuable insights into shipbuilding techniques of the medieval period.</w:t>
      </w:r>
    </w:p>
    <w:p w14:paraId="7471780D" w14:textId="10DBCAA1" w:rsidR="008B0B65" w:rsidRPr="008B0B65" w:rsidRDefault="008B0B65" w:rsidP="008B0B65">
      <w:r w:rsidRPr="008B0B65">
        <w:t>Archaeologists from the Glamorgan-Gwent Archaeological Trust carried out a detailed excavation, meticulously documenting the ship’s construction before it was carefully removed for further study. Evidence suggests the vessel was actively used in Bristol Channel trade, likely transporting commodities such as wool, salt, and wine. Signs of repairs indicate it had seen years of service before sinking.</w:t>
      </w:r>
      <w:r>
        <w:t xml:space="preserve"> </w:t>
      </w:r>
      <w:r w:rsidRPr="008B0B65">
        <w:t>This discovery holds great historical significance, deepening our understanding of medieval seafaring in Wales. Parts of the ship remain preserved for ongoing research and study.</w:t>
      </w:r>
    </w:p>
    <w:p w14:paraId="1C48135C" w14:textId="4393879D" w:rsidR="008B0B65" w:rsidRDefault="00D27831" w:rsidP="0061054C">
      <w:r>
        <w:t>Features of pots can help archaeologists understand the pots life cycle and how it ended up at they dig site. What the pots of made of can help determine what area they where produced, for example the different colours and minerals you can find in the clay</w:t>
      </w:r>
      <w:r w:rsidR="000A1623">
        <w:t>, with this you can also start to understand the usage of the pots as some pots have added materials such as husk and coal to make the pot more durable. Other materials such as silica and sand were added to allow more heat to be applied over continuous periods of time.</w:t>
      </w:r>
    </w:p>
    <w:p w14:paraId="37A6E5CC" w14:textId="695D983E" w:rsidR="000A1623" w:rsidRDefault="0017407A" w:rsidP="0061054C">
      <w:r w:rsidRPr="0017407A">
        <w:t>Pottery decorations provide valuable clues about cultural influences, historical periods, and intended uses. Designs, carvings, and painted patterns often reflect a vessel’s function, whether for daily activities, storage, or ceremonial purposes. Certain motifs may signify ownership or social status, while others carry symbolic or religious significance. These artistic elements help researchers understand the traditions and beliefs of ancient societies, revealing insights into their way of life.</w:t>
      </w:r>
    </w:p>
    <w:p w14:paraId="3E2CC96E" w14:textId="37DA2E43" w:rsidR="006C59F5" w:rsidRDefault="00E25931" w:rsidP="0061054C">
      <w:r>
        <w:rPr>
          <w:noProof/>
        </w:rPr>
        <mc:AlternateContent>
          <mc:Choice Requires="wps">
            <w:drawing>
              <wp:anchor distT="0" distB="0" distL="114300" distR="114300" simplePos="0" relativeHeight="251663360" behindDoc="0" locked="0" layoutInCell="1" allowOverlap="1" wp14:anchorId="26ED7402" wp14:editId="6D8DBD47">
                <wp:simplePos x="0" y="0"/>
                <wp:positionH relativeFrom="column">
                  <wp:posOffset>-596900</wp:posOffset>
                </wp:positionH>
                <wp:positionV relativeFrom="paragraph">
                  <wp:posOffset>2107565</wp:posOffset>
                </wp:positionV>
                <wp:extent cx="1300480" cy="635"/>
                <wp:effectExtent l="0" t="0" r="0" b="0"/>
                <wp:wrapSquare wrapText="bothSides"/>
                <wp:docPr id="688929927" name="Text Box 1"/>
                <wp:cNvGraphicFramePr/>
                <a:graphic xmlns:a="http://schemas.openxmlformats.org/drawingml/2006/main">
                  <a:graphicData uri="http://schemas.microsoft.com/office/word/2010/wordprocessingShape">
                    <wps:wsp>
                      <wps:cNvSpPr txBox="1"/>
                      <wps:spPr>
                        <a:xfrm>
                          <a:off x="0" y="0"/>
                          <a:ext cx="1300480" cy="635"/>
                        </a:xfrm>
                        <a:prstGeom prst="rect">
                          <a:avLst/>
                        </a:prstGeom>
                        <a:solidFill>
                          <a:prstClr val="white"/>
                        </a:solidFill>
                        <a:ln>
                          <a:noFill/>
                        </a:ln>
                      </wps:spPr>
                      <wps:txbx>
                        <w:txbxContent>
                          <w:p w14:paraId="202E2F8F" w14:textId="0ACEBAE5" w:rsidR="00E25931" w:rsidRPr="00E25931" w:rsidRDefault="00E25931" w:rsidP="00E25931">
                            <w:pPr>
                              <w:pStyle w:val="Caption"/>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ED7402" id="_x0000_t202" coordsize="21600,21600" o:spt="202" path="m,l,21600r21600,l21600,xe">
                <v:stroke joinstyle="miter"/>
                <v:path gradientshapeok="t" o:connecttype="rect"/>
              </v:shapetype>
              <v:shape id="Text Box 1" o:spid="_x0000_s1026" type="#_x0000_t202" style="position:absolute;margin-left:-47pt;margin-top:165.95pt;width:102.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" stroked="f">
                <v:textbox style="mso-fit-shape-to-text:t" inset="0,0,0,0">
                  <w:txbxContent>
                    <w:p w14:paraId="202E2F8F" w14:textId="0ACEBAE5" w:rsidR="00E25931" w:rsidRPr="00E25931" w:rsidRDefault="00E25931" w:rsidP="00E25931">
                      <w:pPr>
                        <w:pStyle w:val="Caption"/>
                      </w:pPr>
                      <w:r>
                        <w:t>Figure 2</w:t>
                      </w:r>
                    </w:p>
                  </w:txbxContent>
                </v:textbox>
                <w10:wrap type="square"/>
              </v:shape>
            </w:pict>
          </mc:Fallback>
        </mc:AlternateContent>
      </w:r>
      <w:r>
        <w:rPr>
          <w:noProof/>
        </w:rPr>
        <w:drawing>
          <wp:anchor distT="0" distB="0" distL="114300" distR="114300" simplePos="0" relativeHeight="251661312" behindDoc="0" locked="0" layoutInCell="1" allowOverlap="1" wp14:anchorId="0A369309" wp14:editId="636E1C39">
            <wp:simplePos x="0" y="0"/>
            <wp:positionH relativeFrom="margin">
              <wp:posOffset>-596900</wp:posOffset>
            </wp:positionH>
            <wp:positionV relativeFrom="paragraph">
              <wp:posOffset>399415</wp:posOffset>
            </wp:positionV>
            <wp:extent cx="1300480" cy="1733550"/>
            <wp:effectExtent l="0" t="0" r="0" b="0"/>
            <wp:wrapSquare wrapText="bothSides"/>
            <wp:docPr id="1630609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00480" cy="1733550"/>
                    </a:xfrm>
                    <a:prstGeom prst="rect">
                      <a:avLst/>
                    </a:prstGeom>
                    <a:noFill/>
                  </pic:spPr>
                </pic:pic>
              </a:graphicData>
            </a:graphic>
            <wp14:sizeRelH relativeFrom="margin">
              <wp14:pctWidth>0</wp14:pctWidth>
            </wp14:sizeRelH>
            <wp14:sizeRelV relativeFrom="margin">
              <wp14:pctHeight>0</wp14:pctHeight>
            </wp14:sizeRelV>
          </wp:anchor>
        </w:drawing>
      </w:r>
      <w:r w:rsidR="00666B61">
        <w:rPr>
          <w:noProof/>
        </w:rPr>
        <mc:AlternateContent>
          <mc:Choice Requires="wps">
            <w:drawing>
              <wp:anchor distT="0" distB="0" distL="114300" distR="114300" simplePos="0" relativeHeight="251660288" behindDoc="0" locked="0" layoutInCell="1" allowOverlap="1" wp14:anchorId="21172565" wp14:editId="0F879A2E">
                <wp:simplePos x="0" y="0"/>
                <wp:positionH relativeFrom="margin">
                  <wp:align>right</wp:align>
                </wp:positionH>
                <wp:positionV relativeFrom="paragraph">
                  <wp:posOffset>1956435</wp:posOffset>
                </wp:positionV>
                <wp:extent cx="1420495" cy="165100"/>
                <wp:effectExtent l="0" t="0" r="8255" b="6350"/>
                <wp:wrapSquare wrapText="bothSides"/>
                <wp:docPr id="2001419941" name="Text Box 1"/>
                <wp:cNvGraphicFramePr/>
                <a:graphic xmlns:a="http://schemas.openxmlformats.org/drawingml/2006/main">
                  <a:graphicData uri="http://schemas.microsoft.com/office/word/2010/wordprocessingShape">
                    <wps:wsp>
                      <wps:cNvSpPr txBox="1"/>
                      <wps:spPr>
                        <a:xfrm>
                          <a:off x="0" y="0"/>
                          <a:ext cx="1420495" cy="165100"/>
                        </a:xfrm>
                        <a:prstGeom prst="rect">
                          <a:avLst/>
                        </a:prstGeom>
                        <a:solidFill>
                          <a:prstClr val="white"/>
                        </a:solidFill>
                        <a:ln>
                          <a:noFill/>
                        </a:ln>
                      </wps:spPr>
                      <wps:txbx>
                        <w:txbxContent>
                          <w:p w14:paraId="565D89BF" w14:textId="5621BF0D" w:rsidR="00666B61" w:rsidRPr="004E7F76" w:rsidRDefault="00666B61" w:rsidP="00666B61">
                            <w:pPr>
                              <w:pStyle w:val="Caption"/>
                              <w:rPr>
                                <w:noProof/>
                                <w:sz w:val="21"/>
                                <w:szCs w:val="21"/>
                              </w:rPr>
                            </w:pPr>
                            <w:r>
                              <w:t xml:space="preserve">Figure </w:t>
                            </w:r>
                            <w:r w:rsidR="00E25931">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172565" id="_x0000_s1027" type="#_x0000_t202" style="position:absolute;margin-left:60.65pt;margin-top:154.05pt;width:111.85pt;height:13pt;z-index:2516602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" stroked="f">
                <v:textbox inset="0,0,0,0">
                  <w:txbxContent>
                    <w:p w14:paraId="565D89BF" w14:textId="5621BF0D" w:rsidR="00666B61" w:rsidRPr="004E7F76" w:rsidRDefault="00666B61" w:rsidP="00666B61">
                      <w:pPr>
                        <w:pStyle w:val="Caption"/>
                        <w:rPr>
                          <w:noProof/>
                          <w:sz w:val="21"/>
                          <w:szCs w:val="21"/>
                        </w:rPr>
                      </w:pPr>
                      <w:r>
                        <w:t xml:space="preserve">Figure </w:t>
                      </w:r>
                      <w:r w:rsidR="00E25931">
                        <w:t>1</w:t>
                      </w:r>
                    </w:p>
                  </w:txbxContent>
                </v:textbox>
                <w10:wrap type="square" anchorx="margin"/>
              </v:shape>
            </w:pict>
          </mc:Fallback>
        </mc:AlternateContent>
      </w:r>
      <w:r w:rsidR="00666B61">
        <w:rPr>
          <w:noProof/>
        </w:rPr>
        <w:drawing>
          <wp:anchor distT="0" distB="0" distL="114300" distR="114300" simplePos="0" relativeHeight="251658240" behindDoc="0" locked="0" layoutInCell="1" allowOverlap="1" wp14:anchorId="7E01A964" wp14:editId="603287DD">
            <wp:simplePos x="0" y="0"/>
            <wp:positionH relativeFrom="margin">
              <wp:align>right</wp:align>
            </wp:positionH>
            <wp:positionV relativeFrom="paragraph">
              <wp:posOffset>6985</wp:posOffset>
            </wp:positionV>
            <wp:extent cx="1420495" cy="1892935"/>
            <wp:effectExtent l="0" t="0" r="8255" b="0"/>
            <wp:wrapSquare wrapText="bothSides"/>
            <wp:docPr id="414933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0495" cy="1892935"/>
                    </a:xfrm>
                    <a:prstGeom prst="rect">
                      <a:avLst/>
                    </a:prstGeom>
                    <a:noFill/>
                  </pic:spPr>
                </pic:pic>
              </a:graphicData>
            </a:graphic>
            <wp14:sizeRelH relativeFrom="margin">
              <wp14:pctWidth>0</wp14:pctWidth>
            </wp14:sizeRelH>
            <wp14:sizeRelV relativeFrom="margin">
              <wp14:pctHeight>0</wp14:pctHeight>
            </wp14:sizeRelV>
          </wp:anchor>
        </w:drawing>
      </w:r>
      <w:r w:rsidR="00C5377C" w:rsidRPr="00C5377C">
        <w:t xml:space="preserve"> The object I chose is a </w:t>
      </w:r>
      <w:r w:rsidR="00901A97" w:rsidRPr="00C5377C">
        <w:t>post-medieval</w:t>
      </w:r>
      <w:r w:rsidR="00C5377C" w:rsidRPr="00C5377C">
        <w:t xml:space="preserve"> pot rim with a glazed green tint, as shown in Figure 2. When looking closely at the fragment, you can see consistent lines following the circumference of the pot, indicating that it was wheel-thrown. Additionally, three indentations are visible along the underside of the rim, possibly from the manufacturing process or use. In Figure 3, a distinct gradient from grey to pink is noticeable, transitioning from the centre to the outer surface. This colour variation suggests differences in firing temperature or clay composition. The glaze, which is only present on the inside and stops at the lip, indicates that the pot was likely used for </w:t>
      </w:r>
      <w:r w:rsidR="00215E08">
        <w:rPr>
          <w:noProof/>
        </w:rPr>
        <w:lastRenderedPageBreak/>
        <w:drawing>
          <wp:anchor distT="0" distB="0" distL="114300" distR="114300" simplePos="0" relativeHeight="251664384" behindDoc="0" locked="0" layoutInCell="1" allowOverlap="1" wp14:anchorId="623CC7C0" wp14:editId="6AA4E9AB">
            <wp:simplePos x="0" y="0"/>
            <wp:positionH relativeFrom="column">
              <wp:posOffset>4864930</wp:posOffset>
            </wp:positionH>
            <wp:positionV relativeFrom="paragraph">
              <wp:posOffset>-586</wp:posOffset>
            </wp:positionV>
            <wp:extent cx="1337310" cy="1783080"/>
            <wp:effectExtent l="0" t="0" r="0" b="7620"/>
            <wp:wrapSquare wrapText="bothSides"/>
            <wp:docPr id="1228423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37310" cy="1783080"/>
                    </a:xfrm>
                    <a:prstGeom prst="rect">
                      <a:avLst/>
                    </a:prstGeom>
                    <a:noFill/>
                  </pic:spPr>
                </pic:pic>
              </a:graphicData>
            </a:graphic>
          </wp:anchor>
        </w:drawing>
      </w:r>
      <w:r w:rsidR="00C5377C" w:rsidRPr="00C5377C">
        <w:t>holding liquids. The pot’s lip diameter measures between 28cm and 30cm, with an internal circumference of 25cm. The recovered fragment accounts for only 16% of the original pot, suggesting it was once a large, functional vessel.</w:t>
      </w:r>
    </w:p>
    <w:p w14:paraId="56B22704" w14:textId="10C25F0E" w:rsidR="006757EE" w:rsidRPr="006757EE" w:rsidRDefault="006757EE" w:rsidP="006757EE">
      <w:r>
        <w:rPr>
          <w:noProof/>
        </w:rPr>
        <mc:AlternateContent>
          <mc:Choice Requires="wps">
            <w:drawing>
              <wp:anchor distT="0" distB="0" distL="114300" distR="114300" simplePos="0" relativeHeight="251666432" behindDoc="0" locked="0" layoutInCell="1" allowOverlap="1" wp14:anchorId="1FA3444F" wp14:editId="0AC9FACC">
                <wp:simplePos x="0" y="0"/>
                <wp:positionH relativeFrom="column">
                  <wp:posOffset>4894580</wp:posOffset>
                </wp:positionH>
                <wp:positionV relativeFrom="paragraph">
                  <wp:posOffset>1099772</wp:posOffset>
                </wp:positionV>
                <wp:extent cx="1337310" cy="635"/>
                <wp:effectExtent l="0" t="0" r="0" b="0"/>
                <wp:wrapSquare wrapText="bothSides"/>
                <wp:docPr id="1946839887" name="Text Box 1"/>
                <wp:cNvGraphicFramePr/>
                <a:graphic xmlns:a="http://schemas.openxmlformats.org/drawingml/2006/main">
                  <a:graphicData uri="http://schemas.microsoft.com/office/word/2010/wordprocessingShape">
                    <wps:wsp>
                      <wps:cNvSpPr txBox="1"/>
                      <wps:spPr>
                        <a:xfrm>
                          <a:off x="0" y="0"/>
                          <a:ext cx="1337310" cy="635"/>
                        </a:xfrm>
                        <a:prstGeom prst="rect">
                          <a:avLst/>
                        </a:prstGeom>
                        <a:solidFill>
                          <a:prstClr val="white"/>
                        </a:solidFill>
                        <a:ln>
                          <a:noFill/>
                        </a:ln>
                      </wps:spPr>
                      <wps:txbx>
                        <w:txbxContent>
                          <w:p w14:paraId="3DE632AA" w14:textId="0CEC024C" w:rsidR="006C59F5" w:rsidRPr="00680DFE" w:rsidRDefault="006C59F5" w:rsidP="006C59F5">
                            <w:pPr>
                              <w:pStyle w:val="Caption"/>
                              <w:rPr>
                                <w:noProof/>
                                <w:sz w:val="21"/>
                                <w:szCs w:val="21"/>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3444F" id="_x0000_s1028" type="#_x0000_t202" style="position:absolute;margin-left:385.4pt;margin-top:86.6pt;width:105.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" stroked="f">
                <v:textbox style="mso-fit-shape-to-text:t" inset="0,0,0,0">
                  <w:txbxContent>
                    <w:p w14:paraId="3DE632AA" w14:textId="0CEC024C" w:rsidR="006C59F5" w:rsidRPr="00680DFE" w:rsidRDefault="006C59F5" w:rsidP="006C59F5">
                      <w:pPr>
                        <w:pStyle w:val="Caption"/>
                        <w:rPr>
                          <w:noProof/>
                          <w:sz w:val="21"/>
                          <w:szCs w:val="21"/>
                        </w:rPr>
                      </w:pPr>
                      <w:r>
                        <w:t>Figure 3</w:t>
                      </w:r>
                    </w:p>
                  </w:txbxContent>
                </v:textbox>
                <w10:wrap type="square"/>
              </v:shape>
            </w:pict>
          </mc:Fallback>
        </mc:AlternateContent>
      </w:r>
      <w:r w:rsidRPr="006757EE">
        <w:t>The pottery uncovered at Magor Pill dates to the post-medieval period and primarily originated from Southwest England and South Wales. This distribution highlights the active trade routes and production centres that operated during that time. Among the finds were Bristol and Somerset wares, which were frequently exchanged along the Severn Estuary, along with locally crafted Red Earthenware’s from South Wales.</w:t>
      </w:r>
    </w:p>
    <w:p w14:paraId="0B8FB72C" w14:textId="7A531067" w:rsidR="006757EE" w:rsidRDefault="00A1204E" w:rsidP="006757EE">
      <w:r>
        <w:rPr>
          <w:noProof/>
        </w:rPr>
        <mc:AlternateContent>
          <mc:Choice Requires="wps">
            <w:drawing>
              <wp:anchor distT="0" distB="0" distL="114300" distR="114300" simplePos="0" relativeHeight="251669504" behindDoc="0" locked="0" layoutInCell="1" allowOverlap="1" wp14:anchorId="5FA94337" wp14:editId="3EF4AA2A">
                <wp:simplePos x="0" y="0"/>
                <wp:positionH relativeFrom="column">
                  <wp:posOffset>3847465</wp:posOffset>
                </wp:positionH>
                <wp:positionV relativeFrom="paragraph">
                  <wp:posOffset>2979420</wp:posOffset>
                </wp:positionV>
                <wp:extent cx="2243455" cy="635"/>
                <wp:effectExtent l="0" t="0" r="0" b="0"/>
                <wp:wrapSquare wrapText="bothSides"/>
                <wp:docPr id="1632409433" name="Text Box 1"/>
                <wp:cNvGraphicFramePr/>
                <a:graphic xmlns:a="http://schemas.openxmlformats.org/drawingml/2006/main">
                  <a:graphicData uri="http://schemas.microsoft.com/office/word/2010/wordprocessingShape">
                    <wps:wsp>
                      <wps:cNvSpPr txBox="1"/>
                      <wps:spPr>
                        <a:xfrm>
                          <a:off x="0" y="0"/>
                          <a:ext cx="2243455" cy="635"/>
                        </a:xfrm>
                        <a:prstGeom prst="rect">
                          <a:avLst/>
                        </a:prstGeom>
                        <a:solidFill>
                          <a:prstClr val="white"/>
                        </a:solidFill>
                        <a:ln>
                          <a:noFill/>
                        </a:ln>
                      </wps:spPr>
                      <wps:txbx>
                        <w:txbxContent>
                          <w:p w14:paraId="599A9D4C" w14:textId="62F75B64" w:rsidR="00A1204E" w:rsidRPr="00A1204E" w:rsidRDefault="00A1204E" w:rsidP="00A1204E">
                            <w:pPr>
                              <w:pStyle w:val="Caption"/>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94337" id="_x0000_s1029" type="#_x0000_t202" style="position:absolute;margin-left:302.95pt;margin-top:234.6pt;width:176.6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" stroked="f">
                <v:textbox style="mso-fit-shape-to-text:t" inset="0,0,0,0">
                  <w:txbxContent>
                    <w:p w14:paraId="599A9D4C" w14:textId="62F75B64" w:rsidR="00A1204E" w:rsidRPr="00A1204E" w:rsidRDefault="00A1204E" w:rsidP="00A1204E">
                      <w:pPr>
                        <w:pStyle w:val="Caption"/>
                      </w:pPr>
                      <w:r>
                        <w:t>Figure 4</w:t>
                      </w:r>
                    </w:p>
                  </w:txbxContent>
                </v:textbox>
                <w10:wrap type="square"/>
              </v:shape>
            </w:pict>
          </mc:Fallback>
        </mc:AlternateContent>
      </w:r>
      <w:r>
        <w:rPr>
          <w:noProof/>
        </w:rPr>
        <w:drawing>
          <wp:anchor distT="0" distB="0" distL="114300" distR="114300" simplePos="0" relativeHeight="251667456" behindDoc="0" locked="0" layoutInCell="1" allowOverlap="1" wp14:anchorId="0E6A78FC" wp14:editId="3913E8F1">
            <wp:simplePos x="0" y="0"/>
            <wp:positionH relativeFrom="margin">
              <wp:posOffset>3847513</wp:posOffset>
            </wp:positionH>
            <wp:positionV relativeFrom="paragraph">
              <wp:posOffset>1334721</wp:posOffset>
            </wp:positionV>
            <wp:extent cx="2243455" cy="1588135"/>
            <wp:effectExtent l="0" t="0" r="4445" b="0"/>
            <wp:wrapSquare wrapText="bothSides"/>
            <wp:docPr id="1116521487" name="Picture 4" descr="London Post-Medieval Redware | Historic Jamestow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Post-Medieval Redware | Historic Jamestow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3455" cy="1588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57EE" w:rsidRPr="006757EE">
        <w:t xml:space="preserve">Certain pottery types suggest trade links extending to North Devon and possibly beyond, emphasizing Magor Pill’s role in coastal commerce. The discovery of green-glazed wares, slipware’s, and stoneware’s reflects the influence of both regional and broader British ceramic traditions. These pottery forms were commonly used for storage and everyday household activities, illustrating the functional nature of these ceramics in daily life. Overall, the pottery assemblage provides valuable insight into the commercial and domestic networks that shaped the region during the </w:t>
      </w:r>
      <w:r w:rsidR="00860A92" w:rsidRPr="006757EE">
        <w:t>post-medieval</w:t>
      </w:r>
      <w:r w:rsidR="006757EE" w:rsidRPr="006757EE">
        <w:t xml:space="preserve"> period.</w:t>
      </w:r>
    </w:p>
    <w:p w14:paraId="0728CD9C" w14:textId="0C0B90D7" w:rsidR="0029170B" w:rsidRDefault="0069778C">
      <w:r w:rsidRPr="0069778C">
        <w:t>From my analysis of the pottery, I find it very similar to the pottery presented in Figure 4, mainly the large, fragmented pot with the green-glazed inside. The pottery in Figure 4 is 16th-17th century post-medieval red</w:t>
      </w:r>
      <w:r w:rsidR="00F10977">
        <w:t xml:space="preserve"> earthen</w:t>
      </w:r>
      <w:r w:rsidRPr="0069778C">
        <w:t>ware, that is green glazed. This pottery is known as London Post-Medieval slipware and was mainly used for utilitarian purposes, such as food preparation, storage, and serving. Similar examples have been found at archaeological sites across England and Wales, reinforcing its widespread use. The distinct glaze and fabric composition suggest it was produced in established pottery centres, possibly in London or the surrounding region, where slipware was a common commodity. These ceramics provide valuable insight into domestic life, trade, and production techniques of the post-medieval period.</w:t>
      </w:r>
    </w:p>
    <w:p w14:paraId="6784AB3D" w14:textId="4DD31958" w:rsidR="00233773" w:rsidRPr="00233773" w:rsidRDefault="00233773" w:rsidP="00233773">
      <w:r w:rsidRPr="00233773">
        <w:t>The discovery of green-glazed utilitarian redware at Magor Pill reflects the post-medieval ceramic traditions that were prominent in Southwest England and South Wales. These vessels, typically measuring approximately 28 cm in diameter, served essential domestic functions, particularly for food storage and preparation. The distinctive green glaze was produced using a lead-based compound containing copper oxide, which not only enhanced the visual appeal of the pottery but also improved its functionality by sealing the porous earthenware surface.</w:t>
      </w:r>
    </w:p>
    <w:p w14:paraId="67AA20BE" w14:textId="77777777" w:rsidR="00233773" w:rsidRPr="00233773" w:rsidRDefault="00233773" w:rsidP="00233773">
      <w:r w:rsidRPr="00233773">
        <w:t>Although specific images of the Magor Pill artifacts are not readily available, comparable examples from the same period display consistent characteristics. A notable example is a redware jug from early New England, featuring a green copper glaze with pronounced orange undertones, created through a high-lead glazing process. This artifact also includes an early tin make-do handle, suggesting an effort to extend its usability.</w:t>
      </w:r>
    </w:p>
    <w:p w14:paraId="04B71436" w14:textId="4F77048B" w:rsidR="00233773" w:rsidRPr="00233773" w:rsidRDefault="00233773" w:rsidP="00233773">
      <w:r w:rsidRPr="00233773">
        <w:t xml:space="preserve">These ceramics were likely produced in established pottery centres, potentially in London or nearby regions, where slipware was widely manufactured. The broad distribution of such pottery highlights the </w:t>
      </w:r>
      <w:r w:rsidRPr="00233773">
        <w:lastRenderedPageBreak/>
        <w:t xml:space="preserve">extensive trade networks of the period and the consistent demand for durable, functional household </w:t>
      </w:r>
      <w:r w:rsidR="007466A4">
        <w:rPr>
          <w:noProof/>
        </w:rPr>
        <mc:AlternateContent>
          <mc:Choice Requires="wps">
            <w:drawing>
              <wp:anchor distT="0" distB="0" distL="114300" distR="114300" simplePos="0" relativeHeight="251672576" behindDoc="0" locked="0" layoutInCell="1" allowOverlap="1" wp14:anchorId="23F623FC" wp14:editId="1BA97307">
                <wp:simplePos x="0" y="0"/>
                <wp:positionH relativeFrom="column">
                  <wp:posOffset>-738505</wp:posOffset>
                </wp:positionH>
                <wp:positionV relativeFrom="paragraph">
                  <wp:posOffset>2433320</wp:posOffset>
                </wp:positionV>
                <wp:extent cx="1397635" cy="635"/>
                <wp:effectExtent l="0" t="0" r="0" b="0"/>
                <wp:wrapSquare wrapText="bothSides"/>
                <wp:docPr id="1532464194" name="Text Box 1"/>
                <wp:cNvGraphicFramePr/>
                <a:graphic xmlns:a="http://schemas.openxmlformats.org/drawingml/2006/main">
                  <a:graphicData uri="http://schemas.microsoft.com/office/word/2010/wordprocessingShape">
                    <wps:wsp>
                      <wps:cNvSpPr txBox="1"/>
                      <wps:spPr>
                        <a:xfrm>
                          <a:off x="0" y="0"/>
                          <a:ext cx="1397635" cy="635"/>
                        </a:xfrm>
                        <a:prstGeom prst="rect">
                          <a:avLst/>
                        </a:prstGeom>
                        <a:solidFill>
                          <a:prstClr val="white"/>
                        </a:solidFill>
                        <a:ln>
                          <a:noFill/>
                        </a:ln>
                      </wps:spPr>
                      <wps:txbx>
                        <w:txbxContent>
                          <w:p w14:paraId="354F0293" w14:textId="2AFB8F62" w:rsidR="007466A4" w:rsidRPr="00E7181B" w:rsidRDefault="007466A4" w:rsidP="007466A4">
                            <w:pPr>
                              <w:pStyle w:val="Caption"/>
                              <w:rPr>
                                <w:sz w:val="21"/>
                                <w:szCs w:val="21"/>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F623FC" id="_x0000_s1030" type="#_x0000_t202" style="position:absolute;margin-left:-58.15pt;margin-top:191.6pt;width:110.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" stroked="f">
                <v:textbox style="mso-fit-shape-to-text:t" inset="0,0,0,0">
                  <w:txbxContent>
                    <w:p w14:paraId="354F0293" w14:textId="2AFB8F62" w:rsidR="007466A4" w:rsidRPr="00E7181B" w:rsidRDefault="007466A4" w:rsidP="007466A4">
                      <w:pPr>
                        <w:pStyle w:val="Caption"/>
                        <w:rPr>
                          <w:sz w:val="21"/>
                          <w:szCs w:val="21"/>
                        </w:rPr>
                      </w:pPr>
                      <w:r>
                        <w:t>Figure 5</w:t>
                      </w:r>
                    </w:p>
                  </w:txbxContent>
                </v:textbox>
                <w10:wrap type="square"/>
              </v:shape>
            </w:pict>
          </mc:Fallback>
        </mc:AlternateContent>
      </w:r>
      <w:r w:rsidR="007466A4">
        <w:rPr>
          <w:noProof/>
        </w:rPr>
        <w:drawing>
          <wp:anchor distT="0" distB="0" distL="114300" distR="114300" simplePos="0" relativeHeight="251670528" behindDoc="0" locked="0" layoutInCell="1" allowOverlap="1" wp14:anchorId="0BDF6D6A" wp14:editId="58CE6896">
            <wp:simplePos x="0" y="0"/>
            <wp:positionH relativeFrom="column">
              <wp:posOffset>-738554</wp:posOffset>
            </wp:positionH>
            <wp:positionV relativeFrom="paragraph">
              <wp:posOffset>512836</wp:posOffset>
            </wp:positionV>
            <wp:extent cx="1397635" cy="1863725"/>
            <wp:effectExtent l="0" t="0" r="0" b="3175"/>
            <wp:wrapSquare wrapText="bothSides"/>
            <wp:docPr id="2036024093" name="Picture 7" descr="A hand holding a piece of r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24093" name="Picture 7" descr="A hand holding a piece of rock&#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7635" cy="1863725"/>
                    </a:xfrm>
                    <a:prstGeom prst="rect">
                      <a:avLst/>
                    </a:prstGeom>
                    <a:noFill/>
                  </pic:spPr>
                </pic:pic>
              </a:graphicData>
            </a:graphic>
          </wp:anchor>
        </w:drawing>
      </w:r>
      <w:r w:rsidRPr="00233773">
        <w:t>items.</w:t>
      </w:r>
    </w:p>
    <w:p w14:paraId="29CAE706" w14:textId="05C75ACF" w:rsidR="00B44C47" w:rsidRPr="00B44C47" w:rsidRDefault="007466A4" w:rsidP="00B44C47">
      <w:r w:rsidRPr="007466A4">
        <w:t xml:space="preserve"> </w:t>
      </w:r>
      <w:r>
        <w:t>Due to the pottery fragment I chos</w:t>
      </w:r>
      <w:r w:rsidR="003C2113">
        <w:t>e having only green glaze on the inside, it can help us determine that the pot was likely used for holding large amounts of liquid, such as wine or water</w:t>
      </w:r>
      <w:r w:rsidR="00B44C47">
        <w:t>.</w:t>
      </w:r>
      <w:r w:rsidR="00B44C47" w:rsidRPr="00B44C47">
        <w:rPr>
          <w:rFonts w:ascii="Times New Roman" w:eastAsia="Times New Roman" w:hAnsi="Times New Roman" w:cs="Times New Roman"/>
          <w:sz w:val="24"/>
          <w:szCs w:val="24"/>
          <w:lang w:eastAsia="en-GB"/>
        </w:rPr>
        <w:t xml:space="preserve"> </w:t>
      </w:r>
      <w:r w:rsidR="00B44C47" w:rsidRPr="00B44C47">
        <w:t>During the medieval period, glazing the interior of pottery was a crucial innovation that significantly enhanced both functionality and longevity, particularly for vessels designed to store liquids. Unglazed earthenware was highly porous, leading to seepage and the potential loss of valuable contents. The application of a lead-based glaze, often enriched with copper or iron oxides to achieve various colours, formed a waterproof barrier that prevented liquid absorption, ensuring the vessel remained practical for cooking and storage.</w:t>
      </w:r>
    </w:p>
    <w:p w14:paraId="680D90A4" w14:textId="59EE9B9F" w:rsidR="00B44C47" w:rsidRDefault="00B44C47" w:rsidP="00B44C47">
      <w:r w:rsidRPr="00B44C47">
        <w:t xml:space="preserve">Beyond its functional benefits, glazing also played a key role in maintaining hygiene. A smooth, sealed surface reduced bacterial growth, minimized odours, and prevented the absorption of </w:t>
      </w:r>
      <w:r w:rsidR="00F10977" w:rsidRPr="00B44C47">
        <w:t>flavours</w:t>
      </w:r>
      <w:r w:rsidRPr="00B44C47">
        <w:t>, ensuring that stored liquids and food retained their intended qualities. Additionally, the glaze reinforced the vessel’s durability, protecting it from deterioration caused by prolonged exposure to moisture. By facilitating easier pouring and serving, glazed pottery became an indispensable feature in both domestic settings and commercial enterprises throughout the medieval period.</w:t>
      </w:r>
    </w:p>
    <w:p w14:paraId="4F0F469E" w14:textId="77777777" w:rsidR="00BA75EA" w:rsidRDefault="00BA75EA" w:rsidP="00BA75EA">
      <w:r>
        <w:t>“</w:t>
      </w:r>
      <w:r w:rsidRPr="00BC0102">
        <w:t>The harsh environment at Magor Pill makes work on the pottery of all ages difficult. Typically, sherds are small, weathered, abraded and commonly stained, delicate surface coatings and decoration, and some glazes, having been damaged or completely destroyed.</w:t>
      </w:r>
      <w:r>
        <w:t xml:space="preserve">”( </w:t>
      </w:r>
      <w:r w:rsidRPr="00861484">
        <w:rPr>
          <w:b/>
          <w:bCs/>
          <w:i/>
          <w:iCs/>
        </w:rPr>
        <w:t>Allen, J.R.L., 1999.</w:t>
      </w:r>
      <w:r>
        <w:t>)</w:t>
      </w:r>
    </w:p>
    <w:p w14:paraId="484240E7" w14:textId="1FE7B1A8" w:rsidR="00C20A11" w:rsidRPr="00861484" w:rsidRDefault="00C20A11" w:rsidP="00BA75EA">
      <w:r w:rsidRPr="00C20A11">
        <w:t xml:space="preserve">Allen (1999) highlights the challenging conditions at Magor Pill, emphasizing how the harsh environment affects the preservation of pottery. The exposure to coastal weathering, tidal activity, and sediment movement results in small, highly abraded sherds, making analysis difficult. Surface coatings, decorations, and glazes are often damaged or lost entirely, limiting the ability to identify stylistic and chronological details. This degradation complicates the reconstruction of pottery typologies and trade networks, as key diagnostic features may be missing. Furthermore, the staining of sherds suggests prolonged exposure to organic materials or mineral-rich sediments, which can obscure original fabric </w:t>
      </w:r>
      <w:r w:rsidR="00C64229" w:rsidRPr="00C20A11">
        <w:t>colours</w:t>
      </w:r>
      <w:r w:rsidRPr="00C20A11">
        <w:t xml:space="preserve"> and textures. Allen’s observation underscores the necessity of careful stratigraphic analysis and comparative studies when interpreting pottery from Magor Pill. Despite these preservation challenges, the surviving fragments still provide valuable insight into the site’s historical and economic significance, illustrating patterns of trade, daily life, and material culture in coastal medieval settlements.</w:t>
      </w:r>
    </w:p>
    <w:p w14:paraId="755524D4" w14:textId="13C81EAA" w:rsidR="00BA75EA" w:rsidRDefault="00B21A87">
      <w:r w:rsidRPr="00B21A87">
        <w:t xml:space="preserve">From Figure 5, it is evident that the broken edges of the pottery are smooth and rounded, suggesting significant erosion over time. This observation aligns with Magor Pill’s coastal location, where exposure to water, tidal activity, and river currents could have contributed to the gradual weathering of the ceramic fragments. However, the extent of erosion also raises the possibility that the object did not originate from Magor Pill but may have been transported from another settlement via waterways or trade networks. Additionally, there is evidence to suggest that the object was deliberately discarded, as indicated by the presence of charcoal residue visible in Figure 1. The burn marks on the surface could imply prior use as a cooking vessel, where exposure to high temperatures caused discoloration. </w:t>
      </w:r>
      <w:r w:rsidRPr="00B21A87">
        <w:lastRenderedPageBreak/>
        <w:t>Alternatively, these marks may indicate that the object was intentionally disposed of in a fire, possibly as part of waste management or ritualistic practices.</w:t>
      </w:r>
    </w:p>
    <w:p w14:paraId="34895F18" w14:textId="7F16B01B" w:rsidR="00264BD5" w:rsidRDefault="00983539">
      <w:r w:rsidRPr="00983539">
        <w:t>In conclusion, the discovery of green-glazed red earthenware pottery at Magor Pill provides significant insights into the post-medieval period, particularly in relation to trade, daily life, and ceramic production. The distinctive green glaze, typically used for functional vessels such as those for storing liquids, reflects both the technological advancements of the time and the widespread trade networks across Southwest England and South Wales. Despite the harsh coastal environment at Magor Pill, which led to the erosion and degradation of many pottery fragments, these artifacts still offer valuable evidence of the region's cultural practices and commercial interactions. The analysis of these ceramics enhances our understanding of medieval domestic practices, highlighting the importance of ceramics in both utilitarian and trade contexts.</w:t>
      </w:r>
    </w:p>
    <w:p w14:paraId="22ADEFE7" w14:textId="77777777" w:rsidR="00321979" w:rsidRDefault="00321979"/>
    <w:p w14:paraId="745DABD2" w14:textId="70472B4D" w:rsidR="00923412" w:rsidRPr="0069778C" w:rsidRDefault="00923412">
      <w:r w:rsidRPr="0069778C">
        <w:br w:type="page"/>
      </w:r>
    </w:p>
    <w:p w14:paraId="5C76D874" w14:textId="48E5B6AF" w:rsidR="00926138" w:rsidRDefault="00923412" w:rsidP="00923412">
      <w:pPr>
        <w:pStyle w:val="Heading1"/>
      </w:pPr>
      <w:r>
        <w:lastRenderedPageBreak/>
        <w:t>Bibliography</w:t>
      </w:r>
    </w:p>
    <w:p w14:paraId="6575632D" w14:textId="77777777" w:rsidR="00923412" w:rsidRDefault="00923412" w:rsidP="00923412"/>
    <w:p w14:paraId="0A65B1B7" w14:textId="038FDB73" w:rsidR="00923412" w:rsidRPr="00861484" w:rsidRDefault="00923412" w:rsidP="00923412">
      <w:pPr>
        <w:rPr>
          <w:i/>
          <w:iCs/>
        </w:rPr>
      </w:pPr>
      <w:r w:rsidRPr="00861484">
        <w:rPr>
          <w:b/>
          <w:bCs/>
          <w:i/>
          <w:iCs/>
        </w:rPr>
        <w:t>Allen, J.R.L., 1999.</w:t>
      </w:r>
      <w:r w:rsidRPr="00861484">
        <w:rPr>
          <w:i/>
          <w:iCs/>
        </w:rPr>
        <w:t xml:space="preserve"> Magor Pill Multiperiod Site: The Romano-British Pottery and Status as a Port – A Post Script. [online] Archaeology Data Service. Available at: </w:t>
      </w:r>
      <w:hyperlink r:id="rId12" w:tgtFrame="_new" w:history="1">
        <w:r w:rsidRPr="00861484">
          <w:rPr>
            <w:rStyle w:val="Hyperlink"/>
            <w:i/>
            <w:iCs/>
          </w:rPr>
          <w:t>https://archaeologydataservice.ac.uk/archiveDS/archiveDownload?t=arch-2776-1/dissemination/pdf/VOL_10_1999/Allen_1999_Magor_Pill_Multiperiod_Site_The_Romano-British_Pottery_and_Status_as_a_Port_A_post_Script.pdf</w:t>
        </w:r>
      </w:hyperlink>
      <w:r w:rsidRPr="00861484">
        <w:rPr>
          <w:i/>
          <w:iCs/>
        </w:rPr>
        <w:t xml:space="preserve"> [Accessed 16 Feb. 2025].</w:t>
      </w:r>
    </w:p>
    <w:p w14:paraId="2531819F" w14:textId="71486B07" w:rsidR="00F20311" w:rsidRDefault="00A1204E">
      <w:r>
        <w:t xml:space="preserve">Figure </w:t>
      </w:r>
      <w:r w:rsidR="00F20311">
        <w:t>1, 2,3</w:t>
      </w:r>
      <w:r w:rsidR="00F10977">
        <w:t>, 5:</w:t>
      </w:r>
    </w:p>
    <w:p w14:paraId="1651B333" w14:textId="77777777" w:rsidR="008F6208" w:rsidRDefault="00F20311">
      <w:r>
        <w:t xml:space="preserve">Photos taken </w:t>
      </w:r>
      <w:r w:rsidR="008F6208">
        <w:t>by S. Green</w:t>
      </w:r>
    </w:p>
    <w:p w14:paraId="01FAAF65" w14:textId="77777777" w:rsidR="007A131C" w:rsidRDefault="008F6208">
      <w:r>
        <w:t>Figure 4:</w:t>
      </w:r>
    </w:p>
    <w:p w14:paraId="0E430D9C" w14:textId="77777777" w:rsidR="00233773" w:rsidRPr="00A678B0" w:rsidRDefault="007A131C">
      <w:pPr>
        <w:rPr>
          <w:i/>
          <w:iCs/>
        </w:rPr>
      </w:pPr>
      <w:r w:rsidRPr="00A678B0">
        <w:rPr>
          <w:i/>
          <w:iCs/>
        </w:rPr>
        <w:t xml:space="preserve">Historicjamestowne.org. (2024). London Post-Medieval Redware | Historic </w:t>
      </w:r>
      <w:proofErr w:type="spellStart"/>
      <w:r w:rsidRPr="00A678B0">
        <w:rPr>
          <w:i/>
          <w:iCs/>
        </w:rPr>
        <w:t>Jamestowne</w:t>
      </w:r>
      <w:proofErr w:type="spellEnd"/>
      <w:r w:rsidRPr="00A678B0">
        <w:rPr>
          <w:i/>
          <w:iCs/>
        </w:rPr>
        <w:t>. [online] Available at: https://historicjamestowne.org/collections/artifacts/material/lpmr/ [Accessed 16 Feb. 2025].</w:t>
      </w:r>
    </w:p>
    <w:p w14:paraId="12B89B6F" w14:textId="41930CD3" w:rsidR="00E577F4" w:rsidRPr="00A678B0" w:rsidRDefault="00E577F4">
      <w:pPr>
        <w:rPr>
          <w:i/>
          <w:iCs/>
        </w:rPr>
      </w:pPr>
      <w:r w:rsidRPr="00A678B0">
        <w:rPr>
          <w:i/>
          <w:iCs/>
        </w:rPr>
        <w:t>Gerrard, J. (2016) Medieval and Post-Medieval Pottery in Britain c. 700-1900. Oxford: Oxbow Books.</w:t>
      </w:r>
      <w:r w:rsidR="00474853" w:rsidRPr="00A678B0">
        <w:rPr>
          <w:i/>
          <w:iCs/>
        </w:rPr>
        <w:t xml:space="preserve"> [</w:t>
      </w:r>
      <w:r w:rsidR="00A678B0" w:rsidRPr="00A678B0">
        <w:rPr>
          <w:i/>
          <w:iCs/>
        </w:rPr>
        <w:t>A</w:t>
      </w:r>
      <w:r w:rsidR="00474853" w:rsidRPr="00A678B0">
        <w:rPr>
          <w:i/>
          <w:iCs/>
        </w:rPr>
        <w:t>ccessed</w:t>
      </w:r>
      <w:r w:rsidR="00A678B0" w:rsidRPr="00A678B0">
        <w:rPr>
          <w:i/>
          <w:iCs/>
        </w:rPr>
        <w:t xml:space="preserve"> 16 Feb 2025]</w:t>
      </w:r>
    </w:p>
    <w:p w14:paraId="276DA2BE" w14:textId="2F2735AE" w:rsidR="006C59F5" w:rsidRDefault="006C59F5">
      <w:r>
        <w:br w:type="page"/>
      </w:r>
    </w:p>
    <w:p w14:paraId="5BFA2F43" w14:textId="477127E5" w:rsidR="006C59F5" w:rsidRDefault="006C59F5" w:rsidP="0061054C"/>
    <w:p w14:paraId="572D3C8F" w14:textId="6D89BB11" w:rsidR="006C59F5" w:rsidRDefault="006C59F5">
      <w:r>
        <w:br w:type="page"/>
      </w:r>
    </w:p>
    <w:p w14:paraId="00600C46" w14:textId="262EEEAE" w:rsidR="0017407A" w:rsidRPr="0061054C" w:rsidRDefault="0017407A" w:rsidP="0061054C"/>
    <w:sectPr w:rsidR="0017407A" w:rsidRPr="00610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54C"/>
    <w:rsid w:val="0004340E"/>
    <w:rsid w:val="000A1623"/>
    <w:rsid w:val="000A1D87"/>
    <w:rsid w:val="000D0358"/>
    <w:rsid w:val="000F319B"/>
    <w:rsid w:val="0015789D"/>
    <w:rsid w:val="0017407A"/>
    <w:rsid w:val="001757C6"/>
    <w:rsid w:val="00183BDE"/>
    <w:rsid w:val="001D6895"/>
    <w:rsid w:val="001F4656"/>
    <w:rsid w:val="00215E08"/>
    <w:rsid w:val="00233773"/>
    <w:rsid w:val="00264BD5"/>
    <w:rsid w:val="0029170B"/>
    <w:rsid w:val="002A75C9"/>
    <w:rsid w:val="002C2E1D"/>
    <w:rsid w:val="002D184B"/>
    <w:rsid w:val="00321979"/>
    <w:rsid w:val="003943DF"/>
    <w:rsid w:val="003B3734"/>
    <w:rsid w:val="003C2113"/>
    <w:rsid w:val="003D5279"/>
    <w:rsid w:val="004301DA"/>
    <w:rsid w:val="00431EA4"/>
    <w:rsid w:val="004556C2"/>
    <w:rsid w:val="00474853"/>
    <w:rsid w:val="00493725"/>
    <w:rsid w:val="004D5373"/>
    <w:rsid w:val="0051463A"/>
    <w:rsid w:val="005B40EA"/>
    <w:rsid w:val="0061054C"/>
    <w:rsid w:val="00633C02"/>
    <w:rsid w:val="0065573E"/>
    <w:rsid w:val="00666B61"/>
    <w:rsid w:val="006757EE"/>
    <w:rsid w:val="0069778C"/>
    <w:rsid w:val="006C59F5"/>
    <w:rsid w:val="006F59D0"/>
    <w:rsid w:val="007466A4"/>
    <w:rsid w:val="00763F35"/>
    <w:rsid w:val="007959C9"/>
    <w:rsid w:val="007A131C"/>
    <w:rsid w:val="007A48C9"/>
    <w:rsid w:val="007B611C"/>
    <w:rsid w:val="007E3FB6"/>
    <w:rsid w:val="00830E92"/>
    <w:rsid w:val="008570DF"/>
    <w:rsid w:val="00860A92"/>
    <w:rsid w:val="00861484"/>
    <w:rsid w:val="00885FDA"/>
    <w:rsid w:val="008B0B65"/>
    <w:rsid w:val="008D3693"/>
    <w:rsid w:val="008F6208"/>
    <w:rsid w:val="00901A97"/>
    <w:rsid w:val="00913697"/>
    <w:rsid w:val="00923412"/>
    <w:rsid w:val="00926138"/>
    <w:rsid w:val="00935D01"/>
    <w:rsid w:val="009502DA"/>
    <w:rsid w:val="009611E1"/>
    <w:rsid w:val="00965C62"/>
    <w:rsid w:val="0097304B"/>
    <w:rsid w:val="00983539"/>
    <w:rsid w:val="009F2C94"/>
    <w:rsid w:val="00A1204E"/>
    <w:rsid w:val="00A678B0"/>
    <w:rsid w:val="00A92E6E"/>
    <w:rsid w:val="00AB55D2"/>
    <w:rsid w:val="00AC583D"/>
    <w:rsid w:val="00AC7E09"/>
    <w:rsid w:val="00B21A87"/>
    <w:rsid w:val="00B44C47"/>
    <w:rsid w:val="00B54BF4"/>
    <w:rsid w:val="00B95EA1"/>
    <w:rsid w:val="00BA170E"/>
    <w:rsid w:val="00BA75EA"/>
    <w:rsid w:val="00BC0102"/>
    <w:rsid w:val="00C11D83"/>
    <w:rsid w:val="00C13B2A"/>
    <w:rsid w:val="00C1788D"/>
    <w:rsid w:val="00C20A11"/>
    <w:rsid w:val="00C35D2A"/>
    <w:rsid w:val="00C458D7"/>
    <w:rsid w:val="00C5377C"/>
    <w:rsid w:val="00C64229"/>
    <w:rsid w:val="00CA6AC0"/>
    <w:rsid w:val="00D27831"/>
    <w:rsid w:val="00D479DB"/>
    <w:rsid w:val="00D6492B"/>
    <w:rsid w:val="00D76A90"/>
    <w:rsid w:val="00DE3425"/>
    <w:rsid w:val="00E25931"/>
    <w:rsid w:val="00E577F4"/>
    <w:rsid w:val="00EA3AA0"/>
    <w:rsid w:val="00F10977"/>
    <w:rsid w:val="00F13C1E"/>
    <w:rsid w:val="00F147B8"/>
    <w:rsid w:val="00F20311"/>
    <w:rsid w:val="00F521D1"/>
    <w:rsid w:val="00FC5A70"/>
    <w:rsid w:val="00FE7299"/>
    <w:rsid w:val="00FF5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0FD26"/>
  <w15:chartTrackingRefBased/>
  <w15:docId w15:val="{F464EA0D-576D-44F0-B1C7-C396A706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54C"/>
  </w:style>
  <w:style w:type="paragraph" w:styleId="Heading1">
    <w:name w:val="heading 1"/>
    <w:basedOn w:val="Normal"/>
    <w:next w:val="Normal"/>
    <w:link w:val="Heading1Char"/>
    <w:uiPriority w:val="9"/>
    <w:qFormat/>
    <w:rsid w:val="0061054C"/>
    <w:pPr>
      <w:keepNext/>
      <w:keepLines/>
      <w:spacing w:before="320" w:after="80" w:line="240" w:lineRule="auto"/>
      <w:jc w:val="center"/>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semiHidden/>
    <w:unhideWhenUsed/>
    <w:qFormat/>
    <w:rsid w:val="0061054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1054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1054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1054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1054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1054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1054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1054C"/>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54C"/>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semiHidden/>
    <w:rsid w:val="0061054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1054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1054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1054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1054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1054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1054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1054C"/>
    <w:rPr>
      <w:b/>
      <w:bCs/>
      <w:i/>
      <w:iCs/>
    </w:rPr>
  </w:style>
  <w:style w:type="paragraph" w:styleId="Title">
    <w:name w:val="Title"/>
    <w:basedOn w:val="Normal"/>
    <w:next w:val="Normal"/>
    <w:link w:val="TitleChar"/>
    <w:uiPriority w:val="10"/>
    <w:qFormat/>
    <w:rsid w:val="0061054C"/>
    <w:pPr>
      <w:pBdr>
        <w:top w:val="single" w:sz="6" w:space="8" w:color="A28E6A" w:themeColor="accent3"/>
        <w:bottom w:val="single" w:sz="6" w:space="8" w:color="A28E6A" w:themeColor="accent3"/>
      </w:pBdr>
      <w:spacing w:after="400" w:line="240" w:lineRule="auto"/>
      <w:contextualSpacing/>
      <w:jc w:val="center"/>
    </w:pPr>
    <w:rPr>
      <w:rFonts w:asciiTheme="majorHAnsi" w:eastAsiaTheme="majorEastAsia" w:hAnsiTheme="majorHAnsi" w:cstheme="majorBidi"/>
      <w:caps/>
      <w:color w:val="696464" w:themeColor="text2"/>
      <w:spacing w:val="30"/>
      <w:sz w:val="72"/>
      <w:szCs w:val="72"/>
    </w:rPr>
  </w:style>
  <w:style w:type="character" w:customStyle="1" w:styleId="TitleChar">
    <w:name w:val="Title Char"/>
    <w:basedOn w:val="DefaultParagraphFont"/>
    <w:link w:val="Title"/>
    <w:uiPriority w:val="10"/>
    <w:rsid w:val="0061054C"/>
    <w:rPr>
      <w:rFonts w:asciiTheme="majorHAnsi" w:eastAsiaTheme="majorEastAsia" w:hAnsiTheme="majorHAnsi" w:cstheme="majorBidi"/>
      <w:caps/>
      <w:color w:val="696464" w:themeColor="text2"/>
      <w:spacing w:val="30"/>
      <w:sz w:val="72"/>
      <w:szCs w:val="72"/>
    </w:rPr>
  </w:style>
  <w:style w:type="paragraph" w:styleId="Subtitle">
    <w:name w:val="Subtitle"/>
    <w:basedOn w:val="Normal"/>
    <w:next w:val="Normal"/>
    <w:link w:val="SubtitleChar"/>
    <w:uiPriority w:val="11"/>
    <w:qFormat/>
    <w:rsid w:val="0061054C"/>
    <w:pPr>
      <w:numPr>
        <w:ilvl w:val="1"/>
      </w:numPr>
      <w:jc w:val="center"/>
    </w:pPr>
    <w:rPr>
      <w:color w:val="696464" w:themeColor="text2"/>
      <w:sz w:val="28"/>
      <w:szCs w:val="28"/>
    </w:rPr>
  </w:style>
  <w:style w:type="character" w:customStyle="1" w:styleId="SubtitleChar">
    <w:name w:val="Subtitle Char"/>
    <w:basedOn w:val="DefaultParagraphFont"/>
    <w:link w:val="Subtitle"/>
    <w:uiPriority w:val="11"/>
    <w:rsid w:val="0061054C"/>
    <w:rPr>
      <w:color w:val="696464" w:themeColor="text2"/>
      <w:sz w:val="28"/>
      <w:szCs w:val="28"/>
    </w:rPr>
  </w:style>
  <w:style w:type="paragraph" w:styleId="Quote">
    <w:name w:val="Quote"/>
    <w:basedOn w:val="Normal"/>
    <w:next w:val="Normal"/>
    <w:link w:val="QuoteChar"/>
    <w:uiPriority w:val="29"/>
    <w:qFormat/>
    <w:rsid w:val="0061054C"/>
    <w:pPr>
      <w:spacing w:before="160"/>
      <w:ind w:left="720" w:right="720"/>
      <w:jc w:val="center"/>
    </w:pPr>
    <w:rPr>
      <w:i/>
      <w:iCs/>
      <w:color w:val="7B6A4D" w:themeColor="accent3" w:themeShade="BF"/>
      <w:sz w:val="24"/>
      <w:szCs w:val="24"/>
    </w:rPr>
  </w:style>
  <w:style w:type="character" w:customStyle="1" w:styleId="QuoteChar">
    <w:name w:val="Quote Char"/>
    <w:basedOn w:val="DefaultParagraphFont"/>
    <w:link w:val="Quote"/>
    <w:uiPriority w:val="29"/>
    <w:rsid w:val="0061054C"/>
    <w:rPr>
      <w:i/>
      <w:iCs/>
      <w:color w:val="7B6A4D" w:themeColor="accent3" w:themeShade="BF"/>
      <w:sz w:val="24"/>
      <w:szCs w:val="24"/>
    </w:rPr>
  </w:style>
  <w:style w:type="paragraph" w:styleId="ListParagraph">
    <w:name w:val="List Paragraph"/>
    <w:basedOn w:val="Normal"/>
    <w:uiPriority w:val="34"/>
    <w:qFormat/>
    <w:rsid w:val="0061054C"/>
    <w:pPr>
      <w:ind w:left="720"/>
      <w:contextualSpacing/>
    </w:pPr>
  </w:style>
  <w:style w:type="character" w:styleId="IntenseEmphasis">
    <w:name w:val="Intense Emphasis"/>
    <w:basedOn w:val="DefaultParagraphFont"/>
    <w:uiPriority w:val="21"/>
    <w:qFormat/>
    <w:rsid w:val="0061054C"/>
    <w:rPr>
      <w:b/>
      <w:bCs/>
      <w:i/>
      <w:iCs/>
      <w:color w:val="auto"/>
    </w:rPr>
  </w:style>
  <w:style w:type="paragraph" w:styleId="IntenseQuote">
    <w:name w:val="Intense Quote"/>
    <w:basedOn w:val="Normal"/>
    <w:next w:val="Normal"/>
    <w:link w:val="IntenseQuoteChar"/>
    <w:uiPriority w:val="30"/>
    <w:qFormat/>
    <w:rsid w:val="0061054C"/>
    <w:pPr>
      <w:spacing w:before="160" w:line="276" w:lineRule="auto"/>
      <w:ind w:left="936" w:right="936"/>
      <w:jc w:val="center"/>
    </w:pPr>
    <w:rPr>
      <w:rFonts w:asciiTheme="majorHAnsi" w:eastAsiaTheme="majorEastAsia" w:hAnsiTheme="majorHAnsi" w:cstheme="majorBidi"/>
      <w:caps/>
      <w:color w:val="9D3511" w:themeColor="accent1" w:themeShade="BF"/>
      <w:sz w:val="28"/>
      <w:szCs w:val="28"/>
    </w:rPr>
  </w:style>
  <w:style w:type="character" w:customStyle="1" w:styleId="IntenseQuoteChar">
    <w:name w:val="Intense Quote Char"/>
    <w:basedOn w:val="DefaultParagraphFont"/>
    <w:link w:val="IntenseQuote"/>
    <w:uiPriority w:val="30"/>
    <w:rsid w:val="0061054C"/>
    <w:rPr>
      <w:rFonts w:asciiTheme="majorHAnsi" w:eastAsiaTheme="majorEastAsia" w:hAnsiTheme="majorHAnsi" w:cstheme="majorBidi"/>
      <w:caps/>
      <w:color w:val="9D3511" w:themeColor="accent1" w:themeShade="BF"/>
      <w:sz w:val="28"/>
      <w:szCs w:val="28"/>
    </w:rPr>
  </w:style>
  <w:style w:type="character" w:styleId="IntenseReference">
    <w:name w:val="Intense Reference"/>
    <w:basedOn w:val="DefaultParagraphFont"/>
    <w:uiPriority w:val="32"/>
    <w:qFormat/>
    <w:rsid w:val="0061054C"/>
    <w:rPr>
      <w:b/>
      <w:bCs/>
      <w:caps w:val="0"/>
      <w:smallCaps/>
      <w:color w:val="auto"/>
      <w:spacing w:val="0"/>
      <w:u w:val="single"/>
    </w:rPr>
  </w:style>
  <w:style w:type="paragraph" w:styleId="Caption">
    <w:name w:val="caption"/>
    <w:basedOn w:val="Normal"/>
    <w:next w:val="Normal"/>
    <w:uiPriority w:val="35"/>
    <w:unhideWhenUsed/>
    <w:qFormat/>
    <w:rsid w:val="0061054C"/>
    <w:pPr>
      <w:spacing w:line="240" w:lineRule="auto"/>
    </w:pPr>
    <w:rPr>
      <w:b/>
      <w:bCs/>
      <w:color w:val="404040" w:themeColor="text1" w:themeTint="BF"/>
      <w:sz w:val="16"/>
      <w:szCs w:val="16"/>
    </w:rPr>
  </w:style>
  <w:style w:type="character" w:styleId="Strong">
    <w:name w:val="Strong"/>
    <w:basedOn w:val="DefaultParagraphFont"/>
    <w:uiPriority w:val="22"/>
    <w:qFormat/>
    <w:rsid w:val="0061054C"/>
    <w:rPr>
      <w:b/>
      <w:bCs/>
    </w:rPr>
  </w:style>
  <w:style w:type="character" w:styleId="Emphasis">
    <w:name w:val="Emphasis"/>
    <w:basedOn w:val="DefaultParagraphFont"/>
    <w:uiPriority w:val="20"/>
    <w:qFormat/>
    <w:rsid w:val="0061054C"/>
    <w:rPr>
      <w:i/>
      <w:iCs/>
      <w:color w:val="000000" w:themeColor="text1"/>
    </w:rPr>
  </w:style>
  <w:style w:type="paragraph" w:styleId="NoSpacing">
    <w:name w:val="No Spacing"/>
    <w:uiPriority w:val="1"/>
    <w:qFormat/>
    <w:rsid w:val="0061054C"/>
    <w:pPr>
      <w:spacing w:after="0" w:line="240" w:lineRule="auto"/>
    </w:pPr>
  </w:style>
  <w:style w:type="character" w:styleId="SubtleEmphasis">
    <w:name w:val="Subtle Emphasis"/>
    <w:basedOn w:val="DefaultParagraphFont"/>
    <w:uiPriority w:val="19"/>
    <w:qFormat/>
    <w:rsid w:val="0061054C"/>
    <w:rPr>
      <w:i/>
      <w:iCs/>
      <w:color w:val="595959" w:themeColor="text1" w:themeTint="A6"/>
    </w:rPr>
  </w:style>
  <w:style w:type="character" w:styleId="SubtleReference">
    <w:name w:val="Subtle Reference"/>
    <w:basedOn w:val="DefaultParagraphFont"/>
    <w:uiPriority w:val="31"/>
    <w:qFormat/>
    <w:rsid w:val="0061054C"/>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1054C"/>
    <w:rPr>
      <w:b/>
      <w:bCs/>
      <w:caps w:val="0"/>
      <w:smallCaps/>
      <w:spacing w:val="0"/>
    </w:rPr>
  </w:style>
  <w:style w:type="paragraph" w:styleId="TOCHeading">
    <w:name w:val="TOC Heading"/>
    <w:basedOn w:val="Heading1"/>
    <w:next w:val="Normal"/>
    <w:uiPriority w:val="39"/>
    <w:semiHidden/>
    <w:unhideWhenUsed/>
    <w:qFormat/>
    <w:rsid w:val="0061054C"/>
    <w:pPr>
      <w:outlineLvl w:val="9"/>
    </w:pPr>
  </w:style>
  <w:style w:type="character" w:styleId="Hyperlink">
    <w:name w:val="Hyperlink"/>
    <w:basedOn w:val="DefaultParagraphFont"/>
    <w:uiPriority w:val="99"/>
    <w:unhideWhenUsed/>
    <w:rsid w:val="00923412"/>
    <w:rPr>
      <w:color w:val="CC9900" w:themeColor="hyperlink"/>
      <w:u w:val="single"/>
    </w:rPr>
  </w:style>
  <w:style w:type="character" w:styleId="UnresolvedMention">
    <w:name w:val="Unresolved Mention"/>
    <w:basedOn w:val="DefaultParagraphFont"/>
    <w:uiPriority w:val="99"/>
    <w:semiHidden/>
    <w:unhideWhenUsed/>
    <w:rsid w:val="00923412"/>
    <w:rPr>
      <w:color w:val="605E5C"/>
      <w:shd w:val="clear" w:color="auto" w:fill="E1DFDD"/>
    </w:rPr>
  </w:style>
  <w:style w:type="paragraph" w:styleId="NormalWeb">
    <w:name w:val="Normal (Web)"/>
    <w:basedOn w:val="Normal"/>
    <w:uiPriority w:val="99"/>
    <w:semiHidden/>
    <w:unhideWhenUsed/>
    <w:rsid w:val="00B44C4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336184">
      <w:bodyDiv w:val="1"/>
      <w:marLeft w:val="0"/>
      <w:marRight w:val="0"/>
      <w:marTop w:val="0"/>
      <w:marBottom w:val="0"/>
      <w:divBdr>
        <w:top w:val="none" w:sz="0" w:space="0" w:color="auto"/>
        <w:left w:val="none" w:sz="0" w:space="0" w:color="auto"/>
        <w:bottom w:val="none" w:sz="0" w:space="0" w:color="auto"/>
        <w:right w:val="none" w:sz="0" w:space="0" w:color="auto"/>
      </w:divBdr>
    </w:div>
    <w:div w:id="278341407">
      <w:bodyDiv w:val="1"/>
      <w:marLeft w:val="0"/>
      <w:marRight w:val="0"/>
      <w:marTop w:val="0"/>
      <w:marBottom w:val="0"/>
      <w:divBdr>
        <w:top w:val="none" w:sz="0" w:space="0" w:color="auto"/>
        <w:left w:val="none" w:sz="0" w:space="0" w:color="auto"/>
        <w:bottom w:val="none" w:sz="0" w:space="0" w:color="auto"/>
        <w:right w:val="none" w:sz="0" w:space="0" w:color="auto"/>
      </w:divBdr>
    </w:div>
    <w:div w:id="316692554">
      <w:bodyDiv w:val="1"/>
      <w:marLeft w:val="0"/>
      <w:marRight w:val="0"/>
      <w:marTop w:val="0"/>
      <w:marBottom w:val="0"/>
      <w:divBdr>
        <w:top w:val="none" w:sz="0" w:space="0" w:color="auto"/>
        <w:left w:val="none" w:sz="0" w:space="0" w:color="auto"/>
        <w:bottom w:val="none" w:sz="0" w:space="0" w:color="auto"/>
        <w:right w:val="none" w:sz="0" w:space="0" w:color="auto"/>
      </w:divBdr>
    </w:div>
    <w:div w:id="666249446">
      <w:bodyDiv w:val="1"/>
      <w:marLeft w:val="0"/>
      <w:marRight w:val="0"/>
      <w:marTop w:val="0"/>
      <w:marBottom w:val="0"/>
      <w:divBdr>
        <w:top w:val="none" w:sz="0" w:space="0" w:color="auto"/>
        <w:left w:val="none" w:sz="0" w:space="0" w:color="auto"/>
        <w:bottom w:val="none" w:sz="0" w:space="0" w:color="auto"/>
        <w:right w:val="none" w:sz="0" w:space="0" w:color="auto"/>
      </w:divBdr>
    </w:div>
    <w:div w:id="705255008">
      <w:bodyDiv w:val="1"/>
      <w:marLeft w:val="0"/>
      <w:marRight w:val="0"/>
      <w:marTop w:val="0"/>
      <w:marBottom w:val="0"/>
      <w:divBdr>
        <w:top w:val="none" w:sz="0" w:space="0" w:color="auto"/>
        <w:left w:val="none" w:sz="0" w:space="0" w:color="auto"/>
        <w:bottom w:val="none" w:sz="0" w:space="0" w:color="auto"/>
        <w:right w:val="none" w:sz="0" w:space="0" w:color="auto"/>
      </w:divBdr>
    </w:div>
    <w:div w:id="939606971">
      <w:bodyDiv w:val="1"/>
      <w:marLeft w:val="0"/>
      <w:marRight w:val="0"/>
      <w:marTop w:val="0"/>
      <w:marBottom w:val="0"/>
      <w:divBdr>
        <w:top w:val="none" w:sz="0" w:space="0" w:color="auto"/>
        <w:left w:val="none" w:sz="0" w:space="0" w:color="auto"/>
        <w:bottom w:val="none" w:sz="0" w:space="0" w:color="auto"/>
        <w:right w:val="none" w:sz="0" w:space="0" w:color="auto"/>
      </w:divBdr>
    </w:div>
    <w:div w:id="1136069133">
      <w:bodyDiv w:val="1"/>
      <w:marLeft w:val="0"/>
      <w:marRight w:val="0"/>
      <w:marTop w:val="0"/>
      <w:marBottom w:val="0"/>
      <w:divBdr>
        <w:top w:val="none" w:sz="0" w:space="0" w:color="auto"/>
        <w:left w:val="none" w:sz="0" w:space="0" w:color="auto"/>
        <w:bottom w:val="none" w:sz="0" w:space="0" w:color="auto"/>
        <w:right w:val="none" w:sz="0" w:space="0" w:color="auto"/>
      </w:divBdr>
    </w:div>
    <w:div w:id="1508203786">
      <w:bodyDiv w:val="1"/>
      <w:marLeft w:val="0"/>
      <w:marRight w:val="0"/>
      <w:marTop w:val="0"/>
      <w:marBottom w:val="0"/>
      <w:divBdr>
        <w:top w:val="none" w:sz="0" w:space="0" w:color="auto"/>
        <w:left w:val="none" w:sz="0" w:space="0" w:color="auto"/>
        <w:bottom w:val="none" w:sz="0" w:space="0" w:color="auto"/>
        <w:right w:val="none" w:sz="0" w:space="0" w:color="auto"/>
      </w:divBdr>
    </w:div>
    <w:div w:id="1870987767">
      <w:bodyDiv w:val="1"/>
      <w:marLeft w:val="0"/>
      <w:marRight w:val="0"/>
      <w:marTop w:val="0"/>
      <w:marBottom w:val="0"/>
      <w:divBdr>
        <w:top w:val="none" w:sz="0" w:space="0" w:color="auto"/>
        <w:left w:val="none" w:sz="0" w:space="0" w:color="auto"/>
        <w:bottom w:val="none" w:sz="0" w:space="0" w:color="auto"/>
        <w:right w:val="none" w:sz="0" w:space="0" w:color="auto"/>
      </w:divBdr>
    </w:div>
    <w:div w:id="208348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hyperlink" Target="https://archaeologydataservice.ac.uk/archiveDS/archiveDownload?t=arch-2776-1/dissemination/pdf/VOL_10_1999/Allen_1999_Magor_Pill_Multiperiod_Site_The_Romano-British_Pottery_and_Status_as_a_Port_A_post_Scrip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336c24b705b626d3fa5af2b54ee369ff">
  <xsd:schema xmlns:xsd="http://www.w3.org/2001/XMLSchema" xmlns:xs="http://www.w3.org/2001/XMLSchema" xmlns:p="http://schemas.microsoft.com/office/2006/metadata/properties" xmlns:ns3="0085e1a2-9cbf-4b92-866b-21f3c89040b6" targetNamespace="http://schemas.microsoft.com/office/2006/metadata/properties" ma:root="true" ma:fieldsID="5a64595faf9e642ef41382a5c20f76d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94D191F-0363-4E99-8713-DC7068BC2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AED290-8FF7-42A1-AA65-0A45F7CAE840}">
  <ds:schemaRefs>
    <ds:schemaRef ds:uri="http://schemas.microsoft.com/sharepoint/v3/contenttype/forms"/>
  </ds:schemaRefs>
</ds:datastoreItem>
</file>

<file path=customXml/itemProps3.xml><?xml version="1.0" encoding="utf-8"?>
<ds:datastoreItem xmlns:ds="http://schemas.openxmlformats.org/officeDocument/2006/customXml" ds:itemID="{B1DF375F-DA2B-40C2-806D-0F7034ED6E74}">
  <ds:schemaRefs>
    <ds:schemaRef ds:uri="http://purl.org/dc/dcmitype/"/>
    <ds:schemaRef ds:uri="http://purl.org/dc/terms/"/>
    <ds:schemaRef ds:uri="http://purl.org/dc/elements/1.1/"/>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0085e1a2-9cbf-4b92-866b-21f3c89040b6"/>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7</Pages>
  <Words>1740</Words>
  <Characters>9924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92</cp:revision>
  <dcterms:created xsi:type="dcterms:W3CDTF">2025-02-16T17:37:00Z</dcterms:created>
  <dcterms:modified xsi:type="dcterms:W3CDTF">2025-02-16T22:53:00Z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