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Noto Sans" w:cs="Noto Sans"/>
          <w:szCs w:val="22"/>
          <w:lang w:val="en-US" w:eastAsia="ro-RO"/>
        </w:rPr>
        <w:id w:val="1570154275"/>
        <w:docPartObj>
          <w:docPartGallery w:val="Cover Pages"/>
          <w:docPartUnique/>
        </w:docPartObj>
      </w:sdtPr>
      <w:sdtEndPr>
        <w:rPr>
          <w:sz w:val="56"/>
          <w:szCs w:val="56"/>
          <w:shd w:val="clear" w:color="auto" w:fill="FFFFFF"/>
          <w:lang w:val="en-GB"/>
        </w:rPr>
      </w:sdtEndPr>
      <w:sdtContent>
        <w:p w14:paraId="22F8AC95" w14:textId="0764326C" w:rsidR="00CF00BA" w:rsidRDefault="004D0EF2" w:rsidP="007D3330">
          <w:pPr>
            <w:pStyle w:val="NoSpacing"/>
            <w:jc w:val="center"/>
          </w:pPr>
          <w:r>
            <w:rPr>
              <w:noProof/>
            </w:rPr>
            <w:pict w14:anchorId="78D96444">
              <v:shapetype id="_x0000_t202" coordsize="21600,21600" o:spt="202" path="m,l,21600r21600,l21600,xe">
                <v:stroke joinstyle="miter"/>
                <v:path gradientshapeok="t" o:connecttype="rect"/>
              </v:shapetype>
              <v:shape id="Text Box 33" o:spid="_x0000_s1027" type="#_x0000_t202" style="position:absolute;left:0;text-align:left;margin-left:64.4pt;margin-top:222.5pt;width:322.5pt;height:165pt;z-index:251660288;visibility:visible;mso-wrap-style:square;mso-width-percent:0;mso-height-percent:0;mso-wrap-distance-left:9pt;mso-wrap-distance-top:0;mso-wrap-distance-right:9pt;mso-wrap-distance-bottom:0;mso-position-horizontal-relative:margin;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" filled="f" stroked="f" strokeweight=".5pt">
                <v:textbox style="mso-next-textbox:#Text Box 33" inset="0,0,0,0">
                  <w:txbxContent>
                    <w:p w14:paraId="43DCAE90" w14:textId="0A70F43B" w:rsidR="00CF00BA" w:rsidRPr="00AE3D93" w:rsidRDefault="004D0EF2" w:rsidP="00F31765">
                      <w:pPr>
                        <w:pStyle w:val="NoSpacing"/>
                        <w:jc w:val="center"/>
                        <w:rPr>
                          <w:rFonts w:asciiTheme="majorHAnsi" w:eastAsiaTheme="majorEastAsia" w:hAnsiTheme="majorHAnsi" w:cstheme="majorBidi"/>
                          <w:color w:val="262626" w:themeColor="text1" w:themeTint="D9"/>
                          <w:sz w:val="48"/>
                          <w:szCs w:val="48"/>
                        </w:rPr>
                      </w:pPr>
                      <w:sdt>
                        <w:sdtPr>
                          <w:rPr>
                            <w:color w:val="222A35" w:themeColor="text2" w:themeShade="80"/>
                            <w:sz w:val="48"/>
                            <w:szCs w:val="48"/>
                            <w:shd w:val="clear" w:color="auto" w:fill="FFFFFF"/>
                            <w:lang w:val="en-GB"/>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rPr>
                            <w:color w:val="auto"/>
                            <w:shd w:val="clear" w:color="auto" w:fill="auto"/>
                            <w:lang w:val="en-IN"/>
                          </w:rPr>
                        </w:sdtEndPr>
                        <w:sdtContent>
                          <w:r w:rsidR="00F31765" w:rsidRPr="00AE3D93">
                            <w:rPr>
                              <w:sz w:val="48"/>
                              <w:szCs w:val="48"/>
                            </w:rPr>
                            <w:t>INTERNATIONAL FINANCIAL MANAGEMENT OF BRITISH PETROLEUM COMPANY</w:t>
                          </w:r>
                        </w:sdtContent>
                      </w:sdt>
                    </w:p>
                    <w:p w14:paraId="04219505" w14:textId="012C1CC7" w:rsidR="00CF00BA" w:rsidRPr="00AE3D93" w:rsidRDefault="00CF00BA">
                      <w:pPr>
                        <w:rPr>
                          <w:color w:val="404040" w:themeColor="text1" w:themeTint="BF"/>
                          <w:sz w:val="48"/>
                          <w:szCs w:val="48"/>
                        </w:rPr>
                      </w:pPr>
                    </w:p>
                  </w:txbxContent>
                </v:textbox>
                <w10:wrap anchorx="margin" anchory="page"/>
              </v:shape>
            </w:pict>
          </w:r>
          <w:r w:rsidR="00B73181">
            <w:rPr>
              <w:noProof/>
            </w:rPr>
            <w:drawing>
              <wp:inline distT="0" distB="0" distL="0" distR="0" wp14:anchorId="0D0781D8" wp14:editId="5DFAD079">
                <wp:extent cx="4275117" cy="2052303"/>
                <wp:effectExtent l="0" t="0" r="0" b="0"/>
                <wp:docPr id="36" name="Picture 36" descr="UWTSDcare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career"/>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4287680" cy="2058334"/>
                        </a:xfrm>
                        <a:prstGeom prst="rect">
                          <a:avLst/>
                        </a:prstGeom>
                        <a:noFill/>
                        <a:ln>
                          <a:noFill/>
                        </a:ln>
                      </pic:spPr>
                    </pic:pic>
                  </a:graphicData>
                </a:graphic>
              </wp:inline>
            </w:drawing>
          </w:r>
        </w:p>
        <w:p w14:paraId="14EDC0B3" w14:textId="4D306856" w:rsidR="00FD1BED" w:rsidRPr="001C607F" w:rsidRDefault="004D0EF2">
          <w:pPr>
            <w:widowControl/>
            <w:autoSpaceDE/>
            <w:autoSpaceDN/>
            <w:spacing w:before="0" w:after="160" w:line="259" w:lineRule="auto"/>
            <w:jc w:val="left"/>
            <w:rPr>
              <w:sz w:val="56"/>
              <w:szCs w:val="56"/>
              <w:shd w:val="clear" w:color="auto" w:fill="FFFFFF"/>
              <w:lang w:val="en-GB"/>
            </w:rPr>
          </w:pPr>
          <w:r>
            <w:rPr>
              <w:noProof/>
            </w:rPr>
            <w:pict w14:anchorId="681C4213">
              <v:shape id="Text Box 2" o:spid="_x0000_s1028" type="#_x0000_t202" style="position:absolute;margin-left:183.4pt;margin-top:438.45pt;width:267.85pt;height:50.9pt;z-index:251665408;visibility:visible;mso-wrap-style:square;mso-width-percent:594;mso-height-percent:200;mso-wrap-distance-left:9pt;mso-wrap-distance-top:9.35pt;mso-wrap-distance-right:9pt;mso-wrap-distance-bottom:9.35pt;mso-position-horizontal-relative:page;mso-position-vertical-relative:text;mso-width-percent:594;mso-height-percent:20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" o:allowincell="f" filled="f" stroked="f">
                <v:textbox style="mso-fit-shape-to-text:t">
                  <w:txbxContent>
                    <w:p w14:paraId="1E863D51" w14:textId="28FFF1C9" w:rsidR="001C607F" w:rsidRDefault="00EE3737" w:rsidP="00506E00">
                      <w:pPr>
                        <w:pStyle w:val="NoSpacing"/>
                        <w:rPr>
                          <w:color w:val="5B9BD5" w:themeColor="accent1"/>
                          <w:sz w:val="26"/>
                          <w:szCs w:val="26"/>
                        </w:rPr>
                      </w:pPr>
                      <w:r>
                        <w:rPr>
                          <w:color w:val="5B9BD5" w:themeColor="accent1"/>
                          <w:sz w:val="26"/>
                          <w:szCs w:val="26"/>
                        </w:rPr>
                        <w:t xml:space="preserve">                                    </w:t>
                      </w:r>
                      <w:r w:rsidR="001C607F">
                        <w:rPr>
                          <w:color w:val="5B9BD5" w:themeColor="accent1"/>
                          <w:sz w:val="26"/>
                          <w:szCs w:val="26"/>
                        </w:rPr>
                        <w:t>BY</w:t>
                      </w:r>
                    </w:p>
                    <w:p w14:paraId="2975E545" w14:textId="5FE0270D" w:rsidR="001C607F" w:rsidRDefault="001C607F" w:rsidP="001C607F">
                      <w:pPr>
                        <w:pStyle w:val="NoSpacing"/>
                        <w:jc w:val="center"/>
                        <w:rPr>
                          <w:color w:val="5B9BD5" w:themeColor="accent1"/>
                          <w:sz w:val="26"/>
                          <w:szCs w:val="26"/>
                        </w:rPr>
                      </w:pPr>
                      <w:r>
                        <w:rPr>
                          <w:color w:val="5B9BD5" w:themeColor="accent1"/>
                          <w:sz w:val="26"/>
                          <w:szCs w:val="26"/>
                        </w:rPr>
                        <w:t>STELA RACHKOVA – 1813119</w:t>
                      </w:r>
                    </w:p>
                    <w:p w14:paraId="44CCC1E1" w14:textId="3E890447" w:rsidR="001C607F" w:rsidRPr="001C607F" w:rsidRDefault="001C607F" w:rsidP="001C607F">
                      <w:pPr>
                        <w:pStyle w:val="NoSpacing"/>
                        <w:jc w:val="center"/>
                        <w:rPr>
                          <w:color w:val="5B9BD5" w:themeColor="accent1"/>
                          <w:sz w:val="26"/>
                          <w:szCs w:val="26"/>
                        </w:rPr>
                      </w:pPr>
                      <w:r w:rsidRPr="001C607F">
                        <w:rPr>
                          <w:color w:val="5B9BD5" w:themeColor="accent1"/>
                        </w:rPr>
                        <w:t>DESISLAVA HRISTOVA - 1813113</w:t>
                      </w:r>
                    </w:p>
                  </w:txbxContent>
                </v:textbox>
                <w10:wrap type="square" anchorx="page"/>
              </v:shape>
            </w:pict>
          </w:r>
          <w:r>
            <w:rPr>
              <w:noProof/>
            </w:rPr>
            <w:pict w14:anchorId="54E20F03">
              <v:rect id="Rectangle 146" o:spid="_x0000_s1026" style="position:absolute;margin-left:0;margin-top:0;width:273.75pt;height:162.7pt;z-index:251663360;visibility:visible;mso-wrap-style:square;mso-width-percent:700;mso-height-percent:0;mso-wrap-distance-left:28.8pt;mso-wrap-distance-top:7.2pt;mso-wrap-distance-right:28.8pt;mso-wrap-distance-bottom:7.2pt;mso-position-horizontal:center;mso-position-horizontal-relative:margin;mso-position-vertical:center;mso-position-vertical-relative:margin;mso-width-percent:7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" filled="f" stroked="f" strokeweight="1pt">
                <v:textbox style="mso-fit-shape-to-text:t" inset="10.8pt,0,10.8pt,0">
                  <w:txbxContent>
                    <w:p w14:paraId="1A037FB5" w14:textId="687E5691" w:rsidR="00F31765" w:rsidRDefault="00F31765">
                      <w:pPr>
                        <w:pStyle w:val="NoSpacing"/>
                        <w:jc w:val="center"/>
                        <w:rPr>
                          <w:color w:val="5B9BD5" w:themeColor="accent1"/>
                        </w:rPr>
                      </w:pPr>
                    </w:p>
                    <w:p w14:paraId="49EA2279" w14:textId="0ADCCC9E" w:rsidR="00CB1512" w:rsidRPr="00CB1512" w:rsidRDefault="00CB1512">
                      <w:pPr>
                        <w:pStyle w:val="NoSpacing"/>
                        <w:pBdr>
                          <w:top w:val="single" w:sz="6" w:space="10" w:color="5B9BD5" w:themeColor="accent1"/>
                          <w:left w:val="single" w:sz="2" w:space="10" w:color="FFFFFF" w:themeColor="background1"/>
                          <w:bottom w:val="single" w:sz="6" w:space="10" w:color="5B9BD5" w:themeColor="accent1"/>
                          <w:right w:val="single" w:sz="2" w:space="10" w:color="FFFFFF" w:themeColor="background1"/>
                        </w:pBdr>
                        <w:spacing w:before="120" w:after="120"/>
                        <w:jc w:val="center"/>
                        <w:rPr>
                          <w:color w:val="5B9BD5" w:themeColor="accent1"/>
                          <w:sz w:val="36"/>
                          <w:szCs w:val="36"/>
                        </w:rPr>
                      </w:pPr>
                      <w:r w:rsidRPr="00CB1512">
                        <w:rPr>
                          <w:color w:val="5B9BD5" w:themeColor="accent1"/>
                          <w:sz w:val="36"/>
                          <w:szCs w:val="36"/>
                        </w:rPr>
                        <w:t>MODULE CODE: LCBB6002</w:t>
                      </w:r>
                    </w:p>
                    <w:p w14:paraId="270D2854" w14:textId="6D0C45C0" w:rsidR="00F31765" w:rsidRPr="00CB1512" w:rsidRDefault="00CB1512">
                      <w:pPr>
                        <w:pStyle w:val="NoSpacing"/>
                        <w:pBdr>
                          <w:top w:val="single" w:sz="6" w:space="10" w:color="5B9BD5" w:themeColor="accent1"/>
                          <w:left w:val="single" w:sz="2" w:space="10" w:color="FFFFFF" w:themeColor="background1"/>
                          <w:bottom w:val="single" w:sz="6" w:space="10" w:color="5B9BD5" w:themeColor="accent1"/>
                          <w:right w:val="single" w:sz="2" w:space="10" w:color="FFFFFF" w:themeColor="background1"/>
                        </w:pBdr>
                        <w:spacing w:before="120" w:after="120"/>
                        <w:jc w:val="center"/>
                        <w:rPr>
                          <w:color w:val="5B9BD5" w:themeColor="accent1"/>
                          <w:sz w:val="36"/>
                          <w:szCs w:val="36"/>
                        </w:rPr>
                      </w:pPr>
                      <w:r w:rsidRPr="00CB1512">
                        <w:rPr>
                          <w:color w:val="5B9BD5" w:themeColor="accent1"/>
                          <w:sz w:val="36"/>
                          <w:szCs w:val="36"/>
                        </w:rPr>
                        <w:t>LECTURER: TAYE OSADIYA</w:t>
                      </w:r>
                      <w:sdt>
                        <w:sdtPr>
                          <w:rPr>
                            <w:color w:val="5B9BD5" w:themeColor="accent1"/>
                            <w:sz w:val="36"/>
                            <w:szCs w:val="36"/>
                          </w:rPr>
                          <w:id w:val="1145709623"/>
                          <w:temporary/>
                          <w15:appearance w15:val="hidden"/>
                          <w:text w:multiLine="1"/>
                        </w:sdtPr>
                        <w:sdtEndPr/>
                        <w:sdtContent/>
                      </w:sdt>
                    </w:p>
                    <w:p w14:paraId="3ED0E22D" w14:textId="77777777" w:rsidR="00F31765" w:rsidRDefault="00F31765">
                      <w:pPr>
                        <w:pStyle w:val="NoSpacing"/>
                        <w:spacing w:before="240"/>
                        <w:jc w:val="center"/>
                        <w:rPr>
                          <w:color w:val="5B9BD5" w:themeColor="accent1"/>
                        </w:rPr>
                      </w:pPr>
                      <w:r>
                        <w:rPr>
                          <w:noProof/>
                          <w:color w:val="5B9BD5" w:themeColor="accent1"/>
                        </w:rPr>
                        <w:drawing>
                          <wp:inline distT="0" distB="0" distL="0" distR="0" wp14:anchorId="13C588A5" wp14:editId="1C17CE60">
                            <wp:extent cx="374904" cy="237744"/>
                            <wp:effectExtent l="0" t="0" r="635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374904" cy="237744"/>
                                    </a:xfrm>
                                    <a:prstGeom prst="rect">
                                      <a:avLst/>
                                    </a:prstGeom>
                                  </pic:spPr>
                                </pic:pic>
                              </a:graphicData>
                            </a:graphic>
                          </wp:inline>
                        </w:drawing>
                      </w:r>
                    </w:p>
                  </w:txbxContent>
                </v:textbox>
                <w10:wrap type="topAndBottom" anchorx="margin" anchory="margin"/>
              </v:rect>
            </w:pict>
          </w:r>
          <w:r w:rsidR="00CF00BA">
            <w:rPr>
              <w:sz w:val="56"/>
              <w:szCs w:val="56"/>
              <w:shd w:val="clear" w:color="auto" w:fill="FFFFFF"/>
              <w:lang w:val="en-GB"/>
            </w:rPr>
            <w:br w:type="page"/>
          </w:r>
          <w:r w:rsidR="00F31765">
            <w:rPr>
              <w:sz w:val="56"/>
              <w:szCs w:val="56"/>
              <w:shd w:val="clear" w:color="auto" w:fill="FFFFFF"/>
              <w:lang w:val="en-GB"/>
            </w:rPr>
            <w:fldChar w:fldCharType="begin"/>
          </w:r>
          <w:r w:rsidR="00F31765">
            <w:rPr>
              <w:sz w:val="56"/>
              <w:szCs w:val="56"/>
              <w:shd w:val="clear" w:color="auto" w:fill="FFFFFF"/>
              <w:lang w:val="en-GB"/>
            </w:rPr>
            <w:instrText xml:space="preserve"> SUBJECT   \* MERGEFORMAT </w:instrText>
          </w:r>
          <w:r w:rsidR="00F31765">
            <w:rPr>
              <w:sz w:val="56"/>
              <w:szCs w:val="56"/>
              <w:shd w:val="clear" w:color="auto" w:fill="FFFFFF"/>
              <w:lang w:val="en-GB"/>
            </w:rPr>
            <w:fldChar w:fldCharType="end"/>
          </w:r>
        </w:p>
      </w:sdtContent>
    </w:sdt>
    <w:sdt>
      <w:sdtPr>
        <w:rPr>
          <w:rFonts w:eastAsia="Noto Sans" w:cs="Noto Sans"/>
          <w:b w:val="0"/>
          <w:sz w:val="24"/>
          <w:szCs w:val="22"/>
        </w:rPr>
        <w:id w:val="1616018888"/>
        <w:docPartObj>
          <w:docPartGallery w:val="Table of Contents"/>
          <w:docPartUnique/>
        </w:docPartObj>
      </w:sdtPr>
      <w:sdtEndPr>
        <w:rPr>
          <w:bCs/>
          <w:noProof/>
        </w:rPr>
      </w:sdtEndPr>
      <w:sdtContent>
        <w:p w14:paraId="2C8B349D" w14:textId="4C212F88" w:rsidR="00303438" w:rsidRDefault="00303438">
          <w:pPr>
            <w:pStyle w:val="TOCHeading"/>
          </w:pPr>
          <w:r>
            <w:t>Table of Contents</w:t>
          </w:r>
        </w:p>
        <w:p w14:paraId="0D88346E" w14:textId="724DBEF7" w:rsidR="00D20F91" w:rsidRDefault="00303438">
          <w:pPr>
            <w:pStyle w:val="TOC1"/>
            <w:rPr>
              <w:rFonts w:asciiTheme="minorHAnsi" w:eastAsiaTheme="minorEastAsia" w:hAnsiTheme="minorHAnsi" w:cstheme="minorBidi"/>
              <w:noProof/>
              <w:sz w:val="22"/>
              <w:lang w:eastAsia="en-US"/>
            </w:rPr>
          </w:pPr>
          <w:r>
            <w:fldChar w:fldCharType="begin"/>
          </w:r>
          <w:r>
            <w:instrText xml:space="preserve"> TOC \o "1-3" \h \z \u </w:instrText>
          </w:r>
          <w:r>
            <w:fldChar w:fldCharType="separate"/>
          </w:r>
          <w:hyperlink w:anchor="_Toc102234873" w:history="1">
            <w:r w:rsidR="00D20F91" w:rsidRPr="006D5B2D">
              <w:rPr>
                <w:rStyle w:val="Hyperlink"/>
                <w:noProof/>
              </w:rPr>
              <w:t>Introduction</w:t>
            </w:r>
            <w:r w:rsidR="00D20F91">
              <w:rPr>
                <w:noProof/>
                <w:webHidden/>
              </w:rPr>
              <w:tab/>
            </w:r>
            <w:r w:rsidR="00D20F91">
              <w:rPr>
                <w:noProof/>
                <w:webHidden/>
              </w:rPr>
              <w:fldChar w:fldCharType="begin"/>
            </w:r>
            <w:r w:rsidR="00D20F91">
              <w:rPr>
                <w:noProof/>
                <w:webHidden/>
              </w:rPr>
              <w:instrText xml:space="preserve"> PAGEREF _Toc102234873 \h </w:instrText>
            </w:r>
            <w:r w:rsidR="00D20F91">
              <w:rPr>
                <w:noProof/>
                <w:webHidden/>
              </w:rPr>
            </w:r>
            <w:r w:rsidR="00D20F91">
              <w:rPr>
                <w:noProof/>
                <w:webHidden/>
              </w:rPr>
              <w:fldChar w:fldCharType="separate"/>
            </w:r>
            <w:r w:rsidR="00D20F91">
              <w:rPr>
                <w:noProof/>
                <w:webHidden/>
              </w:rPr>
              <w:t>3</w:t>
            </w:r>
            <w:r w:rsidR="00D20F91">
              <w:rPr>
                <w:noProof/>
                <w:webHidden/>
              </w:rPr>
              <w:fldChar w:fldCharType="end"/>
            </w:r>
          </w:hyperlink>
        </w:p>
        <w:p w14:paraId="3D501AB5" w14:textId="4B72789B" w:rsidR="00D20F91" w:rsidRDefault="004D0EF2">
          <w:pPr>
            <w:pStyle w:val="TOC1"/>
            <w:rPr>
              <w:rFonts w:asciiTheme="minorHAnsi" w:eastAsiaTheme="minorEastAsia" w:hAnsiTheme="minorHAnsi" w:cstheme="minorBidi"/>
              <w:noProof/>
              <w:sz w:val="22"/>
              <w:lang w:eastAsia="en-US"/>
            </w:rPr>
          </w:pPr>
          <w:hyperlink w:anchor="_Toc102234874" w:history="1">
            <w:r w:rsidR="00D20F91" w:rsidRPr="006D5B2D">
              <w:rPr>
                <w:rStyle w:val="Hyperlink"/>
                <w:noProof/>
                <w:lang w:val="en-GB"/>
              </w:rPr>
              <w:t>Q1. Critically analyses reasons why BP corporation internationalized</w:t>
            </w:r>
            <w:r w:rsidR="00D20F91">
              <w:rPr>
                <w:noProof/>
                <w:webHidden/>
              </w:rPr>
              <w:tab/>
            </w:r>
            <w:r w:rsidR="00D20F91">
              <w:rPr>
                <w:noProof/>
                <w:webHidden/>
              </w:rPr>
              <w:fldChar w:fldCharType="begin"/>
            </w:r>
            <w:r w:rsidR="00D20F91">
              <w:rPr>
                <w:noProof/>
                <w:webHidden/>
              </w:rPr>
              <w:instrText xml:space="preserve"> PAGEREF _Toc102234874 \h </w:instrText>
            </w:r>
            <w:r w:rsidR="00D20F91">
              <w:rPr>
                <w:noProof/>
                <w:webHidden/>
              </w:rPr>
            </w:r>
            <w:r w:rsidR="00D20F91">
              <w:rPr>
                <w:noProof/>
                <w:webHidden/>
              </w:rPr>
              <w:fldChar w:fldCharType="separate"/>
            </w:r>
            <w:r w:rsidR="00D20F91">
              <w:rPr>
                <w:noProof/>
                <w:webHidden/>
              </w:rPr>
              <w:t>3</w:t>
            </w:r>
            <w:r w:rsidR="00D20F91">
              <w:rPr>
                <w:noProof/>
                <w:webHidden/>
              </w:rPr>
              <w:fldChar w:fldCharType="end"/>
            </w:r>
          </w:hyperlink>
        </w:p>
        <w:p w14:paraId="451D54D1" w14:textId="5D57075F" w:rsidR="00D20F91" w:rsidRDefault="004D0EF2">
          <w:pPr>
            <w:pStyle w:val="TOC1"/>
            <w:rPr>
              <w:rFonts w:asciiTheme="minorHAnsi" w:eastAsiaTheme="minorEastAsia" w:hAnsiTheme="minorHAnsi" w:cstheme="minorBidi"/>
              <w:noProof/>
              <w:sz w:val="22"/>
              <w:lang w:eastAsia="en-US"/>
            </w:rPr>
          </w:pPr>
          <w:hyperlink w:anchor="_Toc102234875" w:history="1">
            <w:r w:rsidR="00D20F91" w:rsidRPr="006D5B2D">
              <w:rPr>
                <w:rStyle w:val="Hyperlink"/>
                <w:noProof/>
                <w:lang w:val="en-GB"/>
              </w:rPr>
              <w:t>Q</w:t>
            </w:r>
            <w:r w:rsidR="00D20F91" w:rsidRPr="006D5B2D">
              <w:rPr>
                <w:rStyle w:val="Hyperlink"/>
                <w:noProof/>
                <w:lang w:val="bg-BG"/>
              </w:rPr>
              <w:t>2</w:t>
            </w:r>
            <w:r w:rsidR="00D20F91" w:rsidRPr="006D5B2D">
              <w:rPr>
                <w:rStyle w:val="Hyperlink"/>
                <w:noProof/>
                <w:lang w:val="en-GB"/>
              </w:rPr>
              <w:t>. Critically analyses and evaluates BP Corporation's sources of finance</w:t>
            </w:r>
            <w:r w:rsidR="00D20F91">
              <w:rPr>
                <w:noProof/>
                <w:webHidden/>
              </w:rPr>
              <w:tab/>
            </w:r>
            <w:r w:rsidR="00D20F91">
              <w:rPr>
                <w:noProof/>
                <w:webHidden/>
              </w:rPr>
              <w:fldChar w:fldCharType="begin"/>
            </w:r>
            <w:r w:rsidR="00D20F91">
              <w:rPr>
                <w:noProof/>
                <w:webHidden/>
              </w:rPr>
              <w:instrText xml:space="preserve"> PAGEREF _Toc102234875 \h </w:instrText>
            </w:r>
            <w:r w:rsidR="00D20F91">
              <w:rPr>
                <w:noProof/>
                <w:webHidden/>
              </w:rPr>
            </w:r>
            <w:r w:rsidR="00D20F91">
              <w:rPr>
                <w:noProof/>
                <w:webHidden/>
              </w:rPr>
              <w:fldChar w:fldCharType="separate"/>
            </w:r>
            <w:r w:rsidR="00D20F91">
              <w:rPr>
                <w:noProof/>
                <w:webHidden/>
              </w:rPr>
              <w:t>4</w:t>
            </w:r>
            <w:r w:rsidR="00D20F91">
              <w:rPr>
                <w:noProof/>
                <w:webHidden/>
              </w:rPr>
              <w:fldChar w:fldCharType="end"/>
            </w:r>
          </w:hyperlink>
        </w:p>
        <w:p w14:paraId="114B9F35" w14:textId="55FD3316" w:rsidR="00D20F91" w:rsidRDefault="004D0EF2">
          <w:pPr>
            <w:pStyle w:val="TOC1"/>
            <w:rPr>
              <w:rFonts w:asciiTheme="minorHAnsi" w:eastAsiaTheme="minorEastAsia" w:hAnsiTheme="minorHAnsi" w:cstheme="minorBidi"/>
              <w:noProof/>
              <w:sz w:val="22"/>
              <w:lang w:eastAsia="en-US"/>
            </w:rPr>
          </w:pPr>
          <w:hyperlink w:anchor="_Toc102234876" w:history="1">
            <w:r w:rsidR="00D20F91" w:rsidRPr="006D5B2D">
              <w:rPr>
                <w:rStyle w:val="Hyperlink"/>
                <w:noProof/>
                <w:lang w:val="en-GB"/>
              </w:rPr>
              <w:t>Q</w:t>
            </w:r>
            <w:r w:rsidR="00D20F91" w:rsidRPr="006D5B2D">
              <w:rPr>
                <w:rStyle w:val="Hyperlink"/>
                <w:noProof/>
                <w:lang w:val="bg-BG"/>
              </w:rPr>
              <w:t>3</w:t>
            </w:r>
            <w:r w:rsidR="00D20F91" w:rsidRPr="006D5B2D">
              <w:rPr>
                <w:rStyle w:val="Hyperlink"/>
                <w:noProof/>
                <w:lang w:val="en-GB"/>
              </w:rPr>
              <w:t>. Critically analyses and evaluates the effectiveness of issuing stocks internationally by BP Corporation in financing projects</w:t>
            </w:r>
            <w:r w:rsidR="00D20F91">
              <w:rPr>
                <w:noProof/>
                <w:webHidden/>
              </w:rPr>
              <w:tab/>
            </w:r>
            <w:r w:rsidR="00D20F91">
              <w:rPr>
                <w:noProof/>
                <w:webHidden/>
              </w:rPr>
              <w:fldChar w:fldCharType="begin"/>
            </w:r>
            <w:r w:rsidR="00D20F91">
              <w:rPr>
                <w:noProof/>
                <w:webHidden/>
              </w:rPr>
              <w:instrText xml:space="preserve"> PAGEREF _Toc102234876 \h </w:instrText>
            </w:r>
            <w:r w:rsidR="00D20F91">
              <w:rPr>
                <w:noProof/>
                <w:webHidden/>
              </w:rPr>
            </w:r>
            <w:r w:rsidR="00D20F91">
              <w:rPr>
                <w:noProof/>
                <w:webHidden/>
              </w:rPr>
              <w:fldChar w:fldCharType="separate"/>
            </w:r>
            <w:r w:rsidR="00D20F91">
              <w:rPr>
                <w:noProof/>
                <w:webHidden/>
              </w:rPr>
              <w:t>6</w:t>
            </w:r>
            <w:r w:rsidR="00D20F91">
              <w:rPr>
                <w:noProof/>
                <w:webHidden/>
              </w:rPr>
              <w:fldChar w:fldCharType="end"/>
            </w:r>
          </w:hyperlink>
        </w:p>
        <w:p w14:paraId="1D278075" w14:textId="770CEAB0" w:rsidR="00D20F91" w:rsidRDefault="004D0EF2">
          <w:pPr>
            <w:pStyle w:val="TOC1"/>
            <w:rPr>
              <w:rFonts w:asciiTheme="minorHAnsi" w:eastAsiaTheme="minorEastAsia" w:hAnsiTheme="minorHAnsi" w:cstheme="minorBidi"/>
              <w:noProof/>
              <w:sz w:val="22"/>
              <w:lang w:eastAsia="en-US"/>
            </w:rPr>
          </w:pPr>
          <w:hyperlink w:anchor="_Toc102234877" w:history="1">
            <w:r w:rsidR="00D20F91" w:rsidRPr="006D5B2D">
              <w:rPr>
                <w:rStyle w:val="Hyperlink"/>
                <w:noProof/>
                <w:lang w:val="en-GB"/>
              </w:rPr>
              <w:t>Q</w:t>
            </w:r>
            <w:r w:rsidR="00D20F91" w:rsidRPr="006D5B2D">
              <w:rPr>
                <w:rStyle w:val="Hyperlink"/>
                <w:noProof/>
                <w:lang w:val="bg-BG"/>
              </w:rPr>
              <w:t>4</w:t>
            </w:r>
            <w:r w:rsidR="00D20F91" w:rsidRPr="006D5B2D">
              <w:rPr>
                <w:rStyle w:val="Hyperlink"/>
                <w:noProof/>
                <w:lang w:val="en-GB"/>
              </w:rPr>
              <w:t>. Critically analyses how country risks may affect BP's investments opportunities in host countries</w:t>
            </w:r>
            <w:r w:rsidR="00D20F91">
              <w:rPr>
                <w:noProof/>
                <w:webHidden/>
              </w:rPr>
              <w:tab/>
            </w:r>
            <w:r w:rsidR="00D20F91">
              <w:rPr>
                <w:noProof/>
                <w:webHidden/>
              </w:rPr>
              <w:fldChar w:fldCharType="begin"/>
            </w:r>
            <w:r w:rsidR="00D20F91">
              <w:rPr>
                <w:noProof/>
                <w:webHidden/>
              </w:rPr>
              <w:instrText xml:space="preserve"> PAGEREF _Toc102234877 \h </w:instrText>
            </w:r>
            <w:r w:rsidR="00D20F91">
              <w:rPr>
                <w:noProof/>
                <w:webHidden/>
              </w:rPr>
            </w:r>
            <w:r w:rsidR="00D20F91">
              <w:rPr>
                <w:noProof/>
                <w:webHidden/>
              </w:rPr>
              <w:fldChar w:fldCharType="separate"/>
            </w:r>
            <w:r w:rsidR="00D20F91">
              <w:rPr>
                <w:noProof/>
                <w:webHidden/>
              </w:rPr>
              <w:t>7</w:t>
            </w:r>
            <w:r w:rsidR="00D20F91">
              <w:rPr>
                <w:noProof/>
                <w:webHidden/>
              </w:rPr>
              <w:fldChar w:fldCharType="end"/>
            </w:r>
          </w:hyperlink>
        </w:p>
        <w:p w14:paraId="0F77D7EE" w14:textId="080103E6" w:rsidR="00D20F91" w:rsidRDefault="004D0EF2">
          <w:pPr>
            <w:pStyle w:val="TOC1"/>
            <w:rPr>
              <w:rFonts w:asciiTheme="minorHAnsi" w:eastAsiaTheme="minorEastAsia" w:hAnsiTheme="minorHAnsi" w:cstheme="minorBidi"/>
              <w:noProof/>
              <w:sz w:val="22"/>
              <w:lang w:eastAsia="en-US"/>
            </w:rPr>
          </w:pPr>
          <w:hyperlink w:anchor="_Toc102234878" w:history="1">
            <w:r w:rsidR="00D20F91" w:rsidRPr="006D5B2D">
              <w:rPr>
                <w:rStyle w:val="Hyperlink"/>
                <w:noProof/>
                <w:lang w:val="en-GB"/>
              </w:rPr>
              <w:t>Q</w:t>
            </w:r>
            <w:r w:rsidR="00D20F91" w:rsidRPr="006D5B2D">
              <w:rPr>
                <w:rStyle w:val="Hyperlink"/>
                <w:noProof/>
                <w:lang w:val="bg-BG"/>
              </w:rPr>
              <w:t>5</w:t>
            </w:r>
            <w:r w:rsidR="00D20F91" w:rsidRPr="006D5B2D">
              <w:rPr>
                <w:rStyle w:val="Hyperlink"/>
                <w:noProof/>
                <w:lang w:val="en-GB"/>
              </w:rPr>
              <w:t>. Evaluates the different strategies that BP Corporation uses to manage their exposure to foreign exchange risks</w:t>
            </w:r>
            <w:r w:rsidR="00D20F91">
              <w:rPr>
                <w:noProof/>
                <w:webHidden/>
              </w:rPr>
              <w:tab/>
            </w:r>
            <w:r w:rsidR="00D20F91">
              <w:rPr>
                <w:noProof/>
                <w:webHidden/>
              </w:rPr>
              <w:fldChar w:fldCharType="begin"/>
            </w:r>
            <w:r w:rsidR="00D20F91">
              <w:rPr>
                <w:noProof/>
                <w:webHidden/>
              </w:rPr>
              <w:instrText xml:space="preserve"> PAGEREF _Toc102234878 \h </w:instrText>
            </w:r>
            <w:r w:rsidR="00D20F91">
              <w:rPr>
                <w:noProof/>
                <w:webHidden/>
              </w:rPr>
            </w:r>
            <w:r w:rsidR="00D20F91">
              <w:rPr>
                <w:noProof/>
                <w:webHidden/>
              </w:rPr>
              <w:fldChar w:fldCharType="separate"/>
            </w:r>
            <w:r w:rsidR="00D20F91">
              <w:rPr>
                <w:noProof/>
                <w:webHidden/>
              </w:rPr>
              <w:t>9</w:t>
            </w:r>
            <w:r w:rsidR="00D20F91">
              <w:rPr>
                <w:noProof/>
                <w:webHidden/>
              </w:rPr>
              <w:fldChar w:fldCharType="end"/>
            </w:r>
          </w:hyperlink>
        </w:p>
        <w:p w14:paraId="03A38D9F" w14:textId="375B6286" w:rsidR="00D20F91" w:rsidRDefault="004D0EF2">
          <w:pPr>
            <w:pStyle w:val="TOC1"/>
            <w:rPr>
              <w:rFonts w:asciiTheme="minorHAnsi" w:eastAsiaTheme="minorEastAsia" w:hAnsiTheme="minorHAnsi" w:cstheme="minorBidi"/>
              <w:noProof/>
              <w:sz w:val="22"/>
              <w:lang w:eastAsia="en-US"/>
            </w:rPr>
          </w:pPr>
          <w:hyperlink w:anchor="_Toc102234879" w:history="1">
            <w:r w:rsidR="00D20F91" w:rsidRPr="006D5B2D">
              <w:rPr>
                <w:rStyle w:val="Hyperlink"/>
                <w:noProof/>
                <w:lang w:val="en-GB"/>
              </w:rPr>
              <w:t>Recommendations</w:t>
            </w:r>
            <w:r w:rsidR="00D20F91">
              <w:rPr>
                <w:noProof/>
                <w:webHidden/>
              </w:rPr>
              <w:tab/>
            </w:r>
            <w:r w:rsidR="00D20F91">
              <w:rPr>
                <w:noProof/>
                <w:webHidden/>
              </w:rPr>
              <w:fldChar w:fldCharType="begin"/>
            </w:r>
            <w:r w:rsidR="00D20F91">
              <w:rPr>
                <w:noProof/>
                <w:webHidden/>
              </w:rPr>
              <w:instrText xml:space="preserve"> PAGEREF _Toc102234879 \h </w:instrText>
            </w:r>
            <w:r w:rsidR="00D20F91">
              <w:rPr>
                <w:noProof/>
                <w:webHidden/>
              </w:rPr>
            </w:r>
            <w:r w:rsidR="00D20F91">
              <w:rPr>
                <w:noProof/>
                <w:webHidden/>
              </w:rPr>
              <w:fldChar w:fldCharType="separate"/>
            </w:r>
            <w:r w:rsidR="00D20F91">
              <w:rPr>
                <w:noProof/>
                <w:webHidden/>
              </w:rPr>
              <w:t>11</w:t>
            </w:r>
            <w:r w:rsidR="00D20F91">
              <w:rPr>
                <w:noProof/>
                <w:webHidden/>
              </w:rPr>
              <w:fldChar w:fldCharType="end"/>
            </w:r>
          </w:hyperlink>
        </w:p>
        <w:p w14:paraId="347CBD2B" w14:textId="65F8E3D3" w:rsidR="00D20F91" w:rsidRDefault="004D0EF2">
          <w:pPr>
            <w:pStyle w:val="TOC1"/>
            <w:rPr>
              <w:rFonts w:asciiTheme="minorHAnsi" w:eastAsiaTheme="minorEastAsia" w:hAnsiTheme="minorHAnsi" w:cstheme="minorBidi"/>
              <w:noProof/>
              <w:sz w:val="22"/>
              <w:lang w:eastAsia="en-US"/>
            </w:rPr>
          </w:pPr>
          <w:hyperlink w:anchor="_Toc102234880" w:history="1">
            <w:r w:rsidR="00D20F91" w:rsidRPr="006D5B2D">
              <w:rPr>
                <w:rStyle w:val="Hyperlink"/>
                <w:noProof/>
                <w:lang w:val="en-GB"/>
              </w:rPr>
              <w:t>Reference</w:t>
            </w:r>
            <w:r w:rsidR="00D20F91">
              <w:rPr>
                <w:noProof/>
                <w:webHidden/>
              </w:rPr>
              <w:tab/>
            </w:r>
            <w:r w:rsidR="00D20F91">
              <w:rPr>
                <w:noProof/>
                <w:webHidden/>
              </w:rPr>
              <w:fldChar w:fldCharType="begin"/>
            </w:r>
            <w:r w:rsidR="00D20F91">
              <w:rPr>
                <w:noProof/>
                <w:webHidden/>
              </w:rPr>
              <w:instrText xml:space="preserve"> PAGEREF _Toc102234880 \h </w:instrText>
            </w:r>
            <w:r w:rsidR="00D20F91">
              <w:rPr>
                <w:noProof/>
                <w:webHidden/>
              </w:rPr>
            </w:r>
            <w:r w:rsidR="00D20F91">
              <w:rPr>
                <w:noProof/>
                <w:webHidden/>
              </w:rPr>
              <w:fldChar w:fldCharType="separate"/>
            </w:r>
            <w:r w:rsidR="00D20F91">
              <w:rPr>
                <w:noProof/>
                <w:webHidden/>
              </w:rPr>
              <w:t>12</w:t>
            </w:r>
            <w:r w:rsidR="00D20F91">
              <w:rPr>
                <w:noProof/>
                <w:webHidden/>
              </w:rPr>
              <w:fldChar w:fldCharType="end"/>
            </w:r>
          </w:hyperlink>
        </w:p>
        <w:p w14:paraId="736E295F" w14:textId="3071DB23" w:rsidR="00303438" w:rsidRDefault="00303438">
          <w:r>
            <w:rPr>
              <w:b/>
              <w:bCs/>
              <w:noProof/>
            </w:rPr>
            <w:fldChar w:fldCharType="end"/>
          </w:r>
        </w:p>
      </w:sdtContent>
    </w:sdt>
    <w:p w14:paraId="71863F42" w14:textId="77777777" w:rsidR="00326DE9" w:rsidRPr="00B0496F" w:rsidRDefault="00326DE9">
      <w:pPr>
        <w:widowControl/>
        <w:autoSpaceDE/>
        <w:autoSpaceDN/>
        <w:spacing w:before="0" w:after="160" w:line="259" w:lineRule="auto"/>
        <w:jc w:val="left"/>
        <w:rPr>
          <w:lang w:val="en-GB"/>
        </w:rPr>
      </w:pPr>
      <w:r w:rsidRPr="00B0496F">
        <w:rPr>
          <w:lang w:val="en-GB"/>
        </w:rPr>
        <w:br w:type="page"/>
      </w:r>
    </w:p>
    <w:p w14:paraId="7FE3CF68" w14:textId="112A5849" w:rsidR="0078114B" w:rsidRDefault="00F30F64" w:rsidP="00452415">
      <w:pPr>
        <w:pStyle w:val="Heading1"/>
      </w:pPr>
      <w:bookmarkStart w:id="0" w:name="_Toc102234873"/>
      <w:r>
        <w:rPr>
          <w:noProof/>
        </w:rPr>
        <w:lastRenderedPageBreak/>
        <w:drawing>
          <wp:inline distT="0" distB="0" distL="0" distR="0" wp14:anchorId="22339E3C" wp14:editId="20899734">
            <wp:extent cx="5727700" cy="358013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27700" cy="3580130"/>
                    </a:xfrm>
                    <a:prstGeom prst="rect">
                      <a:avLst/>
                    </a:prstGeom>
                    <a:noFill/>
                    <a:ln>
                      <a:noFill/>
                    </a:ln>
                  </pic:spPr>
                </pic:pic>
              </a:graphicData>
            </a:graphic>
          </wp:inline>
        </w:drawing>
      </w:r>
    </w:p>
    <w:p w14:paraId="5D2A52D9" w14:textId="77777777" w:rsidR="00B67A9C" w:rsidRDefault="00B67A9C" w:rsidP="00303438">
      <w:pPr>
        <w:pStyle w:val="Heading1"/>
        <w:ind w:firstLine="720"/>
      </w:pPr>
    </w:p>
    <w:p w14:paraId="4A349654" w14:textId="77777777" w:rsidR="00B67A9C" w:rsidRDefault="00B67A9C" w:rsidP="00303438">
      <w:pPr>
        <w:pStyle w:val="Heading1"/>
        <w:ind w:firstLine="720"/>
      </w:pPr>
    </w:p>
    <w:p w14:paraId="38FD365F" w14:textId="77777777" w:rsidR="00B67A9C" w:rsidRDefault="00B67A9C" w:rsidP="00303438">
      <w:pPr>
        <w:pStyle w:val="Heading1"/>
        <w:ind w:firstLine="720"/>
      </w:pPr>
    </w:p>
    <w:p w14:paraId="70E8C920" w14:textId="77777777" w:rsidR="00B67A9C" w:rsidRDefault="00B67A9C" w:rsidP="00303438">
      <w:pPr>
        <w:pStyle w:val="Heading1"/>
        <w:ind w:firstLine="720"/>
      </w:pPr>
    </w:p>
    <w:p w14:paraId="0E54EDC0" w14:textId="05A294BD" w:rsidR="00B67A9C" w:rsidRDefault="00B67A9C" w:rsidP="00303438">
      <w:pPr>
        <w:pStyle w:val="Heading1"/>
        <w:ind w:firstLine="720"/>
      </w:pPr>
    </w:p>
    <w:p w14:paraId="4930C9C3" w14:textId="77777777" w:rsidR="004D0EF2" w:rsidRPr="004D0EF2" w:rsidRDefault="004D0EF2" w:rsidP="004D0EF2"/>
    <w:p w14:paraId="67986EAE" w14:textId="77777777" w:rsidR="00B67A9C" w:rsidRDefault="00B67A9C" w:rsidP="00303438">
      <w:pPr>
        <w:pStyle w:val="Heading1"/>
        <w:ind w:firstLine="720"/>
      </w:pPr>
    </w:p>
    <w:p w14:paraId="5EBA698C" w14:textId="6B319119" w:rsidR="006518D9" w:rsidRPr="006518D9" w:rsidRDefault="006518D9" w:rsidP="00303438">
      <w:pPr>
        <w:pStyle w:val="Heading1"/>
        <w:ind w:firstLine="720"/>
      </w:pPr>
      <w:r>
        <w:t>Intro</w:t>
      </w:r>
      <w:r w:rsidR="00303438">
        <w:t>duction</w:t>
      </w:r>
      <w:bookmarkEnd w:id="0"/>
      <w:r w:rsidR="00303438">
        <w:t xml:space="preserve"> </w:t>
      </w:r>
    </w:p>
    <w:p w14:paraId="61B74342" w14:textId="705FEE93" w:rsidR="006518D9" w:rsidRPr="00303438" w:rsidRDefault="006518D9" w:rsidP="00D20F91">
      <w:pPr>
        <w:ind w:firstLine="720"/>
        <w:rPr>
          <w:lang w:val="en-GB"/>
        </w:rPr>
      </w:pPr>
      <w:r w:rsidRPr="00303438">
        <w:rPr>
          <w:lang w:val="en-GB"/>
        </w:rPr>
        <w:t xml:space="preserve">The report aims to critically </w:t>
      </w:r>
      <w:r w:rsidR="005B7AF4" w:rsidRPr="00303438">
        <w:rPr>
          <w:lang w:val="en-GB"/>
        </w:rPr>
        <w:t>analyse</w:t>
      </w:r>
      <w:r w:rsidRPr="00303438">
        <w:rPr>
          <w:lang w:val="en-GB"/>
        </w:rPr>
        <w:t xml:space="preserve"> issues related to the oil company British Petroleum. Topics to be covered will include up-to-date information on the reasons why BP has decided to internationalize, sources of funding, efficiency of international issuance of shares, risks related to BP's international business, evaluation of strategies the company implements in terms of the risk of changes in exchange rates.</w:t>
      </w:r>
    </w:p>
    <w:p w14:paraId="4635C2C2" w14:textId="71298A9B" w:rsidR="00FE4172" w:rsidRPr="00B0496F" w:rsidRDefault="00FE4172" w:rsidP="00303438">
      <w:pPr>
        <w:pStyle w:val="Heading1"/>
        <w:ind w:firstLine="720"/>
        <w:rPr>
          <w:lang w:val="en-GB"/>
        </w:rPr>
      </w:pPr>
      <w:bookmarkStart w:id="1" w:name="_Toc102234874"/>
      <w:r w:rsidRPr="00B0496F">
        <w:rPr>
          <w:lang w:val="en-GB"/>
        </w:rPr>
        <w:t xml:space="preserve">Q1. Critically analyses reasons why BP corporation </w:t>
      </w:r>
      <w:r w:rsidR="00F10E84" w:rsidRPr="00B0496F">
        <w:rPr>
          <w:lang w:val="en-GB"/>
        </w:rPr>
        <w:t>internationalized</w:t>
      </w:r>
      <w:bookmarkEnd w:id="1"/>
    </w:p>
    <w:p w14:paraId="177D6904" w14:textId="77777777" w:rsidR="00B0496F" w:rsidRPr="00B0496F" w:rsidRDefault="00B0496F" w:rsidP="00303438">
      <w:pPr>
        <w:ind w:firstLine="720"/>
        <w:rPr>
          <w:lang w:val="en-GB"/>
        </w:rPr>
      </w:pPr>
      <w:r w:rsidRPr="00B0496F">
        <w:rPr>
          <w:lang w:val="en-GB"/>
        </w:rPr>
        <w:t>The term internationalisation of a company in the business can be referred as the scenario where, the business organisation starts to conduct their operation in diffident foreign countries other than the domestic country. The starting of operation in the foreign country as the international business can give a business organisation significant exposure along with different other benefits. As it has been found from different research is that for an international business organisation there are several benefits that cannot be accessed by the national or local businesses</w:t>
      </w:r>
      <w:r w:rsidR="006A7E07">
        <w:rPr>
          <w:lang w:val="en-GB"/>
        </w:rPr>
        <w:t xml:space="preserve"> </w:t>
      </w:r>
      <w:r w:rsidR="006A7E07" w:rsidRPr="00D434D4">
        <w:rPr>
          <w:sz w:val="22"/>
          <w:shd w:val="clear" w:color="auto" w:fill="FFFFFF"/>
        </w:rPr>
        <w:t>(</w:t>
      </w:r>
      <w:proofErr w:type="spellStart"/>
      <w:r w:rsidR="006A7E07">
        <w:rPr>
          <w:shd w:val="clear" w:color="auto" w:fill="FFFFFF"/>
        </w:rPr>
        <w:t>Ratten</w:t>
      </w:r>
      <w:proofErr w:type="spellEnd"/>
      <w:r w:rsidR="006A7E07" w:rsidRPr="00D434D4">
        <w:rPr>
          <w:i/>
          <w:sz w:val="22"/>
        </w:rPr>
        <w:t xml:space="preserve"> et al</w:t>
      </w:r>
      <w:r w:rsidR="006A7E07" w:rsidRPr="00D434D4">
        <w:rPr>
          <w:sz w:val="22"/>
        </w:rPr>
        <w:t xml:space="preserve">., </w:t>
      </w:r>
      <w:r w:rsidR="006A7E07">
        <w:rPr>
          <w:shd w:val="clear" w:color="auto" w:fill="FFFFFF"/>
        </w:rPr>
        <w:t>2017</w:t>
      </w:r>
      <w:r w:rsidR="006A7E07" w:rsidRPr="00D434D4">
        <w:rPr>
          <w:sz w:val="22"/>
          <w:shd w:val="clear" w:color="auto" w:fill="FFFFFF"/>
        </w:rPr>
        <w:t>)</w:t>
      </w:r>
      <w:r w:rsidRPr="00B0496F">
        <w:rPr>
          <w:lang w:val="en-GB"/>
        </w:rPr>
        <w:t>. For example, it can be said that the entry in the international business can help business organisation in growth and development of market square in the new markets. Thus, the opportunities available for the business organisation to increase the revenue stream can be enhanced with the opening of new channels in revenue stream. Hence, the possibility of being successful in the new market of the business organisation will also be improved providing the business organisation a vital opportunity to increase their recognition in the different market</w:t>
      </w:r>
      <w:r w:rsidR="006A7E07">
        <w:rPr>
          <w:lang w:val="en-GB"/>
        </w:rPr>
        <w:t xml:space="preserve"> </w:t>
      </w:r>
      <w:r w:rsidR="006A7E07" w:rsidRPr="00D434D4">
        <w:rPr>
          <w:sz w:val="22"/>
          <w:shd w:val="clear" w:color="auto" w:fill="FFFFFF"/>
        </w:rPr>
        <w:t>(</w:t>
      </w:r>
      <w:proofErr w:type="spellStart"/>
      <w:r w:rsidR="006A7E07">
        <w:rPr>
          <w:shd w:val="clear" w:color="auto" w:fill="FFFFFF"/>
        </w:rPr>
        <w:t>Ratten</w:t>
      </w:r>
      <w:proofErr w:type="spellEnd"/>
      <w:r w:rsidR="006A7E07" w:rsidRPr="00D434D4">
        <w:rPr>
          <w:i/>
          <w:sz w:val="22"/>
        </w:rPr>
        <w:t xml:space="preserve"> et al</w:t>
      </w:r>
      <w:r w:rsidR="006A7E07" w:rsidRPr="00D434D4">
        <w:rPr>
          <w:sz w:val="22"/>
        </w:rPr>
        <w:t xml:space="preserve">., </w:t>
      </w:r>
      <w:r w:rsidR="006A7E07">
        <w:rPr>
          <w:shd w:val="clear" w:color="auto" w:fill="FFFFFF"/>
        </w:rPr>
        <w:t>2017</w:t>
      </w:r>
      <w:r w:rsidR="006A7E07" w:rsidRPr="00D434D4">
        <w:rPr>
          <w:sz w:val="22"/>
          <w:shd w:val="clear" w:color="auto" w:fill="FFFFFF"/>
        </w:rPr>
        <w:t>)</w:t>
      </w:r>
      <w:r w:rsidRPr="00B0496F">
        <w:rPr>
          <w:lang w:val="en-GB"/>
        </w:rPr>
        <w:t>.</w:t>
      </w:r>
    </w:p>
    <w:p w14:paraId="41327E71" w14:textId="77777777" w:rsidR="00B0496F" w:rsidRPr="00B0496F" w:rsidRDefault="00B0496F" w:rsidP="00303438">
      <w:pPr>
        <w:ind w:firstLine="720"/>
        <w:rPr>
          <w:lang w:val="en-GB"/>
        </w:rPr>
      </w:pPr>
      <w:r w:rsidRPr="00B0496F">
        <w:rPr>
          <w:lang w:val="en-GB"/>
        </w:rPr>
        <w:t xml:space="preserve">Diversification can be considered as another benefit for any business organisation that is planning to go international. The diversified portfolio in the international market of a business organisation can enhance the chances of the business organisation to achieve success. </w:t>
      </w:r>
      <w:proofErr w:type="gramStart"/>
      <w:r w:rsidRPr="00B0496F">
        <w:rPr>
          <w:lang w:val="en-GB"/>
        </w:rPr>
        <w:t>Also</w:t>
      </w:r>
      <w:proofErr w:type="gramEnd"/>
      <w:r w:rsidRPr="00B0496F">
        <w:rPr>
          <w:lang w:val="en-GB"/>
        </w:rPr>
        <w:t xml:space="preserve"> the diversified market available in the international business can help the business organisation in becoming more creative by providing the opportunity to gain a larger customer base. Thus, the business organisation can </w:t>
      </w:r>
      <w:r>
        <w:rPr>
          <w:lang w:val="en-GB"/>
        </w:rPr>
        <w:t>maintain</w:t>
      </w:r>
      <w:r w:rsidRPr="00B0496F">
        <w:rPr>
          <w:lang w:val="en-GB"/>
        </w:rPr>
        <w:t xml:space="preserve"> a positive revenue stream</w:t>
      </w:r>
      <w:r w:rsidR="006A7E07">
        <w:rPr>
          <w:lang w:val="en-GB"/>
        </w:rPr>
        <w:t xml:space="preserve"> </w:t>
      </w:r>
      <w:r w:rsidR="006A7E07" w:rsidRPr="00D434D4">
        <w:rPr>
          <w:sz w:val="22"/>
          <w:shd w:val="clear" w:color="auto" w:fill="FFFFFF"/>
        </w:rPr>
        <w:t>(</w:t>
      </w:r>
      <w:proofErr w:type="spellStart"/>
      <w:r w:rsidR="006A7E07">
        <w:rPr>
          <w:shd w:val="clear" w:color="auto" w:fill="FFFFFF"/>
        </w:rPr>
        <w:t>Berrill</w:t>
      </w:r>
      <w:proofErr w:type="spellEnd"/>
      <w:r w:rsidR="006A7E07" w:rsidRPr="00D434D4">
        <w:rPr>
          <w:i/>
          <w:sz w:val="22"/>
        </w:rPr>
        <w:t xml:space="preserve"> et al</w:t>
      </w:r>
      <w:r w:rsidR="006A7E07" w:rsidRPr="00D434D4">
        <w:rPr>
          <w:sz w:val="22"/>
        </w:rPr>
        <w:t xml:space="preserve">., </w:t>
      </w:r>
      <w:r w:rsidR="006A7E07">
        <w:rPr>
          <w:shd w:val="clear" w:color="auto" w:fill="FFFFFF"/>
        </w:rPr>
        <w:t>2019</w:t>
      </w:r>
      <w:r w:rsidR="006A7E07" w:rsidRPr="00D434D4">
        <w:rPr>
          <w:sz w:val="22"/>
          <w:shd w:val="clear" w:color="auto" w:fill="FFFFFF"/>
        </w:rPr>
        <w:t>)</w:t>
      </w:r>
      <w:r w:rsidRPr="00B0496F">
        <w:rPr>
          <w:lang w:val="en-GB"/>
        </w:rPr>
        <w:t>.</w:t>
      </w:r>
    </w:p>
    <w:p w14:paraId="49299389" w14:textId="77777777" w:rsidR="00B0496F" w:rsidRPr="00B0496F" w:rsidRDefault="00B0496F" w:rsidP="00303438">
      <w:pPr>
        <w:ind w:firstLine="720"/>
        <w:rPr>
          <w:lang w:val="en-GB"/>
        </w:rPr>
      </w:pPr>
      <w:r w:rsidRPr="00B0496F">
        <w:rPr>
          <w:lang w:val="en-GB"/>
        </w:rPr>
        <w:lastRenderedPageBreak/>
        <w:t>Along with the customer base of the business organisation, the ability of the business organisation to access the talent pool available in the global market will also increase. Thus, the quality employees and workers for the business organisation can be found by the international business easily. Hence, the productivity and the performance of the business organisation will improve not only in quality but also in quantity</w:t>
      </w:r>
      <w:r w:rsidR="006A7E07">
        <w:rPr>
          <w:lang w:val="en-GB"/>
        </w:rPr>
        <w:t xml:space="preserve"> </w:t>
      </w:r>
      <w:r w:rsidR="006A7E07" w:rsidRPr="00DF605B">
        <w:rPr>
          <w:shd w:val="clear" w:color="auto" w:fill="FFFFFF"/>
        </w:rPr>
        <w:t>(</w:t>
      </w:r>
      <w:r w:rsidR="006A7E07">
        <w:rPr>
          <w:shd w:val="clear" w:color="auto" w:fill="FFFFFF"/>
        </w:rPr>
        <w:t>Kamel</w:t>
      </w:r>
      <w:r w:rsidR="006A7E07" w:rsidRPr="00DF605B">
        <w:rPr>
          <w:shd w:val="clear" w:color="auto" w:fill="FFFFFF"/>
        </w:rPr>
        <w:t xml:space="preserve"> and </w:t>
      </w:r>
      <w:r w:rsidR="006A7E07">
        <w:rPr>
          <w:shd w:val="clear" w:color="auto" w:fill="FFFFFF"/>
        </w:rPr>
        <w:t>Wang</w:t>
      </w:r>
      <w:r w:rsidR="006A7E07" w:rsidRPr="00DF605B">
        <w:t xml:space="preserve">, </w:t>
      </w:r>
      <w:r w:rsidR="006A7E07">
        <w:rPr>
          <w:shd w:val="clear" w:color="auto" w:fill="FFFFFF"/>
        </w:rPr>
        <w:t>2019)</w:t>
      </w:r>
      <w:r w:rsidRPr="00B0496F">
        <w:rPr>
          <w:lang w:val="en-GB"/>
        </w:rPr>
        <w:t xml:space="preserve">. This can also help the business organisation in improving their competitive advantage in the market over the other competitors. Especially for the business organisation that is aiming for international business will gain a significant advantage over the local and regional businesses. In the </w:t>
      </w:r>
      <w:proofErr w:type="gramStart"/>
      <w:r w:rsidRPr="00B0496F">
        <w:rPr>
          <w:lang w:val="en-GB"/>
        </w:rPr>
        <w:t>cut throat</w:t>
      </w:r>
      <w:proofErr w:type="gramEnd"/>
      <w:r w:rsidRPr="00B0496F">
        <w:rPr>
          <w:lang w:val="en-GB"/>
        </w:rPr>
        <w:t xml:space="preserve"> competition, in the globalised era, it is important for any business organisation to achieve the competitive advantage in the market to improve the operation and performance.</w:t>
      </w:r>
    </w:p>
    <w:p w14:paraId="5B0DCA7B" w14:textId="77777777" w:rsidR="006B0232" w:rsidRPr="00B0496F" w:rsidRDefault="00B0496F" w:rsidP="00303438">
      <w:pPr>
        <w:ind w:firstLine="720"/>
        <w:rPr>
          <w:lang w:val="en-GB"/>
        </w:rPr>
      </w:pPr>
      <w:r w:rsidRPr="00B0496F">
        <w:rPr>
          <w:lang w:val="en-GB"/>
        </w:rPr>
        <w:t>At the same time, it is also important to note that the opportunities of the business organisation to draw the foreign investment will increase. Thus, not only can help the business organisation itself but it can also in help the economy of the domestic country where the business organisation is originally established and headquartered</w:t>
      </w:r>
      <w:r w:rsidR="006A7E07">
        <w:rPr>
          <w:lang w:val="en-GB"/>
        </w:rPr>
        <w:t xml:space="preserve"> </w:t>
      </w:r>
      <w:r w:rsidR="006A7E07" w:rsidRPr="00DF605B">
        <w:rPr>
          <w:shd w:val="clear" w:color="auto" w:fill="FFFFFF"/>
        </w:rPr>
        <w:t>(</w:t>
      </w:r>
      <w:r w:rsidR="006A7E07">
        <w:rPr>
          <w:shd w:val="clear" w:color="auto" w:fill="FFFFFF"/>
        </w:rPr>
        <w:t>Kamel</w:t>
      </w:r>
      <w:r w:rsidR="006A7E07" w:rsidRPr="00DF605B">
        <w:rPr>
          <w:shd w:val="clear" w:color="auto" w:fill="FFFFFF"/>
        </w:rPr>
        <w:t xml:space="preserve"> and </w:t>
      </w:r>
      <w:r w:rsidR="006A7E07">
        <w:rPr>
          <w:shd w:val="clear" w:color="auto" w:fill="FFFFFF"/>
        </w:rPr>
        <w:t>Wang</w:t>
      </w:r>
      <w:r w:rsidR="006A7E07" w:rsidRPr="00DF605B">
        <w:t xml:space="preserve">, </w:t>
      </w:r>
      <w:r w:rsidR="006A7E07">
        <w:rPr>
          <w:shd w:val="clear" w:color="auto" w:fill="FFFFFF"/>
        </w:rPr>
        <w:t>2019)</w:t>
      </w:r>
      <w:r w:rsidRPr="00B0496F">
        <w:rPr>
          <w:lang w:val="en-GB"/>
        </w:rPr>
        <w:t>.</w:t>
      </w:r>
    </w:p>
    <w:p w14:paraId="2F20BA92" w14:textId="77777777" w:rsidR="00CF7964" w:rsidRDefault="00B0496F" w:rsidP="00303438">
      <w:pPr>
        <w:ind w:firstLine="720"/>
        <w:rPr>
          <w:lang w:val="en-GB"/>
        </w:rPr>
      </w:pPr>
      <w:r w:rsidRPr="00B0496F">
        <w:rPr>
          <w:lang w:val="en-GB"/>
        </w:rPr>
        <w:t xml:space="preserve">Thus, as an oil and energy business organisation British Petroleum Corporation was as well needed to go international to improve its performance. </w:t>
      </w:r>
      <w:proofErr w:type="gramStart"/>
      <w:r w:rsidRPr="00B0496F">
        <w:rPr>
          <w:lang w:val="en-GB"/>
        </w:rPr>
        <w:t>But,</w:t>
      </w:r>
      <w:proofErr w:type="gramEnd"/>
      <w:r w:rsidRPr="00B0496F">
        <w:rPr>
          <w:lang w:val="en-GB"/>
        </w:rPr>
        <w:t xml:space="preserve"> it is also important to know that oil, being a natural resource, the production of the same is limited in each country</w:t>
      </w:r>
      <w:r w:rsidR="006A7E07">
        <w:rPr>
          <w:lang w:val="en-GB"/>
        </w:rPr>
        <w:t xml:space="preserve"> </w:t>
      </w:r>
      <w:r w:rsidR="006A7E07" w:rsidRPr="00D434D4">
        <w:rPr>
          <w:sz w:val="22"/>
          <w:shd w:val="clear" w:color="auto" w:fill="FFFFFF"/>
        </w:rPr>
        <w:t>(</w:t>
      </w:r>
      <w:proofErr w:type="spellStart"/>
      <w:r w:rsidR="006A7E07">
        <w:rPr>
          <w:shd w:val="clear" w:color="auto" w:fill="FFFFFF"/>
        </w:rPr>
        <w:t>Berrill</w:t>
      </w:r>
      <w:proofErr w:type="spellEnd"/>
      <w:r w:rsidR="006A7E07" w:rsidRPr="00D434D4">
        <w:rPr>
          <w:i/>
          <w:sz w:val="22"/>
        </w:rPr>
        <w:t xml:space="preserve"> et al</w:t>
      </w:r>
      <w:r w:rsidR="006A7E07" w:rsidRPr="00D434D4">
        <w:rPr>
          <w:sz w:val="22"/>
        </w:rPr>
        <w:t xml:space="preserve">., </w:t>
      </w:r>
      <w:r w:rsidR="006A7E07">
        <w:rPr>
          <w:shd w:val="clear" w:color="auto" w:fill="FFFFFF"/>
        </w:rPr>
        <w:t>2019</w:t>
      </w:r>
      <w:r w:rsidR="006A7E07" w:rsidRPr="00D434D4">
        <w:rPr>
          <w:sz w:val="22"/>
          <w:shd w:val="clear" w:color="auto" w:fill="FFFFFF"/>
        </w:rPr>
        <w:t>)</w:t>
      </w:r>
      <w:r w:rsidRPr="00B0496F">
        <w:rPr>
          <w:lang w:val="en-GB"/>
        </w:rPr>
        <w:t>. As the other foreign countries are enriched with this natural resource, it was important for the company to invest in the other countries to increase its production and operation.</w:t>
      </w:r>
    </w:p>
    <w:p w14:paraId="0E6665AC" w14:textId="77777777" w:rsidR="00CF7964" w:rsidRDefault="00CF7964" w:rsidP="00303438">
      <w:pPr>
        <w:ind w:firstLine="720"/>
        <w:rPr>
          <w:lang w:val="en-GB"/>
        </w:rPr>
      </w:pPr>
    </w:p>
    <w:p w14:paraId="095732C2" w14:textId="421C3989" w:rsidR="00CF7964" w:rsidRPr="00B0496F" w:rsidRDefault="00CF7964" w:rsidP="00303438">
      <w:pPr>
        <w:pStyle w:val="Heading1"/>
        <w:ind w:firstLine="720"/>
        <w:rPr>
          <w:lang w:val="en-GB"/>
        </w:rPr>
      </w:pPr>
      <w:bookmarkStart w:id="2" w:name="_Toc102234875"/>
      <w:r w:rsidRPr="00B0496F">
        <w:rPr>
          <w:lang w:val="en-GB"/>
        </w:rPr>
        <w:t>Q</w:t>
      </w:r>
      <w:r w:rsidR="00A16976">
        <w:rPr>
          <w:lang w:val="bg-BG"/>
        </w:rPr>
        <w:t>2</w:t>
      </w:r>
      <w:r w:rsidRPr="00B0496F">
        <w:rPr>
          <w:lang w:val="en-GB"/>
        </w:rPr>
        <w:t>. Critically analyses and evaluates BP Corporation's sources of finance</w:t>
      </w:r>
      <w:bookmarkEnd w:id="2"/>
    </w:p>
    <w:p w14:paraId="7142E396" w14:textId="77777777" w:rsidR="00CF7964" w:rsidRPr="00B0496F" w:rsidRDefault="00CF7964" w:rsidP="00303438">
      <w:pPr>
        <w:ind w:firstLine="720"/>
        <w:rPr>
          <w:lang w:val="en-GB"/>
        </w:rPr>
      </w:pPr>
      <w:r w:rsidRPr="00B0496F">
        <w:rPr>
          <w:lang w:val="en-GB"/>
        </w:rPr>
        <w:t xml:space="preserve">The source of finance is one of the most important </w:t>
      </w:r>
      <w:proofErr w:type="gramStart"/>
      <w:r w:rsidRPr="00B0496F">
        <w:rPr>
          <w:lang w:val="en-GB"/>
        </w:rPr>
        <w:t>area</w:t>
      </w:r>
      <w:proofErr w:type="gramEnd"/>
      <w:r w:rsidRPr="00B0496F">
        <w:rPr>
          <w:lang w:val="en-GB"/>
        </w:rPr>
        <w:t xml:space="preserve">, that is needed to be managed by a business organisation for ensuring the cash inflow and outflow as well as the balance of working capital in the business is being maintained properly. </w:t>
      </w:r>
      <w:proofErr w:type="gramStart"/>
      <w:r w:rsidRPr="00B0496F">
        <w:rPr>
          <w:lang w:val="en-GB"/>
        </w:rPr>
        <w:t>For the purpose of</w:t>
      </w:r>
      <w:proofErr w:type="gramEnd"/>
      <w:r w:rsidRPr="00B0496F">
        <w:rPr>
          <w:lang w:val="en-GB"/>
        </w:rPr>
        <w:t xml:space="preserve"> growth and development in the business it is extremely important for any business organisation including British Petroleum Corporation to maintain the continuous investment in different activities and projects that can help in returning the investment made. Thus, as the initial investment of </w:t>
      </w:r>
      <w:r w:rsidRPr="00B0496F">
        <w:rPr>
          <w:lang w:val="en-GB"/>
        </w:rPr>
        <w:lastRenderedPageBreak/>
        <w:t xml:space="preserve">the project and to run the daily operations of the business it is extremely important to ensure the business organisation has enough capital to fund the same </w:t>
      </w:r>
      <w:r w:rsidRPr="00B0496F">
        <w:rPr>
          <w:shd w:val="clear" w:color="auto" w:fill="FFFFFF"/>
          <w:lang w:val="en-GB"/>
        </w:rPr>
        <w:t>(Hamilton and Webster</w:t>
      </w:r>
      <w:r w:rsidRPr="00B0496F">
        <w:rPr>
          <w:lang w:val="en-GB"/>
        </w:rPr>
        <w:t xml:space="preserve">, </w:t>
      </w:r>
      <w:r w:rsidRPr="00B0496F">
        <w:rPr>
          <w:shd w:val="clear" w:color="auto" w:fill="FFFFFF"/>
          <w:lang w:val="en-GB"/>
        </w:rPr>
        <w:t>2018)</w:t>
      </w:r>
      <w:r w:rsidRPr="00B0496F">
        <w:rPr>
          <w:lang w:val="en-GB"/>
        </w:rPr>
        <w:t xml:space="preserve">. The choice of different sources for financing the project are dependent on different factors. For example, the tenure of the project, the requirement of amount and the type of capital needed, the cost of capital, the benefits and disadvantages for the particular source that is being used to fund the project et cetera </w:t>
      </w:r>
      <w:proofErr w:type="gramStart"/>
      <w:r w:rsidRPr="00B0496F">
        <w:rPr>
          <w:lang w:val="en-GB"/>
        </w:rPr>
        <w:t>are need</w:t>
      </w:r>
      <w:proofErr w:type="gramEnd"/>
      <w:r w:rsidRPr="00B0496F">
        <w:rPr>
          <w:lang w:val="en-GB"/>
        </w:rPr>
        <w:t xml:space="preserve"> to be considered (</w:t>
      </w:r>
      <w:proofErr w:type="spellStart"/>
      <w:r w:rsidRPr="00B0496F">
        <w:rPr>
          <w:shd w:val="clear" w:color="auto" w:fill="FFFFFF"/>
          <w:lang w:val="en-GB"/>
        </w:rPr>
        <w:t>Müllner</w:t>
      </w:r>
      <w:proofErr w:type="spellEnd"/>
      <w:r w:rsidRPr="00B0496F">
        <w:rPr>
          <w:lang w:val="en-GB"/>
        </w:rPr>
        <w:t xml:space="preserve">, </w:t>
      </w:r>
      <w:r w:rsidRPr="00B0496F">
        <w:rPr>
          <w:shd w:val="clear" w:color="auto" w:fill="FFFFFF"/>
          <w:lang w:val="en-GB"/>
        </w:rPr>
        <w:t>2017</w:t>
      </w:r>
      <w:r w:rsidRPr="00B0496F">
        <w:rPr>
          <w:lang w:val="en-GB"/>
        </w:rPr>
        <w:t xml:space="preserve">). As per the balance sheet of British Petroleum Corporation it has been found that business organisation uses as </w:t>
      </w:r>
      <w:proofErr w:type="gramStart"/>
      <w:r w:rsidRPr="00B0496F">
        <w:rPr>
          <w:lang w:val="en-GB"/>
        </w:rPr>
        <w:t>both of the debt</w:t>
      </w:r>
      <w:proofErr w:type="gramEnd"/>
      <w:r w:rsidRPr="00B0496F">
        <w:rPr>
          <w:lang w:val="en-GB"/>
        </w:rPr>
        <w:t xml:space="preserve"> capital and equity capital as the source of finances in the business. For the debt capital the business organisation is dependent on using both of the short term and </w:t>
      </w:r>
      <w:proofErr w:type="gramStart"/>
      <w:r w:rsidRPr="00B0496F">
        <w:rPr>
          <w:lang w:val="en-GB"/>
        </w:rPr>
        <w:t>long term</w:t>
      </w:r>
      <w:proofErr w:type="gramEnd"/>
      <w:r w:rsidRPr="00B0496F">
        <w:rPr>
          <w:lang w:val="en-GB"/>
        </w:rPr>
        <w:t xml:space="preserve"> debt. Also, the business organisation is significantly dependent on the shareholders of the company for maintaining the equity level in the business that can help the business organisation in balance in the capital structure to optimise the same </w:t>
      </w:r>
      <w:r w:rsidRPr="00B0496F">
        <w:rPr>
          <w:shd w:val="clear" w:color="auto" w:fill="FFFFFF"/>
          <w:lang w:val="en-GB"/>
        </w:rPr>
        <w:t>(Hamilton and Webster</w:t>
      </w:r>
      <w:r w:rsidRPr="00B0496F">
        <w:rPr>
          <w:lang w:val="en-GB"/>
        </w:rPr>
        <w:t xml:space="preserve">, </w:t>
      </w:r>
      <w:r w:rsidRPr="00B0496F">
        <w:rPr>
          <w:shd w:val="clear" w:color="auto" w:fill="FFFFFF"/>
          <w:lang w:val="en-GB"/>
        </w:rPr>
        <w:t>2018)</w:t>
      </w:r>
      <w:r w:rsidRPr="00B0496F">
        <w:rPr>
          <w:lang w:val="en-GB"/>
        </w:rPr>
        <w:t>. The different sources of finance and the amount collected by using the same by British Petroleum Corporation in the last years has been provided below.</w:t>
      </w:r>
    </w:p>
    <w:tbl>
      <w:tblPr>
        <w:tblStyle w:val="TableGrid"/>
        <w:tblW w:w="0" w:type="auto"/>
        <w:tblLook w:val="04A0" w:firstRow="1" w:lastRow="0" w:firstColumn="1" w:lastColumn="0" w:noHBand="0" w:noVBand="1"/>
      </w:tblPr>
      <w:tblGrid>
        <w:gridCol w:w="2972"/>
        <w:gridCol w:w="2014"/>
        <w:gridCol w:w="2015"/>
        <w:gridCol w:w="2015"/>
      </w:tblGrid>
      <w:tr w:rsidR="00CF7964" w:rsidRPr="00B0496F" w14:paraId="45C67A9C" w14:textId="77777777" w:rsidTr="008D66FD">
        <w:tc>
          <w:tcPr>
            <w:tcW w:w="2972" w:type="dxa"/>
          </w:tcPr>
          <w:p w14:paraId="2E21EAA7" w14:textId="77777777" w:rsidR="00CF7964" w:rsidRPr="00B0496F" w:rsidRDefault="00CF7964" w:rsidP="008D66FD">
            <w:pPr>
              <w:rPr>
                <w:b/>
                <w:lang w:val="en-GB"/>
              </w:rPr>
            </w:pPr>
            <w:r w:rsidRPr="00B0496F">
              <w:rPr>
                <w:b/>
                <w:lang w:val="en-GB"/>
              </w:rPr>
              <w:t>Sources of finance</w:t>
            </w:r>
          </w:p>
        </w:tc>
        <w:tc>
          <w:tcPr>
            <w:tcW w:w="2014" w:type="dxa"/>
          </w:tcPr>
          <w:p w14:paraId="6633D791" w14:textId="77777777" w:rsidR="00CF7964" w:rsidRPr="00B0496F" w:rsidRDefault="00CF7964" w:rsidP="008D66FD">
            <w:pPr>
              <w:rPr>
                <w:b/>
                <w:lang w:val="en-GB"/>
              </w:rPr>
            </w:pPr>
            <w:r w:rsidRPr="00B0496F">
              <w:rPr>
                <w:b/>
                <w:lang w:val="en-GB"/>
              </w:rPr>
              <w:t xml:space="preserve">2021 ($ million) </w:t>
            </w:r>
          </w:p>
        </w:tc>
        <w:tc>
          <w:tcPr>
            <w:tcW w:w="2015" w:type="dxa"/>
          </w:tcPr>
          <w:p w14:paraId="6DE1B9C7" w14:textId="77777777" w:rsidR="00CF7964" w:rsidRPr="00B0496F" w:rsidRDefault="00CF7964" w:rsidP="008D66FD">
            <w:pPr>
              <w:rPr>
                <w:b/>
                <w:lang w:val="en-GB"/>
              </w:rPr>
            </w:pPr>
            <w:r w:rsidRPr="00B0496F">
              <w:rPr>
                <w:b/>
                <w:lang w:val="en-GB"/>
              </w:rPr>
              <w:t>2020 ($ million)</w:t>
            </w:r>
          </w:p>
        </w:tc>
        <w:tc>
          <w:tcPr>
            <w:tcW w:w="2015" w:type="dxa"/>
          </w:tcPr>
          <w:p w14:paraId="07A0FAE9" w14:textId="77777777" w:rsidR="00CF7964" w:rsidRPr="00B0496F" w:rsidRDefault="00CF7964" w:rsidP="008D66FD">
            <w:pPr>
              <w:rPr>
                <w:b/>
                <w:lang w:val="en-GB"/>
              </w:rPr>
            </w:pPr>
            <w:r w:rsidRPr="00B0496F">
              <w:rPr>
                <w:b/>
                <w:lang w:val="en-GB"/>
              </w:rPr>
              <w:t>2019 ($ million)</w:t>
            </w:r>
          </w:p>
        </w:tc>
      </w:tr>
      <w:tr w:rsidR="00CF7964" w:rsidRPr="00B0496F" w14:paraId="5C671C9B" w14:textId="77777777" w:rsidTr="008D66FD">
        <w:tc>
          <w:tcPr>
            <w:tcW w:w="2972" w:type="dxa"/>
          </w:tcPr>
          <w:p w14:paraId="6A5A94D3" w14:textId="77777777" w:rsidR="00CF7964" w:rsidRPr="00B0496F" w:rsidRDefault="00CF7964" w:rsidP="008D66FD">
            <w:pPr>
              <w:rPr>
                <w:lang w:val="en-GB"/>
              </w:rPr>
            </w:pPr>
            <w:r w:rsidRPr="00B0496F">
              <w:rPr>
                <w:lang w:val="en-GB"/>
              </w:rPr>
              <w:t>BP Shareholders’ Equity</w:t>
            </w:r>
          </w:p>
        </w:tc>
        <w:tc>
          <w:tcPr>
            <w:tcW w:w="2014" w:type="dxa"/>
          </w:tcPr>
          <w:p w14:paraId="300C60E8" w14:textId="77777777" w:rsidR="00CF7964" w:rsidRPr="00B0496F" w:rsidRDefault="00CF7964" w:rsidP="008D66FD">
            <w:pPr>
              <w:rPr>
                <w:lang w:val="en-GB"/>
              </w:rPr>
            </w:pPr>
            <w:r w:rsidRPr="00B0496F">
              <w:rPr>
                <w:lang w:val="en-GB"/>
              </w:rPr>
              <w:t>75463</w:t>
            </w:r>
          </w:p>
        </w:tc>
        <w:tc>
          <w:tcPr>
            <w:tcW w:w="2015" w:type="dxa"/>
          </w:tcPr>
          <w:p w14:paraId="65EE8097" w14:textId="77777777" w:rsidR="00CF7964" w:rsidRPr="00B0496F" w:rsidRDefault="00CF7964" w:rsidP="008D66FD">
            <w:pPr>
              <w:rPr>
                <w:lang w:val="en-GB"/>
              </w:rPr>
            </w:pPr>
            <w:r w:rsidRPr="00B0496F">
              <w:rPr>
                <w:lang w:val="en-GB"/>
              </w:rPr>
              <w:t>71250</w:t>
            </w:r>
          </w:p>
        </w:tc>
        <w:tc>
          <w:tcPr>
            <w:tcW w:w="2015" w:type="dxa"/>
          </w:tcPr>
          <w:p w14:paraId="09C818AB" w14:textId="77777777" w:rsidR="00CF7964" w:rsidRPr="00B0496F" w:rsidRDefault="00CF7964" w:rsidP="008D66FD">
            <w:pPr>
              <w:rPr>
                <w:lang w:val="en-GB"/>
              </w:rPr>
            </w:pPr>
            <w:r w:rsidRPr="00B0496F">
              <w:rPr>
                <w:lang w:val="en-GB"/>
              </w:rPr>
              <w:t>98412</w:t>
            </w:r>
          </w:p>
        </w:tc>
      </w:tr>
      <w:tr w:rsidR="00CF7964" w:rsidRPr="00B0496F" w14:paraId="02F1616A" w14:textId="77777777" w:rsidTr="008D66FD">
        <w:tc>
          <w:tcPr>
            <w:tcW w:w="2972" w:type="dxa"/>
          </w:tcPr>
          <w:p w14:paraId="7AC140E5" w14:textId="77777777" w:rsidR="00CF7964" w:rsidRPr="00B0496F" w:rsidRDefault="00CF7964" w:rsidP="008D66FD">
            <w:pPr>
              <w:rPr>
                <w:lang w:val="en-GB"/>
              </w:rPr>
            </w:pPr>
            <w:r w:rsidRPr="00B0496F">
              <w:rPr>
                <w:lang w:val="en-GB"/>
              </w:rPr>
              <w:t xml:space="preserve">Finance debt (long term) </w:t>
            </w:r>
          </w:p>
        </w:tc>
        <w:tc>
          <w:tcPr>
            <w:tcW w:w="2014" w:type="dxa"/>
          </w:tcPr>
          <w:p w14:paraId="62E3822E" w14:textId="77777777" w:rsidR="00CF7964" w:rsidRPr="00B0496F" w:rsidRDefault="00CF7964" w:rsidP="008D66FD">
            <w:pPr>
              <w:rPr>
                <w:lang w:val="en-GB"/>
              </w:rPr>
            </w:pPr>
            <w:r w:rsidRPr="00B0496F">
              <w:rPr>
                <w:lang w:val="en-GB"/>
              </w:rPr>
              <w:t>55619</w:t>
            </w:r>
          </w:p>
        </w:tc>
        <w:tc>
          <w:tcPr>
            <w:tcW w:w="2015" w:type="dxa"/>
          </w:tcPr>
          <w:p w14:paraId="4D061B9E" w14:textId="77777777" w:rsidR="00CF7964" w:rsidRPr="00B0496F" w:rsidRDefault="00CF7964" w:rsidP="008D66FD">
            <w:pPr>
              <w:rPr>
                <w:lang w:val="en-GB"/>
              </w:rPr>
            </w:pPr>
            <w:r w:rsidRPr="00B0496F">
              <w:rPr>
                <w:lang w:val="en-GB"/>
              </w:rPr>
              <w:t>63305</w:t>
            </w:r>
          </w:p>
        </w:tc>
        <w:tc>
          <w:tcPr>
            <w:tcW w:w="2015" w:type="dxa"/>
          </w:tcPr>
          <w:p w14:paraId="7E5E4E5E" w14:textId="77777777" w:rsidR="00CF7964" w:rsidRPr="00B0496F" w:rsidRDefault="00CF7964" w:rsidP="008D66FD">
            <w:pPr>
              <w:rPr>
                <w:lang w:val="en-GB"/>
              </w:rPr>
            </w:pPr>
            <w:r w:rsidRPr="00B0496F">
              <w:rPr>
                <w:lang w:val="en-GB"/>
              </w:rPr>
              <w:t>57237</w:t>
            </w:r>
          </w:p>
        </w:tc>
      </w:tr>
      <w:tr w:rsidR="00CF7964" w:rsidRPr="00B0496F" w14:paraId="53BD9303" w14:textId="77777777" w:rsidTr="008D66FD">
        <w:tc>
          <w:tcPr>
            <w:tcW w:w="2972" w:type="dxa"/>
          </w:tcPr>
          <w:p w14:paraId="0132DD54" w14:textId="77777777" w:rsidR="00CF7964" w:rsidRPr="00B0496F" w:rsidRDefault="00CF7964" w:rsidP="008D66FD">
            <w:pPr>
              <w:rPr>
                <w:lang w:val="en-GB"/>
              </w:rPr>
            </w:pPr>
            <w:r w:rsidRPr="00B0496F">
              <w:rPr>
                <w:lang w:val="en-GB"/>
              </w:rPr>
              <w:t xml:space="preserve">Finance debt (short term) </w:t>
            </w:r>
          </w:p>
        </w:tc>
        <w:tc>
          <w:tcPr>
            <w:tcW w:w="2014" w:type="dxa"/>
          </w:tcPr>
          <w:p w14:paraId="17618D60" w14:textId="77777777" w:rsidR="00CF7964" w:rsidRPr="00B0496F" w:rsidRDefault="00CF7964" w:rsidP="008D66FD">
            <w:pPr>
              <w:rPr>
                <w:lang w:val="en-GB"/>
              </w:rPr>
            </w:pPr>
            <w:r w:rsidRPr="00B0496F">
              <w:rPr>
                <w:lang w:val="en-GB"/>
              </w:rPr>
              <w:t>5557</w:t>
            </w:r>
          </w:p>
        </w:tc>
        <w:tc>
          <w:tcPr>
            <w:tcW w:w="2015" w:type="dxa"/>
          </w:tcPr>
          <w:p w14:paraId="14796CA5" w14:textId="77777777" w:rsidR="00CF7964" w:rsidRPr="00B0496F" w:rsidRDefault="00CF7964" w:rsidP="008D66FD">
            <w:pPr>
              <w:rPr>
                <w:lang w:val="en-GB"/>
              </w:rPr>
            </w:pPr>
            <w:r w:rsidRPr="00B0496F">
              <w:rPr>
                <w:lang w:val="en-GB"/>
              </w:rPr>
              <w:t>9359</w:t>
            </w:r>
          </w:p>
        </w:tc>
        <w:tc>
          <w:tcPr>
            <w:tcW w:w="2015" w:type="dxa"/>
          </w:tcPr>
          <w:p w14:paraId="1149B551" w14:textId="77777777" w:rsidR="00CF7964" w:rsidRPr="00B0496F" w:rsidRDefault="00CF7964" w:rsidP="008D66FD">
            <w:pPr>
              <w:keepNext/>
              <w:rPr>
                <w:lang w:val="en-GB"/>
              </w:rPr>
            </w:pPr>
            <w:r w:rsidRPr="00B0496F">
              <w:rPr>
                <w:lang w:val="en-GB"/>
              </w:rPr>
              <w:t>10487</w:t>
            </w:r>
          </w:p>
        </w:tc>
      </w:tr>
      <w:tr w:rsidR="00CF7964" w:rsidRPr="00B0496F" w14:paraId="7233C043" w14:textId="77777777" w:rsidTr="008D66FD">
        <w:tc>
          <w:tcPr>
            <w:tcW w:w="2972" w:type="dxa"/>
          </w:tcPr>
          <w:p w14:paraId="2ABDBB08" w14:textId="77777777" w:rsidR="00CF7964" w:rsidRPr="00B0496F" w:rsidRDefault="00CF7964" w:rsidP="008D66FD">
            <w:pPr>
              <w:rPr>
                <w:lang w:val="en-GB"/>
              </w:rPr>
            </w:pPr>
            <w:r w:rsidRPr="00B0496F">
              <w:rPr>
                <w:lang w:val="en-GB"/>
              </w:rPr>
              <w:t xml:space="preserve">Net debt </w:t>
            </w:r>
          </w:p>
        </w:tc>
        <w:tc>
          <w:tcPr>
            <w:tcW w:w="2014" w:type="dxa"/>
          </w:tcPr>
          <w:p w14:paraId="4BBCDEE6" w14:textId="77777777" w:rsidR="00CF7964" w:rsidRPr="00B0496F" w:rsidRDefault="00CF7964" w:rsidP="008D66FD">
            <w:pPr>
              <w:rPr>
                <w:lang w:val="en-GB"/>
              </w:rPr>
            </w:pPr>
            <w:r w:rsidRPr="00B0496F">
              <w:rPr>
                <w:lang w:val="en-GB"/>
              </w:rPr>
              <w:t>30613</w:t>
            </w:r>
          </w:p>
        </w:tc>
        <w:tc>
          <w:tcPr>
            <w:tcW w:w="2015" w:type="dxa"/>
          </w:tcPr>
          <w:p w14:paraId="27BFF1DA" w14:textId="77777777" w:rsidR="00CF7964" w:rsidRPr="00B0496F" w:rsidRDefault="00CF7964" w:rsidP="008D66FD">
            <w:pPr>
              <w:rPr>
                <w:lang w:val="en-GB"/>
              </w:rPr>
            </w:pPr>
            <w:r w:rsidRPr="00B0496F">
              <w:rPr>
                <w:lang w:val="en-GB"/>
              </w:rPr>
              <w:t>38941</w:t>
            </w:r>
          </w:p>
        </w:tc>
        <w:tc>
          <w:tcPr>
            <w:tcW w:w="2015" w:type="dxa"/>
          </w:tcPr>
          <w:p w14:paraId="09ADF8F0" w14:textId="77777777" w:rsidR="00CF7964" w:rsidRPr="00B0496F" w:rsidRDefault="00CF7964" w:rsidP="008D66FD">
            <w:pPr>
              <w:keepNext/>
              <w:rPr>
                <w:lang w:val="en-GB"/>
              </w:rPr>
            </w:pPr>
            <w:r w:rsidRPr="00B0496F">
              <w:rPr>
                <w:lang w:val="en-GB"/>
              </w:rPr>
              <w:t>45442</w:t>
            </w:r>
          </w:p>
        </w:tc>
      </w:tr>
      <w:tr w:rsidR="00CF7964" w:rsidRPr="00B0496F" w14:paraId="0D9E0789" w14:textId="77777777" w:rsidTr="008D66FD">
        <w:tc>
          <w:tcPr>
            <w:tcW w:w="2972" w:type="dxa"/>
          </w:tcPr>
          <w:p w14:paraId="4663C991" w14:textId="77777777" w:rsidR="00CF7964" w:rsidRPr="00B0496F" w:rsidRDefault="00CF7964" w:rsidP="008D66FD">
            <w:pPr>
              <w:rPr>
                <w:lang w:val="en-GB"/>
              </w:rPr>
            </w:pPr>
            <w:r w:rsidRPr="00B0496F">
              <w:rPr>
                <w:lang w:val="en-GB"/>
              </w:rPr>
              <w:t>Gearing ratio</w:t>
            </w:r>
          </w:p>
        </w:tc>
        <w:tc>
          <w:tcPr>
            <w:tcW w:w="2014" w:type="dxa"/>
          </w:tcPr>
          <w:p w14:paraId="7D38A9FF" w14:textId="77777777" w:rsidR="00CF7964" w:rsidRPr="00B0496F" w:rsidRDefault="00CF7964" w:rsidP="008D66FD">
            <w:pPr>
              <w:rPr>
                <w:lang w:val="en-GB"/>
              </w:rPr>
            </w:pPr>
            <w:r w:rsidRPr="00B0496F">
              <w:rPr>
                <w:lang w:val="en-GB"/>
              </w:rPr>
              <w:t>25.3 %</w:t>
            </w:r>
          </w:p>
        </w:tc>
        <w:tc>
          <w:tcPr>
            <w:tcW w:w="2015" w:type="dxa"/>
          </w:tcPr>
          <w:p w14:paraId="01DE922D" w14:textId="77777777" w:rsidR="00CF7964" w:rsidRPr="00B0496F" w:rsidRDefault="00CF7964" w:rsidP="008D66FD">
            <w:pPr>
              <w:rPr>
                <w:lang w:val="en-GB"/>
              </w:rPr>
            </w:pPr>
            <w:r w:rsidRPr="00B0496F">
              <w:rPr>
                <w:lang w:val="en-GB"/>
              </w:rPr>
              <w:t>31.3 %</w:t>
            </w:r>
          </w:p>
        </w:tc>
        <w:tc>
          <w:tcPr>
            <w:tcW w:w="2015" w:type="dxa"/>
          </w:tcPr>
          <w:p w14:paraId="529A899C" w14:textId="77777777" w:rsidR="00CF7964" w:rsidRPr="00B0496F" w:rsidRDefault="00CF7964" w:rsidP="008D66FD">
            <w:pPr>
              <w:keepNext/>
              <w:rPr>
                <w:lang w:val="en-GB"/>
              </w:rPr>
            </w:pPr>
            <w:r w:rsidRPr="00B0496F">
              <w:rPr>
                <w:lang w:val="en-GB"/>
              </w:rPr>
              <w:t>31.1 %</w:t>
            </w:r>
          </w:p>
        </w:tc>
      </w:tr>
    </w:tbl>
    <w:p w14:paraId="0293BF6E" w14:textId="77777777" w:rsidR="00CF7964" w:rsidRPr="00B0496F" w:rsidRDefault="00CF7964" w:rsidP="00CF7964">
      <w:pPr>
        <w:pStyle w:val="Caption"/>
        <w:rPr>
          <w:color w:val="auto"/>
          <w:lang w:val="en-GB"/>
        </w:rPr>
      </w:pPr>
      <w:r w:rsidRPr="00B0496F">
        <w:rPr>
          <w:color w:val="auto"/>
          <w:lang w:val="en-GB"/>
        </w:rPr>
        <w:t xml:space="preserve">Table </w:t>
      </w:r>
      <w:r w:rsidRPr="00B0496F">
        <w:rPr>
          <w:color w:val="auto"/>
          <w:lang w:val="en-GB"/>
        </w:rPr>
        <w:fldChar w:fldCharType="begin"/>
      </w:r>
      <w:r w:rsidRPr="00B0496F">
        <w:rPr>
          <w:color w:val="auto"/>
          <w:lang w:val="en-GB"/>
        </w:rPr>
        <w:instrText xml:space="preserve"> SEQ Table \* ARABIC </w:instrText>
      </w:r>
      <w:r w:rsidRPr="00B0496F">
        <w:rPr>
          <w:color w:val="auto"/>
          <w:lang w:val="en-GB"/>
        </w:rPr>
        <w:fldChar w:fldCharType="separate"/>
      </w:r>
      <w:r w:rsidRPr="00B0496F">
        <w:rPr>
          <w:noProof/>
          <w:color w:val="auto"/>
          <w:lang w:val="en-GB"/>
        </w:rPr>
        <w:t>1</w:t>
      </w:r>
      <w:r w:rsidRPr="00B0496F">
        <w:rPr>
          <w:color w:val="auto"/>
          <w:lang w:val="en-GB"/>
        </w:rPr>
        <w:fldChar w:fldCharType="end"/>
      </w:r>
      <w:r w:rsidRPr="00B0496F">
        <w:rPr>
          <w:color w:val="auto"/>
          <w:lang w:val="en-GB"/>
        </w:rPr>
        <w:t xml:space="preserve">: Source: Annual report, British Petroleum Corporation, 2021, 2020 &amp; 2019 </w:t>
      </w:r>
    </w:p>
    <w:p w14:paraId="79239C53" w14:textId="77777777" w:rsidR="00CF7964" w:rsidRPr="00B0496F" w:rsidRDefault="00CF7964" w:rsidP="00CF7964">
      <w:pPr>
        <w:rPr>
          <w:lang w:val="en-GB"/>
        </w:rPr>
      </w:pPr>
    </w:p>
    <w:p w14:paraId="6631134A" w14:textId="77777777" w:rsidR="00CF7964" w:rsidRPr="00B0496F" w:rsidRDefault="00CF7964" w:rsidP="00303438">
      <w:pPr>
        <w:ind w:firstLine="720"/>
        <w:rPr>
          <w:lang w:val="en-GB"/>
        </w:rPr>
      </w:pPr>
      <w:r w:rsidRPr="00B0496F">
        <w:rPr>
          <w:lang w:val="en-GB"/>
        </w:rPr>
        <w:t xml:space="preserve">It has been found from the annual report of the business organisation that the capital of the business organisation has been considered the equity + net debt where the consideration of net debt has been calculated by subtracting the cash and cash equivalent of the business organisation from the total finance debt. As monitoring and measurement of the gearing ratio one of the most important </w:t>
      </w:r>
      <w:proofErr w:type="gramStart"/>
      <w:r w:rsidRPr="00B0496F">
        <w:rPr>
          <w:lang w:val="en-GB"/>
        </w:rPr>
        <w:t>method</w:t>
      </w:r>
      <w:proofErr w:type="gramEnd"/>
      <w:r w:rsidRPr="00B0496F">
        <w:rPr>
          <w:lang w:val="en-GB"/>
        </w:rPr>
        <w:t xml:space="preserve"> of understanding the capital structure of the business organisation and the balance of the same, the calculation of the same has been provided in the annual report of the company who is stated that the business organisation is significantly dependent on the debt capital rather than the equity capital as the source of </w:t>
      </w:r>
      <w:r w:rsidRPr="00B0496F">
        <w:rPr>
          <w:lang w:val="en-GB"/>
        </w:rPr>
        <w:lastRenderedPageBreak/>
        <w:t xml:space="preserve">finance. </w:t>
      </w:r>
      <w:proofErr w:type="gramStart"/>
      <w:r w:rsidRPr="00B0496F">
        <w:rPr>
          <w:lang w:val="en-GB"/>
        </w:rPr>
        <w:t>But,</w:t>
      </w:r>
      <w:proofErr w:type="gramEnd"/>
      <w:r w:rsidRPr="00B0496F">
        <w:rPr>
          <w:lang w:val="en-GB"/>
        </w:rPr>
        <w:t xml:space="preserve"> it is important to note that in 2021, the dependency on the debt capital for the business organisation has significantly reduced reducing the exposure of the business organisation to risk.</w:t>
      </w:r>
    </w:p>
    <w:p w14:paraId="03BDE776" w14:textId="77777777" w:rsidR="00CF7964" w:rsidRPr="00B0496F" w:rsidRDefault="00CF7964" w:rsidP="00303438">
      <w:pPr>
        <w:ind w:firstLine="720"/>
        <w:rPr>
          <w:lang w:val="en-GB"/>
        </w:rPr>
      </w:pPr>
      <w:r w:rsidRPr="00B0496F">
        <w:rPr>
          <w:lang w:val="en-GB"/>
        </w:rPr>
        <w:t xml:space="preserve">As it is well known that, the higher amount of debt capital in the business organisation can increase the cash outflow which will reduce the profitability and profit margin of the business organisation in the form of finance cost, the high dependence on the same, can increase the risk for the business organisation that will increase the hesitation among the investors of the company regarding investing due to the high exposure to the leverage risk </w:t>
      </w:r>
      <w:r w:rsidRPr="00B0496F">
        <w:rPr>
          <w:shd w:val="clear" w:color="auto" w:fill="FFFFFF"/>
          <w:lang w:val="en-GB"/>
        </w:rPr>
        <w:t>(</w:t>
      </w:r>
      <w:proofErr w:type="spellStart"/>
      <w:r w:rsidRPr="00B0496F">
        <w:rPr>
          <w:shd w:val="clear" w:color="auto" w:fill="FFFFFF"/>
          <w:lang w:val="en-GB"/>
        </w:rPr>
        <w:t>Růčková</w:t>
      </w:r>
      <w:proofErr w:type="spellEnd"/>
      <w:r w:rsidRPr="00B0496F">
        <w:rPr>
          <w:shd w:val="clear" w:color="auto" w:fill="FFFFFF"/>
          <w:lang w:val="en-GB"/>
        </w:rPr>
        <w:t xml:space="preserve"> and </w:t>
      </w:r>
      <w:proofErr w:type="spellStart"/>
      <w:r w:rsidRPr="00B0496F">
        <w:rPr>
          <w:shd w:val="clear" w:color="auto" w:fill="FFFFFF"/>
          <w:lang w:val="en-GB"/>
        </w:rPr>
        <w:t>Stavárek</w:t>
      </w:r>
      <w:proofErr w:type="spellEnd"/>
      <w:r w:rsidRPr="00B0496F">
        <w:rPr>
          <w:lang w:val="en-GB"/>
        </w:rPr>
        <w:t xml:space="preserve">, </w:t>
      </w:r>
      <w:r w:rsidRPr="00B0496F">
        <w:rPr>
          <w:shd w:val="clear" w:color="auto" w:fill="FFFFFF"/>
          <w:lang w:val="en-GB"/>
        </w:rPr>
        <w:t>2020).</w:t>
      </w:r>
      <w:r w:rsidRPr="00B0496F">
        <w:rPr>
          <w:lang w:val="en-GB"/>
        </w:rPr>
        <w:t xml:space="preserve"> </w:t>
      </w:r>
      <w:proofErr w:type="gramStart"/>
      <w:r w:rsidRPr="00B0496F">
        <w:rPr>
          <w:lang w:val="en-GB"/>
        </w:rPr>
        <w:t>But,</w:t>
      </w:r>
      <w:proofErr w:type="gramEnd"/>
      <w:r w:rsidRPr="00B0496F">
        <w:rPr>
          <w:lang w:val="en-GB"/>
        </w:rPr>
        <w:t xml:space="preserve"> the use of debt capital can help the company in raising the capital required quickly. </w:t>
      </w:r>
      <w:proofErr w:type="gramStart"/>
      <w:r w:rsidRPr="00B0496F">
        <w:rPr>
          <w:lang w:val="en-GB"/>
        </w:rPr>
        <w:t>Also</w:t>
      </w:r>
      <w:proofErr w:type="gramEnd"/>
      <w:r w:rsidRPr="00B0496F">
        <w:rPr>
          <w:lang w:val="en-GB"/>
        </w:rPr>
        <w:t xml:space="preserve"> comparatively it is cheaper than equity capital. Thus, it can be said that the balance between the debt capital and equity capital in the capital structure of British Petroleum Corporation has been maintained by using the different sources by diversifying the portfolio.  </w:t>
      </w:r>
    </w:p>
    <w:p w14:paraId="3B1DB71C" w14:textId="15A24CBB" w:rsidR="00437A89" w:rsidRPr="00B0496F" w:rsidRDefault="00B0496F" w:rsidP="00303438">
      <w:pPr>
        <w:ind w:firstLine="720"/>
        <w:rPr>
          <w:lang w:val="en-GB"/>
        </w:rPr>
      </w:pPr>
      <w:r w:rsidRPr="00B0496F">
        <w:rPr>
          <w:lang w:val="en-GB"/>
        </w:rPr>
        <w:t> </w:t>
      </w:r>
    </w:p>
    <w:p w14:paraId="7E06929F" w14:textId="2F3BB81B" w:rsidR="00FE4172" w:rsidRPr="00B0496F" w:rsidRDefault="00FE4172" w:rsidP="00303438">
      <w:pPr>
        <w:pStyle w:val="Heading1"/>
        <w:ind w:firstLine="720"/>
        <w:rPr>
          <w:lang w:val="en-GB"/>
        </w:rPr>
      </w:pPr>
      <w:bookmarkStart w:id="3" w:name="_Toc102234876"/>
      <w:r w:rsidRPr="00B0496F">
        <w:rPr>
          <w:lang w:val="en-GB"/>
        </w:rPr>
        <w:t>Q</w:t>
      </w:r>
      <w:r w:rsidR="00A16976">
        <w:rPr>
          <w:lang w:val="bg-BG"/>
        </w:rPr>
        <w:t>3</w:t>
      </w:r>
      <w:r w:rsidRPr="00B0496F">
        <w:rPr>
          <w:lang w:val="en-GB"/>
        </w:rPr>
        <w:t>. Critically analyses and evaluates the effectiveness of issuing stocks internationally by BP Corporation in financing projects</w:t>
      </w:r>
      <w:bookmarkEnd w:id="3"/>
    </w:p>
    <w:p w14:paraId="5D33DBB7" w14:textId="77777777" w:rsidR="001852B5" w:rsidRPr="00B0496F" w:rsidRDefault="001852B5" w:rsidP="00303438">
      <w:pPr>
        <w:ind w:firstLine="720"/>
        <w:rPr>
          <w:lang w:val="en-GB"/>
        </w:rPr>
      </w:pPr>
      <w:r w:rsidRPr="00B0496F">
        <w:rPr>
          <w:lang w:val="en-GB"/>
        </w:rPr>
        <w:t>For any business organisation that is conducting their business in the international market, it is a big advantage to issue the shares of the business organisation for the purpose of raising the capital in the business. The stock market itself has several advantages that can help to business organisations in improving the way of raising the capital while providing the significance support not only in case of, raising the capital but also in maintaining the financial health of the business organisation</w:t>
      </w:r>
      <w:r w:rsidR="00332449" w:rsidRPr="00B0496F">
        <w:rPr>
          <w:lang w:val="en-GB"/>
        </w:rPr>
        <w:t xml:space="preserve"> </w:t>
      </w:r>
      <w:r w:rsidR="00332449" w:rsidRPr="00B0496F">
        <w:rPr>
          <w:sz w:val="22"/>
          <w:shd w:val="clear" w:color="auto" w:fill="FFFFFF"/>
          <w:lang w:val="en-GB"/>
        </w:rPr>
        <w:t>(</w:t>
      </w:r>
      <w:r w:rsidR="00332449" w:rsidRPr="00B0496F">
        <w:rPr>
          <w:shd w:val="clear" w:color="auto" w:fill="FFFFFF"/>
          <w:lang w:val="en-GB"/>
        </w:rPr>
        <w:t>Schmidt</w:t>
      </w:r>
      <w:r w:rsidR="00332449" w:rsidRPr="00B0496F">
        <w:rPr>
          <w:i/>
          <w:sz w:val="22"/>
          <w:lang w:val="en-GB"/>
        </w:rPr>
        <w:t xml:space="preserve"> et al</w:t>
      </w:r>
      <w:r w:rsidR="00332449" w:rsidRPr="00B0496F">
        <w:rPr>
          <w:sz w:val="22"/>
          <w:lang w:val="en-GB"/>
        </w:rPr>
        <w:t xml:space="preserve">., </w:t>
      </w:r>
      <w:r w:rsidR="00332449" w:rsidRPr="00B0496F">
        <w:rPr>
          <w:shd w:val="clear" w:color="auto" w:fill="FFFFFF"/>
          <w:lang w:val="en-GB"/>
        </w:rPr>
        <w:t>2019</w:t>
      </w:r>
      <w:r w:rsidR="00332449" w:rsidRPr="00B0496F">
        <w:rPr>
          <w:sz w:val="22"/>
          <w:shd w:val="clear" w:color="auto" w:fill="FFFFFF"/>
          <w:lang w:val="en-GB"/>
        </w:rPr>
        <w:t>)</w:t>
      </w:r>
      <w:r w:rsidRPr="00B0496F">
        <w:rPr>
          <w:lang w:val="en-GB"/>
        </w:rPr>
        <w:t>. For British Petroleum Corporation as well, issuing of the share in the stock market can be helpful to collect the required capital for the business.</w:t>
      </w:r>
    </w:p>
    <w:p w14:paraId="2980E25C" w14:textId="77777777" w:rsidR="001852B5" w:rsidRPr="00B0496F" w:rsidRDefault="001852B5" w:rsidP="00303438">
      <w:pPr>
        <w:ind w:firstLine="720"/>
        <w:rPr>
          <w:lang w:val="en-GB"/>
        </w:rPr>
      </w:pPr>
      <w:r w:rsidRPr="00B0496F">
        <w:rPr>
          <w:lang w:val="en-GB"/>
        </w:rPr>
        <w:t>For example, it can be said that by using the stock issuance, British Petroleum Corporation can avoid the liability of using the debt capital as the source of finance. It is important to note that the debt capital in the business can increase the burden of finance cost in the form of interest. Thus, the profitability of the business organisation will reduce along with the increased liability that will reduce the liquidity of the business organisation as well</w:t>
      </w:r>
      <w:r w:rsidR="00332449" w:rsidRPr="00B0496F">
        <w:rPr>
          <w:lang w:val="en-GB"/>
        </w:rPr>
        <w:t xml:space="preserve"> (</w:t>
      </w:r>
      <w:proofErr w:type="spellStart"/>
      <w:r w:rsidR="00332449" w:rsidRPr="00B0496F">
        <w:rPr>
          <w:shd w:val="clear" w:color="auto" w:fill="FFFFFF"/>
          <w:lang w:val="en-GB"/>
        </w:rPr>
        <w:t>Mexmonov</w:t>
      </w:r>
      <w:proofErr w:type="spellEnd"/>
      <w:r w:rsidR="00332449" w:rsidRPr="00B0496F">
        <w:rPr>
          <w:lang w:val="en-GB"/>
        </w:rPr>
        <w:t xml:space="preserve">, </w:t>
      </w:r>
      <w:r w:rsidR="00332449" w:rsidRPr="00B0496F">
        <w:rPr>
          <w:shd w:val="clear" w:color="auto" w:fill="FFFFFF"/>
          <w:lang w:val="en-GB"/>
        </w:rPr>
        <w:t>2020</w:t>
      </w:r>
      <w:r w:rsidR="00332449" w:rsidRPr="00B0496F">
        <w:rPr>
          <w:lang w:val="en-GB"/>
        </w:rPr>
        <w:t>)</w:t>
      </w:r>
      <w:r w:rsidRPr="00B0496F">
        <w:rPr>
          <w:lang w:val="en-GB"/>
        </w:rPr>
        <w:t xml:space="preserve">. The impact of the same will also be found in the leverage and the </w:t>
      </w:r>
      <w:r w:rsidRPr="00B0496F">
        <w:rPr>
          <w:lang w:val="en-GB"/>
        </w:rPr>
        <w:lastRenderedPageBreak/>
        <w:t xml:space="preserve">gearing ratios of the business organisation reducing the efficiency and market credibility for the company. </w:t>
      </w:r>
      <w:proofErr w:type="gramStart"/>
      <w:r w:rsidRPr="00B0496F">
        <w:rPr>
          <w:lang w:val="en-GB"/>
        </w:rPr>
        <w:t>Also</w:t>
      </w:r>
      <w:proofErr w:type="gramEnd"/>
      <w:r w:rsidRPr="00B0496F">
        <w:rPr>
          <w:lang w:val="en-GB"/>
        </w:rPr>
        <w:t xml:space="preserve"> the obligation of the business organisation for the loan repayment within the certain period of time will increase due to the use of debt capital in the business which will reduce the amount of dividend payment for the investors increasing the risk exposure in the business. Thus, the use of issuing shares can help the company in avoiding these problems</w:t>
      </w:r>
      <w:r w:rsidR="00332449" w:rsidRPr="00B0496F">
        <w:rPr>
          <w:lang w:val="en-GB"/>
        </w:rPr>
        <w:t xml:space="preserve"> (</w:t>
      </w:r>
      <w:proofErr w:type="spellStart"/>
      <w:r w:rsidR="00332449" w:rsidRPr="00B0496F">
        <w:rPr>
          <w:shd w:val="clear" w:color="auto" w:fill="FFFFFF"/>
          <w:lang w:val="en-GB"/>
        </w:rPr>
        <w:t>Mexmonov</w:t>
      </w:r>
      <w:proofErr w:type="spellEnd"/>
      <w:r w:rsidR="00332449" w:rsidRPr="00B0496F">
        <w:rPr>
          <w:lang w:val="en-GB"/>
        </w:rPr>
        <w:t xml:space="preserve">, </w:t>
      </w:r>
      <w:r w:rsidR="00332449" w:rsidRPr="00B0496F">
        <w:rPr>
          <w:shd w:val="clear" w:color="auto" w:fill="FFFFFF"/>
          <w:lang w:val="en-GB"/>
        </w:rPr>
        <w:t>2020</w:t>
      </w:r>
      <w:r w:rsidR="00332449" w:rsidRPr="00B0496F">
        <w:rPr>
          <w:lang w:val="en-GB"/>
        </w:rPr>
        <w:t>)</w:t>
      </w:r>
      <w:r w:rsidRPr="00B0496F">
        <w:rPr>
          <w:lang w:val="en-GB"/>
        </w:rPr>
        <w:t>.</w:t>
      </w:r>
    </w:p>
    <w:p w14:paraId="5078A5F5" w14:textId="77777777" w:rsidR="001852B5" w:rsidRPr="00B0496F" w:rsidRDefault="001852B5" w:rsidP="00303438">
      <w:pPr>
        <w:ind w:firstLine="720"/>
        <w:rPr>
          <w:lang w:val="en-GB"/>
        </w:rPr>
      </w:pPr>
      <w:r w:rsidRPr="00B0496F">
        <w:rPr>
          <w:lang w:val="en-GB"/>
        </w:rPr>
        <w:t>Also, as the shares of the business organisation can be converted to the liquid assets by selling the same, that can help in maintaining the balance of liquidity in case of urgent need in the business. Also, it is more comfortable options for the investors in the business as selling the share can be decided by their own significance. Thus, it can attract the investors quickly in the business</w:t>
      </w:r>
      <w:r w:rsidR="00332449" w:rsidRPr="00B0496F">
        <w:rPr>
          <w:lang w:val="en-GB"/>
        </w:rPr>
        <w:t xml:space="preserve"> </w:t>
      </w:r>
      <w:r w:rsidR="00332449" w:rsidRPr="00B0496F">
        <w:rPr>
          <w:sz w:val="22"/>
          <w:shd w:val="clear" w:color="auto" w:fill="FFFFFF"/>
          <w:lang w:val="en-GB"/>
        </w:rPr>
        <w:t>(</w:t>
      </w:r>
      <w:r w:rsidR="00332449" w:rsidRPr="00B0496F">
        <w:rPr>
          <w:shd w:val="clear" w:color="auto" w:fill="FFFFFF"/>
          <w:lang w:val="en-GB"/>
        </w:rPr>
        <w:t>Ma</w:t>
      </w:r>
      <w:r w:rsidR="00332449" w:rsidRPr="00B0496F">
        <w:rPr>
          <w:i/>
          <w:sz w:val="22"/>
          <w:lang w:val="en-GB"/>
        </w:rPr>
        <w:t xml:space="preserve"> et al</w:t>
      </w:r>
      <w:r w:rsidR="00332449" w:rsidRPr="00B0496F">
        <w:rPr>
          <w:sz w:val="22"/>
          <w:lang w:val="en-GB"/>
        </w:rPr>
        <w:t xml:space="preserve">., </w:t>
      </w:r>
      <w:r w:rsidR="00332449" w:rsidRPr="00B0496F">
        <w:rPr>
          <w:shd w:val="clear" w:color="auto" w:fill="FFFFFF"/>
          <w:lang w:val="en-GB"/>
        </w:rPr>
        <w:t>2016</w:t>
      </w:r>
      <w:r w:rsidR="00332449" w:rsidRPr="00B0496F">
        <w:rPr>
          <w:sz w:val="22"/>
          <w:shd w:val="clear" w:color="auto" w:fill="FFFFFF"/>
          <w:lang w:val="en-GB"/>
        </w:rPr>
        <w:t>)</w:t>
      </w:r>
      <w:r w:rsidRPr="00B0496F">
        <w:rPr>
          <w:lang w:val="en-GB"/>
        </w:rPr>
        <w:t>. Also, steady the payment of dividend that can be earned by investing in the shares of the business organisation, can be highly attractive for the investors as generally the earning through the dividend is higher than the earning of interest (for debt).</w:t>
      </w:r>
    </w:p>
    <w:p w14:paraId="3F838D3B" w14:textId="77777777" w:rsidR="001852B5" w:rsidRPr="00B0496F" w:rsidRDefault="001852B5" w:rsidP="00303438">
      <w:pPr>
        <w:ind w:firstLine="720"/>
        <w:rPr>
          <w:lang w:val="en-GB"/>
        </w:rPr>
      </w:pPr>
      <w:r w:rsidRPr="00B0496F">
        <w:rPr>
          <w:lang w:val="en-GB"/>
        </w:rPr>
        <w:t>Issuing the shares in the international stock market is also attractive for the business organisation as it has been found that the share price of the business organisation especially in case of coarse border listings is more favourable for the company</w:t>
      </w:r>
      <w:r w:rsidR="00332449" w:rsidRPr="00B0496F">
        <w:rPr>
          <w:lang w:val="en-GB"/>
        </w:rPr>
        <w:t xml:space="preserve"> (Andrew Karolyi, </w:t>
      </w:r>
      <w:r w:rsidR="00332449" w:rsidRPr="00B0496F">
        <w:rPr>
          <w:rFonts w:cs="Arial"/>
          <w:color w:val="000000"/>
          <w:szCs w:val="24"/>
          <w:shd w:val="clear" w:color="auto" w:fill="FFFFFF"/>
          <w:lang w:val="en-GB"/>
        </w:rPr>
        <w:t>2001</w:t>
      </w:r>
      <w:r w:rsidR="00332449" w:rsidRPr="00B0496F">
        <w:rPr>
          <w:lang w:val="en-GB"/>
        </w:rPr>
        <w:t>)</w:t>
      </w:r>
      <w:r w:rsidRPr="00B0496F">
        <w:rPr>
          <w:lang w:val="en-GB"/>
        </w:rPr>
        <w:t>. Also, it is important to note that the risks of listing the business organisation in the domestic market can be reduced as the portfolio of the business organisation can be diversifying the international stock exchange listings.  The diversifying portfolio, of a business organisation not only can help the business organisation in bringing more opportunities but can also help in reduction of market risk, and improvement of stability in the performance.</w:t>
      </w:r>
    </w:p>
    <w:p w14:paraId="34CDF97C" w14:textId="77777777" w:rsidR="00F10E84" w:rsidRPr="00B0496F" w:rsidRDefault="001852B5" w:rsidP="00303438">
      <w:pPr>
        <w:ind w:firstLine="720"/>
        <w:rPr>
          <w:lang w:val="en-GB"/>
        </w:rPr>
      </w:pPr>
      <w:r w:rsidRPr="00B0496F">
        <w:rPr>
          <w:lang w:val="en-GB"/>
        </w:rPr>
        <w:t>Another benefit of listing the business organisation in the international stock exchange can be the transparency needed in the business. The amount of documentation and rules that is needed to be followed by a business organisation for listing the business in international stock exchange or in the foreign country, is significantly high providing the satisfaction for the investors about the performance and transparency in operation about the business organisation</w:t>
      </w:r>
      <w:r w:rsidR="00332449" w:rsidRPr="00B0496F">
        <w:rPr>
          <w:lang w:val="en-GB"/>
        </w:rPr>
        <w:t xml:space="preserve"> </w:t>
      </w:r>
      <w:r w:rsidR="00332449" w:rsidRPr="00B0496F">
        <w:rPr>
          <w:sz w:val="22"/>
          <w:shd w:val="clear" w:color="auto" w:fill="FFFFFF"/>
          <w:lang w:val="en-GB"/>
        </w:rPr>
        <w:t>(</w:t>
      </w:r>
      <w:r w:rsidR="00332449" w:rsidRPr="00B0496F">
        <w:rPr>
          <w:shd w:val="clear" w:color="auto" w:fill="FFFFFF"/>
          <w:lang w:val="en-GB"/>
        </w:rPr>
        <w:t>Ma</w:t>
      </w:r>
      <w:r w:rsidR="00332449" w:rsidRPr="00B0496F">
        <w:rPr>
          <w:i/>
          <w:sz w:val="22"/>
          <w:lang w:val="en-GB"/>
        </w:rPr>
        <w:t xml:space="preserve"> et al</w:t>
      </w:r>
      <w:r w:rsidR="00332449" w:rsidRPr="00B0496F">
        <w:rPr>
          <w:sz w:val="22"/>
          <w:lang w:val="en-GB"/>
        </w:rPr>
        <w:t xml:space="preserve">., </w:t>
      </w:r>
      <w:r w:rsidR="00332449" w:rsidRPr="00B0496F">
        <w:rPr>
          <w:shd w:val="clear" w:color="auto" w:fill="FFFFFF"/>
          <w:lang w:val="en-GB"/>
        </w:rPr>
        <w:t>2016</w:t>
      </w:r>
      <w:r w:rsidR="00332449" w:rsidRPr="00B0496F">
        <w:rPr>
          <w:sz w:val="22"/>
          <w:shd w:val="clear" w:color="auto" w:fill="FFFFFF"/>
          <w:lang w:val="en-GB"/>
        </w:rPr>
        <w:t>)</w:t>
      </w:r>
      <w:r w:rsidRPr="00B0496F">
        <w:rPr>
          <w:lang w:val="en-GB"/>
        </w:rPr>
        <w:t>. Thus, for British Petroleum Corporation as well, it will be beneficial to issue the stocks of the business organisation in the international platforms for financing the projects. </w:t>
      </w:r>
    </w:p>
    <w:p w14:paraId="5CE8D6D9" w14:textId="63C0C07B" w:rsidR="00FE4172" w:rsidRPr="00B0496F" w:rsidRDefault="00FE4172" w:rsidP="00303438">
      <w:pPr>
        <w:pStyle w:val="Heading1"/>
        <w:ind w:firstLine="720"/>
        <w:rPr>
          <w:lang w:val="en-GB"/>
        </w:rPr>
      </w:pPr>
      <w:bookmarkStart w:id="4" w:name="_Toc102234877"/>
      <w:r w:rsidRPr="00B0496F">
        <w:rPr>
          <w:lang w:val="en-GB"/>
        </w:rPr>
        <w:lastRenderedPageBreak/>
        <w:t>Q</w:t>
      </w:r>
      <w:r w:rsidR="00A16976">
        <w:rPr>
          <w:lang w:val="bg-BG"/>
        </w:rPr>
        <w:t>4</w:t>
      </w:r>
      <w:r w:rsidRPr="00B0496F">
        <w:rPr>
          <w:lang w:val="en-GB"/>
        </w:rPr>
        <w:t>. Critically analyses how country risks may affect BP's investments opportunities in host countries</w:t>
      </w:r>
      <w:bookmarkEnd w:id="4"/>
    </w:p>
    <w:p w14:paraId="6B8723A3" w14:textId="77777777" w:rsidR="009C6F49" w:rsidRPr="00B0496F" w:rsidRDefault="009C6F49" w:rsidP="00303438">
      <w:pPr>
        <w:ind w:firstLine="720"/>
        <w:rPr>
          <w:lang w:val="en-GB"/>
        </w:rPr>
      </w:pPr>
      <w:r w:rsidRPr="00B0496F">
        <w:rPr>
          <w:lang w:val="en-GB"/>
        </w:rPr>
        <w:t>The country risk in the business can be define diasporic and uncertainty that is associated with a particular country where the business is being conducted other than the domestic country. In case of international business, meaning of the business organisation and headquarters in a country where the operations of the countries are going on in different region and country. In such situations the foreign countries they are hosting the operations of the company is known as the host country for the said business organisation</w:t>
      </w:r>
      <w:r w:rsidR="008B2C47" w:rsidRPr="00B0496F">
        <w:rPr>
          <w:lang w:val="en-GB"/>
        </w:rPr>
        <w:t xml:space="preserve"> (Investopedia, </w:t>
      </w:r>
      <w:r w:rsidR="008B2C47" w:rsidRPr="00B0496F">
        <w:rPr>
          <w:rFonts w:cs="Arial"/>
          <w:color w:val="000000"/>
          <w:szCs w:val="24"/>
          <w:shd w:val="clear" w:color="auto" w:fill="FFFFFF"/>
          <w:lang w:val="en-GB"/>
        </w:rPr>
        <w:t>2022</w:t>
      </w:r>
      <w:r w:rsidR="008B2C47" w:rsidRPr="00B0496F">
        <w:rPr>
          <w:lang w:val="en-GB"/>
        </w:rPr>
        <w:t>)</w:t>
      </w:r>
      <w:r w:rsidRPr="00B0496F">
        <w:rPr>
          <w:lang w:val="en-GB"/>
        </w:rPr>
        <w:t>. The risks that are associated in operating in a separate foreign country is known as the country risk. For example, the political, economic, socio-cultural scenario, level restrictions and issues, environmental considerations, technological development, et cetera can be considered as the different country risks that are associated with operating in a host country.</w:t>
      </w:r>
    </w:p>
    <w:p w14:paraId="3A6F1821" w14:textId="77777777" w:rsidR="008B2C47" w:rsidRPr="00B0496F" w:rsidRDefault="009C6F49" w:rsidP="00303438">
      <w:pPr>
        <w:ind w:firstLine="720"/>
        <w:rPr>
          <w:lang w:val="en-GB"/>
        </w:rPr>
      </w:pPr>
      <w:r w:rsidRPr="00B0496F">
        <w:rPr>
          <w:lang w:val="en-GB"/>
        </w:rPr>
        <w:t xml:space="preserve">For British Petroleum Corporation, among many of the other host countries, Russia plays an important role as, a significant amount of investment of the company is related to Russia is the host country. British petroleum corporation is considered as one of the biggest </w:t>
      </w:r>
      <w:proofErr w:type="gramStart"/>
      <w:r w:rsidRPr="00B0496F">
        <w:rPr>
          <w:lang w:val="en-GB"/>
        </w:rPr>
        <w:t>investor</w:t>
      </w:r>
      <w:proofErr w:type="gramEnd"/>
      <w:r w:rsidRPr="00B0496F">
        <w:rPr>
          <w:lang w:val="en-GB"/>
        </w:rPr>
        <w:t xml:space="preserve"> in the energy sector of Russia</w:t>
      </w:r>
      <w:r w:rsidR="008B2C47" w:rsidRPr="00B0496F">
        <w:rPr>
          <w:lang w:val="en-GB"/>
        </w:rPr>
        <w:t xml:space="preserve"> </w:t>
      </w:r>
      <w:r w:rsidR="008B2C47" w:rsidRPr="00B0496F">
        <w:rPr>
          <w:shd w:val="clear" w:color="auto" w:fill="FFFFFF"/>
          <w:lang w:val="en-GB"/>
        </w:rPr>
        <w:t>(</w:t>
      </w:r>
      <w:r w:rsidR="008B2C47" w:rsidRPr="00B0496F">
        <w:rPr>
          <w:lang w:val="en-GB"/>
        </w:rPr>
        <w:t>Bousso</w:t>
      </w:r>
      <w:r w:rsidR="008B2C47" w:rsidRPr="00B0496F">
        <w:rPr>
          <w:shd w:val="clear" w:color="auto" w:fill="FFFFFF"/>
          <w:lang w:val="en-GB"/>
        </w:rPr>
        <w:t xml:space="preserve"> and </w:t>
      </w:r>
      <w:proofErr w:type="spellStart"/>
      <w:r w:rsidR="008B2C47" w:rsidRPr="00B0496F">
        <w:rPr>
          <w:lang w:val="en-GB"/>
        </w:rPr>
        <w:t>Zhdannikov</w:t>
      </w:r>
      <w:proofErr w:type="spellEnd"/>
      <w:r w:rsidR="008B2C47" w:rsidRPr="00B0496F">
        <w:rPr>
          <w:lang w:val="en-GB"/>
        </w:rPr>
        <w:t xml:space="preserve">, </w:t>
      </w:r>
      <w:r w:rsidR="008B2C47" w:rsidRPr="00B0496F">
        <w:rPr>
          <w:rFonts w:cs="Arial"/>
          <w:color w:val="000000"/>
          <w:szCs w:val="24"/>
          <w:shd w:val="clear" w:color="auto" w:fill="FFFFFF"/>
          <w:lang w:val="en-GB"/>
        </w:rPr>
        <w:t>2022</w:t>
      </w:r>
      <w:r w:rsidR="008B2C47" w:rsidRPr="00B0496F">
        <w:rPr>
          <w:shd w:val="clear" w:color="auto" w:fill="FFFFFF"/>
          <w:lang w:val="en-GB"/>
        </w:rPr>
        <w:t>)</w:t>
      </w:r>
      <w:r w:rsidRPr="00B0496F">
        <w:rPr>
          <w:lang w:val="en-GB"/>
        </w:rPr>
        <w:t>. Thus, the country is associated with Russia is significant for British Petroleum Corporation which can directly influence the financial performanc</w:t>
      </w:r>
      <w:r w:rsidR="008B2C47" w:rsidRPr="00B0496F">
        <w:rPr>
          <w:lang w:val="en-GB"/>
        </w:rPr>
        <w:t>e of the business organisation.</w:t>
      </w:r>
    </w:p>
    <w:p w14:paraId="52FD83D4" w14:textId="77777777" w:rsidR="009C6F49" w:rsidRPr="00B0496F" w:rsidRDefault="009C6F49" w:rsidP="00303438">
      <w:pPr>
        <w:ind w:firstLine="720"/>
        <w:rPr>
          <w:lang w:val="en-GB"/>
        </w:rPr>
      </w:pPr>
      <w:r w:rsidRPr="00B0496F">
        <w:rPr>
          <w:lang w:val="en-GB"/>
        </w:rPr>
        <w:t xml:space="preserve">In the current scenario of Russia Ukraine war, the decision taken by British Petroleum Corporation regarding quitting the stake in Russian company Rosneft, is a significant financial shop for the business organisation. It has been found from the announcement of the business organisation British Petroleum Corporation which was </w:t>
      </w:r>
      <w:proofErr w:type="spellStart"/>
      <w:r w:rsidRPr="00B0496F">
        <w:rPr>
          <w:lang w:val="en-GB"/>
        </w:rPr>
        <w:t>stated</w:t>
      </w:r>
      <w:proofErr w:type="spellEnd"/>
      <w:r w:rsidRPr="00B0496F">
        <w:rPr>
          <w:lang w:val="en-GB"/>
        </w:rPr>
        <w:t xml:space="preserve"> by the chief executive of the company Bernard Looney, that quitting the stake of the business organisation from Russian energy company Rosneft, will cost British Petroleum Corporation as much as of $25 billion</w:t>
      </w:r>
      <w:r w:rsidR="008B2C47" w:rsidRPr="00B0496F">
        <w:rPr>
          <w:lang w:val="en-GB"/>
        </w:rPr>
        <w:t xml:space="preserve"> (BBC, </w:t>
      </w:r>
      <w:r w:rsidR="008B2C47" w:rsidRPr="00B0496F">
        <w:rPr>
          <w:rFonts w:cs="Arial"/>
          <w:color w:val="000000"/>
          <w:szCs w:val="24"/>
          <w:shd w:val="clear" w:color="auto" w:fill="FFFFFF"/>
          <w:lang w:val="en-GB"/>
        </w:rPr>
        <w:t>2022</w:t>
      </w:r>
      <w:r w:rsidR="008B2C47" w:rsidRPr="00B0496F">
        <w:rPr>
          <w:lang w:val="en-GB"/>
        </w:rPr>
        <w:t>)</w:t>
      </w:r>
      <w:r w:rsidRPr="00B0496F">
        <w:rPr>
          <w:lang w:val="en-GB"/>
        </w:rPr>
        <w:t>. The chief executive of the business organisation has stated that the business organisation will rethink their position with the Russian energy business organisation Rosneft due to the given scenario of military invention of Russia in Ukraine.</w:t>
      </w:r>
    </w:p>
    <w:p w14:paraId="62B72DB0" w14:textId="77777777" w:rsidR="009C6F49" w:rsidRPr="00B0496F" w:rsidRDefault="009C6F49" w:rsidP="00303438">
      <w:pPr>
        <w:ind w:firstLine="720"/>
        <w:rPr>
          <w:lang w:val="en-GB"/>
        </w:rPr>
      </w:pPr>
      <w:r w:rsidRPr="00B0496F">
        <w:rPr>
          <w:lang w:val="en-GB"/>
        </w:rPr>
        <w:t xml:space="preserve">It has been found from different sources that Russian energy business organisation Rosneft was considered as one of the biggest </w:t>
      </w:r>
      <w:proofErr w:type="gramStart"/>
      <w:r w:rsidRPr="00B0496F">
        <w:rPr>
          <w:lang w:val="en-GB"/>
        </w:rPr>
        <w:t>source</w:t>
      </w:r>
      <w:proofErr w:type="gramEnd"/>
      <w:r w:rsidRPr="00B0496F">
        <w:rPr>
          <w:lang w:val="en-GB"/>
        </w:rPr>
        <w:t xml:space="preserve"> for energy production for British Petroleum Corporation. The amount has been found as closer to one third of total production of British Petroleum Corporation</w:t>
      </w:r>
      <w:r w:rsidR="008C44D9" w:rsidRPr="00B0496F">
        <w:rPr>
          <w:lang w:val="en-GB"/>
        </w:rPr>
        <w:t xml:space="preserve"> </w:t>
      </w:r>
      <w:r w:rsidR="008C44D9" w:rsidRPr="00B0496F">
        <w:rPr>
          <w:shd w:val="clear" w:color="auto" w:fill="FFFFFF"/>
          <w:lang w:val="en-GB"/>
        </w:rPr>
        <w:t>(</w:t>
      </w:r>
      <w:r w:rsidR="008C44D9" w:rsidRPr="00B0496F">
        <w:rPr>
          <w:lang w:val="en-GB"/>
        </w:rPr>
        <w:t>Bousso</w:t>
      </w:r>
      <w:r w:rsidR="008C44D9" w:rsidRPr="00B0496F">
        <w:rPr>
          <w:shd w:val="clear" w:color="auto" w:fill="FFFFFF"/>
          <w:lang w:val="en-GB"/>
        </w:rPr>
        <w:t xml:space="preserve"> and </w:t>
      </w:r>
      <w:proofErr w:type="spellStart"/>
      <w:r w:rsidR="008C44D9" w:rsidRPr="00B0496F">
        <w:rPr>
          <w:lang w:val="en-GB"/>
        </w:rPr>
        <w:t>Zhdannikov</w:t>
      </w:r>
      <w:proofErr w:type="spellEnd"/>
      <w:r w:rsidR="008C44D9" w:rsidRPr="00B0496F">
        <w:rPr>
          <w:lang w:val="en-GB"/>
        </w:rPr>
        <w:t xml:space="preserve">, </w:t>
      </w:r>
      <w:r w:rsidR="008C44D9" w:rsidRPr="00B0496F">
        <w:rPr>
          <w:rFonts w:cs="Arial"/>
          <w:color w:val="000000"/>
          <w:szCs w:val="24"/>
          <w:shd w:val="clear" w:color="auto" w:fill="FFFFFF"/>
          <w:lang w:val="en-GB"/>
        </w:rPr>
        <w:t>2022</w:t>
      </w:r>
      <w:r w:rsidR="008C44D9" w:rsidRPr="00B0496F">
        <w:rPr>
          <w:shd w:val="clear" w:color="auto" w:fill="FFFFFF"/>
          <w:lang w:val="en-GB"/>
        </w:rPr>
        <w:t>)</w:t>
      </w:r>
      <w:r w:rsidRPr="00B0496F">
        <w:rPr>
          <w:lang w:val="en-GB"/>
        </w:rPr>
        <w:t xml:space="preserve">. Thus, it is clearly understandable that fulfilling the gap, for a large business organisation like British Petroleum </w:t>
      </w:r>
      <w:r w:rsidRPr="00B0496F">
        <w:rPr>
          <w:lang w:val="en-GB"/>
        </w:rPr>
        <w:lastRenderedPageBreak/>
        <w:t>Corporation will not be easy. Also, found that a significant amount of contribution was done by Rosneft in British Petroleum Corporation in terms of the revenue, cash flow and profit.</w:t>
      </w:r>
    </w:p>
    <w:p w14:paraId="28609254" w14:textId="77777777" w:rsidR="008C44D9" w:rsidRPr="00B0496F" w:rsidRDefault="008C44D9" w:rsidP="008C44D9">
      <w:pPr>
        <w:keepNext/>
        <w:jc w:val="center"/>
        <w:rPr>
          <w:lang w:val="en-GB"/>
        </w:rPr>
      </w:pPr>
      <w:r w:rsidRPr="00B0496F">
        <w:rPr>
          <w:noProof/>
          <w:lang w:val="en-GB" w:eastAsia="en-IN"/>
        </w:rPr>
        <w:drawing>
          <wp:inline distT="0" distB="0" distL="0" distR="0" wp14:anchorId="066DCBEA" wp14:editId="3D347134">
            <wp:extent cx="4410075" cy="2758129"/>
            <wp:effectExtent l="0" t="0" r="0" b="444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414333" cy="2760792"/>
                    </a:xfrm>
                    <a:prstGeom prst="rect">
                      <a:avLst/>
                    </a:prstGeom>
                  </pic:spPr>
                </pic:pic>
              </a:graphicData>
            </a:graphic>
          </wp:inline>
        </w:drawing>
      </w:r>
    </w:p>
    <w:p w14:paraId="1BDA6EBE" w14:textId="77777777" w:rsidR="008C44D9" w:rsidRPr="00B0496F" w:rsidRDefault="008C44D9" w:rsidP="008C44D9">
      <w:pPr>
        <w:pStyle w:val="Caption"/>
        <w:jc w:val="center"/>
        <w:rPr>
          <w:color w:val="auto"/>
          <w:lang w:val="en-GB"/>
        </w:rPr>
      </w:pPr>
      <w:r w:rsidRPr="00B0496F">
        <w:rPr>
          <w:color w:val="auto"/>
          <w:lang w:val="en-GB"/>
        </w:rPr>
        <w:t xml:space="preserve">Picture </w:t>
      </w:r>
      <w:r w:rsidRPr="00B0496F">
        <w:rPr>
          <w:color w:val="auto"/>
          <w:lang w:val="en-GB"/>
        </w:rPr>
        <w:fldChar w:fldCharType="begin"/>
      </w:r>
      <w:r w:rsidRPr="00B0496F">
        <w:rPr>
          <w:color w:val="auto"/>
          <w:lang w:val="en-GB"/>
        </w:rPr>
        <w:instrText xml:space="preserve"> SEQ Picture \* ARABIC </w:instrText>
      </w:r>
      <w:r w:rsidRPr="00B0496F">
        <w:rPr>
          <w:color w:val="auto"/>
          <w:lang w:val="en-GB"/>
        </w:rPr>
        <w:fldChar w:fldCharType="separate"/>
      </w:r>
      <w:r w:rsidRPr="00B0496F">
        <w:rPr>
          <w:noProof/>
          <w:color w:val="auto"/>
          <w:lang w:val="en-GB"/>
        </w:rPr>
        <w:t>1</w:t>
      </w:r>
      <w:r w:rsidRPr="00B0496F">
        <w:rPr>
          <w:color w:val="auto"/>
          <w:lang w:val="en-GB"/>
        </w:rPr>
        <w:fldChar w:fldCharType="end"/>
      </w:r>
      <w:r w:rsidRPr="00B0496F">
        <w:rPr>
          <w:color w:val="auto"/>
          <w:lang w:val="en-GB"/>
        </w:rPr>
        <w:t>: Contribution of Rosneft in British Petroleum Corporation in terms of profits and production (Source: https://www.reuters.com/business/energy/britains-bp-says-exit-stake-russian-oil-giant-rosneft-2022-02-27/)</w:t>
      </w:r>
    </w:p>
    <w:p w14:paraId="25D73AC7" w14:textId="77777777" w:rsidR="008C44D9" w:rsidRPr="00B0496F" w:rsidRDefault="008C44D9" w:rsidP="009C6F49">
      <w:pPr>
        <w:rPr>
          <w:lang w:val="en-GB"/>
        </w:rPr>
      </w:pPr>
    </w:p>
    <w:p w14:paraId="4CF6B045" w14:textId="77777777" w:rsidR="00F10E84" w:rsidRPr="00B0496F" w:rsidRDefault="009C6F49" w:rsidP="00303438">
      <w:pPr>
        <w:ind w:firstLine="810"/>
        <w:rPr>
          <w:lang w:val="en-GB"/>
        </w:rPr>
      </w:pPr>
      <w:r w:rsidRPr="00B0496F">
        <w:rPr>
          <w:lang w:val="en-GB"/>
        </w:rPr>
        <w:t>As, the share of the business organisation British Petroleum Corporation was increased to 19.75% in the recent year</w:t>
      </w:r>
      <w:r w:rsidR="008B2C47" w:rsidRPr="00B0496F">
        <w:rPr>
          <w:lang w:val="en-GB"/>
        </w:rPr>
        <w:t xml:space="preserve"> (BBC, </w:t>
      </w:r>
      <w:r w:rsidR="008B2C47" w:rsidRPr="00B0496F">
        <w:rPr>
          <w:rFonts w:cs="Arial"/>
          <w:color w:val="000000"/>
          <w:szCs w:val="24"/>
          <w:shd w:val="clear" w:color="auto" w:fill="FFFFFF"/>
          <w:lang w:val="en-GB"/>
        </w:rPr>
        <w:t>2022</w:t>
      </w:r>
      <w:r w:rsidR="008B2C47" w:rsidRPr="00B0496F">
        <w:rPr>
          <w:lang w:val="en-GB"/>
        </w:rPr>
        <w:t>)</w:t>
      </w:r>
      <w:r w:rsidRPr="00B0496F">
        <w:rPr>
          <w:lang w:val="en-GB"/>
        </w:rPr>
        <w:t xml:space="preserve">. Thus, it was clear that the investment opportunity of the business organisation will be limited significantly due to the quitting the said stake. Hence, it is clearly understandable that the business organisation will face a significant deficiency in the revenue and profit of the business which will limit the operations of the business organisation in investment in different other products hampering the growth and development in the future </w:t>
      </w:r>
      <w:proofErr w:type="gramStart"/>
      <w:r w:rsidRPr="00B0496F">
        <w:rPr>
          <w:lang w:val="en-GB"/>
        </w:rPr>
        <w:t>period of time</w:t>
      </w:r>
      <w:proofErr w:type="gramEnd"/>
      <w:r w:rsidR="008C44D9" w:rsidRPr="00B0496F">
        <w:rPr>
          <w:lang w:val="en-GB"/>
        </w:rPr>
        <w:t xml:space="preserve"> </w:t>
      </w:r>
      <w:r w:rsidR="008C44D9" w:rsidRPr="00B0496F">
        <w:rPr>
          <w:shd w:val="clear" w:color="auto" w:fill="FFFFFF"/>
          <w:lang w:val="en-GB"/>
        </w:rPr>
        <w:t>(</w:t>
      </w:r>
      <w:r w:rsidR="008C44D9" w:rsidRPr="00B0496F">
        <w:rPr>
          <w:lang w:val="en-GB"/>
        </w:rPr>
        <w:t>Hurst</w:t>
      </w:r>
      <w:r w:rsidR="008C44D9" w:rsidRPr="00B0496F">
        <w:rPr>
          <w:shd w:val="clear" w:color="auto" w:fill="FFFFFF"/>
          <w:lang w:val="en-GB"/>
        </w:rPr>
        <w:t xml:space="preserve"> and </w:t>
      </w:r>
      <w:r w:rsidR="008C44D9" w:rsidRPr="00B0496F">
        <w:rPr>
          <w:lang w:val="en-GB"/>
        </w:rPr>
        <w:t xml:space="preserve">Ross-Thomas, </w:t>
      </w:r>
      <w:r w:rsidR="008C44D9" w:rsidRPr="00B0496F">
        <w:rPr>
          <w:rFonts w:cs="Arial"/>
          <w:color w:val="000000"/>
          <w:szCs w:val="24"/>
          <w:shd w:val="clear" w:color="auto" w:fill="FFFFFF"/>
          <w:lang w:val="en-GB"/>
        </w:rPr>
        <w:t>2022</w:t>
      </w:r>
      <w:r w:rsidR="008C44D9" w:rsidRPr="00B0496F">
        <w:rPr>
          <w:shd w:val="clear" w:color="auto" w:fill="FFFFFF"/>
          <w:lang w:val="en-GB"/>
        </w:rPr>
        <w:t>)</w:t>
      </w:r>
      <w:r w:rsidRPr="00B0496F">
        <w:rPr>
          <w:lang w:val="en-GB"/>
        </w:rPr>
        <w:t>. Thus, in this case it can be said that the 'political risk' that was found on the performance of the business organisation as a part of the country risk, will significantly affect the investment opportunities of the business organisation in the host country.  </w:t>
      </w:r>
    </w:p>
    <w:p w14:paraId="2ED527F3" w14:textId="7B13C509" w:rsidR="00FE4172" w:rsidRPr="00B0496F" w:rsidRDefault="00FE4172" w:rsidP="00303438">
      <w:pPr>
        <w:pStyle w:val="Heading1"/>
        <w:ind w:firstLine="810"/>
        <w:rPr>
          <w:lang w:val="en-GB"/>
        </w:rPr>
      </w:pPr>
      <w:bookmarkStart w:id="5" w:name="_Toc102234878"/>
      <w:r w:rsidRPr="00B0496F">
        <w:rPr>
          <w:lang w:val="en-GB"/>
        </w:rPr>
        <w:t>Q</w:t>
      </w:r>
      <w:r w:rsidR="00A16976">
        <w:rPr>
          <w:lang w:val="bg-BG"/>
        </w:rPr>
        <w:t>5</w:t>
      </w:r>
      <w:r w:rsidRPr="00B0496F">
        <w:rPr>
          <w:lang w:val="en-GB"/>
        </w:rPr>
        <w:t>. Evaluates the different strategies that BP Corporation uses to manage their exposure to foreign exchange risks</w:t>
      </w:r>
      <w:bookmarkEnd w:id="5"/>
    </w:p>
    <w:p w14:paraId="426A69CC" w14:textId="77777777" w:rsidR="004572A2" w:rsidRPr="00B0496F" w:rsidRDefault="004572A2" w:rsidP="00303438">
      <w:pPr>
        <w:ind w:firstLine="810"/>
        <w:rPr>
          <w:lang w:val="en-GB"/>
        </w:rPr>
      </w:pPr>
      <w:r w:rsidRPr="00B0496F">
        <w:rPr>
          <w:lang w:val="en-GB"/>
        </w:rPr>
        <w:t xml:space="preserve">The foreign exchange rate is one of the most important </w:t>
      </w:r>
      <w:proofErr w:type="gramStart"/>
      <w:r w:rsidRPr="00B0496F">
        <w:rPr>
          <w:lang w:val="en-GB"/>
        </w:rPr>
        <w:t>factor</w:t>
      </w:r>
      <w:proofErr w:type="gramEnd"/>
      <w:r w:rsidRPr="00B0496F">
        <w:rPr>
          <w:lang w:val="en-GB"/>
        </w:rPr>
        <w:t xml:space="preserve"> to consider for the business organisation that are conducting their operations internationally. The foreign exchange rate can be defined as the risk that can create a direct financial impact on the </w:t>
      </w:r>
      <w:r w:rsidRPr="00B0496F">
        <w:rPr>
          <w:lang w:val="en-GB"/>
        </w:rPr>
        <w:lastRenderedPageBreak/>
        <w:t>performance of the business organisation due to the changes in the exchange rate. Continuous fluctuations in the exchange rate can significantly disrupt the flow of financial values for a company</w:t>
      </w:r>
      <w:r w:rsidR="00332449" w:rsidRPr="00B0496F">
        <w:rPr>
          <w:lang w:val="en-GB"/>
        </w:rPr>
        <w:t xml:space="preserve"> (Corporate Finance Institute, </w:t>
      </w:r>
      <w:r w:rsidR="00332449" w:rsidRPr="00B0496F">
        <w:rPr>
          <w:rFonts w:cs="Arial"/>
          <w:color w:val="000000"/>
          <w:szCs w:val="24"/>
          <w:shd w:val="clear" w:color="auto" w:fill="FFFFFF"/>
          <w:lang w:val="en-GB"/>
        </w:rPr>
        <w:t>2022</w:t>
      </w:r>
      <w:r w:rsidR="00332449" w:rsidRPr="00B0496F">
        <w:rPr>
          <w:lang w:val="en-GB"/>
        </w:rPr>
        <w:t>)</w:t>
      </w:r>
      <w:r w:rsidRPr="00B0496F">
        <w:rPr>
          <w:lang w:val="en-GB"/>
        </w:rPr>
        <w:t xml:space="preserve">. Thus, the amount of intrinsic value of the business organisation can differ from the market value as per the changes in the different exchange rates in different stock exchanges. </w:t>
      </w:r>
      <w:proofErr w:type="gramStart"/>
      <w:r w:rsidRPr="00B0496F">
        <w:rPr>
          <w:lang w:val="en-GB"/>
        </w:rPr>
        <w:t>Thus</w:t>
      </w:r>
      <w:proofErr w:type="gramEnd"/>
      <w:r w:rsidRPr="00B0496F">
        <w:rPr>
          <w:lang w:val="en-GB"/>
        </w:rPr>
        <w:t xml:space="preserve"> the ultimate financial performance and position of the business organisation can be impacted due to the same.</w:t>
      </w:r>
    </w:p>
    <w:p w14:paraId="07698CC2" w14:textId="77777777" w:rsidR="004572A2" w:rsidRPr="00B0496F" w:rsidRDefault="004572A2" w:rsidP="00303438">
      <w:pPr>
        <w:ind w:firstLine="810"/>
        <w:rPr>
          <w:lang w:val="en-GB"/>
        </w:rPr>
      </w:pPr>
      <w:r w:rsidRPr="00B0496F">
        <w:rPr>
          <w:lang w:val="en-GB"/>
        </w:rPr>
        <w:t xml:space="preserve">The main reason behind fluctuations in the exchange rate is the differences between the intrinsic values of the currencies of different countries. As the value of the currency changes in the market, the exchange rate also changes between the countries. Hence, the countries that are involved in conducting the import and export, can face the risk of foreign exchange rate fluctuations. There are different types of foreign exchange risks that can be found. These risks have been categorised in three different categories which are transaction risks, economic </w:t>
      </w:r>
      <w:proofErr w:type="gramStart"/>
      <w:r w:rsidRPr="00B0496F">
        <w:rPr>
          <w:lang w:val="en-GB"/>
        </w:rPr>
        <w:t>risks</w:t>
      </w:r>
      <w:proofErr w:type="gramEnd"/>
      <w:r w:rsidRPr="00B0496F">
        <w:rPr>
          <w:lang w:val="en-GB"/>
        </w:rPr>
        <w:t xml:space="preserve"> and translation risks</w:t>
      </w:r>
      <w:r w:rsidR="00332449" w:rsidRPr="00B0496F">
        <w:rPr>
          <w:lang w:val="en-GB"/>
        </w:rPr>
        <w:t xml:space="preserve"> (Corporate Finance Institute, </w:t>
      </w:r>
      <w:r w:rsidR="00332449" w:rsidRPr="00B0496F">
        <w:rPr>
          <w:rFonts w:cs="Arial"/>
          <w:color w:val="000000"/>
          <w:szCs w:val="24"/>
          <w:shd w:val="clear" w:color="auto" w:fill="FFFFFF"/>
          <w:lang w:val="en-GB"/>
        </w:rPr>
        <w:t>2022</w:t>
      </w:r>
      <w:r w:rsidR="00332449" w:rsidRPr="00B0496F">
        <w:rPr>
          <w:lang w:val="en-GB"/>
        </w:rPr>
        <w:t>)</w:t>
      </w:r>
      <w:r w:rsidRPr="00B0496F">
        <w:rPr>
          <w:lang w:val="en-GB"/>
        </w:rPr>
        <w:t>. The transaction which can be defined as the quiz can be found during the time delay between the signing of a contract and implementation of the same. In case of forward contracts and options defined the risks is heavier for the company</w:t>
      </w:r>
      <w:r w:rsidR="00332449" w:rsidRPr="00B0496F">
        <w:rPr>
          <w:lang w:val="en-GB"/>
        </w:rPr>
        <w:t xml:space="preserve"> </w:t>
      </w:r>
      <w:r w:rsidR="00332449" w:rsidRPr="00B0496F">
        <w:rPr>
          <w:sz w:val="22"/>
          <w:shd w:val="clear" w:color="auto" w:fill="FFFFFF"/>
          <w:lang w:val="en-GB"/>
        </w:rPr>
        <w:t>(</w:t>
      </w:r>
      <w:r w:rsidR="00332449" w:rsidRPr="00B0496F">
        <w:rPr>
          <w:shd w:val="clear" w:color="auto" w:fill="FFFFFF"/>
          <w:lang w:val="en-GB"/>
        </w:rPr>
        <w:t>Schmidt</w:t>
      </w:r>
      <w:r w:rsidR="00332449" w:rsidRPr="00B0496F">
        <w:rPr>
          <w:i/>
          <w:sz w:val="22"/>
          <w:lang w:val="en-GB"/>
        </w:rPr>
        <w:t xml:space="preserve"> et al</w:t>
      </w:r>
      <w:r w:rsidR="00332449" w:rsidRPr="00B0496F">
        <w:rPr>
          <w:sz w:val="22"/>
          <w:lang w:val="en-GB"/>
        </w:rPr>
        <w:t xml:space="preserve">., </w:t>
      </w:r>
      <w:r w:rsidR="00332449" w:rsidRPr="00B0496F">
        <w:rPr>
          <w:shd w:val="clear" w:color="auto" w:fill="FFFFFF"/>
          <w:lang w:val="en-GB"/>
        </w:rPr>
        <w:t>2019</w:t>
      </w:r>
      <w:r w:rsidR="00332449" w:rsidRPr="00B0496F">
        <w:rPr>
          <w:sz w:val="22"/>
          <w:shd w:val="clear" w:color="auto" w:fill="FFFFFF"/>
          <w:lang w:val="en-GB"/>
        </w:rPr>
        <w:t>)</w:t>
      </w:r>
      <w:r w:rsidRPr="00B0496F">
        <w:rPr>
          <w:lang w:val="en-GB"/>
        </w:rPr>
        <w:t xml:space="preserve">. The economic risk on the other hand can be defined as the forecast risk in which, due to the fluctuation in the exchange rate the market value of the business organisation faces the change which is inevitable by the business organisation. The translation risk is found for a business organisation who has </w:t>
      </w:r>
      <w:proofErr w:type="gramStart"/>
      <w:r w:rsidRPr="00B0496F">
        <w:rPr>
          <w:lang w:val="en-GB"/>
        </w:rPr>
        <w:t>its</w:t>
      </w:r>
      <w:proofErr w:type="gramEnd"/>
      <w:r w:rsidRPr="00B0496F">
        <w:rPr>
          <w:lang w:val="en-GB"/>
        </w:rPr>
        <w:t xml:space="preserve"> headquarter listed in our country but conducting their operation in a different country. Due to the translation between the currencies, between the operating country and the domestic country, the risk of fluctuation in the exchange rate can be found which brings the translation risk</w:t>
      </w:r>
      <w:r w:rsidR="00332449" w:rsidRPr="00B0496F">
        <w:rPr>
          <w:lang w:val="en-GB"/>
        </w:rPr>
        <w:t xml:space="preserve"> </w:t>
      </w:r>
      <w:r w:rsidR="00332449" w:rsidRPr="00B0496F">
        <w:rPr>
          <w:shd w:val="clear" w:color="auto" w:fill="FFFFFF"/>
          <w:lang w:val="en-GB"/>
        </w:rPr>
        <w:t>(Kim and Kim</w:t>
      </w:r>
      <w:r w:rsidR="00332449" w:rsidRPr="00B0496F">
        <w:rPr>
          <w:lang w:val="en-GB"/>
        </w:rPr>
        <w:t xml:space="preserve">, </w:t>
      </w:r>
      <w:r w:rsidR="00332449" w:rsidRPr="00B0496F">
        <w:rPr>
          <w:shd w:val="clear" w:color="auto" w:fill="FFFFFF"/>
          <w:lang w:val="en-GB"/>
        </w:rPr>
        <w:t>2019)</w:t>
      </w:r>
      <w:r w:rsidRPr="00B0496F">
        <w:rPr>
          <w:lang w:val="en-GB"/>
        </w:rPr>
        <w:t>.</w:t>
      </w:r>
    </w:p>
    <w:p w14:paraId="77499330" w14:textId="77777777" w:rsidR="004572A2" w:rsidRPr="00B0496F" w:rsidRDefault="004572A2" w:rsidP="00303438">
      <w:pPr>
        <w:ind w:firstLine="810"/>
        <w:rPr>
          <w:lang w:val="en-GB"/>
        </w:rPr>
      </w:pPr>
      <w:r w:rsidRPr="00B0496F">
        <w:rPr>
          <w:lang w:val="en-GB"/>
        </w:rPr>
        <w:t xml:space="preserve">As for British Petroleum Corporation, the exposure of the company can be found two different types of risks. For example, market risk, commodity price risk, foreign currency exchange risk, interest rate risk, et cetera can be mentioned. As a global business organisation British Petroleum Corporation is inevitably exposed to the foreign currency exchange risk. From the annual report of the business </w:t>
      </w:r>
      <w:proofErr w:type="gramStart"/>
      <w:r w:rsidRPr="00B0496F">
        <w:rPr>
          <w:lang w:val="en-GB"/>
        </w:rPr>
        <w:t>organisation</w:t>
      </w:r>
      <w:proofErr w:type="gramEnd"/>
      <w:r w:rsidRPr="00B0496F">
        <w:rPr>
          <w:lang w:val="en-GB"/>
        </w:rPr>
        <w:t xml:space="preserve"> it has been found that the mean underlying economic currency of the business organisation is maintained in the us dollar. But as the main product of the business organisation which is oil is priced internationally in the form of economic currency of us dollar, the risk of fluctuation in the said product is lower for the company. Thus, transactional risk for the business organisation is lower. </w:t>
      </w:r>
      <w:proofErr w:type="gramStart"/>
      <w:r w:rsidRPr="00B0496F">
        <w:rPr>
          <w:lang w:val="en-GB"/>
        </w:rPr>
        <w:t>But,</w:t>
      </w:r>
      <w:proofErr w:type="gramEnd"/>
      <w:r w:rsidRPr="00B0496F">
        <w:rPr>
          <w:lang w:val="en-GB"/>
        </w:rPr>
        <w:t xml:space="preserve"> the company needs to manage different types of currency risk exposure in different forms of </w:t>
      </w:r>
      <w:r w:rsidRPr="00B0496F">
        <w:rPr>
          <w:lang w:val="en-GB"/>
        </w:rPr>
        <w:lastRenderedPageBreak/>
        <w:t>currencies like- Sterling, Euro, Australian dollars, Korean won, et cetera.</w:t>
      </w:r>
    </w:p>
    <w:p w14:paraId="087392E9" w14:textId="54F37BDA" w:rsidR="00280535" w:rsidRDefault="004572A2" w:rsidP="00303438">
      <w:pPr>
        <w:ind w:firstLine="810"/>
        <w:rPr>
          <w:lang w:val="en-GB"/>
        </w:rPr>
      </w:pPr>
      <w:r w:rsidRPr="00B0496F">
        <w:rPr>
          <w:lang w:val="en-GB"/>
        </w:rPr>
        <w:t>Thus, to reduce the said the business organisation ensure that majority of the borrowing are conducted in the form of US dollar or are hedged with respect of US dollar for managing the risk in foreign currency exchange. As the annual report of the company stated, the amount of currency borrowing of the company that was not show up in the US dollar in 2019 was $219 million, $321 million for 2020, and $211 million in 2021. </w:t>
      </w:r>
    </w:p>
    <w:p w14:paraId="677A775E" w14:textId="217BD758" w:rsidR="00B23424" w:rsidRDefault="00303438" w:rsidP="00280535">
      <w:pPr>
        <w:pStyle w:val="Heading1"/>
        <w:rPr>
          <w:lang w:val="en-GB"/>
        </w:rPr>
      </w:pPr>
      <w:r>
        <w:rPr>
          <w:lang w:val="en-GB"/>
        </w:rPr>
        <w:lastRenderedPageBreak/>
        <w:t xml:space="preserve">             </w:t>
      </w:r>
      <w:bookmarkStart w:id="6" w:name="_Toc102234879"/>
      <w:r w:rsidR="00B23424" w:rsidRPr="00280535">
        <w:rPr>
          <w:lang w:val="en-GB"/>
        </w:rPr>
        <w:t>Recommendation</w:t>
      </w:r>
      <w:bookmarkEnd w:id="6"/>
      <w:r w:rsidR="00623A63">
        <w:rPr>
          <w:lang w:val="en-GB"/>
        </w:rPr>
        <w:t>s</w:t>
      </w:r>
    </w:p>
    <w:p w14:paraId="6E26ED9E" w14:textId="4C9C27C0" w:rsidR="00B23424" w:rsidRDefault="00280535">
      <w:pPr>
        <w:widowControl/>
        <w:autoSpaceDE/>
        <w:autoSpaceDN/>
        <w:spacing w:before="0" w:after="160" w:line="259" w:lineRule="auto"/>
        <w:jc w:val="left"/>
        <w:rPr>
          <w:lang w:val="en-GB"/>
        </w:rPr>
      </w:pPr>
      <w:r>
        <w:rPr>
          <w:noProof/>
        </w:rPr>
        <w:drawing>
          <wp:inline distT="0" distB="0" distL="0" distR="0" wp14:anchorId="1DADCBB7" wp14:editId="1DD43EA1">
            <wp:extent cx="5731510" cy="4180322"/>
            <wp:effectExtent l="38100" t="0" r="21590" b="2220595"/>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p>
    <w:p w14:paraId="66970A9E" w14:textId="6BB28C97" w:rsidR="00280535" w:rsidRDefault="00280535">
      <w:pPr>
        <w:widowControl/>
        <w:autoSpaceDE/>
        <w:autoSpaceDN/>
        <w:spacing w:before="0" w:after="160" w:line="259" w:lineRule="auto"/>
        <w:jc w:val="left"/>
        <w:rPr>
          <w:lang w:val="en-GB"/>
        </w:rPr>
      </w:pPr>
    </w:p>
    <w:p w14:paraId="3BC85B1E" w14:textId="105C54DC" w:rsidR="00031035" w:rsidRDefault="00031035">
      <w:pPr>
        <w:widowControl/>
        <w:autoSpaceDE/>
        <w:autoSpaceDN/>
        <w:spacing w:before="0" w:after="160" w:line="259" w:lineRule="auto"/>
        <w:jc w:val="left"/>
        <w:rPr>
          <w:lang w:val="en-GB"/>
        </w:rPr>
      </w:pPr>
    </w:p>
    <w:p w14:paraId="41302FEC" w14:textId="77777777" w:rsidR="00031035" w:rsidRPr="00B0496F" w:rsidRDefault="00031035">
      <w:pPr>
        <w:widowControl/>
        <w:autoSpaceDE/>
        <w:autoSpaceDN/>
        <w:spacing w:before="0" w:after="160" w:line="259" w:lineRule="auto"/>
        <w:jc w:val="left"/>
        <w:rPr>
          <w:lang w:val="en-GB"/>
        </w:rPr>
      </w:pPr>
    </w:p>
    <w:p w14:paraId="016E4C42" w14:textId="77777777" w:rsidR="00326DE9" w:rsidRPr="00B0496F" w:rsidRDefault="00326DE9" w:rsidP="00326DE9">
      <w:pPr>
        <w:pStyle w:val="Heading1"/>
        <w:rPr>
          <w:lang w:val="en-GB"/>
        </w:rPr>
      </w:pPr>
      <w:bookmarkStart w:id="7" w:name="_Toc102234880"/>
      <w:r w:rsidRPr="00B0496F">
        <w:rPr>
          <w:lang w:val="en-GB"/>
        </w:rPr>
        <w:lastRenderedPageBreak/>
        <w:t>Reference</w:t>
      </w:r>
      <w:bookmarkEnd w:id="7"/>
      <w:r w:rsidRPr="00B0496F">
        <w:rPr>
          <w:lang w:val="en-GB"/>
        </w:rPr>
        <w:t xml:space="preserve"> </w:t>
      </w:r>
    </w:p>
    <w:p w14:paraId="7F702909" w14:textId="61EDC759" w:rsidR="006A7E07" w:rsidRPr="00B0496F" w:rsidRDefault="006A7E07" w:rsidP="00133E06">
      <w:pPr>
        <w:rPr>
          <w:lang w:val="en-GB"/>
        </w:rPr>
      </w:pPr>
      <w:r w:rsidRPr="00B0496F">
        <w:rPr>
          <w:lang w:val="en-GB"/>
        </w:rPr>
        <w:t>Andrew Karolyi, G.</w:t>
      </w:r>
      <w:r w:rsidRPr="00B0496F">
        <w:rPr>
          <w:rFonts w:cs="Arial"/>
          <w:color w:val="000000"/>
          <w:szCs w:val="24"/>
          <w:shd w:val="clear" w:color="auto" w:fill="FFFFFF"/>
          <w:lang w:val="en-GB"/>
        </w:rPr>
        <w:t xml:space="preserve"> (2001). </w:t>
      </w:r>
      <w:r w:rsidRPr="00B0496F">
        <w:rPr>
          <w:rFonts w:cs="Arial"/>
          <w:i/>
          <w:iCs/>
          <w:color w:val="000000"/>
          <w:szCs w:val="24"/>
          <w:shd w:val="clear" w:color="auto" w:fill="FFFFFF"/>
          <w:lang w:val="en-GB"/>
        </w:rPr>
        <w:t>Topic: About us.</w:t>
      </w:r>
      <w:r w:rsidRPr="00B0496F">
        <w:rPr>
          <w:rFonts w:cs="Arial"/>
          <w:color w:val="000000"/>
          <w:szCs w:val="24"/>
          <w:shd w:val="clear" w:color="auto" w:fill="FFFFFF"/>
          <w:lang w:val="en-GB"/>
        </w:rPr>
        <w:t xml:space="preserve"> [online]</w:t>
      </w:r>
      <w:r w:rsidRPr="00B0496F">
        <w:rPr>
          <w:lang w:val="en-GB"/>
        </w:rPr>
        <w:t xml:space="preserve"> Wiley</w:t>
      </w:r>
      <w:r w:rsidRPr="00B0496F">
        <w:rPr>
          <w:rFonts w:cs="Arial"/>
          <w:color w:val="000000"/>
          <w:szCs w:val="24"/>
          <w:shd w:val="clear" w:color="auto" w:fill="FFFFFF"/>
          <w:lang w:val="en-GB"/>
        </w:rPr>
        <w:t xml:space="preserve"> </w:t>
      </w:r>
      <w:r w:rsidRPr="00B0496F">
        <w:rPr>
          <w:lang w:val="en-GB"/>
        </w:rPr>
        <w:t>Online Library</w:t>
      </w:r>
      <w:r w:rsidRPr="00B0496F">
        <w:rPr>
          <w:rFonts w:cs="Arial"/>
          <w:color w:val="000000"/>
          <w:szCs w:val="24"/>
          <w:shd w:val="clear" w:color="auto" w:fill="FFFFFF"/>
          <w:lang w:val="en-GB"/>
        </w:rPr>
        <w:t xml:space="preserve">.  Available at: </w:t>
      </w:r>
      <w:r w:rsidRPr="00B0496F">
        <w:rPr>
          <w:lang w:val="en-GB"/>
        </w:rPr>
        <w:t>&lt;https://onlinelibrary.wiley.com/doi/abs/10.1111/1468-0416.00018&gt; [</w:t>
      </w:r>
      <w:r w:rsidRPr="00B0496F">
        <w:rPr>
          <w:rFonts w:cs="Arial"/>
          <w:color w:val="000000"/>
          <w:szCs w:val="24"/>
          <w:shd w:val="clear" w:color="auto" w:fill="FFFFFF"/>
          <w:lang w:val="en-GB"/>
        </w:rPr>
        <w:t>Accessed 23 April 2022</w:t>
      </w:r>
      <w:r w:rsidRPr="00B0496F">
        <w:rPr>
          <w:lang w:val="en-GB"/>
        </w:rPr>
        <w:t>]</w:t>
      </w:r>
    </w:p>
    <w:p w14:paraId="0CE32CCB" w14:textId="77777777" w:rsidR="006A7E07" w:rsidRPr="00B0496F" w:rsidRDefault="006A7E07" w:rsidP="008C44D9">
      <w:pPr>
        <w:rPr>
          <w:lang w:val="en-GB"/>
        </w:rPr>
      </w:pPr>
      <w:r w:rsidRPr="00B0496F">
        <w:rPr>
          <w:lang w:val="en-GB"/>
        </w:rPr>
        <w:t>BBC</w:t>
      </w:r>
      <w:r w:rsidRPr="00B0496F">
        <w:rPr>
          <w:rFonts w:cs="Arial"/>
          <w:color w:val="000000"/>
          <w:szCs w:val="24"/>
          <w:shd w:val="clear" w:color="auto" w:fill="FFFFFF"/>
          <w:lang w:val="en-GB"/>
        </w:rPr>
        <w:t>, (2022). </w:t>
      </w:r>
      <w:r w:rsidRPr="00B0496F">
        <w:rPr>
          <w:rFonts w:cs="Arial"/>
          <w:i/>
          <w:iCs/>
          <w:color w:val="000000"/>
          <w:szCs w:val="24"/>
          <w:shd w:val="clear" w:color="auto" w:fill="FFFFFF"/>
          <w:lang w:val="en-GB"/>
        </w:rPr>
        <w:t>Topic: BP to offload stake in Rosneft amid Ukraine conflict.</w:t>
      </w:r>
      <w:r w:rsidRPr="00B0496F">
        <w:rPr>
          <w:rFonts w:cs="Arial"/>
          <w:color w:val="000000"/>
          <w:szCs w:val="24"/>
          <w:shd w:val="clear" w:color="auto" w:fill="FFFFFF"/>
          <w:lang w:val="en-GB"/>
        </w:rPr>
        <w:t xml:space="preserve"> [online] </w:t>
      </w:r>
      <w:r w:rsidRPr="00B0496F">
        <w:rPr>
          <w:shd w:val="clear" w:color="auto" w:fill="FFFFFF"/>
          <w:lang w:val="en-GB"/>
        </w:rPr>
        <w:t>BBC</w:t>
      </w:r>
      <w:r w:rsidRPr="00B0496F">
        <w:rPr>
          <w:rFonts w:cs="Arial"/>
          <w:color w:val="000000"/>
          <w:szCs w:val="24"/>
          <w:shd w:val="clear" w:color="auto" w:fill="FFFFFF"/>
          <w:lang w:val="en-GB"/>
        </w:rPr>
        <w:t xml:space="preserve">.  Available at: </w:t>
      </w:r>
      <w:r w:rsidRPr="00B0496F">
        <w:rPr>
          <w:lang w:val="en-GB"/>
        </w:rPr>
        <w:t>&lt;https://www.bbc.com/news/business-60548382&gt; [</w:t>
      </w:r>
      <w:r w:rsidRPr="00B0496F">
        <w:rPr>
          <w:rFonts w:cs="Arial"/>
          <w:color w:val="000000"/>
          <w:szCs w:val="24"/>
          <w:shd w:val="clear" w:color="auto" w:fill="FFFFFF"/>
          <w:lang w:val="en-GB"/>
        </w:rPr>
        <w:t>Accessed 23 April 2022</w:t>
      </w:r>
      <w:r w:rsidRPr="00B0496F">
        <w:rPr>
          <w:lang w:val="en-GB"/>
        </w:rPr>
        <w:t>]</w:t>
      </w:r>
    </w:p>
    <w:p w14:paraId="023A23C5" w14:textId="7A0597F1" w:rsidR="006A7E07" w:rsidRPr="00D62830" w:rsidRDefault="006A7E07" w:rsidP="006A7E07">
      <w:proofErr w:type="spellStart"/>
      <w:r>
        <w:rPr>
          <w:shd w:val="clear" w:color="auto" w:fill="FFFFFF"/>
        </w:rPr>
        <w:t>Berrill</w:t>
      </w:r>
      <w:proofErr w:type="spellEnd"/>
      <w:r>
        <w:rPr>
          <w:shd w:val="clear" w:color="auto" w:fill="FFFFFF"/>
        </w:rPr>
        <w:t xml:space="preserve">, J., Kearney, C. and O’Hagan-Luff, M. (2019). Measuring the diversification benefits of investing in highly </w:t>
      </w:r>
      <w:proofErr w:type="spellStart"/>
      <w:r>
        <w:rPr>
          <w:shd w:val="clear" w:color="auto" w:fill="FFFFFF"/>
        </w:rPr>
        <w:t>internationalised</w:t>
      </w:r>
      <w:proofErr w:type="spellEnd"/>
      <w:r>
        <w:rPr>
          <w:shd w:val="clear" w:color="auto" w:fill="FFFFFF"/>
        </w:rPr>
        <w:t xml:space="preserve"> firms. </w:t>
      </w:r>
      <w:r>
        <w:rPr>
          <w:i/>
          <w:iCs/>
          <w:shd w:val="clear" w:color="auto" w:fill="FFFFFF"/>
        </w:rPr>
        <w:t>International Business Review</w:t>
      </w:r>
      <w:r>
        <w:rPr>
          <w:shd w:val="clear" w:color="auto" w:fill="FFFFFF"/>
        </w:rPr>
        <w:t>, </w:t>
      </w:r>
      <w:r>
        <w:rPr>
          <w:i/>
          <w:iCs/>
          <w:shd w:val="clear" w:color="auto" w:fill="FFFFFF"/>
        </w:rPr>
        <w:t>28</w:t>
      </w:r>
      <w:r>
        <w:rPr>
          <w:shd w:val="clear" w:color="auto" w:fill="FFFFFF"/>
        </w:rPr>
        <w:t>(4), pp.672-684.</w:t>
      </w:r>
    </w:p>
    <w:p w14:paraId="0B7ADCA4" w14:textId="43A2E6FF" w:rsidR="006A7E07" w:rsidRPr="00B0496F" w:rsidRDefault="006A7E07" w:rsidP="008C44D9">
      <w:pPr>
        <w:rPr>
          <w:lang w:val="en-GB"/>
        </w:rPr>
      </w:pPr>
      <w:r w:rsidRPr="00B0496F">
        <w:rPr>
          <w:lang w:val="en-GB"/>
        </w:rPr>
        <w:t xml:space="preserve">Bousso, R. and </w:t>
      </w:r>
      <w:proofErr w:type="spellStart"/>
      <w:r w:rsidRPr="00B0496F">
        <w:rPr>
          <w:lang w:val="en-GB"/>
        </w:rPr>
        <w:t>Zhdannikov</w:t>
      </w:r>
      <w:proofErr w:type="spellEnd"/>
      <w:r w:rsidRPr="00B0496F">
        <w:rPr>
          <w:lang w:val="en-GB"/>
        </w:rPr>
        <w:t>, D.</w:t>
      </w:r>
      <w:r w:rsidRPr="00B0496F">
        <w:rPr>
          <w:rFonts w:cs="Arial"/>
          <w:color w:val="000000"/>
          <w:szCs w:val="24"/>
          <w:shd w:val="clear" w:color="auto" w:fill="FFFFFF"/>
          <w:lang w:val="en-GB"/>
        </w:rPr>
        <w:t xml:space="preserve"> (2022). </w:t>
      </w:r>
      <w:r w:rsidRPr="00B0496F">
        <w:rPr>
          <w:rFonts w:cs="Arial"/>
          <w:i/>
          <w:iCs/>
          <w:color w:val="000000"/>
          <w:szCs w:val="24"/>
          <w:shd w:val="clear" w:color="auto" w:fill="FFFFFF"/>
          <w:lang w:val="en-GB"/>
        </w:rPr>
        <w:t>Topic: BP quits Russia in up to $25 billion hit after Ukraine invasion.</w:t>
      </w:r>
      <w:r w:rsidRPr="00B0496F">
        <w:rPr>
          <w:rFonts w:cs="Arial"/>
          <w:color w:val="000000"/>
          <w:szCs w:val="24"/>
          <w:shd w:val="clear" w:color="auto" w:fill="FFFFFF"/>
          <w:lang w:val="en-GB"/>
        </w:rPr>
        <w:t xml:space="preserve"> [online] </w:t>
      </w:r>
      <w:r w:rsidRPr="00B0496F">
        <w:rPr>
          <w:lang w:val="en-GB"/>
        </w:rPr>
        <w:t>Reuters</w:t>
      </w:r>
      <w:r w:rsidRPr="00B0496F">
        <w:rPr>
          <w:rFonts w:cs="Arial"/>
          <w:color w:val="000000"/>
          <w:szCs w:val="24"/>
          <w:shd w:val="clear" w:color="auto" w:fill="FFFFFF"/>
          <w:lang w:val="en-GB"/>
        </w:rPr>
        <w:t xml:space="preserve">.  Available at: </w:t>
      </w:r>
      <w:r w:rsidRPr="00B0496F">
        <w:rPr>
          <w:lang w:val="en-GB"/>
        </w:rPr>
        <w:t>&lt;https://www.reuters.com/business/energy/britains-bp-says-exit-stake-russian-oil-giant-rosneft-2022-02-27/&gt; [</w:t>
      </w:r>
      <w:r w:rsidRPr="00B0496F">
        <w:rPr>
          <w:rFonts w:cs="Arial"/>
          <w:color w:val="000000"/>
          <w:szCs w:val="24"/>
          <w:shd w:val="clear" w:color="auto" w:fill="FFFFFF"/>
          <w:lang w:val="en-GB"/>
        </w:rPr>
        <w:t>Accessed 23 April 2022</w:t>
      </w:r>
      <w:r w:rsidRPr="00B0496F">
        <w:rPr>
          <w:lang w:val="en-GB"/>
        </w:rPr>
        <w:t>]</w:t>
      </w:r>
    </w:p>
    <w:p w14:paraId="036F292B" w14:textId="77777777" w:rsidR="006A7E07" w:rsidRPr="00B0496F" w:rsidRDefault="006A7E07" w:rsidP="00133E06">
      <w:pPr>
        <w:rPr>
          <w:lang w:val="en-GB"/>
        </w:rPr>
      </w:pPr>
      <w:r w:rsidRPr="00B0496F">
        <w:rPr>
          <w:lang w:val="en-GB"/>
        </w:rPr>
        <w:t>Corporate Finance Institute</w:t>
      </w:r>
      <w:r w:rsidRPr="00B0496F">
        <w:rPr>
          <w:rFonts w:cs="Arial"/>
          <w:color w:val="000000"/>
          <w:szCs w:val="24"/>
          <w:shd w:val="clear" w:color="auto" w:fill="FFFFFF"/>
          <w:lang w:val="en-GB"/>
        </w:rPr>
        <w:t>, (2022). </w:t>
      </w:r>
      <w:r w:rsidRPr="00B0496F">
        <w:rPr>
          <w:rFonts w:cs="Arial"/>
          <w:i/>
          <w:iCs/>
          <w:color w:val="000000"/>
          <w:szCs w:val="24"/>
          <w:shd w:val="clear" w:color="auto" w:fill="FFFFFF"/>
          <w:lang w:val="en-GB"/>
        </w:rPr>
        <w:t>Topic: Foreign exchange risk.</w:t>
      </w:r>
      <w:r w:rsidRPr="00B0496F">
        <w:rPr>
          <w:rFonts w:cs="Arial"/>
          <w:color w:val="000000"/>
          <w:szCs w:val="24"/>
          <w:shd w:val="clear" w:color="auto" w:fill="FFFFFF"/>
          <w:lang w:val="en-GB"/>
        </w:rPr>
        <w:t xml:space="preserve"> [online] </w:t>
      </w:r>
      <w:r w:rsidRPr="00B0496F">
        <w:rPr>
          <w:lang w:val="en-GB"/>
        </w:rPr>
        <w:t>Corporate Finance Institute</w:t>
      </w:r>
      <w:r w:rsidRPr="00B0496F">
        <w:rPr>
          <w:rFonts w:cs="Arial"/>
          <w:color w:val="000000"/>
          <w:szCs w:val="24"/>
          <w:shd w:val="clear" w:color="auto" w:fill="FFFFFF"/>
          <w:lang w:val="en-GB"/>
        </w:rPr>
        <w:t xml:space="preserve">.  Available at: </w:t>
      </w:r>
      <w:r w:rsidRPr="00B0496F">
        <w:rPr>
          <w:lang w:val="en-GB"/>
        </w:rPr>
        <w:t>&lt;https://corporatefinanceinstitute.com/resources/knowledge/finance/foreign-exchange-risk/&gt; [</w:t>
      </w:r>
      <w:r w:rsidRPr="00B0496F">
        <w:rPr>
          <w:rFonts w:cs="Arial"/>
          <w:color w:val="000000"/>
          <w:szCs w:val="24"/>
          <w:shd w:val="clear" w:color="auto" w:fill="FFFFFF"/>
          <w:lang w:val="en-GB"/>
        </w:rPr>
        <w:t>Accessed 23 April 2022</w:t>
      </w:r>
      <w:r w:rsidRPr="00B0496F">
        <w:rPr>
          <w:lang w:val="en-GB"/>
        </w:rPr>
        <w:t>]</w:t>
      </w:r>
    </w:p>
    <w:p w14:paraId="5A8B19D2" w14:textId="5B849495" w:rsidR="006A7E07" w:rsidRPr="00B0496F" w:rsidRDefault="006A7E07" w:rsidP="00133E06">
      <w:pPr>
        <w:rPr>
          <w:lang w:val="en-GB"/>
        </w:rPr>
      </w:pPr>
      <w:r w:rsidRPr="00B0496F">
        <w:rPr>
          <w:shd w:val="clear" w:color="auto" w:fill="FFFFFF"/>
          <w:lang w:val="en-GB"/>
        </w:rPr>
        <w:t>Hamilton, L. and Webster, P. (2018). </w:t>
      </w:r>
      <w:r w:rsidRPr="00B0496F">
        <w:rPr>
          <w:i/>
          <w:iCs/>
          <w:shd w:val="clear" w:color="auto" w:fill="FFFFFF"/>
          <w:lang w:val="en-GB"/>
        </w:rPr>
        <w:t>The international business environment</w:t>
      </w:r>
      <w:r w:rsidRPr="00B0496F">
        <w:rPr>
          <w:shd w:val="clear" w:color="auto" w:fill="FFFFFF"/>
          <w:lang w:val="en-GB"/>
        </w:rPr>
        <w:t>. Oxford University Press.</w:t>
      </w:r>
    </w:p>
    <w:p w14:paraId="256A7B9D" w14:textId="08451111" w:rsidR="006A7E07" w:rsidRPr="00B0496F" w:rsidRDefault="006A7E07" w:rsidP="008C44D9">
      <w:pPr>
        <w:rPr>
          <w:lang w:val="en-GB"/>
        </w:rPr>
      </w:pPr>
      <w:r w:rsidRPr="00B0496F">
        <w:rPr>
          <w:lang w:val="en-GB"/>
        </w:rPr>
        <w:t>Hurst, L. and Ross-Thomas, E.</w:t>
      </w:r>
      <w:r w:rsidRPr="00B0496F">
        <w:rPr>
          <w:rFonts w:cs="Arial"/>
          <w:color w:val="000000"/>
          <w:szCs w:val="24"/>
          <w:shd w:val="clear" w:color="auto" w:fill="FFFFFF"/>
          <w:lang w:val="en-GB"/>
        </w:rPr>
        <w:t xml:space="preserve"> (2022). </w:t>
      </w:r>
      <w:r w:rsidRPr="00B0496F">
        <w:rPr>
          <w:rFonts w:cs="Arial"/>
          <w:i/>
          <w:iCs/>
          <w:color w:val="000000"/>
          <w:szCs w:val="24"/>
          <w:shd w:val="clear" w:color="auto" w:fill="FFFFFF"/>
          <w:lang w:val="en-GB"/>
        </w:rPr>
        <w:t>Topic: Russia-Ukraine crisis: BP to exit Rosneft stake, may take a $25 bn hit.</w:t>
      </w:r>
      <w:r w:rsidRPr="00B0496F">
        <w:rPr>
          <w:rFonts w:cs="Arial"/>
          <w:color w:val="000000"/>
          <w:szCs w:val="24"/>
          <w:shd w:val="clear" w:color="auto" w:fill="FFFFFF"/>
          <w:lang w:val="en-GB"/>
        </w:rPr>
        <w:t xml:space="preserve"> [online] </w:t>
      </w:r>
      <w:r w:rsidRPr="00B0496F">
        <w:rPr>
          <w:lang w:val="en-GB"/>
        </w:rPr>
        <w:t>Business Standard</w:t>
      </w:r>
      <w:r w:rsidRPr="00B0496F">
        <w:rPr>
          <w:rFonts w:cs="Arial"/>
          <w:color w:val="000000"/>
          <w:szCs w:val="24"/>
          <w:shd w:val="clear" w:color="auto" w:fill="FFFFFF"/>
          <w:lang w:val="en-GB"/>
        </w:rPr>
        <w:t xml:space="preserve">.  Available at: </w:t>
      </w:r>
      <w:r w:rsidRPr="00B0496F">
        <w:rPr>
          <w:lang w:val="en-GB"/>
        </w:rPr>
        <w:t>&lt;https://www.business-standard.com/article/international/ukraine-conflict-bp-to-exit-rosneft-stake-and-may-take-a-25-billion-hit-122022800157_1.html&gt; [</w:t>
      </w:r>
      <w:r w:rsidRPr="00B0496F">
        <w:rPr>
          <w:rFonts w:cs="Arial"/>
          <w:color w:val="000000"/>
          <w:szCs w:val="24"/>
          <w:shd w:val="clear" w:color="auto" w:fill="FFFFFF"/>
          <w:lang w:val="en-GB"/>
        </w:rPr>
        <w:t>Accessed 23 April 2022</w:t>
      </w:r>
      <w:r w:rsidRPr="00B0496F">
        <w:rPr>
          <w:lang w:val="en-GB"/>
        </w:rPr>
        <w:t>]</w:t>
      </w:r>
    </w:p>
    <w:p w14:paraId="0114FF52" w14:textId="77777777" w:rsidR="006A7E07" w:rsidRPr="00B0496F" w:rsidRDefault="006A7E07" w:rsidP="008C44D9">
      <w:pPr>
        <w:rPr>
          <w:lang w:val="en-GB"/>
        </w:rPr>
      </w:pPr>
      <w:r w:rsidRPr="00B0496F">
        <w:rPr>
          <w:lang w:val="en-GB"/>
        </w:rPr>
        <w:t>Investopedia</w:t>
      </w:r>
      <w:r w:rsidRPr="00B0496F">
        <w:rPr>
          <w:rFonts w:cs="Arial"/>
          <w:color w:val="000000"/>
          <w:szCs w:val="24"/>
          <w:shd w:val="clear" w:color="auto" w:fill="FFFFFF"/>
          <w:lang w:val="en-GB"/>
        </w:rPr>
        <w:t>, (2022). </w:t>
      </w:r>
      <w:r w:rsidRPr="00B0496F">
        <w:rPr>
          <w:rFonts w:cs="Arial"/>
          <w:i/>
          <w:iCs/>
          <w:color w:val="000000"/>
          <w:szCs w:val="24"/>
          <w:shd w:val="clear" w:color="auto" w:fill="FFFFFF"/>
          <w:lang w:val="en-GB"/>
        </w:rPr>
        <w:t>Topic: Country risk.</w:t>
      </w:r>
      <w:r w:rsidRPr="00B0496F">
        <w:rPr>
          <w:rFonts w:cs="Arial"/>
          <w:color w:val="000000"/>
          <w:szCs w:val="24"/>
          <w:shd w:val="clear" w:color="auto" w:fill="FFFFFF"/>
          <w:lang w:val="en-GB"/>
        </w:rPr>
        <w:t xml:space="preserve"> [online] </w:t>
      </w:r>
      <w:r w:rsidRPr="00B0496F">
        <w:rPr>
          <w:lang w:val="en-GB"/>
        </w:rPr>
        <w:t>Investopedia</w:t>
      </w:r>
      <w:r w:rsidRPr="00B0496F">
        <w:rPr>
          <w:rFonts w:cs="Arial"/>
          <w:color w:val="000000"/>
          <w:szCs w:val="24"/>
          <w:shd w:val="clear" w:color="auto" w:fill="FFFFFF"/>
          <w:lang w:val="en-GB"/>
        </w:rPr>
        <w:t xml:space="preserve">.  Available at: </w:t>
      </w:r>
      <w:r w:rsidRPr="00B0496F">
        <w:rPr>
          <w:lang w:val="en-GB"/>
        </w:rPr>
        <w:t>&lt;https://www.investopedia.com/terms/c/countryrisk.asp#:~:text=Country%20risk%20refers%20to%20the,%2Drate%2C%20or%20technological%20influences.&gt; [</w:t>
      </w:r>
      <w:r w:rsidRPr="00B0496F">
        <w:rPr>
          <w:rFonts w:cs="Arial"/>
          <w:color w:val="000000"/>
          <w:szCs w:val="24"/>
          <w:shd w:val="clear" w:color="auto" w:fill="FFFFFF"/>
          <w:lang w:val="en-GB"/>
        </w:rPr>
        <w:t>Accessed 23 April 2022</w:t>
      </w:r>
      <w:r w:rsidRPr="00B0496F">
        <w:rPr>
          <w:lang w:val="en-GB"/>
        </w:rPr>
        <w:t>]</w:t>
      </w:r>
    </w:p>
    <w:p w14:paraId="1D9392A1" w14:textId="5CAC7318" w:rsidR="006A7E07" w:rsidRPr="00D62830" w:rsidRDefault="006A7E07" w:rsidP="006A7E07">
      <w:r>
        <w:rPr>
          <w:shd w:val="clear" w:color="auto" w:fill="FFFFFF"/>
        </w:rPr>
        <w:t>Kamel, M. and Wang, H. (2019). Petro-RMB? The oil trade and the internationalization of the renminbi. </w:t>
      </w:r>
      <w:r>
        <w:rPr>
          <w:i/>
          <w:iCs/>
          <w:shd w:val="clear" w:color="auto" w:fill="FFFFFF"/>
        </w:rPr>
        <w:t>International Affairs</w:t>
      </w:r>
      <w:r>
        <w:rPr>
          <w:shd w:val="clear" w:color="auto" w:fill="FFFFFF"/>
        </w:rPr>
        <w:t>, </w:t>
      </w:r>
      <w:r>
        <w:rPr>
          <w:i/>
          <w:iCs/>
          <w:shd w:val="clear" w:color="auto" w:fill="FFFFFF"/>
        </w:rPr>
        <w:t>95</w:t>
      </w:r>
      <w:r>
        <w:rPr>
          <w:shd w:val="clear" w:color="auto" w:fill="FFFFFF"/>
        </w:rPr>
        <w:t>(5), pp.1131-1148.</w:t>
      </w:r>
    </w:p>
    <w:p w14:paraId="416CF9EA" w14:textId="5EC84937" w:rsidR="006A7E07" w:rsidRPr="00B0496F" w:rsidRDefault="006A7E07" w:rsidP="00133E06">
      <w:pPr>
        <w:rPr>
          <w:lang w:val="en-GB"/>
        </w:rPr>
      </w:pPr>
      <w:r w:rsidRPr="00B0496F">
        <w:rPr>
          <w:shd w:val="clear" w:color="auto" w:fill="FFFFFF"/>
          <w:lang w:val="en-GB"/>
        </w:rPr>
        <w:t>Kim, K. and Kim, S. (2019). Translation Exposure Management. </w:t>
      </w:r>
      <w:r w:rsidRPr="00B0496F">
        <w:rPr>
          <w:i/>
          <w:iCs/>
          <w:shd w:val="clear" w:color="auto" w:fill="FFFFFF"/>
          <w:lang w:val="en-GB"/>
        </w:rPr>
        <w:t xml:space="preserve">World Scientific Book </w:t>
      </w:r>
      <w:r w:rsidRPr="00B0496F">
        <w:rPr>
          <w:i/>
          <w:iCs/>
          <w:shd w:val="clear" w:color="auto" w:fill="FFFFFF"/>
          <w:lang w:val="en-GB"/>
        </w:rPr>
        <w:lastRenderedPageBreak/>
        <w:t>Chapters</w:t>
      </w:r>
      <w:r w:rsidRPr="00B0496F">
        <w:rPr>
          <w:shd w:val="clear" w:color="auto" w:fill="FFFFFF"/>
          <w:lang w:val="en-GB"/>
        </w:rPr>
        <w:t>, pp.157-169.</w:t>
      </w:r>
    </w:p>
    <w:p w14:paraId="0CBC59AB" w14:textId="44ADB998" w:rsidR="006A7E07" w:rsidRPr="00B0496F" w:rsidRDefault="006A7E07" w:rsidP="00133E06">
      <w:pPr>
        <w:rPr>
          <w:lang w:val="en-GB"/>
        </w:rPr>
      </w:pPr>
      <w:r w:rsidRPr="00B0496F">
        <w:rPr>
          <w:shd w:val="clear" w:color="auto" w:fill="FFFFFF"/>
          <w:lang w:val="en-GB"/>
        </w:rPr>
        <w:t>Ma, R., Anderson, H.D. and Marshall, B.R. (2016). International stock market liquidity: A review. </w:t>
      </w:r>
      <w:r w:rsidRPr="00B0496F">
        <w:rPr>
          <w:i/>
          <w:iCs/>
          <w:shd w:val="clear" w:color="auto" w:fill="FFFFFF"/>
          <w:lang w:val="en-GB"/>
        </w:rPr>
        <w:t>Managerial Finance</w:t>
      </w:r>
      <w:r w:rsidRPr="00B0496F">
        <w:rPr>
          <w:shd w:val="clear" w:color="auto" w:fill="FFFFFF"/>
          <w:lang w:val="en-GB"/>
        </w:rPr>
        <w:t>.</w:t>
      </w:r>
    </w:p>
    <w:p w14:paraId="30C8B436" w14:textId="57B5C44C" w:rsidR="006A7E07" w:rsidRPr="00B0496F" w:rsidRDefault="006A7E07" w:rsidP="00133E06">
      <w:pPr>
        <w:rPr>
          <w:lang w:val="en-GB"/>
        </w:rPr>
      </w:pPr>
      <w:proofErr w:type="spellStart"/>
      <w:r w:rsidRPr="00B0496F">
        <w:rPr>
          <w:shd w:val="clear" w:color="auto" w:fill="FFFFFF"/>
          <w:lang w:val="en-GB"/>
        </w:rPr>
        <w:t>Mexmonov</w:t>
      </w:r>
      <w:proofErr w:type="spellEnd"/>
      <w:r w:rsidRPr="00B0496F">
        <w:rPr>
          <w:shd w:val="clear" w:color="auto" w:fill="FFFFFF"/>
          <w:lang w:val="en-GB"/>
        </w:rPr>
        <w:t>, S. (2020). World Experience of Stock Exchange Operations. </w:t>
      </w:r>
      <w:proofErr w:type="spellStart"/>
      <w:r w:rsidRPr="00B0496F">
        <w:rPr>
          <w:i/>
          <w:iCs/>
          <w:shd w:val="clear" w:color="auto" w:fill="FFFFFF"/>
          <w:lang w:val="en-GB"/>
        </w:rPr>
        <w:t>Архив</w:t>
      </w:r>
      <w:proofErr w:type="spellEnd"/>
      <w:r w:rsidRPr="00B0496F">
        <w:rPr>
          <w:i/>
          <w:iCs/>
          <w:shd w:val="clear" w:color="auto" w:fill="FFFFFF"/>
          <w:lang w:val="en-GB"/>
        </w:rPr>
        <w:t xml:space="preserve"> </w:t>
      </w:r>
      <w:proofErr w:type="spellStart"/>
      <w:r w:rsidRPr="00B0496F">
        <w:rPr>
          <w:i/>
          <w:iCs/>
          <w:shd w:val="clear" w:color="auto" w:fill="FFFFFF"/>
          <w:lang w:val="en-GB"/>
        </w:rPr>
        <w:t>научных</w:t>
      </w:r>
      <w:proofErr w:type="spellEnd"/>
      <w:r w:rsidRPr="00B0496F">
        <w:rPr>
          <w:i/>
          <w:iCs/>
          <w:shd w:val="clear" w:color="auto" w:fill="FFFFFF"/>
          <w:lang w:val="en-GB"/>
        </w:rPr>
        <w:t xml:space="preserve"> </w:t>
      </w:r>
      <w:proofErr w:type="spellStart"/>
      <w:r w:rsidRPr="00B0496F">
        <w:rPr>
          <w:i/>
          <w:iCs/>
          <w:shd w:val="clear" w:color="auto" w:fill="FFFFFF"/>
          <w:lang w:val="en-GB"/>
        </w:rPr>
        <w:t>исследований</w:t>
      </w:r>
      <w:proofErr w:type="spellEnd"/>
      <w:r w:rsidRPr="00B0496F">
        <w:rPr>
          <w:shd w:val="clear" w:color="auto" w:fill="FFFFFF"/>
          <w:lang w:val="en-GB"/>
        </w:rPr>
        <w:t>, </w:t>
      </w:r>
      <w:r w:rsidRPr="00B0496F">
        <w:rPr>
          <w:i/>
          <w:iCs/>
          <w:shd w:val="clear" w:color="auto" w:fill="FFFFFF"/>
          <w:lang w:val="en-GB"/>
        </w:rPr>
        <w:t>33</w:t>
      </w:r>
      <w:r w:rsidRPr="00B0496F">
        <w:rPr>
          <w:shd w:val="clear" w:color="auto" w:fill="FFFFFF"/>
          <w:lang w:val="en-GB"/>
        </w:rPr>
        <w:t>(1).</w:t>
      </w:r>
    </w:p>
    <w:p w14:paraId="1EB65336" w14:textId="73388DC5" w:rsidR="006A7E07" w:rsidRPr="00B0496F" w:rsidRDefault="006A7E07" w:rsidP="00133E06">
      <w:pPr>
        <w:rPr>
          <w:lang w:val="en-GB"/>
        </w:rPr>
      </w:pPr>
      <w:proofErr w:type="spellStart"/>
      <w:r w:rsidRPr="00B0496F">
        <w:rPr>
          <w:shd w:val="clear" w:color="auto" w:fill="FFFFFF"/>
          <w:lang w:val="en-GB"/>
        </w:rPr>
        <w:t>Müllner</w:t>
      </w:r>
      <w:proofErr w:type="spellEnd"/>
      <w:r w:rsidRPr="00B0496F">
        <w:rPr>
          <w:shd w:val="clear" w:color="auto" w:fill="FFFFFF"/>
          <w:lang w:val="en-GB"/>
        </w:rPr>
        <w:t>, J. (2017). International project finance: Review and implications for international finance and international business. </w:t>
      </w:r>
      <w:r w:rsidRPr="00B0496F">
        <w:rPr>
          <w:i/>
          <w:iCs/>
          <w:shd w:val="clear" w:color="auto" w:fill="FFFFFF"/>
          <w:lang w:val="en-GB"/>
        </w:rPr>
        <w:t>Management Review Quarterly</w:t>
      </w:r>
      <w:r w:rsidRPr="00B0496F">
        <w:rPr>
          <w:shd w:val="clear" w:color="auto" w:fill="FFFFFF"/>
          <w:lang w:val="en-GB"/>
        </w:rPr>
        <w:t>, </w:t>
      </w:r>
      <w:r w:rsidRPr="00B0496F">
        <w:rPr>
          <w:i/>
          <w:iCs/>
          <w:shd w:val="clear" w:color="auto" w:fill="FFFFFF"/>
          <w:lang w:val="en-GB"/>
        </w:rPr>
        <w:t>67</w:t>
      </w:r>
      <w:r w:rsidRPr="00B0496F">
        <w:rPr>
          <w:shd w:val="clear" w:color="auto" w:fill="FFFFFF"/>
          <w:lang w:val="en-GB"/>
        </w:rPr>
        <w:t>(2), pp.97-133.</w:t>
      </w:r>
    </w:p>
    <w:p w14:paraId="53A2FF0E" w14:textId="5BA3A990" w:rsidR="006A7E07" w:rsidRPr="00D62830" w:rsidRDefault="006A7E07" w:rsidP="006A7E07">
      <w:proofErr w:type="spellStart"/>
      <w:r>
        <w:rPr>
          <w:shd w:val="clear" w:color="auto" w:fill="FFFFFF"/>
        </w:rPr>
        <w:t>Ratten</w:t>
      </w:r>
      <w:proofErr w:type="spellEnd"/>
      <w:r>
        <w:rPr>
          <w:shd w:val="clear" w:color="auto" w:fill="FFFFFF"/>
        </w:rPr>
        <w:t xml:space="preserve">, V., Dana, L.P. and </w:t>
      </w:r>
      <w:proofErr w:type="spellStart"/>
      <w:r>
        <w:rPr>
          <w:shd w:val="clear" w:color="auto" w:fill="FFFFFF"/>
        </w:rPr>
        <w:t>Ramadani</w:t>
      </w:r>
      <w:proofErr w:type="spellEnd"/>
      <w:r>
        <w:rPr>
          <w:shd w:val="clear" w:color="auto" w:fill="FFFFFF"/>
        </w:rPr>
        <w:t xml:space="preserve">, V. (2017). </w:t>
      </w:r>
      <w:proofErr w:type="spellStart"/>
      <w:r>
        <w:rPr>
          <w:shd w:val="clear" w:color="auto" w:fill="FFFFFF"/>
        </w:rPr>
        <w:t>Internationalisation</w:t>
      </w:r>
      <w:proofErr w:type="spellEnd"/>
      <w:r>
        <w:rPr>
          <w:shd w:val="clear" w:color="auto" w:fill="FFFFFF"/>
        </w:rPr>
        <w:t xml:space="preserve"> of family business groups in transition economies. </w:t>
      </w:r>
      <w:r>
        <w:rPr>
          <w:i/>
          <w:iCs/>
          <w:shd w:val="clear" w:color="auto" w:fill="FFFFFF"/>
        </w:rPr>
        <w:t>International Journal of Entrepreneurship and Small Business</w:t>
      </w:r>
      <w:r>
        <w:rPr>
          <w:shd w:val="clear" w:color="auto" w:fill="FFFFFF"/>
        </w:rPr>
        <w:t>, </w:t>
      </w:r>
      <w:r>
        <w:rPr>
          <w:i/>
          <w:iCs/>
          <w:shd w:val="clear" w:color="auto" w:fill="FFFFFF"/>
        </w:rPr>
        <w:t>30</w:t>
      </w:r>
      <w:r>
        <w:rPr>
          <w:shd w:val="clear" w:color="auto" w:fill="FFFFFF"/>
        </w:rPr>
        <w:t>(4), pp.509-525.</w:t>
      </w:r>
    </w:p>
    <w:p w14:paraId="2F1F9E05" w14:textId="30ACE1D7" w:rsidR="006A7E07" w:rsidRPr="00B0496F" w:rsidRDefault="006A7E07" w:rsidP="00133E06">
      <w:pPr>
        <w:rPr>
          <w:lang w:val="en-GB"/>
        </w:rPr>
      </w:pPr>
      <w:proofErr w:type="spellStart"/>
      <w:r w:rsidRPr="00B0496F">
        <w:rPr>
          <w:shd w:val="clear" w:color="auto" w:fill="FFFFFF"/>
          <w:lang w:val="en-GB"/>
        </w:rPr>
        <w:t>Růčková</w:t>
      </w:r>
      <w:proofErr w:type="spellEnd"/>
      <w:r w:rsidRPr="00B0496F">
        <w:rPr>
          <w:shd w:val="clear" w:color="auto" w:fill="FFFFFF"/>
          <w:lang w:val="en-GB"/>
        </w:rPr>
        <w:t xml:space="preserve">, P. and </w:t>
      </w:r>
      <w:proofErr w:type="spellStart"/>
      <w:r w:rsidRPr="00B0496F">
        <w:rPr>
          <w:shd w:val="clear" w:color="auto" w:fill="FFFFFF"/>
          <w:lang w:val="en-GB"/>
        </w:rPr>
        <w:t>Stavárek</w:t>
      </w:r>
      <w:proofErr w:type="spellEnd"/>
      <w:r w:rsidRPr="00B0496F">
        <w:rPr>
          <w:shd w:val="clear" w:color="auto" w:fill="FFFFFF"/>
          <w:lang w:val="en-GB"/>
        </w:rPr>
        <w:t xml:space="preserve">, D. (2020). Are there differences in the use of debt capital in enterprises of different </w:t>
      </w:r>
      <w:proofErr w:type="gramStart"/>
      <w:r w:rsidRPr="00B0496F">
        <w:rPr>
          <w:shd w:val="clear" w:color="auto" w:fill="FFFFFF"/>
          <w:lang w:val="en-GB"/>
        </w:rPr>
        <w:t>size?.</w:t>
      </w:r>
      <w:proofErr w:type="gramEnd"/>
      <w:r w:rsidRPr="00B0496F">
        <w:rPr>
          <w:shd w:val="clear" w:color="auto" w:fill="FFFFFF"/>
          <w:lang w:val="en-GB"/>
        </w:rPr>
        <w:t> </w:t>
      </w:r>
      <w:r w:rsidRPr="00B0496F">
        <w:rPr>
          <w:i/>
          <w:iCs/>
          <w:shd w:val="clear" w:color="auto" w:fill="FFFFFF"/>
          <w:lang w:val="en-GB"/>
        </w:rPr>
        <w:t>International Journal of Monetary Economics and Finance</w:t>
      </w:r>
      <w:r w:rsidRPr="00B0496F">
        <w:rPr>
          <w:shd w:val="clear" w:color="auto" w:fill="FFFFFF"/>
          <w:lang w:val="en-GB"/>
        </w:rPr>
        <w:t>, </w:t>
      </w:r>
      <w:r w:rsidRPr="00B0496F">
        <w:rPr>
          <w:i/>
          <w:iCs/>
          <w:shd w:val="clear" w:color="auto" w:fill="FFFFFF"/>
          <w:lang w:val="en-GB"/>
        </w:rPr>
        <w:t>13</w:t>
      </w:r>
      <w:r w:rsidRPr="00B0496F">
        <w:rPr>
          <w:shd w:val="clear" w:color="auto" w:fill="FFFFFF"/>
          <w:lang w:val="en-GB"/>
        </w:rPr>
        <w:t>(2), pp.163-176.</w:t>
      </w:r>
    </w:p>
    <w:p w14:paraId="6AFDE8CD" w14:textId="7360B77D" w:rsidR="006A7E07" w:rsidRPr="00B0496F" w:rsidRDefault="006A7E07" w:rsidP="00133E06">
      <w:pPr>
        <w:rPr>
          <w:lang w:val="en-GB"/>
        </w:rPr>
      </w:pPr>
      <w:r w:rsidRPr="00B0496F">
        <w:rPr>
          <w:shd w:val="clear" w:color="auto" w:fill="FFFFFF"/>
          <w:lang w:val="en-GB"/>
        </w:rPr>
        <w:t xml:space="preserve">Schmidt, P.S., von </w:t>
      </w:r>
      <w:proofErr w:type="spellStart"/>
      <w:r w:rsidRPr="00B0496F">
        <w:rPr>
          <w:shd w:val="clear" w:color="auto" w:fill="FFFFFF"/>
          <w:lang w:val="en-GB"/>
        </w:rPr>
        <w:t>Arx</w:t>
      </w:r>
      <w:proofErr w:type="spellEnd"/>
      <w:r w:rsidRPr="00B0496F">
        <w:rPr>
          <w:shd w:val="clear" w:color="auto" w:fill="FFFFFF"/>
          <w:lang w:val="en-GB"/>
        </w:rPr>
        <w:t xml:space="preserve">, U., </w:t>
      </w:r>
      <w:proofErr w:type="spellStart"/>
      <w:r w:rsidRPr="00B0496F">
        <w:rPr>
          <w:shd w:val="clear" w:color="auto" w:fill="FFFFFF"/>
          <w:lang w:val="en-GB"/>
        </w:rPr>
        <w:t>Schrimpf</w:t>
      </w:r>
      <w:proofErr w:type="spellEnd"/>
      <w:r w:rsidRPr="00B0496F">
        <w:rPr>
          <w:shd w:val="clear" w:color="auto" w:fill="FFFFFF"/>
          <w:lang w:val="en-GB"/>
        </w:rPr>
        <w:t>, A., Wagner, A.F. and Ziegler, A. (2019). Common risk factors in international stock markets. </w:t>
      </w:r>
      <w:r w:rsidRPr="00B0496F">
        <w:rPr>
          <w:i/>
          <w:iCs/>
          <w:shd w:val="clear" w:color="auto" w:fill="FFFFFF"/>
          <w:lang w:val="en-GB"/>
        </w:rPr>
        <w:t>Financial Markets and Portfolio Management</w:t>
      </w:r>
      <w:r w:rsidRPr="00B0496F">
        <w:rPr>
          <w:shd w:val="clear" w:color="auto" w:fill="FFFFFF"/>
          <w:lang w:val="en-GB"/>
        </w:rPr>
        <w:t>, </w:t>
      </w:r>
      <w:r w:rsidRPr="00B0496F">
        <w:rPr>
          <w:i/>
          <w:iCs/>
          <w:shd w:val="clear" w:color="auto" w:fill="FFFFFF"/>
          <w:lang w:val="en-GB"/>
        </w:rPr>
        <w:t>33</w:t>
      </w:r>
      <w:r w:rsidRPr="00B0496F">
        <w:rPr>
          <w:shd w:val="clear" w:color="auto" w:fill="FFFFFF"/>
          <w:lang w:val="en-GB"/>
        </w:rPr>
        <w:t>(3), pp.213-241.</w:t>
      </w:r>
    </w:p>
    <w:p w14:paraId="29D8E926" w14:textId="77777777" w:rsidR="00326DE9" w:rsidRPr="00B0496F" w:rsidRDefault="00326DE9" w:rsidP="00326DE9">
      <w:pPr>
        <w:rPr>
          <w:lang w:val="en-GB"/>
        </w:rPr>
      </w:pPr>
    </w:p>
    <w:p w14:paraId="01752735" w14:textId="77777777" w:rsidR="00326DE9" w:rsidRPr="00B0496F" w:rsidRDefault="00326DE9" w:rsidP="00326DE9">
      <w:pPr>
        <w:rPr>
          <w:lang w:val="en-GB"/>
        </w:rPr>
      </w:pPr>
    </w:p>
    <w:sectPr w:rsidR="00326DE9" w:rsidRPr="00B0496F" w:rsidSect="00CF00BA">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CC"/>
    <w:family w:val="swiss"/>
    <w:pitch w:val="variable"/>
    <w:sig w:usb0="E4002EFF" w:usb1="C000247B" w:usb2="00000009" w:usb3="00000000" w:csb0="000001FF" w:csb1="00000000"/>
  </w:font>
  <w:font w:name="Noto Sans">
    <w:charset w:val="00"/>
    <w:family w:val="swiss"/>
    <w:pitch w:val="variable"/>
    <w:sig w:usb0="E00082FF" w:usb1="400078FF" w:usb2="00000021" w:usb3="00000000" w:csb0="0000019F" w:csb1="00000000"/>
  </w:font>
  <w:font w:name="Calibri Light">
    <w:panose1 w:val="020F0302020204030204"/>
    <w:charset w:val="CC"/>
    <w:family w:val="swiss"/>
    <w:pitch w:val="variable"/>
    <w:sig w:usb0="E4002EFF" w:usb1="C000247B" w:usb2="00000009" w:usb3="00000000" w:csb0="000001FF" w:csb1="00000000"/>
  </w:font>
  <w:font w:name="Arial">
    <w:panose1 w:val="020B0604020202020204"/>
    <w:charset w:val="CC"/>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6303EB5"/>
    <w:multiLevelType w:val="hybridMultilevel"/>
    <w:tmpl w:val="CA0CEAE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81490845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0"/>
  <w:proofState w:spelling="clean" w:grammar="clean"/>
  <w:defaultTabStop w:val="720"/>
  <w:hyphenationZone w:val="425"/>
  <w:characterSpacingControl w:val="doNotCompress"/>
  <w:compat>
    <w:compatSetting w:name="compatibilityMode" w:uri="http://schemas.microsoft.com/office/word" w:val="12"/>
    <w:compatSetting w:name="allowHyphenationAtTrackBottom" w:uri="http://schemas.microsoft.com/office/word" w:val="1"/>
    <w:compatSetting w:name="useWord2013TrackBottomHyphenation" w:uri="http://schemas.microsoft.com/office/word" w:val="1"/>
  </w:compat>
  <w:rsids>
    <w:rsidRoot w:val="007F3C2E"/>
    <w:rsid w:val="00031035"/>
    <w:rsid w:val="00040A62"/>
    <w:rsid w:val="0004187D"/>
    <w:rsid w:val="00094121"/>
    <w:rsid w:val="00133E06"/>
    <w:rsid w:val="001852B5"/>
    <w:rsid w:val="001C607F"/>
    <w:rsid w:val="001D5EE8"/>
    <w:rsid w:val="00250D92"/>
    <w:rsid w:val="0027609B"/>
    <w:rsid w:val="002767D8"/>
    <w:rsid w:val="00280535"/>
    <w:rsid w:val="00283C8A"/>
    <w:rsid w:val="002A6E7A"/>
    <w:rsid w:val="002E0A9F"/>
    <w:rsid w:val="00303438"/>
    <w:rsid w:val="00321C94"/>
    <w:rsid w:val="00326DE9"/>
    <w:rsid w:val="00332449"/>
    <w:rsid w:val="00336BAD"/>
    <w:rsid w:val="003460A1"/>
    <w:rsid w:val="00386D43"/>
    <w:rsid w:val="00437A89"/>
    <w:rsid w:val="00452415"/>
    <w:rsid w:val="004572A2"/>
    <w:rsid w:val="00472CB7"/>
    <w:rsid w:val="00495738"/>
    <w:rsid w:val="004D0EF2"/>
    <w:rsid w:val="00506E00"/>
    <w:rsid w:val="005133B1"/>
    <w:rsid w:val="0059004F"/>
    <w:rsid w:val="005B7AF4"/>
    <w:rsid w:val="00623A63"/>
    <w:rsid w:val="006518D9"/>
    <w:rsid w:val="00666211"/>
    <w:rsid w:val="006A7E07"/>
    <w:rsid w:val="006B0232"/>
    <w:rsid w:val="006F6A09"/>
    <w:rsid w:val="0078114B"/>
    <w:rsid w:val="007B7048"/>
    <w:rsid w:val="007C4771"/>
    <w:rsid w:val="007D3330"/>
    <w:rsid w:val="007F3C2E"/>
    <w:rsid w:val="008056F7"/>
    <w:rsid w:val="008845EA"/>
    <w:rsid w:val="008B2C47"/>
    <w:rsid w:val="008C44D9"/>
    <w:rsid w:val="008D1A22"/>
    <w:rsid w:val="008D66FD"/>
    <w:rsid w:val="00905F81"/>
    <w:rsid w:val="00931796"/>
    <w:rsid w:val="009C6F49"/>
    <w:rsid w:val="009D2DD8"/>
    <w:rsid w:val="009E3561"/>
    <w:rsid w:val="00A16976"/>
    <w:rsid w:val="00A30D9C"/>
    <w:rsid w:val="00A33815"/>
    <w:rsid w:val="00A90AA3"/>
    <w:rsid w:val="00AC1BA7"/>
    <w:rsid w:val="00AD106F"/>
    <w:rsid w:val="00AE3D93"/>
    <w:rsid w:val="00B0496F"/>
    <w:rsid w:val="00B1715B"/>
    <w:rsid w:val="00B23424"/>
    <w:rsid w:val="00B67A9C"/>
    <w:rsid w:val="00B73181"/>
    <w:rsid w:val="00B86EC4"/>
    <w:rsid w:val="00BC2C45"/>
    <w:rsid w:val="00C2754A"/>
    <w:rsid w:val="00C53495"/>
    <w:rsid w:val="00C63DDA"/>
    <w:rsid w:val="00C94C56"/>
    <w:rsid w:val="00CA20C8"/>
    <w:rsid w:val="00CB1512"/>
    <w:rsid w:val="00CE4A62"/>
    <w:rsid w:val="00CF00BA"/>
    <w:rsid w:val="00CF7964"/>
    <w:rsid w:val="00D209D4"/>
    <w:rsid w:val="00D20F91"/>
    <w:rsid w:val="00DA62C9"/>
    <w:rsid w:val="00DC6D72"/>
    <w:rsid w:val="00DE1240"/>
    <w:rsid w:val="00EA1361"/>
    <w:rsid w:val="00EE3737"/>
    <w:rsid w:val="00F10E84"/>
    <w:rsid w:val="00F30F64"/>
    <w:rsid w:val="00F31765"/>
    <w:rsid w:val="00F73BBE"/>
    <w:rsid w:val="00FD1BED"/>
    <w:rsid w:val="00FE4172"/>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9"/>
    <o:shapelayout v:ext="edit">
      <o:idmap v:ext="edit" data="1"/>
    </o:shapelayout>
  </w:shapeDefaults>
  <w:decimalSymbol w:val="."/>
  <w:listSeparator w:val=","/>
  <w14:docId w14:val="15427618"/>
  <w15:docId w15:val="{FF8ABB49-1912-4033-B514-0FDD0461A2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Noto Sans"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C1BA7"/>
    <w:pPr>
      <w:widowControl w:val="0"/>
      <w:autoSpaceDE w:val="0"/>
      <w:autoSpaceDN w:val="0"/>
      <w:spacing w:before="120" w:after="120" w:line="360" w:lineRule="auto"/>
      <w:jc w:val="both"/>
    </w:pPr>
    <w:rPr>
      <w:rFonts w:ascii="Times New Roman" w:hAnsi="Times New Roman" w:cs="Noto Sans"/>
      <w:sz w:val="24"/>
      <w:lang w:val="en-US" w:eastAsia="ro-RO"/>
    </w:rPr>
  </w:style>
  <w:style w:type="paragraph" w:styleId="Heading1">
    <w:name w:val="heading 1"/>
    <w:basedOn w:val="Normal"/>
    <w:next w:val="Normal"/>
    <w:link w:val="Heading1Char"/>
    <w:uiPriority w:val="9"/>
    <w:qFormat/>
    <w:rsid w:val="007C4771"/>
    <w:pPr>
      <w:keepNext/>
      <w:keepLines/>
      <w:spacing w:before="680" w:after="440"/>
      <w:outlineLvl w:val="0"/>
    </w:pPr>
    <w:rPr>
      <w:rFonts w:eastAsiaTheme="majorEastAsia" w:cstheme="majorBidi"/>
      <w:b/>
      <w:szCs w:val="40"/>
    </w:rPr>
  </w:style>
  <w:style w:type="paragraph" w:styleId="Heading2">
    <w:name w:val="heading 2"/>
    <w:basedOn w:val="Normal"/>
    <w:next w:val="Normal"/>
    <w:link w:val="Heading2Char"/>
    <w:uiPriority w:val="9"/>
    <w:semiHidden/>
    <w:unhideWhenUsed/>
    <w:qFormat/>
    <w:rsid w:val="007C4771"/>
    <w:pPr>
      <w:keepNext/>
      <w:keepLines/>
      <w:spacing w:before="400" w:after="280"/>
      <w:outlineLvl w:val="1"/>
    </w:pPr>
    <w:rPr>
      <w:rFonts w:eastAsiaTheme="majorEastAsia" w:cstheme="majorBidi"/>
      <w:b/>
      <w:szCs w:val="32"/>
    </w:rPr>
  </w:style>
  <w:style w:type="paragraph" w:styleId="Heading3">
    <w:name w:val="heading 3"/>
    <w:basedOn w:val="Normal"/>
    <w:next w:val="Normal"/>
    <w:link w:val="Heading3Char"/>
    <w:uiPriority w:val="9"/>
    <w:semiHidden/>
    <w:unhideWhenUsed/>
    <w:qFormat/>
    <w:rsid w:val="007C4771"/>
    <w:pPr>
      <w:keepNext/>
      <w:keepLines/>
      <w:spacing w:before="160"/>
      <w:outlineLvl w:val="2"/>
    </w:pPr>
    <w:rPr>
      <w:rFonts w:eastAsiaTheme="majorEastAsia" w:cstheme="majorBidi"/>
      <w:b/>
      <w:i/>
      <w:szCs w:val="32"/>
    </w:rPr>
  </w:style>
  <w:style w:type="paragraph" w:styleId="Heading4">
    <w:name w:val="heading 4"/>
    <w:basedOn w:val="Normal"/>
    <w:next w:val="Normal"/>
    <w:link w:val="Heading4Char"/>
    <w:uiPriority w:val="9"/>
    <w:semiHidden/>
    <w:unhideWhenUsed/>
    <w:qFormat/>
    <w:rsid w:val="00905F81"/>
    <w:pPr>
      <w:keepNext/>
      <w:keepLines/>
      <w:spacing w:before="160"/>
      <w:ind w:left="720"/>
      <w:outlineLvl w:val="3"/>
    </w:pPr>
    <w:rPr>
      <w:rFonts w:eastAsiaTheme="majorEastAsia" w:cstheme="majorBidi"/>
      <w:b/>
      <w:iCs/>
    </w:rPr>
  </w:style>
  <w:style w:type="paragraph" w:styleId="Heading5">
    <w:name w:val="heading 5"/>
    <w:basedOn w:val="Normal"/>
    <w:next w:val="Normal"/>
    <w:link w:val="Heading5Char"/>
    <w:uiPriority w:val="9"/>
    <w:semiHidden/>
    <w:unhideWhenUsed/>
    <w:qFormat/>
    <w:rsid w:val="00905F81"/>
    <w:pPr>
      <w:keepNext/>
      <w:keepLines/>
      <w:spacing w:before="40"/>
      <w:outlineLvl w:val="4"/>
    </w:pPr>
    <w:rPr>
      <w:rFonts w:eastAsiaTheme="majorEastAsia" w:cstheme="majorBidi"/>
      <w:i/>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C4771"/>
    <w:pPr>
      <w:spacing w:after="0" w:line="240" w:lineRule="auto"/>
      <w:jc w:val="both"/>
    </w:pPr>
    <w:rPr>
      <w:rFonts w:ascii="Times New Roman" w:eastAsiaTheme="minorEastAsia" w:hAnsi="Times New Roman"/>
      <w:sz w:val="24"/>
      <w:szCs w:val="21"/>
    </w:rPr>
  </w:style>
  <w:style w:type="paragraph" w:styleId="Title">
    <w:name w:val="Title"/>
    <w:basedOn w:val="Normal"/>
    <w:next w:val="Normal"/>
    <w:link w:val="TitleChar"/>
    <w:uiPriority w:val="10"/>
    <w:qFormat/>
    <w:rsid w:val="007C4771"/>
    <w:pPr>
      <w:pBdr>
        <w:top w:val="single" w:sz="6" w:space="8" w:color="A5A5A5" w:themeColor="accent3"/>
        <w:bottom w:val="single" w:sz="6" w:space="8" w:color="A5A5A5" w:themeColor="accent3"/>
      </w:pBdr>
      <w:spacing w:after="400"/>
      <w:contextualSpacing/>
      <w:jc w:val="center"/>
    </w:pPr>
    <w:rPr>
      <w:rFonts w:eastAsiaTheme="majorEastAsia" w:cstheme="majorBidi"/>
      <w:b/>
      <w:caps/>
      <w:spacing w:val="30"/>
      <w:sz w:val="56"/>
      <w:szCs w:val="72"/>
    </w:rPr>
  </w:style>
  <w:style w:type="character" w:customStyle="1" w:styleId="TitleChar">
    <w:name w:val="Title Char"/>
    <w:basedOn w:val="DefaultParagraphFont"/>
    <w:link w:val="Title"/>
    <w:uiPriority w:val="10"/>
    <w:rsid w:val="007C4771"/>
    <w:rPr>
      <w:rFonts w:ascii="Times New Roman" w:eastAsiaTheme="majorEastAsia" w:hAnsi="Times New Roman" w:cstheme="majorBidi"/>
      <w:b/>
      <w:caps/>
      <w:spacing w:val="30"/>
      <w:sz w:val="56"/>
      <w:szCs w:val="72"/>
    </w:rPr>
  </w:style>
  <w:style w:type="paragraph" w:styleId="Subtitle">
    <w:name w:val="Subtitle"/>
    <w:basedOn w:val="Normal"/>
    <w:next w:val="Normal"/>
    <w:link w:val="SubtitleChar"/>
    <w:uiPriority w:val="11"/>
    <w:qFormat/>
    <w:rsid w:val="00905F81"/>
    <w:pPr>
      <w:numPr>
        <w:ilvl w:val="1"/>
      </w:numPr>
      <w:jc w:val="center"/>
    </w:pPr>
    <w:rPr>
      <w:b/>
      <w:sz w:val="44"/>
      <w:szCs w:val="28"/>
    </w:rPr>
  </w:style>
  <w:style w:type="character" w:customStyle="1" w:styleId="SubtitleChar">
    <w:name w:val="Subtitle Char"/>
    <w:basedOn w:val="DefaultParagraphFont"/>
    <w:link w:val="Subtitle"/>
    <w:uiPriority w:val="11"/>
    <w:rsid w:val="00905F81"/>
    <w:rPr>
      <w:rFonts w:ascii="Times New Roman" w:hAnsi="Times New Roman"/>
      <w:b/>
      <w:sz w:val="44"/>
      <w:szCs w:val="28"/>
    </w:rPr>
  </w:style>
  <w:style w:type="character" w:customStyle="1" w:styleId="Heading1Char">
    <w:name w:val="Heading 1 Char"/>
    <w:basedOn w:val="DefaultParagraphFont"/>
    <w:link w:val="Heading1"/>
    <w:uiPriority w:val="9"/>
    <w:rsid w:val="007C4771"/>
    <w:rPr>
      <w:rFonts w:ascii="Times New Roman" w:eastAsiaTheme="majorEastAsia" w:hAnsi="Times New Roman" w:cstheme="majorBidi"/>
      <w:b/>
      <w:sz w:val="24"/>
      <w:szCs w:val="40"/>
    </w:rPr>
  </w:style>
  <w:style w:type="character" w:customStyle="1" w:styleId="Heading2Char">
    <w:name w:val="Heading 2 Char"/>
    <w:basedOn w:val="DefaultParagraphFont"/>
    <w:link w:val="Heading2"/>
    <w:uiPriority w:val="9"/>
    <w:semiHidden/>
    <w:rsid w:val="007C4771"/>
    <w:rPr>
      <w:rFonts w:ascii="Times New Roman" w:eastAsiaTheme="majorEastAsia" w:hAnsi="Times New Roman" w:cstheme="majorBidi"/>
      <w:b/>
      <w:sz w:val="24"/>
      <w:szCs w:val="32"/>
    </w:rPr>
  </w:style>
  <w:style w:type="character" w:customStyle="1" w:styleId="Heading3Char">
    <w:name w:val="Heading 3 Char"/>
    <w:basedOn w:val="DefaultParagraphFont"/>
    <w:link w:val="Heading3"/>
    <w:uiPriority w:val="9"/>
    <w:semiHidden/>
    <w:rsid w:val="007C4771"/>
    <w:rPr>
      <w:rFonts w:ascii="Times New Roman" w:eastAsiaTheme="majorEastAsia" w:hAnsi="Times New Roman" w:cstheme="majorBidi"/>
      <w:b/>
      <w:i/>
      <w:sz w:val="24"/>
      <w:szCs w:val="32"/>
    </w:rPr>
  </w:style>
  <w:style w:type="paragraph" w:styleId="TOCHeading">
    <w:name w:val="TOC Heading"/>
    <w:basedOn w:val="Heading1"/>
    <w:next w:val="Normal"/>
    <w:uiPriority w:val="39"/>
    <w:unhideWhenUsed/>
    <w:qFormat/>
    <w:rsid w:val="00905F81"/>
    <w:pPr>
      <w:spacing w:before="240" w:after="0"/>
      <w:outlineLvl w:val="9"/>
    </w:pPr>
    <w:rPr>
      <w:sz w:val="32"/>
      <w:szCs w:val="32"/>
    </w:rPr>
  </w:style>
  <w:style w:type="character" w:styleId="Strong">
    <w:name w:val="Strong"/>
    <w:basedOn w:val="DefaultParagraphFont"/>
    <w:uiPriority w:val="22"/>
    <w:qFormat/>
    <w:rsid w:val="00905F81"/>
    <w:rPr>
      <w:rFonts w:ascii="Times New Roman" w:hAnsi="Times New Roman"/>
      <w:b/>
      <w:bCs/>
      <w:sz w:val="36"/>
    </w:rPr>
  </w:style>
  <w:style w:type="character" w:customStyle="1" w:styleId="Heading4Char">
    <w:name w:val="Heading 4 Char"/>
    <w:basedOn w:val="DefaultParagraphFont"/>
    <w:link w:val="Heading4"/>
    <w:uiPriority w:val="9"/>
    <w:semiHidden/>
    <w:rsid w:val="00905F81"/>
    <w:rPr>
      <w:rFonts w:ascii="Times New Roman" w:eastAsiaTheme="majorEastAsia" w:hAnsi="Times New Roman" w:cstheme="majorBidi"/>
      <w:b/>
      <w:iCs/>
      <w:sz w:val="24"/>
      <w:szCs w:val="21"/>
    </w:rPr>
  </w:style>
  <w:style w:type="character" w:customStyle="1" w:styleId="Heading5Char">
    <w:name w:val="Heading 5 Char"/>
    <w:basedOn w:val="DefaultParagraphFont"/>
    <w:link w:val="Heading5"/>
    <w:uiPriority w:val="9"/>
    <w:semiHidden/>
    <w:rsid w:val="00905F81"/>
    <w:rPr>
      <w:rFonts w:ascii="Times New Roman" w:eastAsiaTheme="majorEastAsia" w:hAnsi="Times New Roman" w:cstheme="majorBidi"/>
      <w:i/>
      <w:sz w:val="24"/>
      <w:szCs w:val="21"/>
      <w:u w:val="single"/>
    </w:rPr>
  </w:style>
  <w:style w:type="paragraph" w:styleId="ListParagraph">
    <w:name w:val="List Paragraph"/>
    <w:basedOn w:val="Normal"/>
    <w:uiPriority w:val="34"/>
    <w:qFormat/>
    <w:rsid w:val="00FE4172"/>
    <w:pPr>
      <w:ind w:left="720"/>
      <w:contextualSpacing/>
    </w:pPr>
  </w:style>
  <w:style w:type="paragraph" w:styleId="TOC1">
    <w:name w:val="toc 1"/>
    <w:basedOn w:val="Normal"/>
    <w:next w:val="Normal"/>
    <w:autoRedefine/>
    <w:uiPriority w:val="39"/>
    <w:unhideWhenUsed/>
    <w:rsid w:val="00CF7964"/>
    <w:pPr>
      <w:tabs>
        <w:tab w:val="left" w:pos="1170"/>
        <w:tab w:val="right" w:leader="dot" w:pos="9016"/>
      </w:tabs>
      <w:spacing w:after="100"/>
    </w:pPr>
  </w:style>
  <w:style w:type="character" w:styleId="Hyperlink">
    <w:name w:val="Hyperlink"/>
    <w:basedOn w:val="DefaultParagraphFont"/>
    <w:uiPriority w:val="99"/>
    <w:unhideWhenUsed/>
    <w:rsid w:val="00FD1BED"/>
    <w:rPr>
      <w:color w:val="0563C1" w:themeColor="hyperlink"/>
      <w:u w:val="single"/>
    </w:rPr>
  </w:style>
  <w:style w:type="table" w:styleId="TableGrid">
    <w:name w:val="Table Grid"/>
    <w:basedOn w:val="TableNormal"/>
    <w:uiPriority w:val="39"/>
    <w:rsid w:val="005133B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094121"/>
    <w:pPr>
      <w:spacing w:before="0" w:after="200" w:line="240" w:lineRule="auto"/>
    </w:pPr>
    <w:rPr>
      <w:i/>
      <w:iCs/>
      <w:color w:val="44546A" w:themeColor="text2"/>
      <w:sz w:val="18"/>
      <w:szCs w:val="18"/>
    </w:rPr>
  </w:style>
  <w:style w:type="character" w:customStyle="1" w:styleId="NoSpacingChar">
    <w:name w:val="No Spacing Char"/>
    <w:basedOn w:val="DefaultParagraphFont"/>
    <w:link w:val="NoSpacing"/>
    <w:uiPriority w:val="1"/>
    <w:rsid w:val="00CF00BA"/>
    <w:rPr>
      <w:rFonts w:ascii="Times New Roman" w:eastAsiaTheme="minorEastAsia" w:hAnsi="Times New Roman"/>
      <w:sz w:val="24"/>
      <w:szCs w:val="2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04879">
      <w:bodyDiv w:val="1"/>
      <w:marLeft w:val="0"/>
      <w:marRight w:val="0"/>
      <w:marTop w:val="0"/>
      <w:marBottom w:val="0"/>
      <w:divBdr>
        <w:top w:val="none" w:sz="0" w:space="0" w:color="auto"/>
        <w:left w:val="none" w:sz="0" w:space="0" w:color="auto"/>
        <w:bottom w:val="none" w:sz="0" w:space="0" w:color="auto"/>
        <w:right w:val="none" w:sz="0" w:space="0" w:color="auto"/>
      </w:divBdr>
      <w:divsChild>
        <w:div w:id="1066221959">
          <w:marLeft w:val="547"/>
          <w:marRight w:val="0"/>
          <w:marTop w:val="0"/>
          <w:marBottom w:val="0"/>
          <w:divBdr>
            <w:top w:val="none" w:sz="0" w:space="0" w:color="auto"/>
            <w:left w:val="none" w:sz="0" w:space="0" w:color="auto"/>
            <w:bottom w:val="none" w:sz="0" w:space="0" w:color="auto"/>
            <w:right w:val="none" w:sz="0" w:space="0" w:color="auto"/>
          </w:divBdr>
        </w:div>
        <w:div w:id="1101338389">
          <w:marLeft w:val="547"/>
          <w:marRight w:val="0"/>
          <w:marTop w:val="0"/>
          <w:marBottom w:val="0"/>
          <w:divBdr>
            <w:top w:val="none" w:sz="0" w:space="0" w:color="auto"/>
            <w:left w:val="none" w:sz="0" w:space="0" w:color="auto"/>
            <w:bottom w:val="none" w:sz="0" w:space="0" w:color="auto"/>
            <w:right w:val="none" w:sz="0" w:space="0" w:color="auto"/>
          </w:divBdr>
        </w:div>
        <w:div w:id="1600286527">
          <w:marLeft w:val="547"/>
          <w:marRight w:val="0"/>
          <w:marTop w:val="0"/>
          <w:marBottom w:val="0"/>
          <w:divBdr>
            <w:top w:val="none" w:sz="0" w:space="0" w:color="auto"/>
            <w:left w:val="none" w:sz="0" w:space="0" w:color="auto"/>
            <w:bottom w:val="none" w:sz="0" w:space="0" w:color="auto"/>
            <w:right w:val="none" w:sz="0" w:space="0" w:color="auto"/>
          </w:divBdr>
        </w:div>
        <w:div w:id="1784153979">
          <w:marLeft w:val="547"/>
          <w:marRight w:val="0"/>
          <w:marTop w:val="0"/>
          <w:marBottom w:val="0"/>
          <w:divBdr>
            <w:top w:val="none" w:sz="0" w:space="0" w:color="auto"/>
            <w:left w:val="none" w:sz="0" w:space="0" w:color="auto"/>
            <w:bottom w:val="none" w:sz="0" w:space="0" w:color="auto"/>
            <w:right w:val="none" w:sz="0" w:space="0" w:color="auto"/>
          </w:divBdr>
        </w:div>
        <w:div w:id="2001731628">
          <w:marLeft w:val="547"/>
          <w:marRight w:val="0"/>
          <w:marTop w:val="0"/>
          <w:marBottom w:val="0"/>
          <w:divBdr>
            <w:top w:val="none" w:sz="0" w:space="0" w:color="auto"/>
            <w:left w:val="none" w:sz="0" w:space="0" w:color="auto"/>
            <w:bottom w:val="none" w:sz="0" w:space="0" w:color="auto"/>
            <w:right w:val="none" w:sz="0" w:space="0" w:color="auto"/>
          </w:divBdr>
        </w:div>
        <w:div w:id="2099595018">
          <w:marLeft w:val="547"/>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diagramQuickStyle" Target="diagrams/quickStyle1.xml"/><Relationship Id="rId3" Type="http://schemas.openxmlformats.org/officeDocument/2006/relationships/numbering" Target="numbering.xml"/><Relationship Id="rId7" Type="http://schemas.openxmlformats.org/officeDocument/2006/relationships/image" Target="media/image1.png"/><Relationship Id="rId12" Type="http://schemas.openxmlformats.org/officeDocument/2006/relationships/diagramLayout" Target="diagrams/layout1.xm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diagramData" Target="diagrams/data1.xml"/><Relationship Id="rId5" Type="http://schemas.openxmlformats.org/officeDocument/2006/relationships/settings" Target="settings.xml"/><Relationship Id="rId15" Type="http://schemas.microsoft.com/office/2007/relationships/diagramDrawing" Target="diagrams/drawing1.xml"/><Relationship Id="rId10" Type="http://schemas.openxmlformats.org/officeDocument/2006/relationships/image" Target="media/image4.png"/><Relationship Id="rId4" Type="http://schemas.openxmlformats.org/officeDocument/2006/relationships/styles" Target="styles.xml"/><Relationship Id="rId9" Type="http://schemas.openxmlformats.org/officeDocument/2006/relationships/image" Target="media/image3.png"/><Relationship Id="rId14" Type="http://schemas.openxmlformats.org/officeDocument/2006/relationships/diagramColors" Target="diagrams/colors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305AD97A-BC8B-42B5-A6FA-B88930D0C90A}" type="doc">
      <dgm:prSet loTypeId="urn:microsoft.com/office/officeart/2008/layout/LinedList" loCatId="list" qsTypeId="urn:microsoft.com/office/officeart/2005/8/quickstyle/simple1" qsCatId="simple" csTypeId="urn:microsoft.com/office/officeart/2005/8/colors/accent1_2" csCatId="accent1" phldr="1"/>
      <dgm:spPr/>
      <dgm:t>
        <a:bodyPr/>
        <a:lstStyle/>
        <a:p>
          <a:endParaRPr lang="en-US"/>
        </a:p>
      </dgm:t>
    </dgm:pt>
    <dgm:pt modelId="{42704D6C-EB75-4E09-84E6-150F06FBFCA9}">
      <dgm:prSet phldrT="[Text]" custT="1"/>
      <dgm:spPr/>
      <dgm:t>
        <a:bodyPr/>
        <a:lstStyle/>
        <a:p>
          <a:pPr algn="just">
            <a:lnSpc>
              <a:spcPct val="150000"/>
            </a:lnSpc>
            <a:spcBef>
              <a:spcPts val="50"/>
            </a:spcBef>
          </a:pPr>
          <a:r>
            <a:rPr lang="bg-BG" sz="1200">
              <a:latin typeface="Times New Roman" panose="02020603050405020304" pitchFamily="18" charset="0"/>
              <a:cs typeface="Times New Roman" panose="02020603050405020304" pitchFamily="18" charset="0"/>
            </a:rPr>
            <a:t>          </a:t>
          </a:r>
          <a:r>
            <a:rPr lang="en-US" sz="1200">
              <a:latin typeface="Times New Roman" panose="02020603050405020304" pitchFamily="18" charset="0"/>
              <a:cs typeface="Times New Roman" panose="02020603050405020304" pitchFamily="18" charset="0"/>
            </a:rPr>
            <a:t>1</a:t>
          </a:r>
          <a:r>
            <a:rPr lang="bg-BG" sz="1200">
              <a:latin typeface="Times New Roman" panose="02020603050405020304" pitchFamily="18" charset="0"/>
              <a:cs typeface="Times New Roman" panose="02020603050405020304" pitchFamily="18" charset="0"/>
            </a:rPr>
            <a:t>. </a:t>
          </a:r>
          <a:r>
            <a:rPr lang="en-US" sz="1200">
              <a:latin typeface="Times New Roman" panose="02020603050405020304" pitchFamily="18" charset="0"/>
              <a:cs typeface="Times New Roman" panose="02020603050405020304" pitchFamily="18" charset="0"/>
            </a:rPr>
            <a:t>It is important for any international company to constantly grow and conquer new market shares. Following a strategy to attract new customers and markets, the company will be able to increase its revenue flow. This can be done through attractive offers, showing creativity and flexibility during negotiations with clients. Winning on a larger customer base would also gain a competitive advantage over competing companies.</a:t>
          </a:r>
          <a:endParaRPr lang="bg-BG" sz="1200">
            <a:latin typeface="Times New Roman" panose="02020603050405020304" pitchFamily="18" charset="0"/>
            <a:cs typeface="Times New Roman" panose="02020603050405020304" pitchFamily="18" charset="0"/>
          </a:endParaRPr>
        </a:p>
        <a:p>
          <a:pPr algn="just">
            <a:lnSpc>
              <a:spcPct val="150000"/>
            </a:lnSpc>
            <a:spcBef>
              <a:spcPts val="50"/>
            </a:spcBef>
          </a:pPr>
          <a:r>
            <a:rPr lang="bg-BG" sz="1200">
              <a:latin typeface="Times New Roman" panose="02020603050405020304" pitchFamily="18" charset="0"/>
              <a:cs typeface="Times New Roman" panose="02020603050405020304" pitchFamily="18" charset="0"/>
            </a:rPr>
            <a:t>          2. </a:t>
          </a:r>
          <a:r>
            <a:rPr lang="en-US" sz="1200">
              <a:latin typeface="Times New Roman" panose="02020603050405020304" pitchFamily="18" charset="0"/>
              <a:cs typeface="Times New Roman" panose="02020603050405020304" pitchFamily="18" charset="0"/>
            </a:rPr>
            <a:t>The company must take measures to deal with high debt capital. Reducing it will prevent cash outflows and increase profitability and profit margins. This will lead to greater confidence of new investors in BP.</a:t>
          </a:r>
          <a:endParaRPr lang="bg-BG" sz="1200">
            <a:latin typeface="Times New Roman" panose="02020603050405020304" pitchFamily="18" charset="0"/>
            <a:cs typeface="Times New Roman" panose="02020603050405020304" pitchFamily="18" charset="0"/>
          </a:endParaRPr>
        </a:p>
        <a:p>
          <a:pPr algn="just">
            <a:lnSpc>
              <a:spcPct val="150000"/>
            </a:lnSpc>
            <a:spcBef>
              <a:spcPts val="50"/>
            </a:spcBef>
          </a:pPr>
          <a:r>
            <a:rPr lang="bg-BG" sz="1200">
              <a:latin typeface="Times New Roman" panose="02020603050405020304" pitchFamily="18" charset="0"/>
              <a:cs typeface="Times New Roman" panose="02020603050405020304" pitchFamily="18" charset="0"/>
            </a:rPr>
            <a:t>          3. </a:t>
          </a:r>
          <a:r>
            <a:rPr lang="en-US" sz="1200">
              <a:latin typeface="Times New Roman" panose="02020603050405020304" pitchFamily="18" charset="0"/>
              <a:cs typeface="Times New Roman" panose="02020603050405020304" pitchFamily="18" charset="0"/>
            </a:rPr>
            <a:t>Increasing the use of stock issuance instead of debt capital. </a:t>
          </a:r>
          <a:endParaRPr lang="bg-BG" sz="1200">
            <a:latin typeface="Times New Roman" panose="02020603050405020304" pitchFamily="18" charset="0"/>
            <a:cs typeface="Times New Roman" panose="02020603050405020304" pitchFamily="18" charset="0"/>
          </a:endParaRPr>
        </a:p>
        <a:p>
          <a:pPr algn="just">
            <a:lnSpc>
              <a:spcPct val="150000"/>
            </a:lnSpc>
            <a:spcBef>
              <a:spcPts val="50"/>
            </a:spcBef>
          </a:pPr>
          <a:r>
            <a:rPr lang="en-US" sz="1200">
              <a:latin typeface="Times New Roman" panose="02020603050405020304" pitchFamily="18" charset="0"/>
              <a:cs typeface="Times New Roman" panose="02020603050405020304" pitchFamily="18" charset="0"/>
            </a:rPr>
            <a:t>This will help the company avoid problems associated with increasing loan repayment obligations over a period of time. Using this strategy would be essential for the company. In case of urgent need, they can be sold and the liquid balance of the company can be preserved.</a:t>
          </a:r>
          <a:endParaRPr lang="bg-BG" sz="1200">
            <a:latin typeface="Times New Roman" panose="02020603050405020304" pitchFamily="18" charset="0"/>
            <a:cs typeface="Times New Roman" panose="02020603050405020304" pitchFamily="18" charset="0"/>
          </a:endParaRPr>
        </a:p>
        <a:p>
          <a:pPr algn="just">
            <a:lnSpc>
              <a:spcPct val="150000"/>
            </a:lnSpc>
            <a:spcBef>
              <a:spcPts val="50"/>
            </a:spcBef>
          </a:pPr>
          <a:r>
            <a:rPr lang="bg-BG" sz="1200">
              <a:latin typeface="Times New Roman" panose="02020603050405020304" pitchFamily="18" charset="0"/>
              <a:cs typeface="Times New Roman" panose="02020603050405020304" pitchFamily="18" charset="0"/>
            </a:rPr>
            <a:t>          4. </a:t>
          </a:r>
          <a:r>
            <a:rPr lang="en-US" sz="1200">
              <a:latin typeface="Times New Roman" panose="02020603050405020304" pitchFamily="18" charset="0"/>
              <a:cs typeface="Times New Roman" panose="02020603050405020304" pitchFamily="18" charset="0"/>
            </a:rPr>
            <a:t>In the current scenario in which Russia and Ukraine are at war, the BP company had to make an important decision to leave the share of the Russian company Rosneft. At the moment it is important for the company to take strategies to attract new investors. This will avoid a significant deficit in revenue and profits, and will help BP maintain its position in the international market.</a:t>
          </a:r>
          <a:endParaRPr lang="bg-BG" sz="1200">
            <a:latin typeface="Times New Roman" panose="02020603050405020304" pitchFamily="18" charset="0"/>
            <a:cs typeface="Times New Roman" panose="02020603050405020304" pitchFamily="18" charset="0"/>
          </a:endParaRPr>
        </a:p>
        <a:p>
          <a:pPr algn="just">
            <a:lnSpc>
              <a:spcPct val="150000"/>
            </a:lnSpc>
            <a:spcBef>
              <a:spcPts val="50"/>
            </a:spcBef>
          </a:pPr>
          <a:r>
            <a:rPr lang="bg-BG" sz="1200">
              <a:latin typeface="Times New Roman" panose="02020603050405020304" pitchFamily="18" charset="0"/>
              <a:cs typeface="Times New Roman" panose="02020603050405020304" pitchFamily="18" charset="0"/>
            </a:rPr>
            <a:t>          5. </a:t>
          </a:r>
          <a:r>
            <a:rPr lang="en-US" sz="1200">
              <a:latin typeface="Times New Roman" panose="02020603050405020304" pitchFamily="18" charset="0"/>
              <a:cs typeface="Times New Roman" panose="02020603050405020304" pitchFamily="18" charset="0"/>
            </a:rPr>
            <a:t>BP is an international company that maintains business relations with many countries. This leads to losses in the company in terms of exchanging different currencies in which countries pay for the services provided by BP. The currency in which the company cooperates with its assets is in dollars, so in order to reduce its transaction costs, BP must ensure that most of the payments will be in dollars.</a:t>
          </a:r>
          <a:endParaRPr lang="bg-BG" sz="1200">
            <a:latin typeface="Times New Roman" panose="02020603050405020304" pitchFamily="18" charset="0"/>
            <a:cs typeface="Times New Roman" panose="02020603050405020304" pitchFamily="18" charset="0"/>
          </a:endParaRPr>
        </a:p>
        <a:p>
          <a:pPr algn="just">
            <a:lnSpc>
              <a:spcPct val="90000"/>
            </a:lnSpc>
            <a:spcBef>
              <a:spcPct val="0"/>
            </a:spcBef>
          </a:pPr>
          <a:endParaRPr lang="en-US" sz="1100">
            <a:latin typeface="Times New Roman" panose="02020603050405020304" pitchFamily="18" charset="0"/>
            <a:cs typeface="Times New Roman" panose="02020603050405020304" pitchFamily="18" charset="0"/>
          </a:endParaRPr>
        </a:p>
      </dgm:t>
    </dgm:pt>
    <dgm:pt modelId="{732BB3E1-3434-4C36-ACD0-90B02851C7CB}" type="parTrans" cxnId="{89AC14BB-0B76-465C-922B-24DAE045D12B}">
      <dgm:prSet/>
      <dgm:spPr/>
      <dgm:t>
        <a:bodyPr/>
        <a:lstStyle/>
        <a:p>
          <a:endParaRPr lang="en-US"/>
        </a:p>
      </dgm:t>
    </dgm:pt>
    <dgm:pt modelId="{3172D5B4-2B8F-4FBA-81E5-E2A21D1C77F4}" type="sibTrans" cxnId="{89AC14BB-0B76-465C-922B-24DAE045D12B}">
      <dgm:prSet/>
      <dgm:spPr/>
      <dgm:t>
        <a:bodyPr/>
        <a:lstStyle/>
        <a:p>
          <a:endParaRPr lang="en-US"/>
        </a:p>
      </dgm:t>
    </dgm:pt>
    <dgm:pt modelId="{95EE6BC3-E8E7-47A1-9827-DC7DA08D9ADB}" type="pres">
      <dgm:prSet presAssocID="{305AD97A-BC8B-42B5-A6FA-B88930D0C90A}" presName="vert0" presStyleCnt="0">
        <dgm:presLayoutVars>
          <dgm:dir/>
          <dgm:animOne val="branch"/>
          <dgm:animLvl val="lvl"/>
        </dgm:presLayoutVars>
      </dgm:prSet>
      <dgm:spPr/>
    </dgm:pt>
    <dgm:pt modelId="{86D439CC-1C97-4C30-B493-58DB6CB506AD}" type="pres">
      <dgm:prSet presAssocID="{42704D6C-EB75-4E09-84E6-150F06FBFCA9}" presName="thickLine" presStyleLbl="alignNode1" presStyleIdx="0" presStyleCnt="1"/>
      <dgm:spPr/>
    </dgm:pt>
    <dgm:pt modelId="{002555D1-534F-4D25-A246-7844ABBE1744}" type="pres">
      <dgm:prSet presAssocID="{42704D6C-EB75-4E09-84E6-150F06FBFCA9}" presName="horz1" presStyleCnt="0"/>
      <dgm:spPr/>
    </dgm:pt>
    <dgm:pt modelId="{EB53CD49-F85A-4608-BF63-5284A6F23863}" type="pres">
      <dgm:prSet presAssocID="{42704D6C-EB75-4E09-84E6-150F06FBFCA9}" presName="tx1" presStyleLbl="revTx" presStyleIdx="0" presStyleCnt="1"/>
      <dgm:spPr/>
    </dgm:pt>
    <dgm:pt modelId="{534269AA-BDA9-47C2-A25B-6C5ECE109F4F}" type="pres">
      <dgm:prSet presAssocID="{42704D6C-EB75-4E09-84E6-150F06FBFCA9}" presName="vert1" presStyleCnt="0"/>
      <dgm:spPr/>
    </dgm:pt>
  </dgm:ptLst>
  <dgm:cxnLst>
    <dgm:cxn modelId="{7E51D227-4E94-48F0-82EE-9BF2F8465BE9}" type="presOf" srcId="{42704D6C-EB75-4E09-84E6-150F06FBFCA9}" destId="{EB53CD49-F85A-4608-BF63-5284A6F23863}" srcOrd="0" destOrd="0" presId="urn:microsoft.com/office/officeart/2008/layout/LinedList"/>
    <dgm:cxn modelId="{F40AA62E-B5F7-4EF1-8BD1-38697ECA2B64}" type="presOf" srcId="{305AD97A-BC8B-42B5-A6FA-B88930D0C90A}" destId="{95EE6BC3-E8E7-47A1-9827-DC7DA08D9ADB}" srcOrd="0" destOrd="0" presId="urn:microsoft.com/office/officeart/2008/layout/LinedList"/>
    <dgm:cxn modelId="{89AC14BB-0B76-465C-922B-24DAE045D12B}" srcId="{305AD97A-BC8B-42B5-A6FA-B88930D0C90A}" destId="{42704D6C-EB75-4E09-84E6-150F06FBFCA9}" srcOrd="0" destOrd="0" parTransId="{732BB3E1-3434-4C36-ACD0-90B02851C7CB}" sibTransId="{3172D5B4-2B8F-4FBA-81E5-E2A21D1C77F4}"/>
    <dgm:cxn modelId="{89D0D1BF-57EB-4552-8B9C-3E1ABAF2EE64}" type="presParOf" srcId="{95EE6BC3-E8E7-47A1-9827-DC7DA08D9ADB}" destId="{86D439CC-1C97-4C30-B493-58DB6CB506AD}" srcOrd="0" destOrd="0" presId="urn:microsoft.com/office/officeart/2008/layout/LinedList"/>
    <dgm:cxn modelId="{364E8AA8-DDDD-4220-9ACE-1DA266EB608A}" type="presParOf" srcId="{95EE6BC3-E8E7-47A1-9827-DC7DA08D9ADB}" destId="{002555D1-534F-4D25-A246-7844ABBE1744}" srcOrd="1" destOrd="0" presId="urn:microsoft.com/office/officeart/2008/layout/LinedList"/>
    <dgm:cxn modelId="{11F29189-AAC8-4A49-A7CE-17FBA3D2143A}" type="presParOf" srcId="{002555D1-534F-4D25-A246-7844ABBE1744}" destId="{EB53CD49-F85A-4608-BF63-5284A6F23863}" srcOrd="0" destOrd="0" presId="urn:microsoft.com/office/officeart/2008/layout/LinedList"/>
    <dgm:cxn modelId="{6689CBF3-A98C-41D9-A94A-67AA3E712FD0}" type="presParOf" srcId="{002555D1-534F-4D25-A246-7844ABBE1744}" destId="{534269AA-BDA9-47C2-A25B-6C5ECE109F4F}" srcOrd="1" destOrd="0" presId="urn:microsoft.com/office/officeart/2008/layout/LinedList"/>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6D439CC-1C97-4C30-B493-58DB6CB506AD}">
      <dsp:nvSpPr>
        <dsp:cNvPr id="0" name=""/>
        <dsp:cNvSpPr/>
      </dsp:nvSpPr>
      <dsp:spPr>
        <a:xfrm>
          <a:off x="0" y="2041"/>
          <a:ext cx="5731510" cy="0"/>
        </a:xfrm>
        <a:prstGeom prst="line">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EB53CD49-F85A-4608-BF63-5284A6F23863}">
      <dsp:nvSpPr>
        <dsp:cNvPr id="0" name=""/>
        <dsp:cNvSpPr/>
      </dsp:nvSpPr>
      <dsp:spPr>
        <a:xfrm>
          <a:off x="0" y="2041"/>
          <a:ext cx="5731510" cy="4176239"/>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5720" tIns="45720" rIns="45720" bIns="45720" numCol="1" spcCol="1270" anchor="t" anchorCtr="0">
          <a:noAutofit/>
        </a:bodyPr>
        <a:lstStyle/>
        <a:p>
          <a:pPr marL="0" lvl="0" indent="0" algn="just" defTabSz="533400">
            <a:lnSpc>
              <a:spcPct val="150000"/>
            </a:lnSpc>
            <a:spcBef>
              <a:spcPct val="0"/>
            </a:spcBef>
            <a:spcAft>
              <a:spcPct val="35000"/>
            </a:spcAft>
            <a:buNone/>
          </a:pPr>
          <a:r>
            <a:rPr lang="bg-BG" sz="1200" kern="1200">
              <a:latin typeface="Times New Roman" panose="02020603050405020304" pitchFamily="18" charset="0"/>
              <a:cs typeface="Times New Roman" panose="02020603050405020304" pitchFamily="18" charset="0"/>
            </a:rPr>
            <a:t>          </a:t>
          </a:r>
          <a:r>
            <a:rPr lang="en-US" sz="1200" kern="1200">
              <a:latin typeface="Times New Roman" panose="02020603050405020304" pitchFamily="18" charset="0"/>
              <a:cs typeface="Times New Roman" panose="02020603050405020304" pitchFamily="18" charset="0"/>
            </a:rPr>
            <a:t>1</a:t>
          </a:r>
          <a:r>
            <a:rPr lang="bg-BG" sz="1200" kern="1200">
              <a:latin typeface="Times New Roman" panose="02020603050405020304" pitchFamily="18" charset="0"/>
              <a:cs typeface="Times New Roman" panose="02020603050405020304" pitchFamily="18" charset="0"/>
            </a:rPr>
            <a:t>. </a:t>
          </a:r>
          <a:r>
            <a:rPr lang="en-US" sz="1200" kern="1200">
              <a:latin typeface="Times New Roman" panose="02020603050405020304" pitchFamily="18" charset="0"/>
              <a:cs typeface="Times New Roman" panose="02020603050405020304" pitchFamily="18" charset="0"/>
            </a:rPr>
            <a:t>It is important for any international company to constantly grow and conquer new market shares. Following a strategy to attract new customers and markets, the company will be able to increase its revenue flow. This can be done through attractive offers, showing creativity and flexibility during negotiations with clients. Winning on a larger customer base would also gain a competitive advantage over competing companies.</a:t>
          </a:r>
          <a:endParaRPr lang="bg-BG" sz="1200" kern="1200">
            <a:latin typeface="Times New Roman" panose="02020603050405020304" pitchFamily="18" charset="0"/>
            <a:cs typeface="Times New Roman" panose="02020603050405020304" pitchFamily="18" charset="0"/>
          </a:endParaRPr>
        </a:p>
        <a:p>
          <a:pPr marL="0" lvl="0" indent="0" algn="just" defTabSz="533400">
            <a:lnSpc>
              <a:spcPct val="150000"/>
            </a:lnSpc>
            <a:spcBef>
              <a:spcPct val="0"/>
            </a:spcBef>
            <a:spcAft>
              <a:spcPct val="35000"/>
            </a:spcAft>
            <a:buNone/>
          </a:pPr>
          <a:r>
            <a:rPr lang="bg-BG" sz="1200" kern="1200">
              <a:latin typeface="Times New Roman" panose="02020603050405020304" pitchFamily="18" charset="0"/>
              <a:cs typeface="Times New Roman" panose="02020603050405020304" pitchFamily="18" charset="0"/>
            </a:rPr>
            <a:t>          2. </a:t>
          </a:r>
          <a:r>
            <a:rPr lang="en-US" sz="1200" kern="1200">
              <a:latin typeface="Times New Roman" panose="02020603050405020304" pitchFamily="18" charset="0"/>
              <a:cs typeface="Times New Roman" panose="02020603050405020304" pitchFamily="18" charset="0"/>
            </a:rPr>
            <a:t>The company must take measures to deal with high debt capital. Reducing it will prevent cash outflows and increase profitability and profit margins. This will lead to greater confidence of new investors in BP.</a:t>
          </a:r>
          <a:endParaRPr lang="bg-BG" sz="1200" kern="1200">
            <a:latin typeface="Times New Roman" panose="02020603050405020304" pitchFamily="18" charset="0"/>
            <a:cs typeface="Times New Roman" panose="02020603050405020304" pitchFamily="18" charset="0"/>
          </a:endParaRPr>
        </a:p>
        <a:p>
          <a:pPr marL="0" lvl="0" indent="0" algn="just" defTabSz="533400">
            <a:lnSpc>
              <a:spcPct val="150000"/>
            </a:lnSpc>
            <a:spcBef>
              <a:spcPct val="0"/>
            </a:spcBef>
            <a:spcAft>
              <a:spcPct val="35000"/>
            </a:spcAft>
            <a:buNone/>
          </a:pPr>
          <a:r>
            <a:rPr lang="bg-BG" sz="1200" kern="1200">
              <a:latin typeface="Times New Roman" panose="02020603050405020304" pitchFamily="18" charset="0"/>
              <a:cs typeface="Times New Roman" panose="02020603050405020304" pitchFamily="18" charset="0"/>
            </a:rPr>
            <a:t>          3. </a:t>
          </a:r>
          <a:r>
            <a:rPr lang="en-US" sz="1200" kern="1200">
              <a:latin typeface="Times New Roman" panose="02020603050405020304" pitchFamily="18" charset="0"/>
              <a:cs typeface="Times New Roman" panose="02020603050405020304" pitchFamily="18" charset="0"/>
            </a:rPr>
            <a:t>Increasing the use of stock issuance instead of debt capital. </a:t>
          </a:r>
          <a:endParaRPr lang="bg-BG" sz="1200" kern="1200">
            <a:latin typeface="Times New Roman" panose="02020603050405020304" pitchFamily="18" charset="0"/>
            <a:cs typeface="Times New Roman" panose="02020603050405020304" pitchFamily="18" charset="0"/>
          </a:endParaRPr>
        </a:p>
        <a:p>
          <a:pPr marL="0" lvl="0" indent="0" algn="just" defTabSz="533400">
            <a:lnSpc>
              <a:spcPct val="150000"/>
            </a:lnSpc>
            <a:spcBef>
              <a:spcPct val="0"/>
            </a:spcBef>
            <a:spcAft>
              <a:spcPct val="35000"/>
            </a:spcAft>
            <a:buNone/>
          </a:pPr>
          <a:r>
            <a:rPr lang="en-US" sz="1200" kern="1200">
              <a:latin typeface="Times New Roman" panose="02020603050405020304" pitchFamily="18" charset="0"/>
              <a:cs typeface="Times New Roman" panose="02020603050405020304" pitchFamily="18" charset="0"/>
            </a:rPr>
            <a:t>This will help the company avoid problems associated with increasing loan repayment obligations over a period of time. Using this strategy would be essential for the company. In case of urgent need, they can be sold and the liquid balance of the company can be preserved.</a:t>
          </a:r>
          <a:endParaRPr lang="bg-BG" sz="1200" kern="1200">
            <a:latin typeface="Times New Roman" panose="02020603050405020304" pitchFamily="18" charset="0"/>
            <a:cs typeface="Times New Roman" panose="02020603050405020304" pitchFamily="18" charset="0"/>
          </a:endParaRPr>
        </a:p>
        <a:p>
          <a:pPr marL="0" lvl="0" indent="0" algn="just" defTabSz="533400">
            <a:lnSpc>
              <a:spcPct val="150000"/>
            </a:lnSpc>
            <a:spcBef>
              <a:spcPct val="0"/>
            </a:spcBef>
            <a:spcAft>
              <a:spcPct val="35000"/>
            </a:spcAft>
            <a:buNone/>
          </a:pPr>
          <a:r>
            <a:rPr lang="bg-BG" sz="1200" kern="1200">
              <a:latin typeface="Times New Roman" panose="02020603050405020304" pitchFamily="18" charset="0"/>
              <a:cs typeface="Times New Roman" panose="02020603050405020304" pitchFamily="18" charset="0"/>
            </a:rPr>
            <a:t>          4. </a:t>
          </a:r>
          <a:r>
            <a:rPr lang="en-US" sz="1200" kern="1200">
              <a:latin typeface="Times New Roman" panose="02020603050405020304" pitchFamily="18" charset="0"/>
              <a:cs typeface="Times New Roman" panose="02020603050405020304" pitchFamily="18" charset="0"/>
            </a:rPr>
            <a:t>In the current scenario in which Russia and Ukraine are at war, the BP company had to make an important decision to leave the share of the Russian company Rosneft. At the moment it is important for the company to take strategies to attract new investors. This will avoid a significant deficit in revenue and profits, and will help BP maintain its position in the international market.</a:t>
          </a:r>
          <a:endParaRPr lang="bg-BG" sz="1200" kern="1200">
            <a:latin typeface="Times New Roman" panose="02020603050405020304" pitchFamily="18" charset="0"/>
            <a:cs typeface="Times New Roman" panose="02020603050405020304" pitchFamily="18" charset="0"/>
          </a:endParaRPr>
        </a:p>
        <a:p>
          <a:pPr marL="0" lvl="0" indent="0" algn="just" defTabSz="533400">
            <a:lnSpc>
              <a:spcPct val="150000"/>
            </a:lnSpc>
            <a:spcBef>
              <a:spcPct val="0"/>
            </a:spcBef>
            <a:spcAft>
              <a:spcPct val="35000"/>
            </a:spcAft>
            <a:buNone/>
          </a:pPr>
          <a:r>
            <a:rPr lang="bg-BG" sz="1200" kern="1200">
              <a:latin typeface="Times New Roman" panose="02020603050405020304" pitchFamily="18" charset="0"/>
              <a:cs typeface="Times New Roman" panose="02020603050405020304" pitchFamily="18" charset="0"/>
            </a:rPr>
            <a:t>          5. </a:t>
          </a:r>
          <a:r>
            <a:rPr lang="en-US" sz="1200" kern="1200">
              <a:latin typeface="Times New Roman" panose="02020603050405020304" pitchFamily="18" charset="0"/>
              <a:cs typeface="Times New Roman" panose="02020603050405020304" pitchFamily="18" charset="0"/>
            </a:rPr>
            <a:t>BP is an international company that maintains business relations with many countries. This leads to losses in the company in terms of exchanging different currencies in which countries pay for the services provided by BP. The currency in which the company cooperates with its assets is in dollars, so in order to reduce its transaction costs, BP must ensure that most of the payments will be in dollars.</a:t>
          </a:r>
          <a:endParaRPr lang="bg-BG" sz="1200" kern="1200">
            <a:latin typeface="Times New Roman" panose="02020603050405020304" pitchFamily="18" charset="0"/>
            <a:cs typeface="Times New Roman" panose="02020603050405020304" pitchFamily="18" charset="0"/>
          </a:endParaRPr>
        </a:p>
        <a:p>
          <a:pPr marL="0" lvl="0" indent="0" algn="just" defTabSz="533400">
            <a:lnSpc>
              <a:spcPct val="90000"/>
            </a:lnSpc>
            <a:spcBef>
              <a:spcPct val="0"/>
            </a:spcBef>
            <a:spcAft>
              <a:spcPct val="35000"/>
            </a:spcAft>
            <a:buNone/>
          </a:pPr>
          <a:endParaRPr lang="en-US" sz="1100" kern="1200">
            <a:latin typeface="Times New Roman" panose="02020603050405020304" pitchFamily="18" charset="0"/>
            <a:cs typeface="Times New Roman" panose="02020603050405020304" pitchFamily="18" charset="0"/>
          </a:endParaRPr>
        </a:p>
      </dsp:txBody>
      <dsp:txXfrm>
        <a:off x="0" y="2041"/>
        <a:ext cx="5731510" cy="4176239"/>
      </dsp:txXfrm>
    </dsp:sp>
  </dsp:spTree>
</dsp:drawing>
</file>

<file path=word/diagrams/layout1.xml><?xml version="1.0" encoding="utf-8"?>
<dgm:layoutDef xmlns:dgm="http://schemas.openxmlformats.org/drawingml/2006/diagram" xmlns:a="http://schemas.openxmlformats.org/drawingml/2006/main" uniqueId="urn:microsoft.com/office/officeart/2008/layout/LinedList">
  <dgm:title val=""/>
  <dgm:desc val=""/>
  <dgm:catLst>
    <dgm:cat type="hierarchy" pri="8000"/>
    <dgm:cat type="list" pri="2500"/>
  </dgm:catLst>
  <dgm:sampData>
    <dgm:dataModel>
      <dgm:ptLst>
        <dgm:pt modelId="0" type="doc"/>
        <dgm:pt modelId="1">
          <dgm:prSet phldr="1"/>
        </dgm:pt>
        <dgm:pt modelId="11">
          <dgm:prSet phldr="1"/>
        </dgm:pt>
        <dgm:pt modelId="12">
          <dgm:prSet phldr="1"/>
        </dgm:pt>
        <dgm:pt modelId="13">
          <dgm:prSet phldr="1"/>
        </dgm:pt>
      </dgm:ptLst>
      <dgm:cxnLst>
        <dgm:cxn modelId="2" srcId="0" destId="1" srcOrd="0" destOrd="0"/>
        <dgm:cxn modelId="3" srcId="1" destId="11" srcOrd="0" destOrd="0"/>
        <dgm:cxn modelId="4" srcId="1" destId="12" srcOrd="1" destOrd="0"/>
        <dgm:cxn modelId="5" srcId="1" destId="13" srcOrd="2" destOrd="0"/>
      </dgm:cxnLst>
      <dgm:bg/>
      <dgm:whole/>
    </dgm:dataModel>
  </dgm:sampData>
  <dgm:styleData>
    <dgm:dataModel>
      <dgm:ptLst>
        <dgm:pt modelId="0" type="doc"/>
        <dgm:pt modelId="1">
          <dgm:prSet phldr="1"/>
        </dgm:pt>
        <dgm:pt modelId="11">
          <dgm:prSet phldr="1"/>
        </dgm:pt>
        <dgm:pt modelId="12">
          <dgm:prSet phldr="1"/>
        </dgm:pt>
      </dgm:ptLst>
      <dgm:cxnLst>
        <dgm:cxn modelId="2" srcId="0" destId="1" srcOrd="0" destOrd="0"/>
        <dgm:cxn modelId="3" srcId="1" destId="11" srcOrd="0" destOrd="0"/>
        <dgm:cxn modelId="4" srcId="1" destId="12" srcOrd="1" destOrd="0"/>
      </dgm:cxnLst>
      <dgm:bg/>
      <dgm:whole/>
    </dgm:dataModel>
  </dgm:styleData>
  <dgm:clrData>
    <dgm:dataModel>
      <dgm:ptLst>
        <dgm:pt modelId="0" type="doc"/>
        <dgm:pt modelId="1">
          <dgm:prSet phldr="1"/>
        </dgm:pt>
        <dgm:pt modelId="11">
          <dgm:prSet phldr="1"/>
        </dgm:pt>
        <dgm:pt modelId="12">
          <dgm:prSet phldr="1"/>
        </dgm:pt>
      </dgm:ptLst>
      <dgm:cxnLst>
        <dgm:cxn modelId="2" srcId="0" destId="1" srcOrd="0" destOrd="0"/>
        <dgm:cxn modelId="3" srcId="1" destId="11" srcOrd="0" destOrd="0"/>
        <dgm:cxn modelId="4" srcId="1" destId="12" srcOrd="1" destOrd="0"/>
      </dgm:cxnLst>
      <dgm:bg/>
      <dgm:whole/>
    </dgm:dataModel>
  </dgm:clrData>
  <dgm:layoutNode name="vert0">
    <dgm:varLst>
      <dgm:dir/>
      <dgm:animOne val="branch"/>
      <dgm:animLvl val="lvl"/>
    </dgm:varLst>
    <dgm:choose name="Name0">
      <dgm:if name="Name1" func="var" arg="dir" op="equ" val="norm">
        <dgm:alg type="lin">
          <dgm:param type="linDir" val="fromT"/>
          <dgm:param type="nodeHorzAlign" val="l"/>
        </dgm:alg>
      </dgm:if>
      <dgm:else name="Name2">
        <dgm:alg type="lin">
          <dgm:param type="linDir" val="fromT"/>
          <dgm:param type="nodeHorzAlign" val="r"/>
        </dgm:alg>
      </dgm:else>
    </dgm:choose>
    <dgm:shape xmlns:r="http://schemas.openxmlformats.org/officeDocument/2006/relationships" r:blip="">
      <dgm:adjLst/>
    </dgm:shape>
    <dgm:presOf/>
    <dgm:constrLst>
      <dgm:constr type="w" for="ch" forName="horz1" refType="w"/>
      <dgm:constr type="h" for="ch" forName="horz1" refType="h"/>
      <dgm:constr type="h" for="des" forName="vert1" refType="h"/>
      <dgm:constr type="h" for="des" forName="tx1" refType="h"/>
      <dgm:constr type="h" for="des" forName="horz2" refType="h"/>
      <dgm:constr type="h" for="des" forName="vert2" refType="h"/>
      <dgm:constr type="h" for="des" forName="horz3" refType="h"/>
      <dgm:constr type="h" for="des" forName="vert3" refType="h"/>
      <dgm:constr type="h" for="des" forName="horz4" refType="h"/>
      <dgm:constr type="h" for="des" ptType="node" refType="h"/>
      <dgm:constr type="primFontSz" for="des" forName="tx1" op="equ" val="65"/>
      <dgm:constr type="primFontSz" for="des" forName="tx2" op="equ" val="65"/>
      <dgm:constr type="primFontSz" for="des" forName="tx3" op="equ" val="65"/>
      <dgm:constr type="primFontSz" for="des" forName="tx4" op="equ" val="65"/>
      <dgm:constr type="w" for="des" forName="thickLine" refType="w"/>
      <dgm:constr type="h" for="des" forName="thickLine"/>
      <dgm:constr type="h" for="des" forName="thinLine1"/>
      <dgm:constr type="h" for="des" forName="thinLine2b"/>
      <dgm:constr type="h" for="des" forName="thinLine3"/>
      <dgm:constr type="h" for="des" forName="vertSpace2a" refType="h" fact="0.05"/>
      <dgm:constr type="h" for="des" forName="vertSpace2b" refType="h" refFor="des" refForName="vertSpace2a"/>
    </dgm:constrLst>
    <dgm:forEach name="Name3" axis="ch" ptType="node">
      <dgm:layoutNode name="thickLine" styleLbl="alignNode1">
        <dgm:alg type="sp"/>
        <dgm:shape xmlns:r="http://schemas.openxmlformats.org/officeDocument/2006/relationships" type="line" r:blip="">
          <dgm:adjLst/>
        </dgm:shape>
        <dgm:presOf/>
      </dgm:layoutNode>
      <dgm:layoutNode name="horz1">
        <dgm:choose name="Name4">
          <dgm:if name="Name5" func="var" arg="dir" op="equ" val="norm">
            <dgm:alg type="lin">
              <dgm:param type="linDir" val="fromL"/>
              <dgm:param type="nodeVertAlign" val="t"/>
            </dgm:alg>
          </dgm:if>
          <dgm:else name="Name6">
            <dgm:alg type="lin">
              <dgm:param type="linDir" val="fromR"/>
              <dgm:param type="nodeVertAlign" val="t"/>
            </dgm:alg>
          </dgm:else>
        </dgm:choose>
        <dgm:shape xmlns:r="http://schemas.openxmlformats.org/officeDocument/2006/relationships" r:blip="">
          <dgm:adjLst/>
        </dgm:shape>
        <dgm:presOf/>
        <dgm:choose name="Name7">
          <dgm:if name="Name8" axis="root des" func="maxDepth" op="equ" val="1">
            <dgm:constrLst>
              <dgm:constr type="w" for="ch" forName="tx1" refType="w"/>
            </dgm:constrLst>
          </dgm:if>
          <dgm:if name="Name9" axis="root des" func="maxDepth" op="equ" val="2">
            <dgm:constrLst>
              <dgm:constr type="w" for="ch" forName="tx1" refType="w" fact="0.2"/>
              <dgm:constr type="w" for="des" forName="tx2" refType="w" fact="0.785"/>
              <dgm:constr type="w" for="des" forName="horzSpace2" refType="w" fact="0.015"/>
              <dgm:constr type="w" for="des" forName="thinLine2b" refType="w" fact="0.8"/>
            </dgm:constrLst>
          </dgm:if>
          <dgm:if name="Name10" axis="root des" func="maxDepth" op="equ" val="3">
            <dgm:constrLst>
              <dgm:constr type="w" for="ch" forName="tx1" refType="w" fact="0.2"/>
              <dgm:constr type="w" for="des" forName="tx2" refType="w" fact="0.385"/>
              <dgm:constr type="w" for="des" forName="tx3" refType="w" fact="0.385"/>
              <dgm:constr type="w" for="des" forName="horzSpace2" refType="w" fact="0.015"/>
              <dgm:constr type="w" for="des" forName="horzSpace3" refType="w" fact="0.015"/>
              <dgm:constr type="w" for="des" forName="thinLine2b" refType="w" fact="0.8"/>
              <dgm:constr type="w" for="des" forName="thinLine3" refType="w" fact="0.385"/>
            </dgm:constrLst>
          </dgm:if>
          <dgm:if name="Name11" axis="root des" func="maxDepth" op="gte" val="4">
            <dgm:constrLst>
              <dgm:constr type="w" for="ch" forName="tx1" refType="w" fact="0.2"/>
              <dgm:constr type="w" for="des" forName="tx2" refType="w" fact="0.2516"/>
              <dgm:constr type="w" for="des" forName="tx3" refType="w" fact="0.2516"/>
              <dgm:constr type="w" for="des" forName="tx4" refType="w" fact="0.2516"/>
              <dgm:constr type="w" for="des" forName="horzSpace2" refType="w" fact="0.015"/>
              <dgm:constr type="w" for="des" forName="horzSpace3" refType="w" fact="0.015"/>
              <dgm:constr type="w" for="des" forName="horzSpace4" refType="w" fact="0.015"/>
              <dgm:constr type="w" for="des" forName="thinLine2b" refType="w" fact="0.8"/>
              <dgm:constr type="w" for="des" forName="thinLine3" refType="w" fact="0.5332"/>
            </dgm:constrLst>
          </dgm:if>
          <dgm:else name="Name12"/>
        </dgm:choose>
        <dgm:layoutNode name="tx1" styleLbl="revTx">
          <dgm:alg type="tx">
            <dgm:param type="parTxLTRAlign" val="l"/>
            <dgm:param type="parTxRTLAlign" val="r"/>
            <dgm:param type="txAnchorVert" val="t"/>
          </dgm:alg>
          <dgm:shape xmlns:r="http://schemas.openxmlformats.org/officeDocument/2006/relationships" type="rect" r:blip="">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vert1">
          <dgm:choose name="Name13">
            <dgm:if name="Name14" func="var" arg="dir" op="equ" val="norm">
              <dgm:alg type="lin">
                <dgm:param type="linDir" val="fromT"/>
                <dgm:param type="nodeHorzAlign" val="l"/>
              </dgm:alg>
            </dgm:if>
            <dgm:else name="Name15">
              <dgm:alg type="lin">
                <dgm:param type="linDir" val="fromT"/>
                <dgm:param type="nodeHorzAlign" val="r"/>
              </dgm:alg>
            </dgm:else>
          </dgm:choose>
          <dgm:shape xmlns:r="http://schemas.openxmlformats.org/officeDocument/2006/relationships" r:blip="">
            <dgm:adjLst/>
          </dgm:shape>
          <dgm:presOf/>
          <dgm:forEach name="Name16" axis="ch" ptType="node">
            <dgm:choose name="Name17">
              <dgm:if name="Name18" axis="self" ptType="node" func="pos" op="equ" val="1">
                <dgm:layoutNode name="vertSpace2a">
                  <dgm:alg type="sp"/>
                  <dgm:shape xmlns:r="http://schemas.openxmlformats.org/officeDocument/2006/relationships" r:blip="">
                    <dgm:adjLst/>
                  </dgm:shape>
                  <dgm:presOf/>
                </dgm:layoutNode>
              </dgm:if>
              <dgm:else name="Name19"/>
            </dgm:choose>
            <dgm:layoutNode name="horz2">
              <dgm:choose name="Name20">
                <dgm:if name="Name21" func="var" arg="dir" op="equ" val="norm">
                  <dgm:alg type="lin">
                    <dgm:param type="linDir" val="fromL"/>
                    <dgm:param type="nodeVertAlign" val="t"/>
                  </dgm:alg>
                </dgm:if>
                <dgm:else name="Name22">
                  <dgm:alg type="lin">
                    <dgm:param type="linDir" val="fromR"/>
                    <dgm:param type="nodeVertAlign" val="t"/>
                  </dgm:alg>
                </dgm:else>
              </dgm:choose>
              <dgm:shape xmlns:r="http://schemas.openxmlformats.org/officeDocument/2006/relationships" r:blip="">
                <dgm:adjLst/>
              </dgm:shape>
              <dgm:presOf/>
              <dgm:layoutNode name="horzSpace2">
                <dgm:alg type="sp"/>
                <dgm:shape xmlns:r="http://schemas.openxmlformats.org/officeDocument/2006/relationships" r:blip="">
                  <dgm:adjLst/>
                </dgm:shape>
                <dgm:presOf/>
              </dgm:layoutNode>
              <dgm:layoutNode name="tx2" styleLbl="revTx">
                <dgm:alg type="tx">
                  <dgm:param type="parTxLTRAlign" val="l"/>
                  <dgm:param type="parTxRTLAlign" val="r"/>
                  <dgm:param type="txAnchorVert" val="t"/>
                </dgm:alg>
                <dgm:shape xmlns:r="http://schemas.openxmlformats.org/officeDocument/2006/relationships" type="rect" r:blip="">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vert2">
                <dgm:choose name="Name23">
                  <dgm:if name="Name24" func="var" arg="dir" op="equ" val="norm">
                    <dgm:alg type="lin">
                      <dgm:param type="linDir" val="fromT"/>
                      <dgm:param type="nodeHorzAlign" val="l"/>
                    </dgm:alg>
                  </dgm:if>
                  <dgm:else name="Name25">
                    <dgm:alg type="lin">
                      <dgm:param type="linDir" val="fromT"/>
                      <dgm:param type="nodeHorzAlign" val="r"/>
                    </dgm:alg>
                  </dgm:else>
                </dgm:choose>
                <dgm:shape xmlns:r="http://schemas.openxmlformats.org/officeDocument/2006/relationships" r:blip="">
                  <dgm:adjLst/>
                </dgm:shape>
                <dgm:presOf/>
                <dgm:forEach name="Name26" axis="ch" ptType="node">
                  <dgm:layoutNode name="horz3">
                    <dgm:choose name="Name27">
                      <dgm:if name="Name28" func="var" arg="dir" op="equ" val="norm">
                        <dgm:alg type="lin">
                          <dgm:param type="linDir" val="fromL"/>
                          <dgm:param type="nodeVertAlign" val="t"/>
                        </dgm:alg>
                      </dgm:if>
                      <dgm:else name="Name29">
                        <dgm:alg type="lin">
                          <dgm:param type="linDir" val="fromR"/>
                          <dgm:param type="nodeVertAlign" val="t"/>
                        </dgm:alg>
                      </dgm:else>
                    </dgm:choose>
                    <dgm:shape xmlns:r="http://schemas.openxmlformats.org/officeDocument/2006/relationships" r:blip="">
                      <dgm:adjLst/>
                    </dgm:shape>
                    <dgm:presOf/>
                    <dgm:layoutNode name="horzSpace3">
                      <dgm:alg type="sp"/>
                      <dgm:shape xmlns:r="http://schemas.openxmlformats.org/officeDocument/2006/relationships" r:blip="">
                        <dgm:adjLst/>
                      </dgm:shape>
                      <dgm:presOf/>
                    </dgm:layoutNode>
                    <dgm:layoutNode name="tx3" styleLbl="revTx">
                      <dgm:alg type="tx">
                        <dgm:param type="parTxLTRAlign" val="l"/>
                        <dgm:param type="parTxRTLAlign" val="r"/>
                        <dgm:param type="txAnchorVert" val="t"/>
                      </dgm:alg>
                      <dgm:shape xmlns:r="http://schemas.openxmlformats.org/officeDocument/2006/relationships" type="rect" r:blip="">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vert3">
                      <dgm:choose name="Name30">
                        <dgm:if name="Name31" func="var" arg="dir" op="equ" val="norm">
                          <dgm:alg type="lin">
                            <dgm:param type="linDir" val="fromT"/>
                            <dgm:param type="nodeHorzAlign" val="l"/>
                          </dgm:alg>
                        </dgm:if>
                        <dgm:else name="Name32">
                          <dgm:alg type="lin">
                            <dgm:param type="linDir" val="fromT"/>
                            <dgm:param type="nodeHorzAlign" val="r"/>
                          </dgm:alg>
                        </dgm:else>
                      </dgm:choose>
                      <dgm:shape xmlns:r="http://schemas.openxmlformats.org/officeDocument/2006/relationships" r:blip="">
                        <dgm:adjLst/>
                      </dgm:shape>
                      <dgm:presOf/>
                      <dgm:forEach name="Name33" axis="ch" ptType="node">
                        <dgm:layoutNode name="horz4">
                          <dgm:choose name="Name34">
                            <dgm:if name="Name35" func="var" arg="dir" op="equ" val="norm">
                              <dgm:alg type="lin">
                                <dgm:param type="linDir" val="fromL"/>
                                <dgm:param type="nodeVertAlign" val="t"/>
                              </dgm:alg>
                            </dgm:if>
                            <dgm:else name="Name36">
                              <dgm:alg type="lin">
                                <dgm:param type="linDir" val="fromR"/>
                                <dgm:param type="nodeVertAlign" val="t"/>
                              </dgm:alg>
                            </dgm:else>
                          </dgm:choose>
                          <dgm:shape xmlns:r="http://schemas.openxmlformats.org/officeDocument/2006/relationships" r:blip="">
                            <dgm:adjLst/>
                          </dgm:shape>
                          <dgm:presOf/>
                          <dgm:layoutNode name="horzSpace4">
                            <dgm:alg type="sp"/>
                            <dgm:shape xmlns:r="http://schemas.openxmlformats.org/officeDocument/2006/relationships" r:blip="">
                              <dgm:adjLst/>
                            </dgm:shape>
                            <dgm:presOf/>
                          </dgm:layoutNode>
                          <dgm:layoutNode name="tx4" styleLbl="revTx">
                            <dgm:varLst>
                              <dgm:bulletEnabled val="1"/>
                            </dgm:varLst>
                            <dgm:alg type="tx">
                              <dgm:param type="parTxLTRAlign" val="l"/>
                              <dgm:param type="parTxRTLAlign" val="r"/>
                              <dgm:param type="txAnchorVert" val="t"/>
                            </dgm:alg>
                            <dgm:shape xmlns:r="http://schemas.openxmlformats.org/officeDocument/2006/relationships" type="rect" r:blip="">
                              <dgm:adjLst/>
                            </dgm:shape>
                            <dgm:presOf axis="desOrSelf" ptType="node"/>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forEach>
                    </dgm:layoutNode>
                  </dgm:layoutNode>
                  <dgm:forEach name="Name37" axis="followSib" ptType="sibTrans" cnt="1">
                    <dgm:layoutNode name="thinLine3" styleLbl="callout">
                      <dgm:alg type="sp"/>
                      <dgm:shape xmlns:r="http://schemas.openxmlformats.org/officeDocument/2006/relationships" type="line" r:blip="">
                        <dgm:adjLst/>
                      </dgm:shape>
                      <dgm:presOf/>
                    </dgm:layoutNode>
                  </dgm:forEach>
                </dgm:forEach>
              </dgm:layoutNode>
            </dgm:layoutNode>
            <dgm:layoutNode name="thinLine2b" styleLbl="callout">
              <dgm:alg type="sp"/>
              <dgm:shape xmlns:r="http://schemas.openxmlformats.org/officeDocument/2006/relationships" type="line" r:blip="">
                <dgm:adjLst/>
              </dgm:shape>
              <dgm:presOf/>
            </dgm:layoutNode>
            <dgm:layoutNode name="vertSpace2b">
              <dgm:alg type="sp"/>
              <dgm:shape xmlns:r="http://schemas.openxmlformats.org/officeDocument/2006/relationships" r:blip="">
                <dgm:adjLst/>
              </dgm:shape>
              <dgm:presOf/>
            </dgm:layoutNode>
          </dgm:forEach>
        </dgm:layoutNode>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2022-01-05T00:00:00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053A862-9F10-47C0-967F-E47AAA0743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48</TotalTime>
  <Pages>15</Pages>
  <Words>3588</Words>
  <Characters>20453</Characters>
  <Application>Microsoft Office Word</Application>
  <DocSecurity>0</DocSecurity>
  <Lines>170</Lines>
  <Paragraphs>47</Paragraphs>
  <ScaleCrop>false</ScaleCrop>
  <HeadingPairs>
    <vt:vector size="2" baseType="variant">
      <vt:variant>
        <vt:lpstr>Title</vt:lpstr>
      </vt:variant>
      <vt:variant>
        <vt:i4>1</vt:i4>
      </vt:variant>
    </vt:vector>
  </HeadingPairs>
  <TitlesOfParts>
    <vt:vector size="1" baseType="lpstr">
      <vt:lpstr>INTERNATIONAL FINANCIAL MANAGEMENT OF BRITISH PETROLEUM COMPANY</vt:lpstr>
    </vt:vector>
  </TitlesOfParts>
  <Company/>
  <LinksUpToDate>false</LinksUpToDate>
  <CharactersWithSpaces>23994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INTERNATIONAL FINANCIAL MANAGEMENT OF BRITISH PETROLEUM COMPANY</dc:title>
  <dc:subject/>
  <dc:creator>STELA RACHKOVA - 1813119</dc:creator>
  <cp:keywords/>
  <dc:description/>
  <cp:lastModifiedBy>Stela Rachkova (1813119)</cp:lastModifiedBy>
  <cp:revision>7</cp:revision>
  <dcterms:created xsi:type="dcterms:W3CDTF">2022-04-30T15:55:00Z</dcterms:created>
  <dcterms:modified xsi:type="dcterms:W3CDTF">2022-05-03T15:08:00Z</dcterms:modified>
</cp:coreProperties>
</file>