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21F16D" w14:textId="77777777" w:rsidR="00DB226B" w:rsidRDefault="00DB226B" w:rsidP="00DB226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Name: Nazia</w:t>
      </w:r>
      <w:r>
        <w:rPr>
          <w:rStyle w:val="apple-converted-space"/>
          <w:rFonts w:ascii="Aptos" w:hAnsi="Aptos" w:cs="Segoe UI"/>
        </w:rPr>
        <w:t> </w:t>
      </w:r>
      <w:r>
        <w:rPr>
          <w:rStyle w:val="normaltextrun"/>
          <w:rFonts w:ascii="Aptos" w:hAnsi="Aptos" w:cs="Segoe UI"/>
        </w:rPr>
        <w:t>Malik</w:t>
      </w:r>
      <w:r>
        <w:rPr>
          <w:rStyle w:val="eop"/>
          <w:rFonts w:ascii="Aptos" w:hAnsi="Aptos" w:cs="Segoe UI"/>
        </w:rPr>
        <w:t> </w:t>
      </w:r>
    </w:p>
    <w:p w14:paraId="0C379E2B" w14:textId="77777777" w:rsidR="00DB226B" w:rsidRDefault="00DB226B" w:rsidP="00DB226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Student ID:</w:t>
      </w:r>
      <w:r>
        <w:rPr>
          <w:rStyle w:val="apple-converted-space"/>
          <w:rFonts w:ascii="Aptos" w:hAnsi="Aptos" w:cs="Segoe UI"/>
        </w:rPr>
        <w:t> </w:t>
      </w:r>
      <w:r>
        <w:rPr>
          <w:rStyle w:val="normaltextrun"/>
          <w:rFonts w:ascii="Aptos" w:hAnsi="Aptos" w:cs="Segoe UI"/>
        </w:rPr>
        <w:t>2424839</w:t>
      </w:r>
      <w:r>
        <w:rPr>
          <w:rStyle w:val="eop"/>
          <w:rFonts w:ascii="Aptos" w:hAnsi="Aptos" w:cs="Segoe UI"/>
        </w:rPr>
        <w:t> </w:t>
      </w:r>
    </w:p>
    <w:p w14:paraId="4CBB9A9B" w14:textId="77777777" w:rsidR="00DB226B" w:rsidRDefault="00DB226B" w:rsidP="00DB226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Programmer: BSc</w:t>
      </w:r>
      <w:r>
        <w:rPr>
          <w:rStyle w:val="apple-converted-space"/>
          <w:rFonts w:ascii="Aptos" w:hAnsi="Aptos" w:cs="Segoe UI"/>
        </w:rPr>
        <w:t> </w:t>
      </w:r>
      <w:r>
        <w:rPr>
          <w:rStyle w:val="normaltextrun"/>
          <w:rFonts w:ascii="Aptos" w:hAnsi="Aptos" w:cs="Segoe UI"/>
        </w:rPr>
        <w:t>Health and Social Care </w:t>
      </w:r>
      <w:r>
        <w:rPr>
          <w:rStyle w:val="eop"/>
          <w:rFonts w:ascii="Aptos" w:hAnsi="Aptos" w:cs="Segoe UI"/>
        </w:rPr>
        <w:t> </w:t>
      </w:r>
    </w:p>
    <w:p w14:paraId="542714FC" w14:textId="77777777" w:rsidR="00DB226B" w:rsidRDefault="00DB226B" w:rsidP="00DB226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Module: Principles</w:t>
      </w:r>
      <w:r>
        <w:rPr>
          <w:rStyle w:val="apple-converted-space"/>
          <w:rFonts w:ascii="Aptos" w:hAnsi="Aptos" w:cs="Segoe UI"/>
        </w:rPr>
        <w:t> </w:t>
      </w:r>
      <w:r>
        <w:rPr>
          <w:rStyle w:val="normaltextrun"/>
          <w:rFonts w:ascii="Aptos" w:hAnsi="Aptos" w:cs="Segoe UI"/>
        </w:rPr>
        <w:t>of Health and Social Care Practice </w:t>
      </w:r>
      <w:r>
        <w:rPr>
          <w:rStyle w:val="eop"/>
          <w:rFonts w:ascii="Aptos" w:hAnsi="Aptos" w:cs="Segoe UI"/>
        </w:rPr>
        <w:t> </w:t>
      </w:r>
    </w:p>
    <w:p w14:paraId="7A5CD7DE" w14:textId="77777777" w:rsidR="00DB226B" w:rsidRDefault="00DB226B" w:rsidP="00DB226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Module</w:t>
      </w:r>
      <w:r>
        <w:rPr>
          <w:rStyle w:val="apple-converted-space"/>
          <w:rFonts w:ascii="Aptos" w:hAnsi="Aptos" w:cs="Segoe UI"/>
        </w:rPr>
        <w:t> </w:t>
      </w:r>
      <w:r>
        <w:rPr>
          <w:rStyle w:val="normaltextrun"/>
          <w:rFonts w:ascii="Aptos" w:hAnsi="Aptos" w:cs="Segoe UI"/>
        </w:rPr>
        <w:t>Code: BMHP5016 </w:t>
      </w:r>
      <w:r>
        <w:rPr>
          <w:rStyle w:val="eop"/>
          <w:rFonts w:ascii="Aptos" w:hAnsi="Aptos" w:cs="Segoe UI"/>
        </w:rPr>
        <w:t> </w:t>
      </w:r>
    </w:p>
    <w:p w14:paraId="56D2550F" w14:textId="77777777" w:rsidR="00DB226B" w:rsidRDefault="00DB226B" w:rsidP="00DB226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Lecturer:</w:t>
      </w:r>
      <w:r>
        <w:rPr>
          <w:rStyle w:val="apple-converted-space"/>
          <w:rFonts w:ascii="Aptos" w:hAnsi="Aptos" w:cs="Segoe UI"/>
        </w:rPr>
        <w:t> </w:t>
      </w:r>
      <w:r>
        <w:rPr>
          <w:rStyle w:val="normaltextrun"/>
          <w:rFonts w:ascii="Aptos" w:hAnsi="Aptos" w:cs="Segoe UI"/>
        </w:rPr>
        <w:t>Azida Zainol</w:t>
      </w:r>
      <w:r>
        <w:rPr>
          <w:rStyle w:val="eop"/>
          <w:rFonts w:ascii="Aptos" w:hAnsi="Aptos" w:cs="Segoe UI"/>
        </w:rPr>
        <w:t> </w:t>
      </w:r>
    </w:p>
    <w:p w14:paraId="788C6070" w14:textId="77777777" w:rsidR="00325905" w:rsidRDefault="00325905"/>
    <w:p w14:paraId="1DD4B1ED" w14:textId="20FD5243" w:rsidR="00DB226B" w:rsidRPr="00E1327E" w:rsidRDefault="00DB226B" w:rsidP="00E1327E">
      <w:pPr>
        <w:spacing w:line="276" w:lineRule="auto"/>
        <w:rPr>
          <w:rFonts w:ascii="Arial" w:hAnsi="Arial" w:cs="Arial"/>
          <w:b/>
          <w:bCs/>
        </w:rPr>
      </w:pPr>
      <w:r w:rsidRPr="00E1327E">
        <w:rPr>
          <w:rFonts w:ascii="Arial" w:hAnsi="Arial" w:cs="Arial"/>
          <w:b/>
          <w:bCs/>
        </w:rPr>
        <w:t>INTRODUCTION</w:t>
      </w:r>
    </w:p>
    <w:p w14:paraId="6ED4D89C" w14:textId="77777777" w:rsidR="00DB226B" w:rsidRPr="00E1327E" w:rsidRDefault="00DB226B" w:rsidP="00E1327E">
      <w:pPr>
        <w:spacing w:line="276" w:lineRule="auto"/>
        <w:rPr>
          <w:rFonts w:ascii="Arial" w:hAnsi="Arial" w:cs="Arial"/>
        </w:rPr>
      </w:pPr>
    </w:p>
    <w:p w14:paraId="5C2023BA" w14:textId="2265E5D3" w:rsidR="00DB226B" w:rsidRPr="00E1327E" w:rsidRDefault="00DB226B" w:rsidP="00E1327E">
      <w:pPr>
        <w:spacing w:line="276" w:lineRule="auto"/>
        <w:rPr>
          <w:rFonts w:ascii="Arial" w:hAnsi="Arial" w:cs="Arial"/>
        </w:rPr>
      </w:pPr>
      <w:r w:rsidRPr="00E1327E">
        <w:rPr>
          <w:rFonts w:ascii="Arial" w:hAnsi="Arial" w:cs="Arial"/>
          <w:color w:val="000000"/>
        </w:rPr>
        <w:t>Health and social care practice is underpinned by principles that ensure care is delivered safely, ethically and in a way that respects the needs and rights of individuals. Among the most important of these principles are person-centred care, partnership working and ethical practice, all of which contribute to improving the quality of care and promoting positive outcomes for service users</w:t>
      </w:r>
      <w:r w:rsidR="00484792">
        <w:rPr>
          <w:rFonts w:ascii="Arial" w:hAnsi="Arial" w:cs="Arial"/>
          <w:color w:val="000000"/>
        </w:rPr>
        <w:t xml:space="preserve"> (NHS England, 2024).</w:t>
      </w:r>
    </w:p>
    <w:p w14:paraId="58076B2A" w14:textId="77777777" w:rsidR="00DB226B" w:rsidRPr="00E1327E" w:rsidRDefault="00DB226B" w:rsidP="00E1327E">
      <w:pPr>
        <w:pStyle w:val="NormalWeb"/>
        <w:spacing w:line="276" w:lineRule="auto"/>
        <w:rPr>
          <w:rFonts w:ascii="Arial" w:hAnsi="Arial" w:cs="Arial"/>
          <w:color w:val="000000"/>
        </w:rPr>
      </w:pPr>
      <w:r w:rsidRPr="00E1327E">
        <w:rPr>
          <w:rFonts w:ascii="Arial" w:hAnsi="Arial" w:cs="Arial"/>
          <w:color w:val="000000"/>
        </w:rPr>
        <w:t>This report examines the importance of person-centred care, partnership working and ethical practice within health and social care settings. It explores how these principles influence professional practice through relevant legislation, theories and national guidance. The report also analyses their application using a case study involving an individual living with a long-term health condition, demonstrating how collaborative and personalised approaches can improve health and wellbeing. Finally, it concludes with a personal reflection using Gibbs' Reflective Cycle to evaluate learning, identify strengths and areas for development, and consider how these principles will inform future professional practice.</w:t>
      </w:r>
    </w:p>
    <w:p w14:paraId="04A70491" w14:textId="77777777" w:rsidR="00DB226B" w:rsidRPr="00E1327E" w:rsidRDefault="00DB226B" w:rsidP="00E1327E">
      <w:pPr>
        <w:spacing w:before="100" w:beforeAutospacing="1" w:after="100" w:afterAutospacing="1" w:line="276" w:lineRule="auto"/>
        <w:outlineLvl w:val="1"/>
        <w:rPr>
          <w:rFonts w:ascii="Arial" w:eastAsia="Times New Roman" w:hAnsi="Arial" w:cs="Arial"/>
          <w:b/>
          <w:bCs/>
          <w:color w:val="000000"/>
          <w:kern w:val="0"/>
          <w:lang w:eastAsia="en-GB"/>
          <w14:ligatures w14:val="none"/>
        </w:rPr>
      </w:pPr>
      <w:r w:rsidRPr="00E1327E">
        <w:rPr>
          <w:rFonts w:ascii="Arial" w:eastAsia="Times New Roman" w:hAnsi="Arial" w:cs="Arial"/>
          <w:b/>
          <w:bCs/>
          <w:color w:val="000000"/>
          <w:kern w:val="0"/>
          <w:lang w:eastAsia="en-GB"/>
          <w14:ligatures w14:val="none"/>
        </w:rPr>
        <w:t>REFLECTION ON THE IMPORTANCE OF PRINCIPLES OF HEALTH AND SOCIAL CARE</w:t>
      </w:r>
    </w:p>
    <w:p w14:paraId="1666D976" w14:textId="56A1651A"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 xml:space="preserve">The principles of health and social care provide the foundation for safe, effective and compassionate practice. They guide professionals in delivering care that respects the rights, dignity and individuality of service users while promoting positive health outcomes. Among the most significant principles are person-centred care, partnership working and ethical </w:t>
      </w:r>
      <w:r w:rsidRPr="00C817D5">
        <w:rPr>
          <w:rFonts w:ascii="Arial" w:eastAsia="Times New Roman" w:hAnsi="Arial" w:cs="Arial"/>
          <w:color w:val="000000"/>
          <w:kern w:val="0"/>
          <w:lang w:eastAsia="en-GB"/>
          <w14:ligatures w14:val="none"/>
        </w:rPr>
        <w:t>practice</w:t>
      </w:r>
      <w:r w:rsidR="00C817D5" w:rsidRPr="00C817D5">
        <w:rPr>
          <w:rFonts w:ascii="Arial" w:eastAsia="Times New Roman" w:hAnsi="Arial" w:cs="Arial"/>
          <w:color w:val="000000"/>
          <w:kern w:val="0"/>
          <w:lang w:eastAsia="en-GB"/>
          <w14:ligatures w14:val="none"/>
        </w:rPr>
        <w:t xml:space="preserve"> </w:t>
      </w:r>
      <w:r w:rsidR="00C817D5" w:rsidRPr="00C817D5">
        <w:rPr>
          <w:rFonts w:ascii="Arial" w:hAnsi="Arial" w:cs="Arial"/>
          <w:color w:val="000000"/>
        </w:rPr>
        <w:t>(Jemal et al., 2021)</w:t>
      </w:r>
      <w:r w:rsidRPr="00C817D5">
        <w:rPr>
          <w:rFonts w:ascii="Arial" w:eastAsia="Times New Roman" w:hAnsi="Arial" w:cs="Arial"/>
          <w:color w:val="000000"/>
          <w:kern w:val="0"/>
          <w:lang w:eastAsia="en-GB"/>
          <w14:ligatures w14:val="none"/>
        </w:rPr>
        <w:t>.</w:t>
      </w:r>
      <w:r w:rsidRPr="00E1327E">
        <w:rPr>
          <w:rFonts w:ascii="Arial" w:eastAsia="Times New Roman" w:hAnsi="Arial" w:cs="Arial"/>
          <w:color w:val="000000"/>
          <w:kern w:val="0"/>
          <w:lang w:eastAsia="en-GB"/>
          <w14:ligatures w14:val="none"/>
        </w:rPr>
        <w:t xml:space="preserve"> These principles influence the quality of care, help build trusting relationships with service users and ensure care is delivered in accordance with legal and professional standards.</w:t>
      </w:r>
    </w:p>
    <w:p w14:paraId="02B152D8" w14:textId="38C251D1"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 xml:space="preserve">Person-centred care is recognised as a fundamental principle because it places the individual at the centre of decisions about their care. Rather than adopting a "one size fits all" approach, professionals work collaboratively with service users to understand their preferences, values and </w:t>
      </w:r>
      <w:r w:rsidRPr="00EE0A54">
        <w:rPr>
          <w:rFonts w:ascii="Arial" w:eastAsia="Times New Roman" w:hAnsi="Arial" w:cs="Arial"/>
          <w:color w:val="000000"/>
          <w:kern w:val="0"/>
          <w:lang w:eastAsia="en-GB"/>
          <w14:ligatures w14:val="none"/>
        </w:rPr>
        <w:t>goals</w:t>
      </w:r>
      <w:r w:rsidR="00EE0A54" w:rsidRPr="00EE0A54">
        <w:rPr>
          <w:rFonts w:ascii="Arial" w:eastAsia="Times New Roman" w:hAnsi="Arial" w:cs="Arial"/>
          <w:color w:val="000000"/>
          <w:kern w:val="0"/>
          <w:lang w:eastAsia="en-GB"/>
          <w14:ligatures w14:val="none"/>
        </w:rPr>
        <w:t xml:space="preserve"> </w:t>
      </w:r>
      <w:r w:rsidR="00EE0A54" w:rsidRPr="00EE0A54">
        <w:rPr>
          <w:rFonts w:ascii="Arial" w:hAnsi="Arial" w:cs="Arial"/>
          <w:color w:val="000000"/>
        </w:rPr>
        <w:t>(Soriano et al., 2025)</w:t>
      </w:r>
      <w:r w:rsidRPr="00EE0A54">
        <w:rPr>
          <w:rFonts w:ascii="Arial" w:eastAsia="Times New Roman" w:hAnsi="Arial" w:cs="Arial"/>
          <w:color w:val="000000"/>
          <w:kern w:val="0"/>
          <w:lang w:eastAsia="en-GB"/>
          <w14:ligatures w14:val="none"/>
        </w:rPr>
        <w:t>. This</w:t>
      </w:r>
      <w:r w:rsidRPr="00E1327E">
        <w:rPr>
          <w:rFonts w:ascii="Arial" w:eastAsia="Times New Roman" w:hAnsi="Arial" w:cs="Arial"/>
          <w:color w:val="000000"/>
          <w:kern w:val="0"/>
          <w:lang w:eastAsia="en-GB"/>
          <w14:ligatures w14:val="none"/>
        </w:rPr>
        <w:t xml:space="preserve"> promotes independence, dignity and choice while encouraging individuals to take an active role in managing their own health and wellbeing. The Care Act 2014 supports this approach by promoting individual wellbeing and involving people in decisions about their care. Maslow's Hierarchy of Needs also suggests that people require emotional </w:t>
      </w:r>
      <w:r w:rsidRPr="00E1327E">
        <w:rPr>
          <w:rFonts w:ascii="Arial" w:eastAsia="Times New Roman" w:hAnsi="Arial" w:cs="Arial"/>
          <w:color w:val="000000"/>
          <w:kern w:val="0"/>
          <w:lang w:eastAsia="en-GB"/>
          <w14:ligatures w14:val="none"/>
        </w:rPr>
        <w:lastRenderedPageBreak/>
        <w:t>support, belonging and self-esteem alongside physical care to achieve overall wellbeing</w:t>
      </w:r>
      <w:r w:rsidR="00842B9B">
        <w:rPr>
          <w:rFonts w:ascii="Arial" w:eastAsia="Times New Roman" w:hAnsi="Arial" w:cs="Arial"/>
          <w:color w:val="000000"/>
          <w:kern w:val="0"/>
          <w:lang w:eastAsia="en-GB"/>
          <w14:ligatures w14:val="none"/>
        </w:rPr>
        <w:t xml:space="preserve"> (McLeod, 2025</w:t>
      </w:r>
      <w:r w:rsidR="00303F33">
        <w:rPr>
          <w:rFonts w:ascii="Arial" w:eastAsia="Times New Roman" w:hAnsi="Arial" w:cs="Arial"/>
          <w:color w:val="000000"/>
          <w:kern w:val="0"/>
          <w:lang w:eastAsia="en-GB"/>
          <w14:ligatures w14:val="none"/>
        </w:rPr>
        <w:t>b</w:t>
      </w:r>
      <w:r w:rsidR="00842B9B">
        <w:rPr>
          <w:rFonts w:ascii="Arial" w:eastAsia="Times New Roman" w:hAnsi="Arial" w:cs="Arial"/>
          <w:color w:val="000000"/>
          <w:kern w:val="0"/>
          <w:lang w:eastAsia="en-GB"/>
          <w14:ligatures w14:val="none"/>
        </w:rPr>
        <w:t>)</w:t>
      </w:r>
      <w:r w:rsidRPr="00E1327E">
        <w:rPr>
          <w:rFonts w:ascii="Arial" w:eastAsia="Times New Roman" w:hAnsi="Arial" w:cs="Arial"/>
          <w:color w:val="000000"/>
          <w:kern w:val="0"/>
          <w:lang w:eastAsia="en-GB"/>
          <w14:ligatures w14:val="none"/>
        </w:rPr>
        <w:t>. Reflecting on this principle has shown that effective care involves recognising the whole person rather than simply treating a medical condition. However, person-centred care can be difficult to implement consistently because of staff shortages, time pressures and increasing demand for services.</w:t>
      </w:r>
    </w:p>
    <w:p w14:paraId="67C3ED2D" w14:textId="15787A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Partnership working is another essential principle that contributes to high-quality care. It involves collaboration between healthcare professionals, families and other agencies to ensure individuals receive coordinated and holistic support. When professionals communicate effectively and share information appropriately, service users benefit from continuity of care and improved decision-making. This principle is reinforced by the Health and Care Act 2022, which promotes greater integration between health and social care organisations. Bronfenbrenner's Ecological Systems Theory also highlights how individuals are influenced by the relationships and environments around them, demonstrating the importance of collaborative working</w:t>
      </w:r>
      <w:r w:rsidR="00822DEA">
        <w:rPr>
          <w:rFonts w:ascii="Arial" w:eastAsia="Times New Roman" w:hAnsi="Arial" w:cs="Arial"/>
          <w:color w:val="000000"/>
          <w:kern w:val="0"/>
          <w:lang w:eastAsia="en-GB"/>
          <w14:ligatures w14:val="none"/>
        </w:rPr>
        <w:t xml:space="preserve"> (Guy-Evans, 20</w:t>
      </w:r>
      <w:r w:rsidR="00885622">
        <w:rPr>
          <w:rFonts w:ascii="Arial" w:eastAsia="Times New Roman" w:hAnsi="Arial" w:cs="Arial"/>
          <w:color w:val="000000"/>
          <w:kern w:val="0"/>
          <w:lang w:eastAsia="en-GB"/>
          <w14:ligatures w14:val="none"/>
        </w:rPr>
        <w:t>25)</w:t>
      </w:r>
      <w:r w:rsidRPr="00E1327E">
        <w:rPr>
          <w:rFonts w:ascii="Arial" w:eastAsia="Times New Roman" w:hAnsi="Arial" w:cs="Arial"/>
          <w:color w:val="000000"/>
          <w:kern w:val="0"/>
          <w:lang w:eastAsia="en-GB"/>
          <w14:ligatures w14:val="none"/>
        </w:rPr>
        <w:t xml:space="preserve">. Reflecting on this principle has increased my awareness that no single professional can meet </w:t>
      </w:r>
      <w:r w:rsidRPr="00E1327E">
        <w:rPr>
          <w:rFonts w:ascii="Arial" w:eastAsia="Times New Roman" w:hAnsi="Arial" w:cs="Arial"/>
          <w:color w:val="000000"/>
          <w:kern w:val="0"/>
          <w:lang w:eastAsia="en-GB"/>
          <w14:ligatures w14:val="none"/>
        </w:rPr>
        <w:t>all</w:t>
      </w:r>
      <w:r w:rsidRPr="00E1327E">
        <w:rPr>
          <w:rFonts w:ascii="Arial" w:eastAsia="Times New Roman" w:hAnsi="Arial" w:cs="Arial"/>
          <w:color w:val="000000"/>
          <w:kern w:val="0"/>
          <w:lang w:eastAsia="en-GB"/>
          <w14:ligatures w14:val="none"/>
        </w:rPr>
        <w:t xml:space="preserve"> a person's needs alone. However, poor communication, differing professional opinions and confidentiality concerns can create barriers to effective partnership working.</w:t>
      </w:r>
    </w:p>
    <w:p w14:paraId="626EC6D7" w14:textId="27E24EE2"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 xml:space="preserve">Ethical practice underpins every aspect of professional decision-making in health and social care. Professionals are expected to act with honesty, integrity, compassion and respect while protecting service users' rights and promoting equality. Ethical principles including autonomy, beneficence, non-maleficence and justice help ensure care is delivered fairly </w:t>
      </w:r>
      <w:r w:rsidRPr="00E1327E">
        <w:rPr>
          <w:rFonts w:ascii="Arial" w:eastAsia="Times New Roman" w:hAnsi="Arial" w:cs="Arial"/>
          <w:color w:val="000000"/>
          <w:kern w:val="0"/>
          <w:lang w:eastAsia="en-GB"/>
          <w14:ligatures w14:val="none"/>
        </w:rPr>
        <w:t>and, in the individual’s,</w:t>
      </w:r>
      <w:r w:rsidRPr="00E1327E">
        <w:rPr>
          <w:rFonts w:ascii="Arial" w:eastAsia="Times New Roman" w:hAnsi="Arial" w:cs="Arial"/>
          <w:color w:val="000000"/>
          <w:kern w:val="0"/>
          <w:lang w:eastAsia="en-GB"/>
          <w14:ligatures w14:val="none"/>
        </w:rPr>
        <w:t xml:space="preserve"> best interests</w:t>
      </w:r>
      <w:r w:rsidR="00AB0B0F">
        <w:rPr>
          <w:rFonts w:ascii="Arial" w:eastAsia="Times New Roman" w:hAnsi="Arial" w:cs="Arial"/>
          <w:color w:val="000000"/>
          <w:kern w:val="0"/>
          <w:lang w:eastAsia="en-GB"/>
          <w14:ligatures w14:val="none"/>
        </w:rPr>
        <w:t xml:space="preserve"> (Varkey, 2021)</w:t>
      </w:r>
      <w:r w:rsidRPr="00E1327E">
        <w:rPr>
          <w:rFonts w:ascii="Arial" w:eastAsia="Times New Roman" w:hAnsi="Arial" w:cs="Arial"/>
          <w:color w:val="000000"/>
          <w:kern w:val="0"/>
          <w:lang w:eastAsia="en-GB"/>
          <w14:ligatures w14:val="none"/>
        </w:rPr>
        <w:t>. These principles are supported by the Human Rights Act 1998, the Equality Act 2010 and the HCPC Standards of Conduct, Performance and Ethics, which require professionals to respect diversity, maintain confidentiality and obtain informed consent whenever possible. Reflecting on ethical practice has reinforced the importance of treating every individual with dignity while balancing professional responsibilities with legal and ethical obligations. However, ethical dilemmas can arise when professionals must balance respecting an individual's wishes with their duty to protect them from harm.</w:t>
      </w:r>
    </w:p>
    <w:p w14:paraId="4ECF21BD"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Overall, reflecting on these principles has strengthened my understanding of the responsibilities involved in working in health and social care. Person-centred care, partnership working and ethical practice are interconnected principles that promote high-quality, compassionate and legally compliant care. Effective practice extends beyond meeting physical needs and requires professionals to respect individuality, work collaboratively and make ethical decisions that place the wellbeing of service users at the centre of care.</w:t>
      </w:r>
    </w:p>
    <w:p w14:paraId="587ACC44" w14:textId="77777777" w:rsidR="00DB226B" w:rsidRPr="00E1327E" w:rsidRDefault="00DB226B" w:rsidP="00E1327E">
      <w:pPr>
        <w:spacing w:before="100" w:beforeAutospacing="1" w:after="100" w:afterAutospacing="1" w:line="276" w:lineRule="auto"/>
        <w:outlineLvl w:val="1"/>
        <w:rPr>
          <w:rFonts w:ascii="Arial" w:eastAsia="Times New Roman" w:hAnsi="Arial" w:cs="Arial"/>
          <w:b/>
          <w:bCs/>
          <w:color w:val="000000"/>
          <w:kern w:val="0"/>
          <w:lang w:eastAsia="en-GB"/>
          <w14:ligatures w14:val="none"/>
        </w:rPr>
      </w:pPr>
      <w:r w:rsidRPr="00E1327E">
        <w:rPr>
          <w:rFonts w:ascii="Arial" w:eastAsia="Times New Roman" w:hAnsi="Arial" w:cs="Arial"/>
          <w:b/>
          <w:bCs/>
          <w:color w:val="000000"/>
          <w:kern w:val="0"/>
          <w:lang w:eastAsia="en-GB"/>
          <w14:ligatures w14:val="none"/>
        </w:rPr>
        <w:t>PRACTICAL EXAMPLES OF CONCEPTS IN PRACTICE: JOAN'S CASE STUDY</w:t>
      </w:r>
    </w:p>
    <w:p w14:paraId="79FB3693"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lastRenderedPageBreak/>
        <w:t>Joan's case study shows how person-centred care, partnership working and ethical practice work together to improve outcomes for individuals living with long-term health conditions. Joan has Chronic Obstructive Pulmonary Disease (COPD), which affects her breathing and daily life. Although pulmonary rehabilitation was recommended, she felt overwhelmed and often missed appointments. Rather than viewing Joan as non-compliant, healthcare professionals explored the reasons behind her behaviour and adapted their approach to meet her individual needs. This highlights the importance of understanding the whole person rather than focusing only on their medical condition.</w:t>
      </w:r>
    </w:p>
    <w:p w14:paraId="3569987E" w14:textId="37D22F00"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Person-centred care was demonstrated when Joan's therapist asked her to complete the Patient Activation Measurement (PAM), which assessed her confidence, knowledge and ability to manage her own health</w:t>
      </w:r>
      <w:r w:rsidR="002B6EF2">
        <w:rPr>
          <w:rFonts w:ascii="Arial" w:eastAsia="Times New Roman" w:hAnsi="Arial" w:cs="Arial"/>
          <w:color w:val="000000"/>
          <w:kern w:val="0"/>
          <w:lang w:eastAsia="en-GB"/>
          <w14:ligatures w14:val="none"/>
        </w:rPr>
        <w:t xml:space="preserve"> (NHS England, 2018)</w:t>
      </w:r>
      <w:r w:rsidRPr="00E1327E">
        <w:rPr>
          <w:rFonts w:ascii="Arial" w:eastAsia="Times New Roman" w:hAnsi="Arial" w:cs="Arial"/>
          <w:color w:val="000000"/>
          <w:kern w:val="0"/>
          <w:lang w:eastAsia="en-GB"/>
          <w14:ligatures w14:val="none"/>
        </w:rPr>
        <w:t>. The results showed that Joan lacked confidence and felt overwhelmed by her condition. Instead of judging her for missing appointments, the healthcare team recognised that her difficulties were influenced by emotional and physical factors. This reflects the Care Act 2014, which promotes individual wellbeing and involvement in decisions about care. It also links to Maslow's Hierarchy of Needs, as Joan's emotional wellbeing and confidence needed to improve before she could focus on her physical health. As a result, Joan became more engaged in managing her condition and gained greater confidence in caring for herself.</w:t>
      </w:r>
    </w:p>
    <w:p w14:paraId="2F0BF39D" w14:textId="761CF559"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Partnership working was also demonstrated throughout Joan's care. The therapy team, GP and Joan worked together to identify that her uncontrolled Crohn's disease was preventing her from leaving home and attending rehabilitation appointments. By working collaboratively, the multidisciplinary team addressed both her respiratory condition and the underlying health issues affecting her daily life. This holistic approach</w:t>
      </w:r>
      <w:r w:rsidR="006E66BF">
        <w:rPr>
          <w:rFonts w:ascii="Arial" w:eastAsia="Times New Roman" w:hAnsi="Arial" w:cs="Arial"/>
          <w:color w:val="000000"/>
          <w:kern w:val="0"/>
          <w:lang w:eastAsia="en-GB"/>
          <w14:ligatures w14:val="none"/>
        </w:rPr>
        <w:t>,</w:t>
      </w:r>
      <w:r w:rsidRPr="00E1327E">
        <w:rPr>
          <w:rFonts w:ascii="Arial" w:eastAsia="Times New Roman" w:hAnsi="Arial" w:cs="Arial"/>
          <w:color w:val="000000"/>
          <w:kern w:val="0"/>
          <w:lang w:eastAsia="en-GB"/>
          <w14:ligatures w14:val="none"/>
        </w:rPr>
        <w:t xml:space="preserve"> ensured Joan received coordinated care rather than fragmented treatment. The Health and Care Act 2022</w:t>
      </w:r>
      <w:r w:rsidR="001427BE">
        <w:rPr>
          <w:rFonts w:ascii="Arial" w:eastAsia="Times New Roman" w:hAnsi="Arial" w:cs="Arial"/>
          <w:color w:val="000000"/>
          <w:kern w:val="0"/>
          <w:lang w:eastAsia="en-GB"/>
          <w14:ligatures w14:val="none"/>
        </w:rPr>
        <w:t>,</w:t>
      </w:r>
      <w:r w:rsidRPr="00E1327E">
        <w:rPr>
          <w:rFonts w:ascii="Arial" w:eastAsia="Times New Roman" w:hAnsi="Arial" w:cs="Arial"/>
          <w:color w:val="000000"/>
          <w:kern w:val="0"/>
          <w:lang w:eastAsia="en-GB"/>
          <w14:ligatures w14:val="none"/>
        </w:rPr>
        <w:t xml:space="preserve"> supports this integrated approach by encouraging collaboration between health and social care organisations</w:t>
      </w:r>
      <w:r w:rsidR="008B6BB5">
        <w:rPr>
          <w:rFonts w:ascii="Arial" w:eastAsia="Times New Roman" w:hAnsi="Arial" w:cs="Arial"/>
          <w:color w:val="000000"/>
          <w:kern w:val="0"/>
          <w:lang w:eastAsia="en-GB"/>
          <w14:ligatures w14:val="none"/>
        </w:rPr>
        <w:t xml:space="preserve"> (Department of Health and Social Care, 2022)</w:t>
      </w:r>
      <w:r w:rsidRPr="00E1327E">
        <w:rPr>
          <w:rFonts w:ascii="Arial" w:eastAsia="Times New Roman" w:hAnsi="Arial" w:cs="Arial"/>
          <w:color w:val="000000"/>
          <w:kern w:val="0"/>
          <w:lang w:eastAsia="en-GB"/>
          <w14:ligatures w14:val="none"/>
        </w:rPr>
        <w:t>. Once Joan's Crohn's disease was better managed, she was able to leave the house more confidently, spend time with her daughter and attend pulmonary rehabilitation, demonstrating how partnership working can improve both physical and emotional wellbeing.</w:t>
      </w:r>
    </w:p>
    <w:p w14:paraId="788D9FB4" w14:textId="42D8C9E8"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 xml:space="preserve">Ethical practice was evident throughout Joan's care by respecting her dignity, autonomy and right to participate in decisions about her treatment. Rather than blaming her for struggling to manage her condition, professionals treated her with empathy and compassion while helping her develop an action plan that suited her needs. They recognised that effective care requires understanding the barriers individuals face. Professionals acted with beneficence by promoting Joan's wellbeing, maintaining confidentiality and protecting her dignity throughout the </w:t>
      </w:r>
      <w:r w:rsidRPr="00602F92">
        <w:rPr>
          <w:rFonts w:ascii="Arial" w:eastAsia="Times New Roman" w:hAnsi="Arial" w:cs="Arial"/>
          <w:color w:val="000000"/>
          <w:kern w:val="0"/>
          <w:lang w:eastAsia="en-GB"/>
          <w14:ligatures w14:val="none"/>
        </w:rPr>
        <w:t>process</w:t>
      </w:r>
      <w:r w:rsidR="00602F92" w:rsidRPr="00602F92">
        <w:rPr>
          <w:rFonts w:ascii="Arial" w:eastAsia="Times New Roman" w:hAnsi="Arial" w:cs="Arial"/>
          <w:color w:val="000000"/>
          <w:kern w:val="0"/>
          <w:lang w:eastAsia="en-GB"/>
          <w14:ligatures w14:val="none"/>
        </w:rPr>
        <w:t xml:space="preserve"> </w:t>
      </w:r>
      <w:r w:rsidR="00602F92" w:rsidRPr="00602F92">
        <w:rPr>
          <w:rFonts w:ascii="Arial" w:hAnsi="Arial" w:cs="Arial"/>
          <w:color w:val="000000"/>
        </w:rPr>
        <w:t>(Cheraghi et al., 2023)</w:t>
      </w:r>
      <w:r w:rsidRPr="00602F92">
        <w:rPr>
          <w:rFonts w:ascii="Arial" w:eastAsia="Times New Roman" w:hAnsi="Arial" w:cs="Arial"/>
          <w:color w:val="000000"/>
          <w:kern w:val="0"/>
          <w:lang w:eastAsia="en-GB"/>
          <w14:ligatures w14:val="none"/>
        </w:rPr>
        <w:t>.</w:t>
      </w:r>
      <w:r w:rsidRPr="00E1327E">
        <w:rPr>
          <w:rFonts w:ascii="Arial" w:eastAsia="Times New Roman" w:hAnsi="Arial" w:cs="Arial"/>
          <w:color w:val="000000"/>
          <w:kern w:val="0"/>
          <w:lang w:eastAsia="en-GB"/>
          <w14:ligatures w14:val="none"/>
        </w:rPr>
        <w:t xml:space="preserve"> These approaches are consistent with the HCPC Standards of Conduct, Performance and Ethics and the NICE guidelines on patient </w:t>
      </w:r>
      <w:r w:rsidRPr="00E1327E">
        <w:rPr>
          <w:rFonts w:ascii="Arial" w:eastAsia="Times New Roman" w:hAnsi="Arial" w:cs="Arial"/>
          <w:color w:val="000000"/>
          <w:kern w:val="0"/>
          <w:lang w:eastAsia="en-GB"/>
          <w14:ligatures w14:val="none"/>
        </w:rPr>
        <w:lastRenderedPageBreak/>
        <w:t>experience, which emphasise respect, shared decision-making and compassionate communication.</w:t>
      </w:r>
    </w:p>
    <w:p w14:paraId="6C34BC24"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The application of these principles resulted in significant improvements for both Joan and the healthcare service. After seven months of personalised support, Joan's PAM score increased, showing greater confidence in managing her health. She attended more appointments, experienced fewer emergency hospital admissions and reported an improved quality of life. These outcomes demonstrate that person-centred care and partnership working can reduce pressure on NHS services while empowering individuals to take an active role in their own care. Although challenges such as staff shortages, increasing workloads and limited appointment availability may affect implementation, Joan's case shows that when professionals work collaboratively, respect ethical principles and tailor support to individual needs, positive and sustainable outcomes are more likely.</w:t>
      </w:r>
    </w:p>
    <w:p w14:paraId="75AD5667" w14:textId="77777777" w:rsidR="00DB226B" w:rsidRPr="00E1327E" w:rsidRDefault="00DB226B" w:rsidP="00E1327E">
      <w:pPr>
        <w:spacing w:before="100" w:beforeAutospacing="1" w:after="100" w:afterAutospacing="1" w:line="276" w:lineRule="auto"/>
        <w:outlineLvl w:val="1"/>
        <w:rPr>
          <w:rFonts w:ascii="Arial" w:eastAsia="Times New Roman" w:hAnsi="Arial" w:cs="Arial"/>
          <w:b/>
          <w:bCs/>
          <w:color w:val="000000"/>
          <w:kern w:val="0"/>
          <w:lang w:eastAsia="en-GB"/>
          <w14:ligatures w14:val="none"/>
        </w:rPr>
      </w:pPr>
      <w:r w:rsidRPr="00E1327E">
        <w:rPr>
          <w:rFonts w:ascii="Arial" w:eastAsia="Times New Roman" w:hAnsi="Arial" w:cs="Arial"/>
          <w:b/>
          <w:bCs/>
          <w:color w:val="000000"/>
          <w:kern w:val="0"/>
          <w:lang w:eastAsia="en-GB"/>
          <w14:ligatures w14:val="none"/>
        </w:rPr>
        <w:t>SELF-REFLECTION</w:t>
      </w:r>
    </w:p>
    <w:p w14:paraId="15D8A42F" w14:textId="6954DBD1"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Reflecting on the principles of health and social care has deepened my understanding of the knowledge, skills and professional values required to provide safe, compassionate and person-centred care. Through studying person-centred care, partnership working and ethical practice, I have recognised that effective care involves more than meeting an individual's physical needs. It also requires professionals to communicate effectively, respect people's dignity and autonomy, and work collaboratively with colleagues to achieve the best possible outcomes. Using Gibbs' Reflective Cycle, this reflection evaluates my strengths, identifies areas for improvement and considers how my learning will influence my future professional practice</w:t>
      </w:r>
      <w:r w:rsidR="005E421A">
        <w:rPr>
          <w:rFonts w:ascii="Arial" w:eastAsia="Times New Roman" w:hAnsi="Arial" w:cs="Arial"/>
          <w:color w:val="000000"/>
          <w:kern w:val="0"/>
          <w:lang w:eastAsia="en-GB"/>
          <w14:ligatures w14:val="none"/>
        </w:rPr>
        <w:t xml:space="preserve"> (McLeod, 2025a)</w:t>
      </w:r>
    </w:p>
    <w:p w14:paraId="331F4ECE"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One of my greatest strengths is that I communicate respectfully and listen attentively. In learning and work-based situations, I let people speak without interrupting and use polite, calm language. Reflecting on Joan's case study reinforced this because healthcare professionals achieved positive outcomes by listening to the reasons behind her missed appointments rather than making assumptions. This highlighted the importance of empathy and active listening when delivering care. I believe these skills will help me build positive relationships with future service users and encourage them to take part in decisions about their own care.</w:t>
      </w:r>
    </w:p>
    <w:p w14:paraId="531F035C"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Another strength is my understanding of confidentiality. I know that service users may share private and sensitive information, so it must be handled carefully. I would only share information with the appropriate professionals when necessary for care. However, I also understand that confidentiality is not absolute. If someone is at risk of harm, information may need to be shared to protect them or others. This links to safeguarding and duty of care.</w:t>
      </w:r>
    </w:p>
    <w:p w14:paraId="67D0C80C"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lastRenderedPageBreak/>
        <w:t>I also try to be caring and non-judgemental. Joan's story shows that missed appointments may be linked to low confidence, anxiety or another health condition rather than a lack of motivation. In practice, I would ask questions sensitively, show empathy and be patient because people often need time to build confidence and trust. However, I still need to improve my professional communication so I can remain caring while also being confident and clear.</w:t>
      </w:r>
    </w:p>
    <w:p w14:paraId="4F975637"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One area I need to improve is my confidence when speaking up. Sometimes I worry about saying the wrong thing, especially when more experienced professionals are present. I understand the importance of raising concerns if a service user's safety or wellbeing may be at risk. To improve, I plan to learn more about safeguarding procedures, ask questions when I am unsure and follow workplace policies.</w:t>
      </w:r>
    </w:p>
    <w:p w14:paraId="7BD35E5C"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I also want to improve my understanding of partnership working. Joan's case showed that good care often depends on different professionals working together, including therapists, GPs, nurses, support workers and family members. In future practice, I would share information appropriately, respect other professionals' roles and involve service users in decisions about their care. This has shown me that professionals should always consider the whole person rather than focusing on one condition.</w:t>
      </w:r>
    </w:p>
    <w:p w14:paraId="76D7DC37"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Person-centred care is another principle I want to apply more effectively. I understand that every service user has different needs, choices and preferences. If I were supporting Joan, I would ask what was preventing her from attending pulmonary rehabilitation instead of simply encouraging her to attend. Understanding barriers such as fear, tiredness, transport difficulties or other health conditions would help provide care that is more respectful and tailored to her needs.</w:t>
      </w:r>
    </w:p>
    <w:p w14:paraId="5228204B"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I also want to improve my knowledge of equality and diversity in practice. I understand the basic principles but want to become more confident applying them in real situations. Equality means ensuring people have fair access to support and making reasonable adjustments where needed. I also want to become more confident challenging discrimination if I see it, although this links to improving my confidence in speaking up.</w:t>
      </w:r>
    </w:p>
    <w:p w14:paraId="686BAFE4" w14:textId="77777777" w:rsidR="00DB226B" w:rsidRPr="00E1327E" w:rsidRDefault="00DB226B" w:rsidP="00E1327E">
      <w:pPr>
        <w:spacing w:before="100" w:beforeAutospacing="1" w:after="100" w:afterAutospacing="1" w:line="276" w:lineRule="auto"/>
        <w:rPr>
          <w:rFonts w:ascii="Arial" w:eastAsia="Times New Roman" w:hAnsi="Arial" w:cs="Arial"/>
          <w:color w:val="000000"/>
          <w:kern w:val="0"/>
          <w:lang w:eastAsia="en-GB"/>
          <w14:ligatures w14:val="none"/>
        </w:rPr>
      </w:pPr>
      <w:r w:rsidRPr="00E1327E">
        <w:rPr>
          <w:rFonts w:ascii="Arial" w:eastAsia="Times New Roman" w:hAnsi="Arial" w:cs="Arial"/>
          <w:color w:val="000000"/>
          <w:kern w:val="0"/>
          <w:lang w:eastAsia="en-GB"/>
          <w14:ligatures w14:val="none"/>
        </w:rPr>
        <w:t>Overall, this reflection has helped me recognise both my strengths and the areas I need to develop as a future health and social care professional. My strengths include listening, showing respect, being caring and understanding confidentiality. I need to improve my confidence, safeguarding knowledge, partnership working and understanding of equality and diversity. I will continue developing these skills by treating every service user as an individual, respecting their choices, protecting their dignity and working with colleagues to provide the best possible care.</w:t>
      </w:r>
    </w:p>
    <w:p w14:paraId="7B10EF84" w14:textId="77777777" w:rsidR="00DB226B" w:rsidRDefault="00DB226B" w:rsidP="00E1327E">
      <w:pPr>
        <w:pStyle w:val="paragraph"/>
        <w:spacing w:before="0" w:beforeAutospacing="0" w:after="0" w:afterAutospacing="0" w:line="276" w:lineRule="auto"/>
        <w:textAlignment w:val="baseline"/>
        <w:rPr>
          <w:rStyle w:val="eop"/>
          <w:rFonts w:ascii="Arial" w:hAnsi="Arial" w:cs="Arial"/>
        </w:rPr>
      </w:pPr>
      <w:r w:rsidRPr="00E1327E">
        <w:rPr>
          <w:rStyle w:val="normaltextrun"/>
          <w:rFonts w:ascii="Arial" w:hAnsi="Arial" w:cs="Arial"/>
          <w:b/>
          <w:bCs/>
        </w:rPr>
        <w:t>CONCLUSION</w:t>
      </w:r>
      <w:r w:rsidRPr="00E1327E">
        <w:rPr>
          <w:rStyle w:val="eop"/>
          <w:rFonts w:ascii="Arial" w:hAnsi="Arial" w:cs="Arial"/>
        </w:rPr>
        <w:t> </w:t>
      </w:r>
    </w:p>
    <w:p w14:paraId="3B0A9EB1" w14:textId="77777777" w:rsidR="00E1327E" w:rsidRPr="00E1327E" w:rsidRDefault="00E1327E" w:rsidP="00E1327E">
      <w:pPr>
        <w:pStyle w:val="paragraph"/>
        <w:spacing w:before="0" w:beforeAutospacing="0" w:after="0" w:afterAutospacing="0" w:line="276" w:lineRule="auto"/>
        <w:textAlignment w:val="baseline"/>
        <w:rPr>
          <w:rFonts w:ascii="Arial" w:hAnsi="Arial" w:cs="Arial"/>
        </w:rPr>
      </w:pPr>
    </w:p>
    <w:p w14:paraId="53C1954F" w14:textId="3EC79CF4" w:rsidR="00DB226B" w:rsidRPr="00E1327E" w:rsidRDefault="00DB226B" w:rsidP="00E1327E">
      <w:pPr>
        <w:pStyle w:val="paragraph"/>
        <w:spacing w:before="0" w:beforeAutospacing="0" w:after="0" w:afterAutospacing="0" w:line="276" w:lineRule="auto"/>
        <w:textAlignment w:val="baseline"/>
        <w:rPr>
          <w:rFonts w:ascii="Arial" w:hAnsi="Arial" w:cs="Arial"/>
        </w:rPr>
      </w:pPr>
      <w:r w:rsidRPr="00E1327E">
        <w:rPr>
          <w:rStyle w:val="normaltextrun"/>
          <w:rFonts w:ascii="Arial" w:hAnsi="Arial" w:cs="Arial"/>
        </w:rPr>
        <w:lastRenderedPageBreak/>
        <w:t>In conclusion, this report has</w:t>
      </w:r>
      <w:r w:rsidRPr="00E1327E">
        <w:rPr>
          <w:rStyle w:val="apple-converted-space"/>
          <w:rFonts w:ascii="Arial" w:hAnsi="Arial" w:cs="Arial"/>
        </w:rPr>
        <w:t> </w:t>
      </w:r>
      <w:r w:rsidRPr="00E1327E">
        <w:rPr>
          <w:rStyle w:val="normaltextrun"/>
          <w:rFonts w:ascii="Arial" w:hAnsi="Arial" w:cs="Arial"/>
        </w:rPr>
        <w:t>demonstrated</w:t>
      </w:r>
      <w:r w:rsidRPr="00E1327E">
        <w:rPr>
          <w:rStyle w:val="apple-converted-space"/>
          <w:rFonts w:ascii="Arial" w:hAnsi="Arial" w:cs="Arial"/>
        </w:rPr>
        <w:t> </w:t>
      </w:r>
      <w:r w:rsidRPr="00E1327E">
        <w:rPr>
          <w:rStyle w:val="normaltextrun"/>
          <w:rFonts w:ascii="Arial" w:hAnsi="Arial" w:cs="Arial"/>
        </w:rPr>
        <w:t>the importance of person-centred care, partnership working and ethical practice in delivering safe,</w:t>
      </w:r>
      <w:r w:rsidRPr="00E1327E">
        <w:rPr>
          <w:rStyle w:val="apple-converted-space"/>
          <w:rFonts w:ascii="Arial" w:hAnsi="Arial" w:cs="Arial"/>
        </w:rPr>
        <w:t> </w:t>
      </w:r>
      <w:r w:rsidRPr="00E1327E">
        <w:rPr>
          <w:rStyle w:val="normaltextrun"/>
          <w:rFonts w:ascii="Arial" w:hAnsi="Arial" w:cs="Arial"/>
        </w:rPr>
        <w:t>effective</w:t>
      </w:r>
      <w:r w:rsidRPr="00E1327E">
        <w:rPr>
          <w:rStyle w:val="apple-converted-space"/>
          <w:rFonts w:ascii="Arial" w:hAnsi="Arial" w:cs="Arial"/>
        </w:rPr>
        <w:t> </w:t>
      </w:r>
      <w:r w:rsidRPr="00E1327E">
        <w:rPr>
          <w:rStyle w:val="normaltextrun"/>
          <w:rFonts w:ascii="Arial" w:hAnsi="Arial" w:cs="Arial"/>
        </w:rPr>
        <w:t>and compassionate health and social care. These principles are fundamental to promote dignity, respecting individual choices and improving the overall wellbeing of service users. The analysis of Joan’s case study highlighted how personalised care, collaborative working and ethical decision-making can improve health outcomes, increase</w:t>
      </w:r>
      <w:r w:rsidRPr="00E1327E">
        <w:rPr>
          <w:rStyle w:val="apple-converted-space"/>
          <w:rFonts w:ascii="Arial" w:hAnsi="Arial" w:cs="Arial"/>
        </w:rPr>
        <w:t> </w:t>
      </w:r>
      <w:r w:rsidRPr="00E1327E">
        <w:rPr>
          <w:rStyle w:val="normaltextrun"/>
          <w:rFonts w:ascii="Arial" w:hAnsi="Arial" w:cs="Arial"/>
        </w:rPr>
        <w:t>confidence and</w:t>
      </w:r>
      <w:r w:rsidRPr="00E1327E">
        <w:rPr>
          <w:rStyle w:val="normaltextrun"/>
          <w:rFonts w:ascii="Arial" w:hAnsi="Arial" w:cs="Arial"/>
        </w:rPr>
        <w:t xml:space="preserve"> support individuals in managing long-term conditions more effectively. Reflecting on these principles has also</w:t>
      </w:r>
      <w:r w:rsidRPr="00E1327E">
        <w:rPr>
          <w:rStyle w:val="apple-converted-space"/>
          <w:rFonts w:ascii="Arial" w:hAnsi="Arial" w:cs="Arial"/>
        </w:rPr>
        <w:t> </w:t>
      </w:r>
      <w:r w:rsidRPr="00E1327E">
        <w:rPr>
          <w:rStyle w:val="normaltextrun"/>
          <w:rFonts w:ascii="Arial" w:hAnsi="Arial" w:cs="Arial"/>
        </w:rPr>
        <w:t>strengthened understanding of the knowledge, skills and professional values</w:t>
      </w:r>
      <w:r w:rsidRPr="00E1327E">
        <w:rPr>
          <w:rStyle w:val="apple-converted-space"/>
          <w:rFonts w:ascii="Arial" w:hAnsi="Arial" w:cs="Arial"/>
        </w:rPr>
        <w:t> </w:t>
      </w:r>
      <w:r w:rsidRPr="00E1327E">
        <w:rPr>
          <w:rStyle w:val="normaltextrun"/>
          <w:rFonts w:ascii="Arial" w:hAnsi="Arial" w:cs="Arial"/>
        </w:rPr>
        <w:t>required</w:t>
      </w:r>
      <w:r w:rsidRPr="00E1327E">
        <w:rPr>
          <w:rStyle w:val="apple-converted-space"/>
          <w:rFonts w:ascii="Arial" w:hAnsi="Arial" w:cs="Arial"/>
        </w:rPr>
        <w:t> </w:t>
      </w:r>
      <w:r w:rsidRPr="00E1327E">
        <w:rPr>
          <w:rStyle w:val="normaltextrun"/>
          <w:rFonts w:ascii="Arial" w:hAnsi="Arial" w:cs="Arial"/>
        </w:rPr>
        <w:t>to work within health and social care. It has</w:t>
      </w:r>
      <w:r w:rsidRPr="00E1327E">
        <w:rPr>
          <w:rStyle w:val="apple-converted-space"/>
          <w:rFonts w:ascii="Arial" w:hAnsi="Arial" w:cs="Arial"/>
        </w:rPr>
        <w:t> </w:t>
      </w:r>
      <w:r w:rsidRPr="00E1327E">
        <w:rPr>
          <w:rStyle w:val="normaltextrun"/>
          <w:rFonts w:ascii="Arial" w:hAnsi="Arial" w:cs="Arial"/>
        </w:rPr>
        <w:t>identified</w:t>
      </w:r>
      <w:r w:rsidRPr="00E1327E">
        <w:rPr>
          <w:rStyle w:val="apple-converted-space"/>
          <w:rFonts w:ascii="Arial" w:hAnsi="Arial" w:cs="Arial"/>
        </w:rPr>
        <w:t> </w:t>
      </w:r>
      <w:r w:rsidRPr="00E1327E">
        <w:rPr>
          <w:rStyle w:val="normaltextrun"/>
          <w:rFonts w:ascii="Arial" w:hAnsi="Arial" w:cs="Arial"/>
        </w:rPr>
        <w:t>areas for further development, including communication, confidence</w:t>
      </w:r>
      <w:r w:rsidRPr="00E1327E">
        <w:rPr>
          <w:rStyle w:val="apple-converted-space"/>
          <w:rFonts w:ascii="Arial" w:hAnsi="Arial" w:cs="Arial"/>
        </w:rPr>
        <w:t> </w:t>
      </w:r>
      <w:r w:rsidRPr="00E1327E">
        <w:rPr>
          <w:rStyle w:val="normaltextrun"/>
          <w:rFonts w:ascii="Arial" w:hAnsi="Arial" w:cs="Arial"/>
        </w:rPr>
        <w:t>in raising concerns and partnership working. Continuing to reflect on practice and</w:t>
      </w:r>
      <w:r w:rsidRPr="00E1327E">
        <w:rPr>
          <w:rStyle w:val="apple-converted-space"/>
          <w:rFonts w:ascii="Arial" w:hAnsi="Arial" w:cs="Arial"/>
        </w:rPr>
        <w:t> </w:t>
      </w:r>
      <w:r w:rsidRPr="00E1327E">
        <w:rPr>
          <w:rStyle w:val="normaltextrun"/>
          <w:rFonts w:ascii="Arial" w:hAnsi="Arial" w:cs="Arial"/>
        </w:rPr>
        <w:t>engage in professional development will support the delivery of high-quality, person-centred care and contribute to positive outcomes for individuals,</w:t>
      </w:r>
      <w:r w:rsidRPr="00E1327E">
        <w:rPr>
          <w:rStyle w:val="apple-converted-space"/>
          <w:rFonts w:ascii="Arial" w:hAnsi="Arial" w:cs="Arial"/>
        </w:rPr>
        <w:t> </w:t>
      </w:r>
      <w:r w:rsidRPr="00E1327E">
        <w:rPr>
          <w:rStyle w:val="normaltextrun"/>
          <w:rFonts w:ascii="Arial" w:hAnsi="Arial" w:cs="Arial"/>
        </w:rPr>
        <w:t>families</w:t>
      </w:r>
      <w:r w:rsidRPr="00E1327E">
        <w:rPr>
          <w:rStyle w:val="apple-converted-space"/>
          <w:rFonts w:ascii="Arial" w:hAnsi="Arial" w:cs="Arial"/>
        </w:rPr>
        <w:t> </w:t>
      </w:r>
      <w:r w:rsidRPr="00E1327E">
        <w:rPr>
          <w:rStyle w:val="normaltextrun"/>
          <w:rFonts w:ascii="Arial" w:hAnsi="Arial" w:cs="Arial"/>
        </w:rPr>
        <w:t>and wider healthcare services</w:t>
      </w:r>
      <w:r w:rsidR="00302550">
        <w:rPr>
          <w:rStyle w:val="normaltextrun"/>
          <w:rFonts w:ascii="Arial" w:hAnsi="Arial" w:cs="Arial"/>
        </w:rPr>
        <w:t xml:space="preserve"> (Ali et al., 2025)</w:t>
      </w:r>
      <w:r w:rsidRPr="00E1327E">
        <w:rPr>
          <w:rStyle w:val="normaltextrun"/>
          <w:rFonts w:ascii="Arial" w:hAnsi="Arial" w:cs="Arial"/>
        </w:rPr>
        <w:t>. </w:t>
      </w:r>
      <w:r w:rsidRPr="00E1327E">
        <w:rPr>
          <w:rStyle w:val="eop"/>
          <w:rFonts w:ascii="Arial" w:hAnsi="Arial" w:cs="Arial"/>
        </w:rPr>
        <w:t> </w:t>
      </w:r>
    </w:p>
    <w:p w14:paraId="70DEEE43" w14:textId="77777777" w:rsidR="00DB226B" w:rsidRDefault="00DB226B" w:rsidP="00E1327E">
      <w:pPr>
        <w:spacing w:line="276" w:lineRule="auto"/>
        <w:rPr>
          <w:rFonts w:ascii="Arial" w:hAnsi="Arial" w:cs="Arial"/>
        </w:rPr>
      </w:pPr>
    </w:p>
    <w:p w14:paraId="06E5A167" w14:textId="5565C1AD" w:rsidR="00E1327E" w:rsidRPr="009A25EC" w:rsidRDefault="00E1327E" w:rsidP="00E1327E">
      <w:pPr>
        <w:spacing w:line="276" w:lineRule="auto"/>
        <w:rPr>
          <w:rFonts w:ascii="Arial" w:hAnsi="Arial" w:cs="Arial"/>
          <w:b/>
          <w:bCs/>
        </w:rPr>
      </w:pPr>
      <w:r w:rsidRPr="009A25EC">
        <w:rPr>
          <w:rFonts w:ascii="Arial" w:hAnsi="Arial" w:cs="Arial"/>
          <w:b/>
          <w:bCs/>
        </w:rPr>
        <w:t>REFERENCES</w:t>
      </w:r>
    </w:p>
    <w:p w14:paraId="6A6A139A" w14:textId="77777777" w:rsidR="009A25EC" w:rsidRDefault="009A25EC" w:rsidP="00E1327E">
      <w:pPr>
        <w:spacing w:line="276" w:lineRule="auto"/>
        <w:rPr>
          <w:rFonts w:ascii="Arial" w:hAnsi="Arial" w:cs="Arial"/>
        </w:rPr>
      </w:pPr>
    </w:p>
    <w:p w14:paraId="02DFE6E5" w14:textId="77777777" w:rsidR="00536540" w:rsidRDefault="00536540" w:rsidP="00536540">
      <w:pPr>
        <w:pStyle w:val="NormalWeb"/>
        <w:spacing w:before="0" w:beforeAutospacing="0" w:after="240" w:afterAutospacing="0" w:line="360" w:lineRule="atLeast"/>
        <w:rPr>
          <w:color w:val="000000"/>
        </w:rPr>
      </w:pPr>
      <w:r>
        <w:rPr>
          <w:color w:val="000000"/>
        </w:rPr>
        <w:t>Ali, S., Sethi, A., Soltani, A. and Nazar, Z. (2025). Impact of continuing professional development (CPD) on patient outcomes: a systematic scoping review.</w:t>
      </w:r>
      <w:r>
        <w:rPr>
          <w:rStyle w:val="apple-converted-space"/>
          <w:color w:val="000000"/>
        </w:rPr>
        <w:t> </w:t>
      </w:r>
      <w:r>
        <w:rPr>
          <w:i/>
          <w:iCs/>
          <w:color w:val="000000"/>
        </w:rPr>
        <w:t>BMC Medical Education</w:t>
      </w:r>
      <w:r>
        <w:rPr>
          <w:color w:val="000000"/>
        </w:rPr>
        <w:t xml:space="preserve">, 25(1). </w:t>
      </w:r>
      <w:proofErr w:type="spellStart"/>
      <w:proofErr w:type="gramStart"/>
      <w:r>
        <w:rPr>
          <w:color w:val="000000"/>
        </w:rPr>
        <w:t>doi:https</w:t>
      </w:r>
      <w:proofErr w:type="spellEnd"/>
      <w:r>
        <w:rPr>
          <w:color w:val="000000"/>
        </w:rPr>
        <w:t>://doi.org/10.1186/s12909-025-07883-4</w:t>
      </w:r>
      <w:proofErr w:type="gramEnd"/>
      <w:r>
        <w:rPr>
          <w:color w:val="000000"/>
        </w:rPr>
        <w:t>.</w:t>
      </w:r>
    </w:p>
    <w:p w14:paraId="5824D109" w14:textId="77777777" w:rsidR="00536540" w:rsidRDefault="00536540" w:rsidP="00536540">
      <w:pPr>
        <w:pStyle w:val="NormalWeb"/>
        <w:spacing w:before="0" w:beforeAutospacing="0" w:after="240" w:afterAutospacing="0" w:line="360" w:lineRule="atLeast"/>
        <w:rPr>
          <w:color w:val="000000"/>
        </w:rPr>
      </w:pPr>
      <w:r>
        <w:rPr>
          <w:color w:val="000000"/>
        </w:rPr>
        <w:t xml:space="preserve">Cheraghi, R., Valizadeh, L., </w:t>
      </w:r>
      <w:proofErr w:type="spellStart"/>
      <w:r>
        <w:rPr>
          <w:color w:val="000000"/>
        </w:rPr>
        <w:t>Zamanzadeh</w:t>
      </w:r>
      <w:proofErr w:type="spellEnd"/>
      <w:r>
        <w:rPr>
          <w:color w:val="000000"/>
        </w:rPr>
        <w:t>, V., Hassankhani, H. and Jafarzadeh, A. (2023). Clarification of ethical principle of the beneficence in nursing care: An integrative review.</w:t>
      </w:r>
      <w:r>
        <w:rPr>
          <w:rStyle w:val="apple-converted-space"/>
          <w:color w:val="000000"/>
        </w:rPr>
        <w:t> </w:t>
      </w:r>
      <w:r>
        <w:rPr>
          <w:i/>
          <w:iCs/>
          <w:color w:val="000000"/>
        </w:rPr>
        <w:t>BioMed Central Nursing</w:t>
      </w:r>
      <w:r>
        <w:rPr>
          <w:color w:val="000000"/>
        </w:rPr>
        <w:t xml:space="preserve">, [online] 22(89), pp.1–9. </w:t>
      </w:r>
      <w:proofErr w:type="spellStart"/>
      <w:proofErr w:type="gramStart"/>
      <w:r>
        <w:rPr>
          <w:color w:val="000000"/>
        </w:rPr>
        <w:t>doi:https</w:t>
      </w:r>
      <w:proofErr w:type="spellEnd"/>
      <w:r>
        <w:rPr>
          <w:color w:val="000000"/>
        </w:rPr>
        <w:t>://doi.org/10.1186/s12912-023-01246-4</w:t>
      </w:r>
      <w:proofErr w:type="gramEnd"/>
      <w:r>
        <w:rPr>
          <w:color w:val="000000"/>
        </w:rPr>
        <w:t>.</w:t>
      </w:r>
    </w:p>
    <w:p w14:paraId="4F7E7949" w14:textId="77777777" w:rsidR="00536540" w:rsidRDefault="00536540" w:rsidP="00536540">
      <w:pPr>
        <w:pStyle w:val="NormalWeb"/>
        <w:spacing w:before="0" w:beforeAutospacing="0" w:after="240" w:afterAutospacing="0" w:line="360" w:lineRule="atLeast"/>
        <w:rPr>
          <w:color w:val="000000"/>
        </w:rPr>
      </w:pPr>
      <w:r>
        <w:rPr>
          <w:color w:val="000000"/>
        </w:rPr>
        <w:t>Department of Health and Social Care (2022).</w:t>
      </w:r>
      <w:r>
        <w:rPr>
          <w:rStyle w:val="apple-converted-space"/>
          <w:color w:val="000000"/>
        </w:rPr>
        <w:t> </w:t>
      </w:r>
      <w:r>
        <w:rPr>
          <w:i/>
          <w:iCs/>
          <w:color w:val="000000"/>
        </w:rPr>
        <w:t>Health and Care Act 2022 Impact Assessments Summary Document and Analysis of Additional Measures</w:t>
      </w:r>
      <w:r>
        <w:rPr>
          <w:color w:val="000000"/>
        </w:rPr>
        <w:t>. [online]</w:t>
      </w:r>
      <w:r>
        <w:rPr>
          <w:rStyle w:val="apple-converted-space"/>
          <w:color w:val="000000"/>
        </w:rPr>
        <w:t> </w:t>
      </w:r>
      <w:r>
        <w:rPr>
          <w:i/>
          <w:iCs/>
          <w:color w:val="000000"/>
        </w:rPr>
        <w:t>Department of Health and Social Care</w:t>
      </w:r>
      <w:r>
        <w:rPr>
          <w:color w:val="000000"/>
        </w:rPr>
        <w:t>. Available at: https://assets.publishing.service.gov.uk/media/6363d911e90e0705a8c35457/health-and-care-act-2022-summary-and-additional-measures-impact-assessment.pdf.</w:t>
      </w:r>
    </w:p>
    <w:p w14:paraId="564DF725" w14:textId="77777777" w:rsidR="00536540" w:rsidRDefault="00536540" w:rsidP="00536540">
      <w:pPr>
        <w:pStyle w:val="NormalWeb"/>
        <w:spacing w:before="0" w:beforeAutospacing="0" w:after="240" w:afterAutospacing="0" w:line="360" w:lineRule="atLeast"/>
        <w:rPr>
          <w:color w:val="000000"/>
        </w:rPr>
      </w:pPr>
      <w:r>
        <w:rPr>
          <w:color w:val="000000"/>
        </w:rPr>
        <w:t>Guy-Evans, O. (2025).</w:t>
      </w:r>
      <w:r>
        <w:rPr>
          <w:rStyle w:val="apple-converted-space"/>
          <w:color w:val="000000"/>
        </w:rPr>
        <w:t> </w:t>
      </w:r>
      <w:r>
        <w:rPr>
          <w:i/>
          <w:iCs/>
          <w:color w:val="000000"/>
        </w:rPr>
        <w:t>Bronfenbrenner’s Ecological Systems Theory</w:t>
      </w:r>
      <w:r>
        <w:rPr>
          <w:color w:val="000000"/>
        </w:rPr>
        <w:t>. [online] Simply Psychology. Available at: https://www.simplypsychology.org/Bronfenbrenner.html.</w:t>
      </w:r>
    </w:p>
    <w:p w14:paraId="3AFAA8BA" w14:textId="77777777" w:rsidR="00536540" w:rsidRDefault="00536540" w:rsidP="00536540">
      <w:pPr>
        <w:pStyle w:val="NormalWeb"/>
        <w:spacing w:before="0" w:beforeAutospacing="0" w:after="240" w:afterAutospacing="0" w:line="360" w:lineRule="atLeast"/>
        <w:rPr>
          <w:color w:val="000000"/>
        </w:rPr>
      </w:pPr>
      <w:r>
        <w:rPr>
          <w:color w:val="000000"/>
        </w:rPr>
        <w:t xml:space="preserve">Jemal, K., Hailu, D., Mekonnen, M., Tesfa, B., Bekele, K. and </w:t>
      </w:r>
      <w:proofErr w:type="spellStart"/>
      <w:r>
        <w:rPr>
          <w:color w:val="000000"/>
        </w:rPr>
        <w:t>Kinati</w:t>
      </w:r>
      <w:proofErr w:type="spellEnd"/>
      <w:r>
        <w:rPr>
          <w:color w:val="000000"/>
        </w:rPr>
        <w:t>, T. (2021). The importance of compassion and respectful care for the health workforce: a mixed-methods study.</w:t>
      </w:r>
      <w:r>
        <w:rPr>
          <w:rStyle w:val="apple-converted-space"/>
          <w:color w:val="000000"/>
        </w:rPr>
        <w:t> </w:t>
      </w:r>
      <w:proofErr w:type="spellStart"/>
      <w:r>
        <w:rPr>
          <w:i/>
          <w:iCs/>
          <w:color w:val="000000"/>
        </w:rPr>
        <w:t>Zeitschrift</w:t>
      </w:r>
      <w:proofErr w:type="spellEnd"/>
      <w:r>
        <w:rPr>
          <w:i/>
          <w:iCs/>
          <w:color w:val="000000"/>
        </w:rPr>
        <w:t xml:space="preserve"> Fur Gesundheitswissenschaften</w:t>
      </w:r>
      <w:r>
        <w:rPr>
          <w:color w:val="000000"/>
        </w:rPr>
        <w:t xml:space="preserve">, [online] 31(2), pp.1–12. </w:t>
      </w:r>
      <w:proofErr w:type="spellStart"/>
      <w:proofErr w:type="gramStart"/>
      <w:r>
        <w:rPr>
          <w:color w:val="000000"/>
        </w:rPr>
        <w:t>doi:https</w:t>
      </w:r>
      <w:proofErr w:type="spellEnd"/>
      <w:r>
        <w:rPr>
          <w:color w:val="000000"/>
        </w:rPr>
        <w:t>://doi.org/10.1007/s10389-021-01495-0</w:t>
      </w:r>
      <w:proofErr w:type="gramEnd"/>
      <w:r>
        <w:rPr>
          <w:color w:val="000000"/>
        </w:rPr>
        <w:t>.</w:t>
      </w:r>
    </w:p>
    <w:p w14:paraId="3E286F9B" w14:textId="77777777" w:rsidR="00536540" w:rsidRDefault="00536540" w:rsidP="00536540">
      <w:pPr>
        <w:pStyle w:val="NormalWeb"/>
        <w:spacing w:before="0" w:beforeAutospacing="0" w:after="240" w:afterAutospacing="0" w:line="360" w:lineRule="atLeast"/>
        <w:rPr>
          <w:color w:val="000000"/>
        </w:rPr>
      </w:pPr>
      <w:r>
        <w:rPr>
          <w:color w:val="000000"/>
        </w:rPr>
        <w:t>McLeod, S. (2025a).</w:t>
      </w:r>
      <w:r>
        <w:rPr>
          <w:rStyle w:val="apple-converted-space"/>
          <w:color w:val="000000"/>
        </w:rPr>
        <w:t> </w:t>
      </w:r>
      <w:r>
        <w:rPr>
          <w:i/>
          <w:iCs/>
          <w:color w:val="000000"/>
        </w:rPr>
        <w:t>Gibbs Reflective Cycle</w:t>
      </w:r>
      <w:r>
        <w:rPr>
          <w:color w:val="000000"/>
        </w:rPr>
        <w:t>. [online] Simply Psychology. Available at: https://www.simplypsychology.org/gibbs-reflective-cycle.html.</w:t>
      </w:r>
    </w:p>
    <w:p w14:paraId="26A39016" w14:textId="77777777" w:rsidR="00536540" w:rsidRDefault="00536540" w:rsidP="00536540">
      <w:pPr>
        <w:pStyle w:val="NormalWeb"/>
        <w:spacing w:before="0" w:beforeAutospacing="0" w:after="240" w:afterAutospacing="0" w:line="360" w:lineRule="atLeast"/>
        <w:rPr>
          <w:color w:val="000000"/>
        </w:rPr>
      </w:pPr>
      <w:r>
        <w:rPr>
          <w:color w:val="000000"/>
        </w:rPr>
        <w:lastRenderedPageBreak/>
        <w:t>McLeod, S. (2025b).</w:t>
      </w:r>
      <w:r>
        <w:rPr>
          <w:rStyle w:val="apple-converted-space"/>
          <w:color w:val="000000"/>
        </w:rPr>
        <w:t> </w:t>
      </w:r>
      <w:r>
        <w:rPr>
          <w:i/>
          <w:iCs/>
          <w:color w:val="000000"/>
        </w:rPr>
        <w:t>Maslow’s hierarchy of needs</w:t>
      </w:r>
      <w:r>
        <w:rPr>
          <w:color w:val="000000"/>
        </w:rPr>
        <w:t>. [online] Simply Psychology. Available at: https://www.simplypsychology.org/maslow.html.</w:t>
      </w:r>
    </w:p>
    <w:p w14:paraId="3FAC519D" w14:textId="77777777" w:rsidR="00536540" w:rsidRDefault="00536540" w:rsidP="00536540">
      <w:pPr>
        <w:pStyle w:val="NormalWeb"/>
        <w:spacing w:before="0" w:beforeAutospacing="0" w:after="240" w:afterAutospacing="0" w:line="360" w:lineRule="atLeast"/>
        <w:rPr>
          <w:color w:val="000000"/>
        </w:rPr>
      </w:pPr>
      <w:r>
        <w:rPr>
          <w:color w:val="000000"/>
        </w:rPr>
        <w:t>NHS England (2018).</w:t>
      </w:r>
      <w:r>
        <w:rPr>
          <w:rStyle w:val="apple-converted-space"/>
          <w:color w:val="000000"/>
        </w:rPr>
        <w:t> </w:t>
      </w:r>
      <w:r>
        <w:rPr>
          <w:i/>
          <w:iCs/>
          <w:color w:val="000000"/>
        </w:rPr>
        <w:t>PAM implementation - quick guide</w:t>
      </w:r>
      <w:r>
        <w:rPr>
          <w:color w:val="000000"/>
        </w:rPr>
        <w:t>. [online] Available at: https://www.england.nhs.uk/wp-content/uploads/2018/04/patient-activation-measure-quick-guide.pdf.</w:t>
      </w:r>
    </w:p>
    <w:p w14:paraId="33D9AF5C" w14:textId="77777777" w:rsidR="001146CF" w:rsidRDefault="001146CF" w:rsidP="001146CF">
      <w:pPr>
        <w:pStyle w:val="NormalWeb"/>
        <w:spacing w:before="0" w:beforeAutospacing="0" w:after="240" w:afterAutospacing="0" w:line="360" w:lineRule="atLeast"/>
        <w:rPr>
          <w:color w:val="000000"/>
        </w:rPr>
      </w:pPr>
      <w:r>
        <w:rPr>
          <w:color w:val="000000"/>
        </w:rPr>
        <w:t>NHS England (2024).</w:t>
      </w:r>
      <w:r>
        <w:rPr>
          <w:rStyle w:val="apple-converted-space"/>
          <w:color w:val="000000"/>
        </w:rPr>
        <w:t> </w:t>
      </w:r>
      <w:r>
        <w:rPr>
          <w:i/>
          <w:iCs/>
          <w:color w:val="000000"/>
        </w:rPr>
        <w:t>Person-centred Care</w:t>
      </w:r>
      <w:r>
        <w:rPr>
          <w:color w:val="000000"/>
        </w:rPr>
        <w:t>. [online] NHS England. Available at: https://www.hee.nhs.uk/our-work/person-centred-care.</w:t>
      </w:r>
    </w:p>
    <w:p w14:paraId="66ACB92A" w14:textId="77777777" w:rsidR="001146CF" w:rsidRDefault="001146CF" w:rsidP="001146CF">
      <w:pPr>
        <w:pStyle w:val="NormalWeb"/>
        <w:spacing w:before="0" w:beforeAutospacing="0" w:after="240" w:afterAutospacing="0" w:line="360" w:lineRule="atLeast"/>
        <w:rPr>
          <w:color w:val="000000"/>
        </w:rPr>
      </w:pPr>
      <w:r>
        <w:rPr>
          <w:color w:val="000000"/>
        </w:rPr>
        <w:t xml:space="preserve">Soriano, K., Nakatani, S., Onishi, K., Ito, H., Nakano, Y., Takashima, Y., Zhao, Y., </w:t>
      </w:r>
      <w:proofErr w:type="spellStart"/>
      <w:r>
        <w:rPr>
          <w:color w:val="000000"/>
        </w:rPr>
        <w:t>Blaquera</w:t>
      </w:r>
      <w:proofErr w:type="spellEnd"/>
      <w:r>
        <w:rPr>
          <w:color w:val="000000"/>
        </w:rPr>
        <w:t xml:space="preserve">, A.P., Tanioka, R., </w:t>
      </w:r>
      <w:proofErr w:type="spellStart"/>
      <w:r>
        <w:rPr>
          <w:color w:val="000000"/>
        </w:rPr>
        <w:t>Betriana</w:t>
      </w:r>
      <w:proofErr w:type="spellEnd"/>
      <w:r>
        <w:rPr>
          <w:color w:val="000000"/>
        </w:rPr>
        <w:t xml:space="preserve">, F., Soriano, G.P., Yasahura, Y., Osaka, K., Kataoka, M., Miyagawa, M., Akaike, M., </w:t>
      </w:r>
      <w:proofErr w:type="spellStart"/>
      <w:r>
        <w:rPr>
          <w:color w:val="000000"/>
        </w:rPr>
        <w:t>Irahara</w:t>
      </w:r>
      <w:proofErr w:type="spellEnd"/>
      <w:r>
        <w:rPr>
          <w:color w:val="000000"/>
        </w:rPr>
        <w:t>, M. and Tanioka, T. (2025). Development and Content Validation of a Person-</w:t>
      </w:r>
      <w:proofErr w:type="spellStart"/>
      <w:r>
        <w:rPr>
          <w:color w:val="000000"/>
        </w:rPr>
        <w:t>Centered</w:t>
      </w:r>
      <w:proofErr w:type="spellEnd"/>
      <w:r>
        <w:rPr>
          <w:color w:val="000000"/>
        </w:rPr>
        <w:t xml:space="preserve"> Care Instrument for Healthcare Providers.</w:t>
      </w:r>
      <w:r>
        <w:rPr>
          <w:rStyle w:val="apple-converted-space"/>
          <w:color w:val="000000"/>
        </w:rPr>
        <w:t> </w:t>
      </w:r>
      <w:r>
        <w:rPr>
          <w:i/>
          <w:iCs/>
          <w:color w:val="000000"/>
        </w:rPr>
        <w:t>Nursing Reports</w:t>
      </w:r>
      <w:r>
        <w:rPr>
          <w:color w:val="000000"/>
        </w:rPr>
        <w:t xml:space="preserve">, [online] 15(10), p.355. </w:t>
      </w:r>
      <w:proofErr w:type="spellStart"/>
      <w:proofErr w:type="gramStart"/>
      <w:r>
        <w:rPr>
          <w:color w:val="000000"/>
        </w:rPr>
        <w:t>doi:https</w:t>
      </w:r>
      <w:proofErr w:type="spellEnd"/>
      <w:r>
        <w:rPr>
          <w:color w:val="000000"/>
        </w:rPr>
        <w:t>://doi.org/10.3390/nursrep15100355</w:t>
      </w:r>
      <w:proofErr w:type="gramEnd"/>
      <w:r>
        <w:rPr>
          <w:color w:val="000000"/>
        </w:rPr>
        <w:t>.</w:t>
      </w:r>
    </w:p>
    <w:p w14:paraId="1C19D44D" w14:textId="77777777" w:rsidR="001146CF" w:rsidRDefault="001146CF" w:rsidP="001146CF">
      <w:pPr>
        <w:pStyle w:val="NormalWeb"/>
        <w:spacing w:before="0" w:beforeAutospacing="0" w:after="240" w:afterAutospacing="0" w:line="360" w:lineRule="atLeast"/>
        <w:rPr>
          <w:color w:val="000000"/>
        </w:rPr>
      </w:pPr>
      <w:r>
        <w:rPr>
          <w:color w:val="000000"/>
        </w:rPr>
        <w:t>Varkey, B. (2021). Principles of Clinical Ethics and Their Application to Practice.</w:t>
      </w:r>
      <w:r>
        <w:rPr>
          <w:rStyle w:val="apple-converted-space"/>
          <w:color w:val="000000"/>
        </w:rPr>
        <w:t> </w:t>
      </w:r>
      <w:r>
        <w:rPr>
          <w:i/>
          <w:iCs/>
          <w:color w:val="000000"/>
        </w:rPr>
        <w:t>Medical Principles and Practice</w:t>
      </w:r>
      <w:r>
        <w:rPr>
          <w:color w:val="000000"/>
        </w:rPr>
        <w:t xml:space="preserve">, [online] 30(1), pp.17–28. </w:t>
      </w:r>
      <w:proofErr w:type="spellStart"/>
      <w:proofErr w:type="gramStart"/>
      <w:r>
        <w:rPr>
          <w:color w:val="000000"/>
        </w:rPr>
        <w:t>doi:https</w:t>
      </w:r>
      <w:proofErr w:type="spellEnd"/>
      <w:r>
        <w:rPr>
          <w:color w:val="000000"/>
        </w:rPr>
        <w:t>://doi.org/10.1159/000509119</w:t>
      </w:r>
      <w:proofErr w:type="gramEnd"/>
      <w:r>
        <w:rPr>
          <w:color w:val="000000"/>
        </w:rPr>
        <w:t>.</w:t>
      </w:r>
    </w:p>
    <w:p w14:paraId="772D8788" w14:textId="6C793F6C" w:rsidR="00536540" w:rsidRPr="00E1327E" w:rsidRDefault="00536540" w:rsidP="00E1327E">
      <w:pPr>
        <w:spacing w:line="276" w:lineRule="auto"/>
        <w:rPr>
          <w:rFonts w:ascii="Arial" w:hAnsi="Arial" w:cs="Arial"/>
        </w:rPr>
      </w:pPr>
    </w:p>
    <w:sectPr w:rsidR="00536540" w:rsidRPr="00E132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26B"/>
    <w:rsid w:val="001146CF"/>
    <w:rsid w:val="001327D3"/>
    <w:rsid w:val="001427BE"/>
    <w:rsid w:val="001B745B"/>
    <w:rsid w:val="002B6EF2"/>
    <w:rsid w:val="00302550"/>
    <w:rsid w:val="00303F33"/>
    <w:rsid w:val="00325905"/>
    <w:rsid w:val="00484792"/>
    <w:rsid w:val="00536540"/>
    <w:rsid w:val="005E421A"/>
    <w:rsid w:val="00602F92"/>
    <w:rsid w:val="006E66BF"/>
    <w:rsid w:val="00822DEA"/>
    <w:rsid w:val="00842B9B"/>
    <w:rsid w:val="00885622"/>
    <w:rsid w:val="008B6BB5"/>
    <w:rsid w:val="009A25EC"/>
    <w:rsid w:val="00AB0B0F"/>
    <w:rsid w:val="00C817D5"/>
    <w:rsid w:val="00DB226B"/>
    <w:rsid w:val="00E1327E"/>
    <w:rsid w:val="00EE0A54"/>
    <w:rsid w:val="00F83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CD110"/>
  <w15:chartTrackingRefBased/>
  <w15:docId w15:val="{3C69282B-46C8-5C4D-8F39-8D6CE79C8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2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22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2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2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2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2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2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2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2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2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22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2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2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2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2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2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2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26B"/>
    <w:rPr>
      <w:rFonts w:eastAsiaTheme="majorEastAsia" w:cstheme="majorBidi"/>
      <w:color w:val="272727" w:themeColor="text1" w:themeTint="D8"/>
    </w:rPr>
  </w:style>
  <w:style w:type="paragraph" w:styleId="Title">
    <w:name w:val="Title"/>
    <w:basedOn w:val="Normal"/>
    <w:next w:val="Normal"/>
    <w:link w:val="TitleChar"/>
    <w:uiPriority w:val="10"/>
    <w:qFormat/>
    <w:rsid w:val="00DB22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2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26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2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2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B226B"/>
    <w:rPr>
      <w:i/>
      <w:iCs/>
      <w:color w:val="404040" w:themeColor="text1" w:themeTint="BF"/>
    </w:rPr>
  </w:style>
  <w:style w:type="paragraph" w:styleId="ListParagraph">
    <w:name w:val="List Paragraph"/>
    <w:basedOn w:val="Normal"/>
    <w:uiPriority w:val="34"/>
    <w:qFormat/>
    <w:rsid w:val="00DB226B"/>
    <w:pPr>
      <w:ind w:left="720"/>
      <w:contextualSpacing/>
    </w:pPr>
  </w:style>
  <w:style w:type="character" w:styleId="IntenseEmphasis">
    <w:name w:val="Intense Emphasis"/>
    <w:basedOn w:val="DefaultParagraphFont"/>
    <w:uiPriority w:val="21"/>
    <w:qFormat/>
    <w:rsid w:val="00DB226B"/>
    <w:rPr>
      <w:i/>
      <w:iCs/>
      <w:color w:val="0F4761" w:themeColor="accent1" w:themeShade="BF"/>
    </w:rPr>
  </w:style>
  <w:style w:type="paragraph" w:styleId="IntenseQuote">
    <w:name w:val="Intense Quote"/>
    <w:basedOn w:val="Normal"/>
    <w:next w:val="Normal"/>
    <w:link w:val="IntenseQuoteChar"/>
    <w:uiPriority w:val="30"/>
    <w:qFormat/>
    <w:rsid w:val="00DB22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26B"/>
    <w:rPr>
      <w:i/>
      <w:iCs/>
      <w:color w:val="0F4761" w:themeColor="accent1" w:themeShade="BF"/>
    </w:rPr>
  </w:style>
  <w:style w:type="character" w:styleId="IntenseReference">
    <w:name w:val="Intense Reference"/>
    <w:basedOn w:val="DefaultParagraphFont"/>
    <w:uiPriority w:val="32"/>
    <w:qFormat/>
    <w:rsid w:val="00DB226B"/>
    <w:rPr>
      <w:b/>
      <w:bCs/>
      <w:smallCaps/>
      <w:color w:val="0F4761" w:themeColor="accent1" w:themeShade="BF"/>
      <w:spacing w:val="5"/>
    </w:rPr>
  </w:style>
  <w:style w:type="paragraph" w:customStyle="1" w:styleId="paragraph">
    <w:name w:val="paragraph"/>
    <w:basedOn w:val="Normal"/>
    <w:rsid w:val="00DB226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DB226B"/>
  </w:style>
  <w:style w:type="character" w:customStyle="1" w:styleId="apple-converted-space">
    <w:name w:val="apple-converted-space"/>
    <w:basedOn w:val="DefaultParagraphFont"/>
    <w:rsid w:val="00DB226B"/>
  </w:style>
  <w:style w:type="character" w:customStyle="1" w:styleId="eop">
    <w:name w:val="eop"/>
    <w:basedOn w:val="DefaultParagraphFont"/>
    <w:rsid w:val="00DB226B"/>
  </w:style>
  <w:style w:type="paragraph" w:customStyle="1" w:styleId="isselectedend">
    <w:name w:val="isselectedend"/>
    <w:basedOn w:val="Normal"/>
    <w:rsid w:val="00DB226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DB226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2705</Words>
  <Characters>15420</Characters>
  <Application>Microsoft Office Word</Application>
  <DocSecurity>0</DocSecurity>
  <Lines>128</Lines>
  <Paragraphs>36</Paragraphs>
  <ScaleCrop>false</ScaleCrop>
  <Company/>
  <LinksUpToDate>false</LinksUpToDate>
  <CharactersWithSpaces>18089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Ali19</dc:creator>
  <cp:keywords/>
  <dc:description/>
  <cp:lastModifiedBy>Deenah Ali19</cp:lastModifiedBy>
  <cp:revision>2</cp:revision>
  <dcterms:created xsi:type="dcterms:W3CDTF">2026-07-04T17:02:00Z</dcterms:created>
  <dcterms:modified xsi:type="dcterms:W3CDTF">2026-07-04T17:02:00Z</dcterms:modified>
</cp:coreProperties>
</file>