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9B4B1D6" wp14:paraId="08AD9035" wp14:textId="08233123">
      <w:pPr>
        <w:keepNext w:val="1"/>
        <w:keepLines w:val="1"/>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48"/>
          <w:szCs w:val="48"/>
          <w:lang w:val="en-GB"/>
        </w:rPr>
      </w:pPr>
      <w:r w:rsidRPr="29B4B1D6" w:rsidR="4D695F80">
        <w:rPr>
          <w:rFonts w:ascii="Aptos" w:hAnsi="Aptos" w:eastAsia="Aptos" w:cs="Aptos"/>
          <w:b w:val="1"/>
          <w:bCs w:val="1"/>
          <w:i w:val="0"/>
          <w:iCs w:val="0"/>
          <w:caps w:val="0"/>
          <w:smallCaps w:val="0"/>
          <w:noProof w:val="0"/>
          <w:color w:val="000000" w:themeColor="text1" w:themeTint="FF" w:themeShade="FF"/>
          <w:sz w:val="48"/>
          <w:szCs w:val="48"/>
          <w:lang w:val="en-GB"/>
        </w:rPr>
        <w:t>Digital Transformation in the Health and Care Professions (BMHP6026_BIRM)</w:t>
      </w:r>
    </w:p>
    <w:p xmlns:wp14="http://schemas.microsoft.com/office/word/2010/wordml" w:rsidP="29B4B1D6" wp14:paraId="7AC026B1" wp14:textId="618CEDBB">
      <w:pPr>
        <w:pStyle w:val="Heading1"/>
        <w:keepNext w:val="1"/>
        <w:keepLines w:val="1"/>
        <w:spacing w:before="0" w:beforeAutospacing="off" w:after="0" w:afterAutospacing="off" w:line="257" w:lineRule="auto"/>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29B4B1D6" w:rsidR="4D695F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4D695F80">
        <w:drawing>
          <wp:inline xmlns:wp14="http://schemas.microsoft.com/office/word/2010/wordprocessingDrawing" wp14:editId="229F1D42" wp14:anchorId="07E64C6B">
            <wp:extent cx="3209925" cy="1428750"/>
            <wp:effectExtent l="0" t="0" r="0" b="0"/>
            <wp:docPr id="8561603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6160362" name="Picture 856160362"/>
                    <pic:cNvPicPr/>
                  </pic:nvPicPr>
                  <pic:blipFill>
                    <a:blip xmlns:r="http://schemas.openxmlformats.org/officeDocument/2006/relationships" r:embed="rId1052645162">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29B4B1D6" wp14:paraId="7DDB0EB0" wp14:textId="2FE5D69A">
      <w:pPr>
        <w:keepNext w:val="1"/>
        <w:keepLines w:val="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9B4B1D6" wp14:paraId="56541272" wp14:textId="0AC38711">
      <w:pPr>
        <w:spacing w:before="0" w:beforeAutospacing="off" w:after="0" w:afterAutospacing="off" w:line="257"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9B4B1D6" w:rsidR="4D695F80">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29B4B1D6" w:rsidR="4D695F80">
        <w:rPr>
          <w:rFonts w:ascii="Arial" w:hAnsi="Arial" w:eastAsia="Arial" w:cs="Arial"/>
          <w:b w:val="0"/>
          <w:bCs w:val="0"/>
          <w:i w:val="0"/>
          <w:iCs w:val="0"/>
          <w:caps w:val="0"/>
          <w:smallCaps w:val="0"/>
          <w:noProof w:val="0"/>
          <w:color w:val="000000" w:themeColor="text1" w:themeTint="FF" w:themeShade="FF"/>
          <w:sz w:val="36"/>
          <w:szCs w:val="36"/>
          <w:lang w:val="en-GB"/>
        </w:rPr>
        <w:t>Tutors Details:</w:t>
      </w:r>
      <w:r w:rsidRPr="29B4B1D6" w:rsidR="4D695F80">
        <w:rPr>
          <w:rFonts w:ascii="Arial" w:hAnsi="Arial" w:eastAsia="Arial" w:cs="Arial"/>
          <w:b w:val="1"/>
          <w:bCs w:val="1"/>
          <w:i w:val="0"/>
          <w:iCs w:val="0"/>
          <w:caps w:val="0"/>
          <w:smallCaps w:val="0"/>
          <w:noProof w:val="0"/>
          <w:color w:val="000000" w:themeColor="text1" w:themeTint="FF" w:themeShade="FF"/>
          <w:sz w:val="36"/>
          <w:szCs w:val="36"/>
          <w:lang w:val="en-GB"/>
        </w:rPr>
        <w:t xml:space="preserve"> Martin Svejda    </w:t>
      </w:r>
    </w:p>
    <w:p xmlns:wp14="http://schemas.microsoft.com/office/word/2010/wordml" w:rsidP="29B4B1D6" wp14:paraId="6ADB4E76" wp14:textId="29C20C9D">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9B4B1D6" w:rsidR="4D695F80">
        <w:rPr>
          <w:rFonts w:ascii="Arial" w:hAnsi="Arial" w:eastAsia="Arial" w:cs="Arial"/>
          <w:b w:val="0"/>
          <w:bCs w:val="0"/>
          <w:i w:val="0"/>
          <w:iCs w:val="0"/>
          <w:caps w:val="0"/>
          <w:smallCaps w:val="0"/>
          <w:noProof w:val="0"/>
          <w:color w:val="000000" w:themeColor="text1" w:themeTint="FF" w:themeShade="FF"/>
          <w:sz w:val="36"/>
          <w:szCs w:val="36"/>
          <w:lang w:val="en-GB"/>
        </w:rPr>
        <w:t>Internal Verifier:</w:t>
      </w:r>
      <w:r w:rsidRPr="29B4B1D6" w:rsidR="4D695F80">
        <w:rPr>
          <w:rFonts w:ascii="Arial" w:hAnsi="Arial" w:eastAsia="Arial" w:cs="Arial"/>
          <w:b w:val="1"/>
          <w:bCs w:val="1"/>
          <w:i w:val="0"/>
          <w:iCs w:val="0"/>
          <w:caps w:val="0"/>
          <w:smallCaps w:val="0"/>
          <w:noProof w:val="0"/>
          <w:color w:val="000000" w:themeColor="text1" w:themeTint="FF" w:themeShade="FF"/>
          <w:sz w:val="36"/>
          <w:szCs w:val="36"/>
          <w:lang w:val="en-GB"/>
        </w:rPr>
        <w:t xml:space="preserve"> Chloe Harries</w:t>
      </w:r>
    </w:p>
    <w:p xmlns:wp14="http://schemas.microsoft.com/office/word/2010/wordml" w:rsidP="29B4B1D6" wp14:paraId="74836B43" wp14:textId="0FBFFD9D">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29B4B1D6" wp14:paraId="4C92FA6A" wp14:textId="50D24A24">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9B4B1D6" w:rsidR="4D695F80">
        <w:rPr>
          <w:rFonts w:ascii="Arial" w:hAnsi="Arial" w:eastAsia="Arial" w:cs="Arial"/>
          <w:b w:val="0"/>
          <w:bCs w:val="0"/>
          <w:i w:val="0"/>
          <w:iCs w:val="0"/>
          <w:caps w:val="0"/>
          <w:smallCaps w:val="0"/>
          <w:noProof w:val="0"/>
          <w:color w:val="000000" w:themeColor="text1" w:themeTint="FF" w:themeShade="FF"/>
          <w:sz w:val="36"/>
          <w:szCs w:val="36"/>
          <w:lang w:val="en-GB"/>
        </w:rPr>
        <w:t>Student name:</w:t>
      </w:r>
      <w:r w:rsidRPr="29B4B1D6" w:rsidR="4D695F80">
        <w:rPr>
          <w:rFonts w:ascii="Arial" w:hAnsi="Arial" w:eastAsia="Arial" w:cs="Arial"/>
          <w:b w:val="1"/>
          <w:bCs w:val="1"/>
          <w:i w:val="0"/>
          <w:iCs w:val="0"/>
          <w:caps w:val="0"/>
          <w:smallCaps w:val="0"/>
          <w:noProof w:val="0"/>
          <w:color w:val="000000" w:themeColor="text1" w:themeTint="FF" w:themeShade="FF"/>
          <w:sz w:val="36"/>
          <w:szCs w:val="36"/>
          <w:lang w:val="en-GB"/>
        </w:rPr>
        <w:t xml:space="preserve"> Kamila Zikavska</w:t>
      </w:r>
    </w:p>
    <w:p xmlns:wp14="http://schemas.microsoft.com/office/word/2010/wordml" w:rsidP="29B4B1D6" wp14:paraId="2792BDEA" wp14:textId="6E89B8B5">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29B4B1D6" w:rsidR="4D695F80">
        <w:rPr>
          <w:rFonts w:ascii="Arial" w:hAnsi="Arial" w:eastAsia="Arial" w:cs="Arial"/>
          <w:b w:val="0"/>
          <w:bCs w:val="0"/>
          <w:i w:val="0"/>
          <w:iCs w:val="0"/>
          <w:caps w:val="0"/>
          <w:smallCaps w:val="0"/>
          <w:noProof w:val="0"/>
          <w:color w:val="000000" w:themeColor="text1" w:themeTint="FF" w:themeShade="FF"/>
          <w:sz w:val="36"/>
          <w:szCs w:val="36"/>
          <w:lang w:val="en-GB"/>
        </w:rPr>
        <w:t>Student number:</w:t>
      </w:r>
      <w:r w:rsidRPr="29B4B1D6" w:rsidR="4D695F80">
        <w:rPr>
          <w:rFonts w:ascii="Arial" w:hAnsi="Arial" w:eastAsia="Arial" w:cs="Arial"/>
          <w:b w:val="1"/>
          <w:bCs w:val="1"/>
          <w:i w:val="0"/>
          <w:iCs w:val="0"/>
          <w:caps w:val="0"/>
          <w:smallCaps w:val="0"/>
          <w:noProof w:val="0"/>
          <w:color w:val="000000" w:themeColor="text1" w:themeTint="FF" w:themeShade="FF"/>
          <w:sz w:val="36"/>
          <w:szCs w:val="36"/>
          <w:lang w:val="en-GB"/>
        </w:rPr>
        <w:t xml:space="preserve"> 233 25 69</w:t>
      </w:r>
    </w:p>
    <w:p xmlns:wp14="http://schemas.microsoft.com/office/word/2010/wordml" w:rsidP="29B4B1D6" wp14:paraId="73854AF5" wp14:textId="07CAF315">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9B4B1D6" w:rsidR="4D695F80">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xmlns:wp14="http://schemas.microsoft.com/office/word/2010/wordml" w:rsidP="29B4B1D6" wp14:paraId="75A28F9B" wp14:textId="6203FD36">
      <w:pPr>
        <w:spacing w:before="0" w:beforeAutospacing="off" w:after="0" w:afterAutospacing="off" w:line="360" w:lineRule="auto"/>
        <w:ind w:left="0" w:right="0"/>
        <w:jc w:val="center"/>
      </w:pPr>
      <w:r w:rsidRPr="29B4B1D6" w:rsidR="4D695F80">
        <w:rPr>
          <w:rFonts w:ascii="Arial" w:hAnsi="Arial" w:eastAsia="Arial" w:cs="Arial"/>
          <w:b w:val="1"/>
          <w:bCs w:val="1"/>
          <w:i w:val="0"/>
          <w:iCs w:val="0"/>
          <w:caps w:val="0"/>
          <w:smallCaps w:val="0"/>
          <w:noProof w:val="0"/>
          <w:color w:val="000000" w:themeColor="text1" w:themeTint="FF" w:themeShade="FF"/>
          <w:sz w:val="32"/>
          <w:szCs w:val="32"/>
          <w:lang w:val="en-GB"/>
        </w:rPr>
        <w:t xml:space="preserve">Written Report (Component 1) </w:t>
      </w:r>
    </w:p>
    <w:p xmlns:wp14="http://schemas.microsoft.com/office/word/2010/wordml" w:rsidP="29B4B1D6" wp14:paraId="5BB81D82" wp14:textId="185861AE">
      <w:pPr>
        <w:spacing w:before="0" w:beforeAutospacing="off" w:after="0" w:afterAutospacing="off" w:line="360" w:lineRule="auto"/>
        <w:ind w:left="0" w:right="0"/>
        <w:jc w:val="center"/>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29B4B1D6" wp14:paraId="4A1DDDCA" wp14:textId="0FBA7F86">
      <w:pPr>
        <w:spacing w:before="0" w:beforeAutospacing="off" w:after="0" w:afterAutospacing="off" w:line="360" w:lineRule="auto"/>
        <w:ind w:left="0" w:right="0"/>
        <w:jc w:val="center"/>
        <w:rPr>
          <w:rFonts w:ascii="Arial" w:hAnsi="Arial" w:eastAsia="Arial" w:cs="Arial"/>
          <w:b w:val="0"/>
          <w:bCs w:val="0"/>
          <w:i w:val="0"/>
          <w:iCs w:val="0"/>
          <w:caps w:val="0"/>
          <w:smallCaps w:val="0"/>
          <w:noProof w:val="0"/>
          <w:color w:val="FF0000"/>
          <w:sz w:val="40"/>
          <w:szCs w:val="40"/>
          <w:lang w:val="en-GB"/>
        </w:rPr>
      </w:pPr>
      <w:r w:rsidRPr="29B4B1D6" w:rsidR="4D695F80">
        <w:rPr>
          <w:rFonts w:ascii="Arial" w:hAnsi="Arial" w:eastAsia="Arial" w:cs="Arial"/>
          <w:b w:val="1"/>
          <w:bCs w:val="1"/>
          <w:i w:val="0"/>
          <w:iCs w:val="0"/>
          <w:caps w:val="0"/>
          <w:smallCaps w:val="0"/>
          <w:noProof w:val="0"/>
          <w:color w:val="FF0000"/>
          <w:sz w:val="40"/>
          <w:szCs w:val="40"/>
          <w:lang w:val="en-GB"/>
        </w:rPr>
        <w:t>Genomic Surveillance and Pathogen Sequencing (NHS/UKHSA)</w:t>
      </w:r>
    </w:p>
    <w:p xmlns:wp14="http://schemas.microsoft.com/office/word/2010/wordml" w:rsidP="29B4B1D6" wp14:paraId="3F258B04" wp14:textId="53294FB0">
      <w:pPr>
        <w:spacing w:before="0" w:beforeAutospacing="off" w:after="0" w:afterAutospacing="off" w:line="257" w:lineRule="auto"/>
        <w:jc w:val="center"/>
      </w:pPr>
      <w:r w:rsidRPr="29B4B1D6" w:rsidR="4D695F80">
        <w:rPr>
          <w:rFonts w:ascii="Arial" w:hAnsi="Arial" w:eastAsia="Arial" w:cs="Arial"/>
          <w:b w:val="1"/>
          <w:bCs w:val="1"/>
          <w:i w:val="0"/>
          <w:iCs w:val="0"/>
          <w:caps w:val="0"/>
          <w:smallCaps w:val="0"/>
          <w:noProof w:val="0"/>
          <w:color w:val="000000" w:themeColor="text1" w:themeTint="FF" w:themeShade="FF"/>
          <w:sz w:val="22"/>
          <w:szCs w:val="22"/>
          <w:lang w:val="en-GB"/>
        </w:rPr>
        <w:t>Word count: 2000</w:t>
      </w:r>
    </w:p>
    <w:p xmlns:wp14="http://schemas.microsoft.com/office/word/2010/wordml" w:rsidP="29B4B1D6" wp14:paraId="21A90056" wp14:textId="35CB0381">
      <w:pPr>
        <w:spacing w:before="0" w:beforeAutospacing="off" w:after="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29B4B1D6" wp14:paraId="5C19D043" wp14:textId="0D26E5A0">
      <w:pPr>
        <w:spacing w:before="0" w:beforeAutospacing="off" w:after="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29B4B1D6" wp14:paraId="719A2596" wp14:textId="00524CE9">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9B4B1D6" wp14:paraId="6CA7B557" wp14:textId="127F95F0">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29B4B1D6" w:rsidR="4D695F80">
        <w:rPr>
          <w:rFonts w:ascii="Arial" w:hAnsi="Arial" w:eastAsia="Arial" w:cs="Arial"/>
          <w:b w:val="1"/>
          <w:bCs w:val="1"/>
          <w:i w:val="0"/>
          <w:iCs w:val="0"/>
          <w:caps w:val="0"/>
          <w:smallCaps w:val="0"/>
          <w:noProof w:val="0"/>
          <w:color w:val="000000" w:themeColor="text1" w:themeTint="FF" w:themeShade="FF"/>
          <w:sz w:val="32"/>
          <w:szCs w:val="32"/>
          <w:lang w:val="en-GB"/>
        </w:rPr>
        <w:t>Submission Deadline:</w:t>
      </w:r>
      <w:r w:rsidRPr="29B4B1D6" w:rsidR="4D695F80">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29B4B1D6" wp14:paraId="601ECFA7" wp14:textId="07388A51">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29B4B1D6" w:rsidR="4D695F80">
        <w:rPr>
          <w:rFonts w:ascii="Arial" w:hAnsi="Arial" w:eastAsia="Arial" w:cs="Arial"/>
          <w:b w:val="0"/>
          <w:bCs w:val="0"/>
          <w:i w:val="0"/>
          <w:iCs w:val="0"/>
          <w:caps w:val="0"/>
          <w:smallCaps w:val="0"/>
          <w:noProof w:val="0"/>
          <w:color w:val="000000" w:themeColor="text1" w:themeTint="FF" w:themeShade="FF"/>
          <w:sz w:val="32"/>
          <w:szCs w:val="32"/>
          <w:lang w:val="en-GB"/>
        </w:rPr>
        <w:t xml:space="preserve">Sunday 28th June 2026 </w:t>
      </w:r>
    </w:p>
    <w:p xmlns:wp14="http://schemas.microsoft.com/office/word/2010/wordml" w:rsidP="29B4B1D6" wp14:paraId="6783F682" wp14:textId="1E51F68D">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29B4B1D6" w:rsidR="4D695F80">
        <w:rPr>
          <w:rFonts w:ascii="Arial" w:hAnsi="Arial" w:eastAsia="Arial" w:cs="Arial"/>
          <w:b w:val="0"/>
          <w:bCs w:val="0"/>
          <w:i w:val="0"/>
          <w:iCs w:val="0"/>
          <w:caps w:val="0"/>
          <w:smallCaps w:val="0"/>
          <w:noProof w:val="0"/>
          <w:color w:val="000000" w:themeColor="text1" w:themeTint="FF" w:themeShade="FF"/>
          <w:sz w:val="32"/>
          <w:szCs w:val="32"/>
          <w:lang w:val="en-GB"/>
        </w:rPr>
        <w:t>17:00 (5PM) - (Week 7)</w:t>
      </w:r>
    </w:p>
    <w:p xmlns:wp14="http://schemas.microsoft.com/office/word/2010/wordml" w:rsidP="29B4B1D6" wp14:paraId="56AD14F2" wp14:textId="40E02CCA">
      <w:pPr>
        <w:spacing w:before="0" w:beforeAutospacing="off" w:after="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p14:paraId="5E5787A5" wp14:textId="656D0D73"/>
    <w:p w:rsidR="29B4B1D6" w:rsidRDefault="29B4B1D6" w14:paraId="03A1F6FC" w14:textId="4D3073AD">
      <w:r>
        <w:br w:type="page"/>
      </w:r>
    </w:p>
    <w:p w:rsidR="5C64AAAF" w:rsidP="29B4B1D6" w:rsidRDefault="5C64AAAF" w14:paraId="4C2FEE8B" w14:textId="5FA9A639">
      <w:pPr>
        <w:pStyle w:val="Normal"/>
        <w:jc w:val="center"/>
      </w:pPr>
      <w:r w:rsidRPr="29B4B1D6" w:rsidR="5C64AAAF">
        <w:rPr>
          <w:b w:val="1"/>
          <w:bCs w:val="1"/>
          <w:sz w:val="40"/>
          <w:szCs w:val="40"/>
        </w:rPr>
        <w:t xml:space="preserve">Table of Contents </w:t>
      </w:r>
      <w:r w:rsidR="5C64AAAF">
        <w:rPr/>
        <w:t xml:space="preserve"> </w:t>
      </w:r>
    </w:p>
    <w:tbl>
      <w:tblPr>
        <w:tblStyle w:val="TableGrid"/>
        <w:tblW w:w="0" w:type="auto"/>
        <w:tblLook w:val="06A0" w:firstRow="1" w:lastRow="0" w:firstColumn="1" w:lastColumn="0" w:noHBand="1" w:noVBand="1"/>
      </w:tblPr>
      <w:tblGrid>
        <w:gridCol w:w="8370"/>
        <w:gridCol w:w="645"/>
      </w:tblGrid>
      <w:tr w:rsidR="29B4B1D6" w:rsidTr="29B4B1D6" w14:paraId="0D595B70">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48CAAB01" w14:textId="254CDBB7">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1. Introduction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29B4B1D6" w:rsidP="29B4B1D6" w:rsidRDefault="29B4B1D6" w14:paraId="05E8B44D" w14:textId="68302AA4">
            <w:pPr>
              <w:pStyle w:val="Normal"/>
              <w:spacing w:line="360" w:lineRule="auto"/>
              <w:rPr>
                <w:rFonts w:ascii="Arial" w:hAnsi="Arial" w:eastAsia="Arial" w:cs="Arial" w:asciiTheme="minorAscii" w:hAnsiTheme="minorAscii" w:eastAsiaTheme="minorAscii" w:cstheme="minorAscii"/>
                <w:sz w:val="22"/>
                <w:szCs w:val="22"/>
              </w:rPr>
            </w:pPr>
          </w:p>
        </w:tc>
      </w:tr>
      <w:tr w:rsidR="29B4B1D6" w:rsidTr="29B4B1D6" w14:paraId="17B74BB4">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7E1D89C3" w14:textId="5609A36A">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1.1 Context, Tech Overview and Purpose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7B205F06" w14:textId="3FCBB8F3">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3</w:t>
            </w:r>
          </w:p>
        </w:tc>
      </w:tr>
      <w:tr w:rsidR="29B4B1D6" w:rsidTr="29B4B1D6" w14:paraId="67DB15CB">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6436B6CD" w14:textId="191B887F">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1.2 Search Strategy and Methodology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1B80591D" w14:textId="35551A61">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4</w:t>
            </w:r>
          </w:p>
        </w:tc>
      </w:tr>
      <w:tr w:rsidR="29B4B1D6" w:rsidTr="29B4B1D6" w14:paraId="1760A48E">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1136F1E9" w:rsidP="29B4B1D6" w:rsidRDefault="1136F1E9" w14:paraId="2291F0D0" w14:textId="382CEE26">
            <w:pPr>
              <w:pStyle w:val="Normal"/>
              <w:spacing w:line="360" w:lineRule="auto"/>
              <w:rPr>
                <w:rFonts w:ascii="Arial" w:hAnsi="Arial" w:eastAsia="Arial" w:cs="Arial" w:asciiTheme="minorAscii" w:hAnsiTheme="minorAscii" w:eastAsiaTheme="minorAscii" w:cstheme="minorAscii"/>
                <w:sz w:val="22"/>
                <w:szCs w:val="22"/>
              </w:rPr>
            </w:pPr>
            <w:r w:rsidRPr="29B4B1D6" w:rsidR="1136F1E9">
              <w:rPr>
                <w:rFonts w:ascii="Arial" w:hAnsi="Arial" w:eastAsia="Arial" w:cs="Arial" w:asciiTheme="minorAscii" w:hAnsiTheme="minorAscii" w:eastAsiaTheme="minorAscii" w:cstheme="minorAscii"/>
                <w:sz w:val="22"/>
                <w:szCs w:val="22"/>
              </w:rPr>
              <w:t xml:space="preserve">   1.3 </w:t>
            </w:r>
            <w:r w:rsidRPr="29B4B1D6" w:rsidR="6AC2E6E8">
              <w:rPr>
                <w:rFonts w:ascii="Arial" w:hAnsi="Arial" w:eastAsia="Arial" w:cs="Arial" w:asciiTheme="minorAscii" w:hAnsiTheme="minorAscii" w:eastAsiaTheme="minorAscii" w:cstheme="minorAscii"/>
                <w:sz w:val="22"/>
                <w:szCs w:val="22"/>
              </w:rPr>
              <w:t>PRISMA Flow Diagram of the Study Selection Process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51D68BEA" w14:textId="66EF9297">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5</w:t>
            </w:r>
          </w:p>
        </w:tc>
      </w:tr>
      <w:tr w:rsidR="29B4B1D6" w:rsidTr="29B4B1D6" w14:paraId="7C3F5447">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5C59A16E" w14:textId="5150CD35">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Critical SWOT Analysis Framework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0D818906" w14:textId="5B4EF04D">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7</w:t>
            </w:r>
          </w:p>
        </w:tc>
      </w:tr>
      <w:tr w:rsidR="29B4B1D6" w:rsidTr="29B4B1D6" w14:paraId="0F9DBC9C">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73D23F88" w14:textId="20A5B25B">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2. Strengths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29B4B1D6" w:rsidP="29B4B1D6" w:rsidRDefault="29B4B1D6" w14:paraId="62191C17" w14:textId="68302AA4">
            <w:pPr>
              <w:pStyle w:val="Normal"/>
              <w:spacing w:line="360" w:lineRule="auto"/>
              <w:rPr>
                <w:rFonts w:ascii="Arial" w:hAnsi="Arial" w:eastAsia="Arial" w:cs="Arial" w:asciiTheme="minorAscii" w:hAnsiTheme="minorAscii" w:eastAsiaTheme="minorAscii" w:cstheme="minorAscii"/>
                <w:sz w:val="22"/>
                <w:szCs w:val="22"/>
              </w:rPr>
            </w:pPr>
          </w:p>
        </w:tc>
      </w:tr>
      <w:tr w:rsidR="29B4B1D6" w:rsidTr="29B4B1D6" w14:paraId="7097654A">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07959F4E" w14:textId="17503A30">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2.1 Impact on the Workforce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4D00704F" w14:textId="30877186">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7</w:t>
            </w:r>
          </w:p>
        </w:tc>
      </w:tr>
      <w:tr w:rsidR="29B4B1D6" w:rsidTr="29B4B1D6" w14:paraId="063DB438">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3CA5FC16" w14:textId="3CFFE33E">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2.2 Impact on the Community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1ACB259F" w14:textId="65CE5F59">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8</w:t>
            </w:r>
          </w:p>
        </w:tc>
      </w:tr>
      <w:tr w:rsidR="29B4B1D6" w:rsidTr="29B4B1D6" w14:paraId="702FEA33">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6A542F5B" w14:textId="0F24B881">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3. Weaknesses</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29B4B1D6" w:rsidP="29B4B1D6" w:rsidRDefault="29B4B1D6" w14:paraId="1F075B9F" w14:textId="68302AA4">
            <w:pPr>
              <w:pStyle w:val="Normal"/>
              <w:spacing w:line="360" w:lineRule="auto"/>
              <w:rPr>
                <w:rFonts w:ascii="Arial" w:hAnsi="Arial" w:eastAsia="Arial" w:cs="Arial" w:asciiTheme="minorAscii" w:hAnsiTheme="minorAscii" w:eastAsiaTheme="minorAscii" w:cstheme="minorAscii"/>
                <w:sz w:val="22"/>
                <w:szCs w:val="22"/>
              </w:rPr>
            </w:pPr>
          </w:p>
        </w:tc>
      </w:tr>
      <w:tr w:rsidR="29B4B1D6" w:rsidTr="29B4B1D6" w14:paraId="30468174">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3E95E264" w14:textId="0667BC37">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3.1 Impact on the Workforce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78771C4D" w14:textId="63D39C15">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9</w:t>
            </w:r>
          </w:p>
        </w:tc>
      </w:tr>
      <w:tr w:rsidR="29B4B1D6" w:rsidTr="29B4B1D6" w14:paraId="55EB11D6">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3A2C67FF" w14:textId="66B580BA">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3.2 Impact on the Community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333470F5" w14:textId="4605AE4C">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10</w:t>
            </w:r>
          </w:p>
        </w:tc>
      </w:tr>
      <w:tr w:rsidR="29B4B1D6" w:rsidTr="29B4B1D6" w14:paraId="52BEF746">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65406A18" w14:textId="2A627F76">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4. Opportunities</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29B4B1D6" w:rsidP="29B4B1D6" w:rsidRDefault="29B4B1D6" w14:paraId="067D47BC" w14:textId="68302AA4">
            <w:pPr>
              <w:pStyle w:val="Normal"/>
              <w:spacing w:line="360" w:lineRule="auto"/>
              <w:rPr>
                <w:rFonts w:ascii="Arial" w:hAnsi="Arial" w:eastAsia="Arial" w:cs="Arial" w:asciiTheme="minorAscii" w:hAnsiTheme="minorAscii" w:eastAsiaTheme="minorAscii" w:cstheme="minorAscii"/>
                <w:sz w:val="22"/>
                <w:szCs w:val="22"/>
              </w:rPr>
            </w:pPr>
          </w:p>
        </w:tc>
      </w:tr>
      <w:tr w:rsidR="29B4B1D6" w:rsidTr="29B4B1D6" w14:paraId="4B82171D">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6E40FAA2" w14:textId="5985FE72">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4.1 Impact on the Workforce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3F44A0CF" w14:textId="68D33435">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11</w:t>
            </w:r>
          </w:p>
        </w:tc>
      </w:tr>
      <w:tr w:rsidR="29B4B1D6" w:rsidTr="29B4B1D6" w14:paraId="1AFC58CC">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228B5A5B" w14:textId="67A9B8C8">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4.2 Impact on the Community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748E03D3" w14:textId="3AE371B3">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12</w:t>
            </w:r>
          </w:p>
        </w:tc>
      </w:tr>
      <w:tr w:rsidR="29B4B1D6" w:rsidTr="29B4B1D6" w14:paraId="7A90405E">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6C50584D" w14:textId="6A3D0686">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5. Threats</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29B4B1D6" w:rsidP="29B4B1D6" w:rsidRDefault="29B4B1D6" w14:paraId="13A0FC38" w14:textId="68302AA4">
            <w:pPr>
              <w:pStyle w:val="Normal"/>
              <w:spacing w:line="360" w:lineRule="auto"/>
              <w:rPr>
                <w:rFonts w:ascii="Arial" w:hAnsi="Arial" w:eastAsia="Arial" w:cs="Arial" w:asciiTheme="minorAscii" w:hAnsiTheme="minorAscii" w:eastAsiaTheme="minorAscii" w:cstheme="minorAscii"/>
                <w:sz w:val="22"/>
                <w:szCs w:val="22"/>
              </w:rPr>
            </w:pPr>
          </w:p>
        </w:tc>
      </w:tr>
      <w:tr w:rsidR="29B4B1D6" w:rsidTr="29B4B1D6" w14:paraId="565C9CF2">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3603DA23" w14:textId="708B8CA0">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5.1 Impact on the Workforce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0B0C61CF" w14:textId="6292FF0B">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13</w:t>
            </w:r>
          </w:p>
        </w:tc>
      </w:tr>
      <w:tr w:rsidR="29B4B1D6" w:rsidTr="29B4B1D6" w14:paraId="086AC849">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2BBC948F" w14:textId="13B36205">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5.2 Impact on the Community  </w:t>
            </w:r>
            <w:r w:rsidRPr="29B4B1D6" w:rsidR="07A14C81">
              <w:rPr>
                <w:rFonts w:ascii="Arial" w:hAnsi="Arial" w:eastAsia="Arial" w:cs="Arial" w:asciiTheme="minorAscii" w:hAnsiTheme="minorAscii" w:eastAsiaTheme="minorAscii" w:cstheme="minorAscii"/>
                <w:sz w:val="22"/>
                <w:szCs w:val="22"/>
              </w:rPr>
              <w:t>....................................................................</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4D7F3E55" w14:textId="421532C5">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14</w:t>
            </w:r>
          </w:p>
        </w:tc>
      </w:tr>
      <w:tr w:rsidR="29B4B1D6" w:rsidTr="29B4B1D6" w14:paraId="5F2220C5">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2DE52718" w14:textId="436F966E">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6. Conclusion</w:t>
            </w:r>
            <w:r w:rsidRPr="29B4B1D6" w:rsidR="0AB7AE32">
              <w:rPr>
                <w:rFonts w:ascii="Arial" w:hAnsi="Arial" w:eastAsia="Arial" w:cs="Arial" w:asciiTheme="minorAscii" w:hAnsiTheme="minorAscii" w:eastAsiaTheme="minorAscii" w:cstheme="minorAscii"/>
                <w:sz w:val="22"/>
                <w:szCs w:val="22"/>
              </w:rPr>
              <w:t>..................................................................................................</w:t>
            </w:r>
          </w:p>
        </w:tc>
        <w:tc>
          <w:tcPr>
            <w:tcW w:w="645" w:type="dxa"/>
            <w:tcBorders>
              <w:top w:val="none" w:color="000000" w:themeColor="text1" w:sz="4"/>
              <w:left w:val="none" w:color="000000" w:themeColor="text1" w:sz="4"/>
              <w:bottom w:val="none" w:color="000000" w:themeColor="text1" w:sz="4"/>
              <w:right w:val="none" w:color="000000" w:themeColor="text1" w:sz="4"/>
            </w:tcBorders>
            <w:shd w:val="clear" w:color="auto" w:fill="FFFFFF" w:themeFill="background1"/>
            <w:tcMar/>
          </w:tcPr>
          <w:p w:rsidR="6AC2E6E8" w:rsidP="29B4B1D6" w:rsidRDefault="6AC2E6E8" w14:paraId="58B908D7" w14:textId="3EF9FCE2">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15</w:t>
            </w:r>
          </w:p>
        </w:tc>
      </w:tr>
      <w:tr w:rsidR="29B4B1D6" w:rsidTr="29B4B1D6" w14:paraId="76E0E5BE">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78F6A7AB" w14:textId="19758738">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Reference List</w:t>
            </w:r>
            <w:r w:rsidRPr="29B4B1D6" w:rsidR="2AE467C0">
              <w:rPr>
                <w:rFonts w:ascii="Arial" w:hAnsi="Arial" w:eastAsia="Arial" w:cs="Arial" w:asciiTheme="minorAscii" w:hAnsiTheme="minorAscii" w:eastAsiaTheme="minorAscii" w:cstheme="minorAscii"/>
                <w:sz w:val="22"/>
                <w:szCs w:val="22"/>
              </w:rPr>
              <w:t>.................................................................................................</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29EF4815" w14:textId="459A5E62">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16</w:t>
            </w:r>
          </w:p>
        </w:tc>
      </w:tr>
      <w:tr w:rsidR="29B4B1D6" w:rsidTr="29B4B1D6" w14:paraId="61205871">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5B029654" w14:textId="1196D009">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Appendix for Component 1 (Report)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29B4B1D6" w:rsidP="29B4B1D6" w:rsidRDefault="29B4B1D6" w14:paraId="4F37E74C" w14:textId="68302AA4">
            <w:pPr>
              <w:pStyle w:val="Normal"/>
              <w:spacing w:line="360" w:lineRule="auto"/>
              <w:rPr>
                <w:rFonts w:ascii="Arial" w:hAnsi="Arial" w:eastAsia="Arial" w:cs="Arial" w:asciiTheme="minorAscii" w:hAnsiTheme="minorAscii" w:eastAsiaTheme="minorAscii" w:cstheme="minorAscii"/>
                <w:sz w:val="22"/>
                <w:szCs w:val="22"/>
              </w:rPr>
            </w:pPr>
          </w:p>
        </w:tc>
      </w:tr>
      <w:tr w:rsidR="29B4B1D6" w:rsidTr="29B4B1D6" w14:paraId="559A11A7">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61B56CBD" w14:textId="13C59E69">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Appendix A: SWOT Analysis Matrix of Genomic Surveillance in the NHS</w:t>
            </w:r>
            <w:r w:rsidRPr="29B4B1D6" w:rsidR="34AED689">
              <w:rPr>
                <w:rFonts w:ascii="Arial" w:hAnsi="Arial" w:eastAsia="Arial" w:cs="Arial" w:asciiTheme="minorAscii" w:hAnsiTheme="minorAscii" w:eastAsiaTheme="minorAscii" w:cstheme="minorAscii"/>
                <w:sz w:val="22"/>
                <w:szCs w:val="22"/>
              </w:rPr>
              <w:t xml:space="preserve">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64F75CE5" w14:textId="1492FD61">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18</w:t>
            </w:r>
          </w:p>
        </w:tc>
      </w:tr>
      <w:tr w:rsidR="29B4B1D6" w:rsidTr="29B4B1D6" w14:paraId="1CF53B4F">
        <w:trPr>
          <w:trHeight w:val="300"/>
        </w:trPr>
        <w:tc>
          <w:tcPr>
            <w:tcW w:w="8370"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4DBF40F7" w14:textId="0FCD890C">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 xml:space="preserve">   Appendix B: Key Organisations in Information Governance Frameworks</w:t>
            </w:r>
            <w:r w:rsidRPr="29B4B1D6" w:rsidR="64175AF5">
              <w:rPr>
                <w:rFonts w:ascii="Arial" w:hAnsi="Arial" w:eastAsia="Arial" w:cs="Arial" w:asciiTheme="minorAscii" w:hAnsiTheme="minorAscii" w:eastAsiaTheme="minorAscii" w:cstheme="minorAscii"/>
                <w:sz w:val="22"/>
                <w:szCs w:val="22"/>
              </w:rPr>
              <w:t xml:space="preserve"> ...</w:t>
            </w:r>
          </w:p>
        </w:tc>
        <w:tc>
          <w:tcPr>
            <w:tcW w:w="645" w:type="dxa"/>
            <w:tcBorders>
              <w:top w:val="none" w:color="000000" w:themeColor="text1" w:sz="4"/>
              <w:left w:val="none" w:color="000000" w:themeColor="text1" w:sz="4"/>
              <w:bottom w:val="none" w:color="000000" w:themeColor="text1" w:sz="4"/>
              <w:right w:val="none" w:color="000000" w:themeColor="text1" w:sz="4"/>
            </w:tcBorders>
            <w:tcMar/>
          </w:tcPr>
          <w:p w:rsidR="6AC2E6E8" w:rsidP="29B4B1D6" w:rsidRDefault="6AC2E6E8" w14:paraId="2CE30A88" w14:textId="30E0484A">
            <w:pPr>
              <w:pStyle w:val="Normal"/>
              <w:spacing w:line="360" w:lineRule="auto"/>
              <w:rPr>
                <w:rFonts w:ascii="Arial" w:hAnsi="Arial" w:eastAsia="Arial" w:cs="Arial" w:asciiTheme="minorAscii" w:hAnsiTheme="minorAscii" w:eastAsiaTheme="minorAscii" w:cstheme="minorAscii"/>
                <w:sz w:val="22"/>
                <w:szCs w:val="22"/>
              </w:rPr>
            </w:pPr>
            <w:r w:rsidRPr="29B4B1D6" w:rsidR="6AC2E6E8">
              <w:rPr>
                <w:rFonts w:ascii="Arial" w:hAnsi="Arial" w:eastAsia="Arial" w:cs="Arial" w:asciiTheme="minorAscii" w:hAnsiTheme="minorAscii" w:eastAsiaTheme="minorAscii" w:cstheme="minorAscii"/>
                <w:sz w:val="22"/>
                <w:szCs w:val="22"/>
              </w:rPr>
              <w:t>19</w:t>
            </w:r>
          </w:p>
        </w:tc>
      </w:tr>
    </w:tbl>
    <w:p w:rsidR="29B4B1D6" w:rsidP="29B4B1D6" w:rsidRDefault="29B4B1D6" w14:paraId="6D429492" w14:textId="42D980FC">
      <w:pPr>
        <w:pStyle w:val="Normal"/>
        <w:suppressLineNumbers w:val="0"/>
        <w:bidi w:val="0"/>
        <w:spacing w:before="0" w:beforeAutospacing="off" w:after="160" w:afterAutospacing="off" w:line="279" w:lineRule="auto"/>
        <w:ind w:left="0" w:right="0"/>
        <w:jc w:val="left"/>
      </w:pPr>
    </w:p>
    <w:p w:rsidR="29B4B1D6" w:rsidP="29B4B1D6" w:rsidRDefault="29B4B1D6" w14:paraId="6A9CB64B" w14:textId="0724305E">
      <w:pPr>
        <w:ind w:left="0"/>
      </w:pPr>
      <w:r>
        <w:br w:type="page"/>
      </w:r>
    </w:p>
    <w:p w:rsidR="6899DFE0" w:rsidP="29B4B1D6" w:rsidRDefault="6899DFE0" w14:paraId="19D33D83" w14:textId="36BE610D">
      <w:pPr>
        <w:pStyle w:val="Heading1"/>
        <w:jc w:val="center"/>
        <w:rPr>
          <w:rFonts w:ascii="Arial" w:hAnsi="Arial" w:eastAsia="Arial" w:cs="Arial" w:asciiTheme="minorAscii" w:hAnsiTheme="minorAscii" w:eastAsiaTheme="minorAscii" w:cstheme="minorAscii"/>
          <w:b w:val="1"/>
          <w:bCs w:val="1"/>
          <w:color w:val="auto"/>
          <w:sz w:val="28"/>
          <w:szCs w:val="28"/>
        </w:rPr>
      </w:pPr>
      <w:r w:rsidRPr="29B4B1D6" w:rsidR="6899DFE0">
        <w:rPr>
          <w:rFonts w:ascii="Arial" w:hAnsi="Arial" w:eastAsia="Arial" w:cs="Arial" w:asciiTheme="minorAscii" w:hAnsiTheme="minorAscii" w:eastAsiaTheme="minorAscii" w:cstheme="minorAscii"/>
          <w:b w:val="1"/>
          <w:bCs w:val="1"/>
          <w:color w:val="auto"/>
          <w:sz w:val="28"/>
          <w:szCs w:val="28"/>
        </w:rPr>
        <w:t>1.Introduction</w:t>
      </w:r>
      <w:r w:rsidRPr="29B4B1D6" w:rsidR="6899DFE0">
        <w:rPr>
          <w:rFonts w:ascii="Arial" w:hAnsi="Arial" w:eastAsia="Arial" w:cs="Arial" w:asciiTheme="minorAscii" w:hAnsiTheme="minorAscii" w:eastAsiaTheme="minorAscii" w:cstheme="minorAscii"/>
          <w:b w:val="1"/>
          <w:bCs w:val="1"/>
          <w:color w:val="auto"/>
          <w:sz w:val="28"/>
          <w:szCs w:val="28"/>
        </w:rPr>
        <w:t xml:space="preserve"> </w:t>
      </w:r>
    </w:p>
    <w:p w:rsidR="6899DFE0" w:rsidP="29B4B1D6" w:rsidRDefault="6899DFE0" w14:paraId="7220D4FC" w14:textId="74175B3F">
      <w:pPr>
        <w:pStyle w:val="Heading2"/>
        <w:rPr>
          <w:rFonts w:ascii="Arial" w:hAnsi="Arial" w:eastAsia="Arial" w:cs="Arial" w:asciiTheme="minorAscii" w:hAnsiTheme="minorAscii" w:eastAsiaTheme="minorAscii" w:cstheme="minorAscii"/>
          <w:color w:val="auto"/>
          <w:sz w:val="22"/>
          <w:szCs w:val="22"/>
          <w:u w:val="single"/>
        </w:rPr>
      </w:pPr>
      <w:r w:rsidRPr="29B4B1D6" w:rsidR="6899DFE0">
        <w:rPr>
          <w:rFonts w:ascii="Arial" w:hAnsi="Arial" w:eastAsia="Arial" w:cs="Arial" w:asciiTheme="minorAscii" w:hAnsiTheme="minorAscii" w:eastAsiaTheme="minorAscii" w:cstheme="minorAscii"/>
          <w:color w:val="auto"/>
          <w:sz w:val="22"/>
          <w:szCs w:val="22"/>
          <w:u w:val="single"/>
        </w:rPr>
        <w:t>1.1 Context, Tech Overview and Purpose</w:t>
      </w:r>
      <w:r w:rsidRPr="29B4B1D6" w:rsidR="6899DFE0">
        <w:rPr>
          <w:color w:val="auto"/>
          <w:u w:val="single"/>
        </w:rPr>
        <w:t xml:space="preserve"> </w:t>
      </w:r>
    </w:p>
    <w:p w:rsidR="6899DFE0" w:rsidP="29B4B1D6" w:rsidRDefault="6899DFE0" w14:paraId="4EC500CB" w14:textId="4AA1C7ED">
      <w:pPr>
        <w:pStyle w:val="Normal"/>
        <w:spacing w:line="360" w:lineRule="auto"/>
        <w:jc w:val="both"/>
      </w:pPr>
      <w:r w:rsidRPr="29B4B1D6" w:rsidR="6899DFE0">
        <w:rPr>
          <w:rFonts w:ascii="Arial" w:hAnsi="Arial" w:eastAsia="Arial" w:cs="Arial" w:asciiTheme="minorAscii" w:hAnsiTheme="minorAscii" w:eastAsiaTheme="minorAscii" w:cstheme="minorAscii"/>
          <w:sz w:val="22"/>
          <w:szCs w:val="22"/>
        </w:rPr>
        <w:t xml:space="preserve">The rapid advancement of digital technologies over the last decade has fundamentally transformed the UK healthcare landscape. A definitive digital innovation within the NHS and UKHSA is genomic surveillance, utilising Whole Genome Sequencing (WGS) to decode pathogen blueprints (UKHSA, 2023, p. 4). Shifting from traditional microbiology to high-throughput data environments, this technology converts biological sequences into bioinformatic datasets to </w:t>
      </w:r>
      <w:r w:rsidRPr="29B4B1D6" w:rsidR="6899DFE0">
        <w:rPr>
          <w:rFonts w:ascii="Arial" w:hAnsi="Arial" w:eastAsia="Arial" w:cs="Arial" w:asciiTheme="minorAscii" w:hAnsiTheme="minorAscii" w:eastAsiaTheme="minorAscii" w:cstheme="minorAscii"/>
          <w:sz w:val="22"/>
          <w:szCs w:val="22"/>
        </w:rPr>
        <w:t>monitor</w:t>
      </w:r>
      <w:r w:rsidRPr="29B4B1D6" w:rsidR="6899DFE0">
        <w:rPr>
          <w:rFonts w:ascii="Arial" w:hAnsi="Arial" w:eastAsia="Arial" w:cs="Arial" w:asciiTheme="minorAscii" w:hAnsiTheme="minorAscii" w:eastAsiaTheme="minorAscii" w:cstheme="minorAscii"/>
          <w:sz w:val="22"/>
          <w:szCs w:val="22"/>
        </w:rPr>
        <w:t xml:space="preserve"> real-time mutations and map transmission pathways via complex algorithms (Food Standards Agency, 2026; Nature Portfolio, 2026). Accelerated during COVID-19 via the COG-UK consortium (Marjanovic </w:t>
      </w:r>
      <w:r w:rsidRPr="29B4B1D6" w:rsidR="6899DFE0">
        <w:rPr>
          <w:rFonts w:ascii="Arial" w:hAnsi="Arial" w:eastAsia="Arial" w:cs="Arial" w:asciiTheme="minorAscii" w:hAnsiTheme="minorAscii" w:eastAsiaTheme="minorAscii" w:cstheme="minorAscii"/>
          <w:i w:val="1"/>
          <w:iCs w:val="1"/>
          <w:sz w:val="22"/>
          <w:szCs w:val="22"/>
        </w:rPr>
        <w:t>et al.</w:t>
      </w:r>
      <w:r w:rsidRPr="29B4B1D6" w:rsidR="6899DFE0">
        <w:rPr>
          <w:rFonts w:ascii="Arial" w:hAnsi="Arial" w:eastAsia="Arial" w:cs="Arial" w:asciiTheme="minorAscii" w:hAnsiTheme="minorAscii" w:eastAsiaTheme="minorAscii" w:cstheme="minorAscii"/>
          <w:sz w:val="22"/>
          <w:szCs w:val="22"/>
        </w:rPr>
        <w:t xml:space="preserve">, 2022), this infrastructure now integrates into acute trusts through the </w:t>
      </w:r>
      <w:r w:rsidRPr="29B4B1D6" w:rsidR="6899DFE0">
        <w:rPr>
          <w:rFonts w:ascii="Arial" w:hAnsi="Arial" w:eastAsia="Arial" w:cs="Arial" w:asciiTheme="minorAscii" w:hAnsiTheme="minorAscii" w:eastAsiaTheme="minorAscii" w:cstheme="minorAscii"/>
          <w:sz w:val="22"/>
          <w:szCs w:val="22"/>
        </w:rPr>
        <w:t>mSCAPE</w:t>
      </w:r>
      <w:r w:rsidRPr="29B4B1D6" w:rsidR="6899DFE0">
        <w:rPr>
          <w:rFonts w:ascii="Arial" w:hAnsi="Arial" w:eastAsia="Arial" w:cs="Arial" w:asciiTheme="minorAscii" w:hAnsiTheme="minorAscii" w:eastAsiaTheme="minorAscii" w:cstheme="minorAscii"/>
          <w:sz w:val="22"/>
          <w:szCs w:val="22"/>
        </w:rPr>
        <w:t xml:space="preserve"> programme (PHG Foundation, 2025). Strategically developed for NHS clinical leaders and healthcare policymakers, this report critically investigates the operational readiness, socio-technical friction, and digital capabilities involved in embedding pathogen genomics across care systems. Structurally, this SWOT evaluation appraises real-world impacts focused on two core dimensions: the NHS workforce and the broader community. By balancing advancements with systemic limitations including UK GDPR data privacy risks (ICO, 2023) and infrastructure costs, the ultimate impact of this report is to deliver actionable, risk-mitigating recommendations. This strategic roadmap ensures that digital genomic networks </w:t>
      </w:r>
      <w:r w:rsidRPr="29B4B1D6" w:rsidR="6899DFE0">
        <w:rPr>
          <w:rFonts w:ascii="Arial" w:hAnsi="Arial" w:eastAsia="Arial" w:cs="Arial" w:asciiTheme="minorAscii" w:hAnsiTheme="minorAscii" w:eastAsiaTheme="minorAscii" w:cstheme="minorAscii"/>
          <w:sz w:val="22"/>
          <w:szCs w:val="22"/>
        </w:rPr>
        <w:t>remain</w:t>
      </w:r>
      <w:r w:rsidRPr="29B4B1D6" w:rsidR="6899DFE0">
        <w:rPr>
          <w:rFonts w:ascii="Arial" w:hAnsi="Arial" w:eastAsia="Arial" w:cs="Arial" w:asciiTheme="minorAscii" w:hAnsiTheme="minorAscii" w:eastAsiaTheme="minorAscii" w:cstheme="minorAscii"/>
          <w:sz w:val="22"/>
          <w:szCs w:val="22"/>
        </w:rPr>
        <w:t xml:space="preserve"> safe, </w:t>
      </w:r>
      <w:r w:rsidRPr="29B4B1D6" w:rsidR="6899DFE0">
        <w:rPr>
          <w:rFonts w:ascii="Arial" w:hAnsi="Arial" w:eastAsia="Arial" w:cs="Arial" w:asciiTheme="minorAscii" w:hAnsiTheme="minorAscii" w:eastAsiaTheme="minorAscii" w:cstheme="minorAscii"/>
          <w:sz w:val="22"/>
          <w:szCs w:val="22"/>
        </w:rPr>
        <w:t>equitable</w:t>
      </w:r>
      <w:r w:rsidRPr="29B4B1D6" w:rsidR="6899DFE0">
        <w:rPr>
          <w:rFonts w:ascii="Arial" w:hAnsi="Arial" w:eastAsia="Arial" w:cs="Arial" w:asciiTheme="minorAscii" w:hAnsiTheme="minorAscii" w:eastAsiaTheme="minorAscii" w:cstheme="minorAscii"/>
          <w:sz w:val="22"/>
          <w:szCs w:val="22"/>
        </w:rPr>
        <w:t>, and sustainable.</w:t>
      </w:r>
    </w:p>
    <w:p w:rsidR="29B4B1D6" w:rsidRDefault="29B4B1D6" w14:paraId="2096B63F" w14:textId="3377FC04">
      <w:r>
        <w:br w:type="page"/>
      </w:r>
    </w:p>
    <w:p w:rsidR="567E35BA" w:rsidP="29B4B1D6" w:rsidRDefault="567E35BA" w14:paraId="6C1D8E16" w14:textId="20D4D353">
      <w:pPr>
        <w:pStyle w:val="Heading2"/>
        <w:rPr>
          <w:rFonts w:ascii="Arial" w:hAnsi="Arial" w:eastAsia="Arial" w:cs="Arial" w:asciiTheme="minorAscii" w:hAnsiTheme="minorAscii" w:eastAsiaTheme="minorAscii" w:cstheme="minorAscii"/>
          <w:color w:val="auto"/>
          <w:sz w:val="22"/>
          <w:szCs w:val="22"/>
          <w:u w:val="single"/>
        </w:rPr>
      </w:pPr>
      <w:r w:rsidRPr="29B4B1D6" w:rsidR="567E35BA">
        <w:rPr>
          <w:rFonts w:ascii="Arial" w:hAnsi="Arial" w:eastAsia="Arial" w:cs="Arial" w:asciiTheme="minorAscii" w:hAnsiTheme="minorAscii" w:eastAsiaTheme="minorAscii" w:cstheme="minorAscii"/>
          <w:color w:val="auto"/>
          <w:sz w:val="22"/>
          <w:szCs w:val="22"/>
          <w:u w:val="single"/>
        </w:rPr>
        <w:t>1.2 Search Strategy and Methodology</w:t>
      </w:r>
      <w:r w:rsidRPr="29B4B1D6" w:rsidR="567E35BA">
        <w:rPr>
          <w:rFonts w:ascii="Arial" w:hAnsi="Arial" w:eastAsia="Arial" w:cs="Arial" w:asciiTheme="minorAscii" w:hAnsiTheme="minorAscii" w:eastAsiaTheme="minorAscii" w:cstheme="minorAscii"/>
          <w:color w:val="auto"/>
          <w:sz w:val="22"/>
          <w:szCs w:val="22"/>
          <w:u w:val="single"/>
        </w:rPr>
        <w:t xml:space="preserve"> </w:t>
      </w:r>
    </w:p>
    <w:p w:rsidR="567E35BA" w:rsidP="29B4B1D6" w:rsidRDefault="567E35BA" w14:paraId="0F296C40" w14:textId="724F94EC">
      <w:pPr>
        <w:pStyle w:val="Normal"/>
        <w:spacing w:line="360" w:lineRule="auto"/>
        <w:jc w:val="both"/>
      </w:pPr>
      <w:r w:rsidRPr="29B4B1D6" w:rsidR="567E35BA">
        <w:rPr>
          <w:rFonts w:ascii="Arial" w:hAnsi="Arial" w:eastAsia="Arial" w:cs="Arial" w:asciiTheme="minorAscii" w:hAnsiTheme="minorAscii" w:eastAsiaTheme="minorAscii" w:cstheme="minorAscii"/>
          <w:sz w:val="22"/>
          <w:szCs w:val="22"/>
        </w:rPr>
        <w:t>To ensure a robust, evidence-based critique rather than a purely descriptive overview, a systematic literature search was conducted. The process of identifying, screening, and selecting the academic and policy data for this report is illustrated in the PRISMA Flow Diagram below. Electronic databases (PubMed, ScienceDirect, UWTSD Summon) and official policy sources (GOV.UK, UKHSA, FutureNHS) initially yielded 98 records. Following automated duplicate removal and rigorous screening against strict inclusion criteria, focusing on UK/NHS health frameworks published within the last decade, unsuitable commentaries and purely biochemical papers lacking digital transformation impacts were excluded. This systematic process resulted in a final qualitative synthesis of exactly 17 core sources, ensuring maximum empirical depth and alignment with national health protection strategies.</w:t>
      </w:r>
    </w:p>
    <w:p w:rsidR="29B4B1D6" w:rsidRDefault="29B4B1D6" w14:paraId="591562DE" w14:textId="72939FFE">
      <w:r>
        <w:br w:type="page"/>
      </w:r>
    </w:p>
    <w:p w:rsidR="3B9259E6" w:rsidP="29B4B1D6" w:rsidRDefault="3B9259E6" w14:paraId="5FDAF3C7" w14:textId="6C7DB108">
      <w:pPr>
        <w:pStyle w:val="Heading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GB"/>
        </w:rPr>
      </w:pPr>
      <w:r w:rsidRPr="29B4B1D6" w:rsidR="3B9259E6">
        <w:rPr>
          <w:rFonts w:ascii="Arial" w:hAnsi="Arial" w:eastAsia="Arial" w:cs="Arial" w:asciiTheme="minorAscii" w:hAnsiTheme="minorAscii" w:eastAsiaTheme="minorAscii" w:cstheme="minorAscii"/>
          <w:noProof w:val="0"/>
          <w:color w:val="auto"/>
          <w:sz w:val="22"/>
          <w:szCs w:val="22"/>
          <w:u w:val="single"/>
          <w:lang w:val="en-GB"/>
        </w:rPr>
        <w:t>1.3 PRISMA Flow Diagram of the Study Selection Process</w:t>
      </w:r>
    </w:p>
    <w:tbl>
      <w:tblPr>
        <w:tblStyle w:val="TableGrid"/>
        <w:bidiVisual w:val="0"/>
        <w:tblW w:w="0" w:type="auto"/>
        <w:tblBorders>
          <w:top w:val="single" w:sz="6"/>
          <w:left w:val="single" w:sz="6"/>
          <w:bottom w:val="single" w:sz="6"/>
          <w:right w:val="single" w:sz="6"/>
        </w:tblBorders>
        <w:tblLook w:val="0680" w:firstRow="0" w:lastRow="0" w:firstColumn="1" w:lastColumn="0" w:noHBand="1" w:noVBand="1"/>
      </w:tblPr>
      <w:tblGrid>
        <w:gridCol w:w="2250"/>
        <w:gridCol w:w="3750"/>
        <w:gridCol w:w="3000"/>
      </w:tblGrid>
      <w:tr w:rsidR="29B4B1D6" w:rsidTr="29B4B1D6" w14:paraId="6FD26CB7">
        <w:trPr>
          <w:trHeight w:val="285"/>
        </w:trPr>
        <w:tc>
          <w:tcPr>
            <w:tcW w:w="2250" w:type="dxa"/>
            <w:tcBorders>
              <w:top w:val="nil"/>
              <w:left w:val="nil"/>
              <w:bottom w:val="nil"/>
              <w:right w:val="nil"/>
            </w:tcBorders>
            <w:shd w:val="clear" w:color="auto" w:fill="DAE9F7" w:themeFill="text2" w:themeFillTint="1A"/>
            <w:tcMar>
              <w:left w:w="105" w:type="dxa"/>
              <w:right w:w="105" w:type="dxa"/>
            </w:tcMar>
            <w:vAlign w:val="top"/>
          </w:tcPr>
          <w:p w:rsidR="29B4B1D6" w:rsidP="29B4B1D6" w:rsidRDefault="29B4B1D6" w14:paraId="50A51638" w14:textId="7764A3E9">
            <w:pPr>
              <w:pStyle w:val="Heading2"/>
              <w:rPr>
                <w:rFonts w:ascii="Arial" w:hAnsi="Arial" w:eastAsia="Arial" w:cs="Arial"/>
                <w:b w:val="0"/>
                <w:bCs w:val="0"/>
                <w:i w:val="0"/>
                <w:iCs w:val="0"/>
                <w:sz w:val="22"/>
                <w:szCs w:val="22"/>
              </w:rPr>
            </w:pPr>
            <w:r w:rsidRPr="29B4B1D6" w:rsidR="29B4B1D6">
              <w:rPr>
                <w:lang w:val="en-GB"/>
              </w:rPr>
              <w:t>Phase</w:t>
            </w:r>
          </w:p>
        </w:tc>
        <w:tc>
          <w:tcPr>
            <w:tcW w:w="3750" w:type="dxa"/>
            <w:tcBorders>
              <w:top w:val="nil"/>
              <w:left w:val="nil"/>
              <w:bottom w:val="nil"/>
              <w:right w:val="nil"/>
            </w:tcBorders>
            <w:shd w:val="clear" w:color="auto" w:fill="DAE9F7" w:themeFill="text2" w:themeFillTint="1A"/>
            <w:tcMar>
              <w:left w:w="105" w:type="dxa"/>
              <w:right w:w="105" w:type="dxa"/>
            </w:tcMar>
            <w:vAlign w:val="top"/>
          </w:tcPr>
          <w:p w:rsidR="29B4B1D6" w:rsidP="29B4B1D6" w:rsidRDefault="29B4B1D6" w14:paraId="3A2D8A4A" w14:textId="07E382C6">
            <w:pPr>
              <w:pStyle w:val="Heading2"/>
              <w:rPr>
                <w:rFonts w:ascii="Arial" w:hAnsi="Arial" w:eastAsia="Arial" w:cs="Arial"/>
                <w:b w:val="0"/>
                <w:bCs w:val="0"/>
                <w:i w:val="0"/>
                <w:iCs w:val="0"/>
                <w:sz w:val="22"/>
                <w:szCs w:val="22"/>
              </w:rPr>
            </w:pPr>
            <w:r w:rsidRPr="29B4B1D6" w:rsidR="29B4B1D6">
              <w:rPr>
                <w:lang w:val="en-GB"/>
              </w:rPr>
              <w:t>Flow of Information and Study Counts (</w:t>
            </w:r>
            <w:r w:rsidRPr="29B4B1D6" w:rsidR="29B4B1D6">
              <w:rPr>
                <w:lang w:val="en-GB"/>
              </w:rPr>
              <w:t xml:space="preserve"> </w:t>
            </w:r>
            <w:r w:rsidRPr="29B4B1D6" w:rsidR="29B4B1D6">
              <w:rPr>
                <w:lang w:val="en-GB"/>
              </w:rPr>
              <w:t>n )</w:t>
            </w:r>
          </w:p>
        </w:tc>
        <w:tc>
          <w:tcPr>
            <w:tcW w:w="3000" w:type="dxa"/>
            <w:tcBorders>
              <w:top w:val="nil"/>
              <w:left w:val="nil"/>
              <w:bottom w:val="nil"/>
              <w:right w:val="nil"/>
            </w:tcBorders>
            <w:shd w:val="clear" w:color="auto" w:fill="DAE9F7" w:themeFill="text2" w:themeFillTint="1A"/>
            <w:tcMar>
              <w:left w:w="105" w:type="dxa"/>
              <w:right w:w="105" w:type="dxa"/>
            </w:tcMar>
            <w:vAlign w:val="top"/>
          </w:tcPr>
          <w:p w:rsidR="29B4B1D6" w:rsidP="29B4B1D6" w:rsidRDefault="29B4B1D6" w14:paraId="0DF00A9E" w14:textId="07D458DC">
            <w:pPr>
              <w:pStyle w:val="Heading2"/>
              <w:rPr>
                <w:rFonts w:ascii="Arial" w:hAnsi="Arial" w:eastAsia="Arial" w:cs="Arial"/>
                <w:b w:val="0"/>
                <w:bCs w:val="0"/>
                <w:i w:val="0"/>
                <w:iCs w:val="0"/>
                <w:sz w:val="22"/>
                <w:szCs w:val="22"/>
              </w:rPr>
            </w:pPr>
            <w:r w:rsidRPr="29B4B1D6" w:rsidR="29B4B1D6">
              <w:rPr>
                <w:lang w:val="en-GB"/>
              </w:rPr>
              <w:t>Excluded Records</w:t>
            </w:r>
          </w:p>
        </w:tc>
      </w:tr>
      <w:tr w:rsidR="29B4B1D6" w:rsidTr="29B4B1D6" w14:paraId="29A28852">
        <w:trPr>
          <w:trHeight w:val="285"/>
        </w:trPr>
        <w:tc>
          <w:tcPr>
            <w:tcW w:w="2250" w:type="dxa"/>
            <w:tcBorders>
              <w:top w:val="nil"/>
              <w:left w:val="nil"/>
              <w:bottom w:val="nil"/>
              <w:right w:val="nil"/>
            </w:tcBorders>
            <w:shd w:val="clear" w:color="auto" w:fill="E8E8E8" w:themeFill="background2"/>
            <w:tcMar>
              <w:left w:w="105" w:type="dxa"/>
              <w:right w:w="105" w:type="dxa"/>
            </w:tcMar>
            <w:vAlign w:val="top"/>
          </w:tcPr>
          <w:p w:rsidR="29B4B1D6" w:rsidP="29B4B1D6" w:rsidRDefault="29B4B1D6" w14:paraId="280B0717" w14:textId="33A8A420">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1. IDENTIFICATION</w:t>
            </w:r>
          </w:p>
        </w:tc>
        <w:tc>
          <w:tcPr>
            <w:tcW w:w="3750" w:type="dxa"/>
            <w:tcBorders>
              <w:top w:val="nil"/>
              <w:left w:val="nil"/>
              <w:bottom w:val="nil"/>
              <w:right w:val="nil"/>
            </w:tcBorders>
            <w:shd w:val="clear" w:color="auto" w:fill="FAE2D5" w:themeFill="accent2" w:themeFillTint="33"/>
            <w:tcMar>
              <w:left w:w="105" w:type="dxa"/>
              <w:right w:w="105" w:type="dxa"/>
            </w:tcMar>
            <w:vAlign w:val="top"/>
          </w:tcPr>
          <w:p w:rsidR="29B4B1D6" w:rsidP="29B4B1D6" w:rsidRDefault="29B4B1D6" w14:paraId="3A85E933" w14:textId="0FDCFC7F">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trike w:val="0"/>
                <w:dstrike w:val="0"/>
                <w:sz w:val="22"/>
                <w:szCs w:val="22"/>
                <w:u w:val="single"/>
                <w:lang w:val="en-GB"/>
              </w:rPr>
              <w:t>Records identified through electronic databases:</w:t>
            </w:r>
          </w:p>
          <w:p w:rsidR="29B4B1D6" w:rsidP="29B4B1D6" w:rsidRDefault="29B4B1D6" w14:paraId="4D3D8F10" w14:textId="1A29B26F">
            <w:pPr>
              <w:spacing w:before="0" w:beforeAutospacing="off" w:after="0" w:afterAutospacing="off"/>
              <w:rPr>
                <w:rFonts w:ascii="Arial" w:hAnsi="Arial" w:eastAsia="Arial" w:cs="Arial"/>
                <w:b w:val="0"/>
                <w:bCs w:val="0"/>
                <w:i w:val="0"/>
                <w:iCs w:val="0"/>
                <w:sz w:val="22"/>
                <w:szCs w:val="22"/>
              </w:rPr>
            </w:pPr>
          </w:p>
          <w:p w:rsidR="29B4B1D6" w:rsidP="29B4B1D6" w:rsidRDefault="29B4B1D6" w14:paraId="45535E92" w14:textId="4F03161F">
            <w:pPr>
              <w:spacing w:before="0" w:beforeAutospacing="off" w:after="0" w:afterAutospacing="off"/>
              <w:rPr>
                <w:rFonts w:ascii="Arial" w:hAnsi="Arial" w:eastAsia="Arial" w:cs="Arial"/>
                <w:b w:val="0"/>
                <w:bCs w:val="0"/>
                <w:i w:val="0"/>
                <w:iCs w:val="0"/>
                <w:sz w:val="22"/>
                <w:szCs w:val="22"/>
              </w:rPr>
            </w:pPr>
          </w:p>
          <w:p w:rsidR="29B4B1D6" w:rsidP="29B4B1D6" w:rsidRDefault="29B4B1D6" w14:paraId="47D43D5E" w14:textId="7F884E16">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PubMed, ScienceDirect, UWTSD Summon (n = 85)</w:t>
            </w:r>
          </w:p>
          <w:p w:rsidR="29B4B1D6" w:rsidP="29B4B1D6" w:rsidRDefault="29B4B1D6" w14:paraId="5E8C2213" w14:textId="7AF54E07">
            <w:pPr>
              <w:spacing w:before="0" w:beforeAutospacing="off" w:after="0" w:afterAutospacing="off"/>
              <w:rPr>
                <w:rFonts w:ascii="Arial" w:hAnsi="Arial" w:eastAsia="Arial" w:cs="Arial"/>
                <w:b w:val="0"/>
                <w:bCs w:val="0"/>
                <w:i w:val="0"/>
                <w:iCs w:val="0"/>
                <w:sz w:val="22"/>
                <w:szCs w:val="22"/>
              </w:rPr>
            </w:pPr>
          </w:p>
          <w:p w:rsidR="29B4B1D6" w:rsidP="29B4B1D6" w:rsidRDefault="29B4B1D6" w14:paraId="41BB2A32" w14:textId="282F9AC5">
            <w:pPr>
              <w:spacing w:before="0" w:beforeAutospacing="off" w:after="0" w:afterAutospacing="off"/>
              <w:rPr>
                <w:rFonts w:ascii="Arial" w:hAnsi="Arial" w:eastAsia="Arial" w:cs="Arial"/>
                <w:b w:val="0"/>
                <w:bCs w:val="0"/>
                <w:i w:val="0"/>
                <w:iCs w:val="0"/>
                <w:sz w:val="22"/>
                <w:szCs w:val="22"/>
              </w:rPr>
            </w:pPr>
          </w:p>
          <w:p w:rsidR="29B4B1D6" w:rsidP="29B4B1D6" w:rsidRDefault="29B4B1D6" w14:paraId="19FE15EF" w14:textId="32CA95E1">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trike w:val="0"/>
                <w:dstrike w:val="0"/>
                <w:sz w:val="22"/>
                <w:szCs w:val="22"/>
                <w:u w:val="single"/>
                <w:lang w:val="en-GB"/>
              </w:rPr>
              <w:t>Additional records identified through policy sources:</w:t>
            </w:r>
          </w:p>
          <w:p w:rsidR="29B4B1D6" w:rsidP="29B4B1D6" w:rsidRDefault="29B4B1D6" w14:paraId="2D6E2278" w14:textId="085D830A">
            <w:pPr>
              <w:spacing w:before="0" w:beforeAutospacing="off" w:after="0" w:afterAutospacing="off"/>
              <w:rPr>
                <w:rFonts w:ascii="Arial" w:hAnsi="Arial" w:eastAsia="Arial" w:cs="Arial"/>
                <w:b w:val="0"/>
                <w:bCs w:val="0"/>
                <w:i w:val="0"/>
                <w:iCs w:val="0"/>
                <w:sz w:val="22"/>
                <w:szCs w:val="22"/>
              </w:rPr>
            </w:pPr>
          </w:p>
          <w:p w:rsidR="29B4B1D6" w:rsidP="29B4B1D6" w:rsidRDefault="29B4B1D6" w14:paraId="5DFE74A9" w14:textId="1D04E4F9">
            <w:pPr>
              <w:spacing w:before="0" w:beforeAutospacing="off" w:after="0" w:afterAutospacing="off"/>
              <w:rPr>
                <w:rFonts w:ascii="Arial" w:hAnsi="Arial" w:eastAsia="Arial" w:cs="Arial"/>
                <w:b w:val="0"/>
                <w:bCs w:val="0"/>
                <w:i w:val="0"/>
                <w:iCs w:val="0"/>
                <w:sz w:val="22"/>
                <w:szCs w:val="22"/>
              </w:rPr>
            </w:pPr>
          </w:p>
          <w:p w:rsidR="29B4B1D6" w:rsidP="29B4B1D6" w:rsidRDefault="29B4B1D6" w14:paraId="593D59F0" w14:textId="69133417">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GOV.UK, UKHSA, FutureNHS Knowledge Platform (n = 13)</w:t>
            </w:r>
          </w:p>
          <w:p w:rsidR="29B4B1D6" w:rsidP="29B4B1D6" w:rsidRDefault="29B4B1D6" w14:paraId="4A7BF79D" w14:textId="0444FE6F">
            <w:pPr>
              <w:spacing w:before="0" w:beforeAutospacing="off" w:after="0" w:afterAutospacing="off"/>
              <w:rPr>
                <w:rFonts w:ascii="Arial" w:hAnsi="Arial" w:eastAsia="Arial" w:cs="Arial"/>
                <w:b w:val="0"/>
                <w:bCs w:val="0"/>
                <w:i w:val="0"/>
                <w:iCs w:val="0"/>
                <w:sz w:val="22"/>
                <w:szCs w:val="22"/>
              </w:rPr>
            </w:pPr>
          </w:p>
          <w:p w:rsidR="29B4B1D6" w:rsidP="29B4B1D6" w:rsidRDefault="29B4B1D6" w14:paraId="14ADD361" w14:textId="09D11C82">
            <w:pPr>
              <w:spacing w:before="0" w:beforeAutospacing="off" w:after="0" w:afterAutospacing="off"/>
              <w:rPr>
                <w:rFonts w:ascii="Arial" w:hAnsi="Arial" w:eastAsia="Arial" w:cs="Arial"/>
                <w:b w:val="0"/>
                <w:bCs w:val="0"/>
                <w:i w:val="0"/>
                <w:iCs w:val="0"/>
                <w:sz w:val="22"/>
                <w:szCs w:val="22"/>
              </w:rPr>
            </w:pPr>
          </w:p>
          <w:p w:rsidR="29B4B1D6" w:rsidP="29B4B1D6" w:rsidRDefault="29B4B1D6" w14:paraId="76A6B75C" w14:textId="58D7B8D6">
            <w:pPr>
              <w:spacing w:before="0" w:beforeAutospacing="off" w:after="0" w:afterAutospacing="off"/>
              <w:rPr>
                <w:rFonts w:ascii="Arial" w:hAnsi="Arial" w:eastAsia="Arial" w:cs="Arial"/>
                <w:b w:val="0"/>
                <w:bCs w:val="0"/>
                <w:i w:val="0"/>
                <w:iCs w:val="0"/>
                <w:sz w:val="22"/>
                <w:szCs w:val="22"/>
              </w:rPr>
            </w:pPr>
          </w:p>
          <w:p w:rsidR="29B4B1D6" w:rsidP="29B4B1D6" w:rsidRDefault="29B4B1D6" w14:paraId="68B6BF47" w14:textId="5D03C3A3">
            <w:pPr>
              <w:spacing w:before="0" w:beforeAutospacing="off" w:after="0" w:afterAutospacing="off"/>
              <w:jc w:val="center"/>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w:t>
            </w:r>
            <w:r w:rsidRPr="29B4B1D6" w:rsidR="29B4B1D6">
              <w:rPr>
                <w:rFonts w:ascii="Arial" w:hAnsi="Arial" w:eastAsia="Arial" w:cs="Arial"/>
                <w:b w:val="1"/>
                <w:bCs w:val="1"/>
                <w:i w:val="0"/>
                <w:iCs w:val="0"/>
                <w:sz w:val="22"/>
                <w:szCs w:val="22"/>
                <w:lang w:val="en-GB"/>
              </w:rPr>
              <w:t xml:space="preserve"> Total records identified at initial stage: </w:t>
            </w:r>
          </w:p>
          <w:p w:rsidR="29B4B1D6" w:rsidP="29B4B1D6" w:rsidRDefault="29B4B1D6" w14:paraId="5A0DE040" w14:textId="70D59424">
            <w:pPr>
              <w:spacing w:before="0" w:beforeAutospacing="off" w:after="0" w:afterAutospacing="off"/>
              <w:jc w:val="center"/>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n = 98</w:t>
            </w:r>
          </w:p>
          <w:p w:rsidR="29B4B1D6" w:rsidP="29B4B1D6" w:rsidRDefault="29B4B1D6" w14:paraId="1B900552" w14:textId="17181BF4">
            <w:pPr>
              <w:spacing w:before="0" w:beforeAutospacing="off" w:after="0" w:afterAutospacing="off"/>
              <w:rPr>
                <w:rFonts w:ascii="Arial" w:hAnsi="Arial" w:eastAsia="Arial" w:cs="Arial"/>
                <w:b w:val="0"/>
                <w:bCs w:val="0"/>
                <w:i w:val="0"/>
                <w:iCs w:val="0"/>
                <w:sz w:val="22"/>
                <w:szCs w:val="22"/>
              </w:rPr>
            </w:pPr>
          </w:p>
        </w:tc>
        <w:tc>
          <w:tcPr>
            <w:tcW w:w="3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567FD407" w14:textId="79AB273C">
            <w:pPr>
              <w:spacing w:before="0" w:beforeAutospacing="off" w:after="0" w:afterAutospacing="off"/>
              <w:rPr>
                <w:rFonts w:ascii="Arial" w:hAnsi="Arial" w:eastAsia="Arial" w:cs="Arial"/>
                <w:b w:val="0"/>
                <w:bCs w:val="0"/>
                <w:i w:val="0"/>
                <w:iCs w:val="0"/>
                <w:sz w:val="22"/>
                <w:szCs w:val="22"/>
              </w:rPr>
            </w:pPr>
          </w:p>
        </w:tc>
      </w:tr>
      <w:tr w:rsidR="29B4B1D6" w:rsidTr="29B4B1D6" w14:paraId="0EB8133A">
        <w:trPr>
          <w:trHeight w:val="285"/>
        </w:trPr>
        <w:tc>
          <w:tcPr>
            <w:tcW w:w="2250" w:type="dxa"/>
            <w:tcBorders>
              <w:top w:val="nil"/>
              <w:left w:val="nil"/>
              <w:bottom w:val="nil"/>
              <w:right w:val="nil"/>
            </w:tcBorders>
            <w:shd w:val="clear" w:color="auto" w:fill="E8E8E8" w:themeFill="background2"/>
            <w:tcMar>
              <w:left w:w="105" w:type="dxa"/>
              <w:right w:w="105" w:type="dxa"/>
            </w:tcMar>
            <w:vAlign w:val="top"/>
          </w:tcPr>
          <w:p w:rsidR="29B4B1D6" w:rsidP="29B4B1D6" w:rsidRDefault="29B4B1D6" w14:paraId="028D1292" w14:textId="3B9273F0">
            <w:pPr>
              <w:spacing w:before="0" w:beforeAutospacing="off" w:after="0" w:afterAutospacing="off"/>
              <w:rPr>
                <w:rFonts w:ascii="Arial" w:hAnsi="Arial" w:eastAsia="Arial" w:cs="Arial"/>
                <w:b w:val="0"/>
                <w:bCs w:val="0"/>
                <w:i w:val="0"/>
                <w:iCs w:val="0"/>
                <w:sz w:val="22"/>
                <w:szCs w:val="22"/>
              </w:rPr>
            </w:pPr>
          </w:p>
        </w:tc>
        <w:tc>
          <w:tcPr>
            <w:tcW w:w="3750" w:type="dxa"/>
            <w:tcBorders>
              <w:top w:val="nil"/>
              <w:left w:val="nil"/>
              <w:bottom w:val="nil"/>
              <w:right w:val="nil"/>
            </w:tcBorders>
            <w:shd w:val="clear" w:color="auto" w:fill="FAE2D5" w:themeFill="accent2" w:themeFillTint="33"/>
            <w:tcMar>
              <w:left w:w="105" w:type="dxa"/>
              <w:right w:w="105" w:type="dxa"/>
            </w:tcMar>
            <w:vAlign w:val="top"/>
          </w:tcPr>
          <w:p w:rsidR="29B4B1D6" w:rsidP="29B4B1D6" w:rsidRDefault="29B4B1D6" w14:paraId="0CDF7AA8" w14:textId="2877BEED">
            <w:pPr>
              <w:spacing w:before="0" w:beforeAutospacing="off" w:after="0" w:afterAutospacing="off"/>
              <w:jc w:val="center"/>
              <w:rPr>
                <w:rFonts w:ascii="Arial" w:hAnsi="Arial" w:eastAsia="Arial" w:cs="Arial"/>
                <w:b w:val="0"/>
                <w:bCs w:val="0"/>
                <w:i w:val="0"/>
                <w:iCs w:val="0"/>
                <w:sz w:val="32"/>
                <w:szCs w:val="32"/>
              </w:rPr>
            </w:pPr>
            <w:r w:rsidRPr="29B4B1D6" w:rsidR="29B4B1D6">
              <w:rPr>
                <w:rFonts w:ascii="Arial" w:hAnsi="Arial" w:eastAsia="Arial" w:cs="Arial"/>
                <w:b w:val="0"/>
                <w:bCs w:val="0"/>
                <w:i w:val="0"/>
                <w:iCs w:val="0"/>
                <w:sz w:val="32"/>
                <w:szCs w:val="32"/>
                <w:lang w:val="en-GB"/>
              </w:rPr>
              <w:t>↓ (Proceeding to screening phase)</w:t>
            </w:r>
          </w:p>
          <w:p w:rsidR="29B4B1D6" w:rsidP="29B4B1D6" w:rsidRDefault="29B4B1D6" w14:paraId="72BE9DDA" w14:textId="1CF6F41D">
            <w:pPr>
              <w:spacing w:before="0" w:beforeAutospacing="off" w:after="0" w:afterAutospacing="off"/>
              <w:jc w:val="center"/>
              <w:rPr>
                <w:rFonts w:ascii="Arial" w:hAnsi="Arial" w:eastAsia="Arial" w:cs="Arial"/>
                <w:b w:val="0"/>
                <w:bCs w:val="0"/>
                <w:i w:val="0"/>
                <w:iCs w:val="0"/>
                <w:sz w:val="22"/>
                <w:szCs w:val="22"/>
              </w:rPr>
            </w:pPr>
          </w:p>
          <w:p w:rsidR="29B4B1D6" w:rsidP="29B4B1D6" w:rsidRDefault="29B4B1D6" w14:paraId="44A837D9" w14:textId="56E54A0A">
            <w:pPr>
              <w:spacing w:before="0" w:beforeAutospacing="off" w:after="0" w:afterAutospacing="off"/>
              <w:jc w:val="center"/>
              <w:rPr>
                <w:rFonts w:ascii="Arial" w:hAnsi="Arial" w:eastAsia="Arial" w:cs="Arial"/>
                <w:b w:val="0"/>
                <w:bCs w:val="0"/>
                <w:i w:val="0"/>
                <w:iCs w:val="0"/>
                <w:sz w:val="22"/>
                <w:szCs w:val="22"/>
              </w:rPr>
            </w:pPr>
          </w:p>
        </w:tc>
        <w:tc>
          <w:tcPr>
            <w:tcW w:w="3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3A4D16C6" w14:textId="5847E1C0">
            <w:pPr>
              <w:spacing w:before="0" w:beforeAutospacing="off" w:after="0" w:afterAutospacing="off"/>
              <w:rPr>
                <w:rFonts w:ascii="Arial" w:hAnsi="Arial" w:eastAsia="Arial" w:cs="Arial"/>
                <w:b w:val="0"/>
                <w:bCs w:val="0"/>
                <w:i w:val="0"/>
                <w:iCs w:val="0"/>
                <w:sz w:val="22"/>
                <w:szCs w:val="22"/>
              </w:rPr>
            </w:pPr>
          </w:p>
        </w:tc>
      </w:tr>
      <w:tr w:rsidR="29B4B1D6" w:rsidTr="29B4B1D6" w14:paraId="6EF8D731">
        <w:trPr>
          <w:trHeight w:val="285"/>
        </w:trPr>
        <w:tc>
          <w:tcPr>
            <w:tcW w:w="2250" w:type="dxa"/>
            <w:tcBorders>
              <w:top w:val="nil"/>
              <w:left w:val="nil"/>
              <w:bottom w:val="nil"/>
              <w:right w:val="nil"/>
            </w:tcBorders>
            <w:shd w:val="clear" w:color="auto" w:fill="E8E8E8" w:themeFill="background2"/>
            <w:tcMar>
              <w:left w:w="105" w:type="dxa"/>
              <w:right w:w="105" w:type="dxa"/>
            </w:tcMar>
            <w:vAlign w:val="top"/>
          </w:tcPr>
          <w:p w:rsidR="29B4B1D6" w:rsidP="29B4B1D6" w:rsidRDefault="29B4B1D6" w14:paraId="360DEC35" w14:textId="50198D99">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2. SCREENING</w:t>
            </w:r>
          </w:p>
        </w:tc>
        <w:tc>
          <w:tcPr>
            <w:tcW w:w="3750" w:type="dxa"/>
            <w:tcBorders>
              <w:top w:val="nil"/>
              <w:left w:val="nil"/>
              <w:bottom w:val="nil"/>
              <w:right w:val="nil"/>
            </w:tcBorders>
            <w:shd w:val="clear" w:color="auto" w:fill="FAE2D5" w:themeFill="accent2" w:themeFillTint="33"/>
            <w:tcMar>
              <w:left w:w="105" w:type="dxa"/>
              <w:right w:w="105" w:type="dxa"/>
            </w:tcMar>
            <w:vAlign w:val="top"/>
          </w:tcPr>
          <w:p w:rsidR="29B4B1D6" w:rsidP="29B4B1D6" w:rsidRDefault="29B4B1D6" w14:paraId="547A55C2" w14:textId="7EF4E7BD">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trike w:val="0"/>
                <w:dstrike w:val="0"/>
                <w:sz w:val="22"/>
                <w:szCs w:val="22"/>
                <w:u w:val="single"/>
                <w:lang w:val="en-GB"/>
              </w:rPr>
              <w:t>Records remaining after automated duplicate removal:</w:t>
            </w:r>
          </w:p>
          <w:p w:rsidR="29B4B1D6" w:rsidP="29B4B1D6" w:rsidRDefault="29B4B1D6" w14:paraId="5675C764" w14:textId="4D3EA565">
            <w:pPr>
              <w:pStyle w:val="ListParagraph"/>
              <w:numPr>
                <w:ilvl w:val="0"/>
                <w:numId w:val="1"/>
              </w:num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trike w:val="0"/>
                <w:dstrike w:val="0"/>
                <w:sz w:val="22"/>
                <w:szCs w:val="22"/>
                <w:u w:val="none"/>
                <w:lang w:val="en-GB"/>
              </w:rPr>
              <w:t>n = 73</w:t>
            </w:r>
          </w:p>
          <w:p w:rsidR="29B4B1D6" w:rsidP="29B4B1D6" w:rsidRDefault="29B4B1D6" w14:paraId="6F8D99B6" w14:textId="0385BC8B">
            <w:pPr>
              <w:spacing w:before="0" w:beforeAutospacing="off" w:after="0" w:afterAutospacing="off"/>
              <w:rPr>
                <w:rFonts w:ascii="Arial" w:hAnsi="Arial" w:eastAsia="Arial" w:cs="Arial"/>
                <w:b w:val="0"/>
                <w:bCs w:val="0"/>
                <w:i w:val="0"/>
                <w:iCs w:val="0"/>
                <w:sz w:val="22"/>
                <w:szCs w:val="22"/>
              </w:rPr>
            </w:pPr>
          </w:p>
          <w:p w:rsidR="29B4B1D6" w:rsidP="29B4B1D6" w:rsidRDefault="29B4B1D6" w14:paraId="11C89B02" w14:textId="3F97817C">
            <w:pPr>
              <w:spacing w:before="0" w:beforeAutospacing="off" w:after="0" w:afterAutospacing="off"/>
              <w:rPr>
                <w:rFonts w:ascii="Arial" w:hAnsi="Arial" w:eastAsia="Arial" w:cs="Arial"/>
                <w:b w:val="0"/>
                <w:bCs w:val="0"/>
                <w:i w:val="0"/>
                <w:iCs w:val="0"/>
                <w:sz w:val="22"/>
                <w:szCs w:val="22"/>
              </w:rPr>
            </w:pPr>
          </w:p>
          <w:p w:rsidR="29B4B1D6" w:rsidP="29B4B1D6" w:rsidRDefault="29B4B1D6" w14:paraId="6A7337F5" w14:textId="4DD96CFC">
            <w:pPr>
              <w:spacing w:before="0" w:beforeAutospacing="off" w:after="0" w:afterAutospacing="off"/>
              <w:rPr>
                <w:rFonts w:ascii="Arial" w:hAnsi="Arial" w:eastAsia="Arial" w:cs="Arial"/>
                <w:b w:val="0"/>
                <w:bCs w:val="0"/>
                <w:i w:val="0"/>
                <w:iCs w:val="0"/>
                <w:sz w:val="22"/>
                <w:szCs w:val="22"/>
              </w:rPr>
            </w:pPr>
          </w:p>
          <w:p w:rsidR="29B4B1D6" w:rsidP="29B4B1D6" w:rsidRDefault="29B4B1D6" w14:paraId="6C00880A" w14:textId="226DFC04">
            <w:pPr>
              <w:spacing w:before="0" w:beforeAutospacing="off" w:after="0" w:afterAutospacing="off"/>
              <w:ind w:left="0"/>
              <w:rPr>
                <w:rFonts w:ascii="Arial" w:hAnsi="Arial" w:eastAsia="Arial" w:cs="Arial"/>
                <w:b w:val="0"/>
                <w:bCs w:val="0"/>
                <w:i w:val="0"/>
                <w:iCs w:val="0"/>
                <w:sz w:val="22"/>
                <w:szCs w:val="22"/>
              </w:rPr>
            </w:pPr>
            <w:r w:rsidRPr="29B4B1D6" w:rsidR="29B4B1D6">
              <w:rPr>
                <w:rFonts w:ascii="Arial" w:hAnsi="Arial" w:eastAsia="Arial" w:cs="Arial"/>
                <w:b w:val="0"/>
                <w:bCs w:val="0"/>
                <w:i w:val="0"/>
                <w:iCs w:val="0"/>
                <w:strike w:val="0"/>
                <w:dstrike w:val="0"/>
                <w:sz w:val="22"/>
                <w:szCs w:val="22"/>
                <w:u w:val="single"/>
                <w:lang w:val="en-GB"/>
              </w:rPr>
              <w:t>Records screened by Title and Abstract</w:t>
            </w:r>
            <w:r w:rsidRPr="29B4B1D6" w:rsidR="29B4B1D6">
              <w:rPr>
                <w:rFonts w:ascii="Arial" w:hAnsi="Arial" w:eastAsia="Arial" w:cs="Arial"/>
                <w:b w:val="0"/>
                <w:bCs w:val="0"/>
                <w:i w:val="0"/>
                <w:iCs w:val="0"/>
                <w:strike w:val="0"/>
                <w:dstrike w:val="0"/>
                <w:sz w:val="22"/>
                <w:szCs w:val="22"/>
                <w:u w:val="none"/>
                <w:lang w:val="en-GB"/>
              </w:rPr>
              <w:t>:</w:t>
            </w:r>
          </w:p>
          <w:p w:rsidR="29B4B1D6" w:rsidP="29B4B1D6" w:rsidRDefault="29B4B1D6" w14:paraId="06E172E1" w14:textId="17BABEF0">
            <w:pPr>
              <w:pStyle w:val="ListParagraph"/>
              <w:numPr>
                <w:ilvl w:val="0"/>
                <w:numId w:val="2"/>
              </w:num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trike w:val="0"/>
                <w:dstrike w:val="0"/>
                <w:sz w:val="22"/>
                <w:szCs w:val="22"/>
                <w:u w:val="none"/>
                <w:lang w:val="en-GB"/>
              </w:rPr>
              <w:t>n = 73</w:t>
            </w:r>
          </w:p>
          <w:p w:rsidR="29B4B1D6" w:rsidP="29B4B1D6" w:rsidRDefault="29B4B1D6" w14:paraId="020F24AC" w14:textId="5E38A4E0">
            <w:pPr>
              <w:spacing w:before="0" w:beforeAutospacing="off" w:after="0" w:afterAutospacing="off"/>
              <w:rPr>
                <w:rFonts w:ascii="Arial" w:hAnsi="Arial" w:eastAsia="Arial" w:cs="Arial"/>
                <w:b w:val="0"/>
                <w:bCs w:val="0"/>
                <w:i w:val="0"/>
                <w:iCs w:val="0"/>
                <w:sz w:val="22"/>
                <w:szCs w:val="22"/>
              </w:rPr>
            </w:pPr>
          </w:p>
          <w:p w:rsidR="29B4B1D6" w:rsidP="29B4B1D6" w:rsidRDefault="29B4B1D6" w14:paraId="3D762FFC" w14:textId="7613C461">
            <w:pPr>
              <w:spacing w:before="0" w:beforeAutospacing="off" w:after="0" w:afterAutospacing="off"/>
              <w:rPr>
                <w:rFonts w:ascii="Arial" w:hAnsi="Arial" w:eastAsia="Arial" w:cs="Arial"/>
                <w:b w:val="0"/>
                <w:bCs w:val="0"/>
                <w:i w:val="0"/>
                <w:iCs w:val="0"/>
                <w:sz w:val="22"/>
                <w:szCs w:val="22"/>
              </w:rPr>
            </w:pPr>
          </w:p>
        </w:tc>
        <w:tc>
          <w:tcPr>
            <w:tcW w:w="3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1B084EA9" w14:textId="6DBF2C7C">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xml:space="preserve">❌ Records excluded after title/abstract screening: </w:t>
            </w:r>
          </w:p>
          <w:p w:rsidR="29B4B1D6" w:rsidP="29B4B1D6" w:rsidRDefault="29B4B1D6" w14:paraId="22FF214A" w14:textId="13E7F03C">
            <w:pPr>
              <w:spacing w:before="0" w:beforeAutospacing="off" w:after="0" w:afterAutospacing="off"/>
              <w:jc w:val="center"/>
              <w:rPr>
                <w:rFonts w:ascii="Arial" w:hAnsi="Arial" w:eastAsia="Arial" w:cs="Arial"/>
                <w:b w:val="0"/>
                <w:bCs w:val="0"/>
                <w:i w:val="0"/>
                <w:iCs w:val="0"/>
                <w:sz w:val="22"/>
                <w:szCs w:val="22"/>
              </w:rPr>
            </w:pPr>
          </w:p>
          <w:p w:rsidR="29B4B1D6" w:rsidP="29B4B1D6" w:rsidRDefault="29B4B1D6" w14:paraId="22569F5B" w14:textId="1750E67E">
            <w:pPr>
              <w:spacing w:before="0" w:beforeAutospacing="off" w:after="0" w:afterAutospacing="off"/>
              <w:jc w:val="center"/>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n = 46</w:t>
            </w:r>
          </w:p>
          <w:p w:rsidR="29B4B1D6" w:rsidP="29B4B1D6" w:rsidRDefault="29B4B1D6" w14:paraId="6D7838F1" w14:textId="0A67F049">
            <w:pPr>
              <w:spacing w:before="0" w:beforeAutospacing="off" w:after="0" w:afterAutospacing="off"/>
              <w:jc w:val="center"/>
              <w:rPr>
                <w:rFonts w:ascii="Arial" w:hAnsi="Arial" w:eastAsia="Arial" w:cs="Arial"/>
                <w:b w:val="0"/>
                <w:bCs w:val="0"/>
                <w:i w:val="0"/>
                <w:iCs w:val="0"/>
                <w:sz w:val="22"/>
                <w:szCs w:val="22"/>
              </w:rPr>
            </w:pPr>
            <w:r w:rsidRPr="29B4B1D6" w:rsidR="29B4B1D6">
              <w:rPr>
                <w:rFonts w:ascii="Arial" w:hAnsi="Arial" w:eastAsia="Arial" w:cs="Arial"/>
                <w:b w:val="0"/>
                <w:bCs w:val="0"/>
                <w:i w:val="1"/>
                <w:iCs w:val="1"/>
                <w:sz w:val="22"/>
                <w:szCs w:val="22"/>
                <w:lang w:val="en-GB"/>
              </w:rPr>
              <w:t>Reasons for exclusion:</w:t>
            </w:r>
          </w:p>
          <w:p w:rsidR="29B4B1D6" w:rsidP="29B4B1D6" w:rsidRDefault="29B4B1D6" w14:paraId="3D4A2954" w14:textId="5E1126B3">
            <w:pPr>
              <w:spacing w:before="0" w:beforeAutospacing="off" w:after="0" w:afterAutospacing="off"/>
              <w:jc w:val="left"/>
              <w:rPr>
                <w:rFonts w:ascii="Arial" w:hAnsi="Arial" w:eastAsia="Arial" w:cs="Arial"/>
                <w:b w:val="0"/>
                <w:bCs w:val="0"/>
                <w:i w:val="0"/>
                <w:iCs w:val="0"/>
                <w:sz w:val="22"/>
                <w:szCs w:val="22"/>
              </w:rPr>
            </w:pPr>
          </w:p>
          <w:p w:rsidR="29B4B1D6" w:rsidP="29B4B1D6" w:rsidRDefault="29B4B1D6" w14:paraId="5F6C7A06" w14:textId="44B12E43">
            <w:pPr>
              <w:spacing w:before="0" w:beforeAutospacing="off" w:after="0" w:afterAutospacing="off"/>
              <w:jc w:val="left"/>
              <w:rPr>
                <w:rFonts w:ascii="Arial" w:hAnsi="Arial" w:eastAsia="Arial" w:cs="Arial"/>
                <w:b w:val="0"/>
                <w:bCs w:val="0"/>
                <w:i w:val="0"/>
                <w:iCs w:val="0"/>
                <w:sz w:val="22"/>
                <w:szCs w:val="22"/>
              </w:rPr>
            </w:pPr>
            <w:r w:rsidRPr="29B4B1D6" w:rsidR="29B4B1D6">
              <w:rPr>
                <w:rFonts w:ascii="Arial" w:hAnsi="Arial" w:eastAsia="Arial" w:cs="Arial"/>
                <w:b w:val="0"/>
                <w:bCs w:val="0"/>
                <w:i w:val="1"/>
                <w:iCs w:val="1"/>
                <w:sz w:val="22"/>
                <w:szCs w:val="22"/>
                <w:lang w:val="en-GB"/>
              </w:rPr>
              <w:t>•</w:t>
            </w:r>
            <w:r w:rsidRPr="29B4B1D6" w:rsidR="29B4B1D6">
              <w:rPr>
                <w:rFonts w:ascii="Arial" w:hAnsi="Arial" w:eastAsia="Arial" w:cs="Arial"/>
                <w:b w:val="0"/>
                <w:bCs w:val="0"/>
                <w:i w:val="0"/>
                <w:iCs w:val="0"/>
                <w:sz w:val="22"/>
                <w:szCs w:val="22"/>
                <w:lang w:val="en-GB"/>
              </w:rPr>
              <w:t xml:space="preserve"> Out of geographic scope (non-UK/NHS frameworks)</w:t>
            </w:r>
          </w:p>
          <w:p w:rsidR="29B4B1D6" w:rsidP="29B4B1D6" w:rsidRDefault="29B4B1D6" w14:paraId="585BF978" w14:textId="014AF359">
            <w:pPr>
              <w:spacing w:before="0" w:beforeAutospacing="off" w:after="0" w:afterAutospacing="off"/>
              <w:jc w:val="left"/>
              <w:rPr>
                <w:rFonts w:ascii="Arial" w:hAnsi="Arial" w:eastAsia="Arial" w:cs="Arial"/>
                <w:b w:val="0"/>
                <w:bCs w:val="0"/>
                <w:i w:val="0"/>
                <w:iCs w:val="0"/>
                <w:sz w:val="22"/>
                <w:szCs w:val="22"/>
              </w:rPr>
            </w:pPr>
          </w:p>
          <w:p w:rsidR="29B4B1D6" w:rsidP="29B4B1D6" w:rsidRDefault="29B4B1D6" w14:paraId="0F1FDC6D" w14:textId="593AF250">
            <w:pPr>
              <w:spacing w:before="0" w:beforeAutospacing="off" w:after="0" w:afterAutospacing="off"/>
              <w:jc w:val="left"/>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Published &gt;10 years ago</w:t>
            </w:r>
          </w:p>
          <w:p w:rsidR="29B4B1D6" w:rsidP="29B4B1D6" w:rsidRDefault="29B4B1D6" w14:paraId="07A766EE" w14:textId="66343716">
            <w:pPr>
              <w:spacing w:before="0" w:beforeAutospacing="off" w:after="0" w:afterAutospacing="off"/>
              <w:jc w:val="left"/>
              <w:rPr>
                <w:rFonts w:ascii="Arial" w:hAnsi="Arial" w:eastAsia="Arial" w:cs="Arial"/>
                <w:b w:val="0"/>
                <w:bCs w:val="0"/>
                <w:i w:val="0"/>
                <w:iCs w:val="0"/>
                <w:sz w:val="22"/>
                <w:szCs w:val="22"/>
              </w:rPr>
            </w:pPr>
          </w:p>
          <w:p w:rsidR="29B4B1D6" w:rsidP="29B4B1D6" w:rsidRDefault="29B4B1D6" w14:paraId="4E8A7516" w14:textId="67A7FE38">
            <w:pPr>
              <w:spacing w:before="0" w:beforeAutospacing="off" w:after="0" w:afterAutospacing="off"/>
              <w:jc w:val="left"/>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Methodological duplicate data</w:t>
            </w:r>
          </w:p>
          <w:p w:rsidR="29B4B1D6" w:rsidP="29B4B1D6" w:rsidRDefault="29B4B1D6" w14:paraId="63B8BFDE" w14:textId="2BA38119">
            <w:pPr>
              <w:spacing w:before="0" w:beforeAutospacing="off" w:after="0" w:afterAutospacing="off"/>
              <w:jc w:val="left"/>
              <w:rPr>
                <w:rFonts w:ascii="Arial" w:hAnsi="Arial" w:eastAsia="Arial" w:cs="Arial"/>
                <w:b w:val="0"/>
                <w:bCs w:val="0"/>
                <w:i w:val="0"/>
                <w:iCs w:val="0"/>
                <w:sz w:val="22"/>
                <w:szCs w:val="22"/>
              </w:rPr>
            </w:pPr>
          </w:p>
        </w:tc>
      </w:tr>
      <w:tr w:rsidR="29B4B1D6" w:rsidTr="29B4B1D6" w14:paraId="2F189B1E">
        <w:trPr>
          <w:trHeight w:val="285"/>
        </w:trPr>
        <w:tc>
          <w:tcPr>
            <w:tcW w:w="2250" w:type="dxa"/>
            <w:tcBorders>
              <w:top w:val="nil"/>
              <w:left w:val="nil"/>
              <w:bottom w:val="nil"/>
              <w:right w:val="nil"/>
            </w:tcBorders>
            <w:shd w:val="clear" w:color="auto" w:fill="E8E8E8" w:themeFill="background2"/>
            <w:tcMar>
              <w:left w:w="105" w:type="dxa"/>
              <w:right w:w="105" w:type="dxa"/>
            </w:tcMar>
            <w:vAlign w:val="top"/>
          </w:tcPr>
          <w:p w:rsidR="29B4B1D6" w:rsidP="29B4B1D6" w:rsidRDefault="29B4B1D6" w14:paraId="63FB0AB6" w14:textId="1C95E88D">
            <w:pPr>
              <w:spacing w:before="0" w:beforeAutospacing="off" w:after="0" w:afterAutospacing="off"/>
              <w:rPr>
                <w:rFonts w:ascii="Arial" w:hAnsi="Arial" w:eastAsia="Arial" w:cs="Arial"/>
                <w:b w:val="0"/>
                <w:bCs w:val="0"/>
                <w:i w:val="0"/>
                <w:iCs w:val="0"/>
                <w:sz w:val="22"/>
                <w:szCs w:val="22"/>
              </w:rPr>
            </w:pPr>
          </w:p>
        </w:tc>
        <w:tc>
          <w:tcPr>
            <w:tcW w:w="3750" w:type="dxa"/>
            <w:tcBorders>
              <w:top w:val="nil"/>
              <w:left w:val="nil"/>
              <w:bottom w:val="nil"/>
              <w:right w:val="nil"/>
            </w:tcBorders>
            <w:shd w:val="clear" w:color="auto" w:fill="FAE2D5" w:themeFill="accent2" w:themeFillTint="33"/>
            <w:tcMar>
              <w:left w:w="105" w:type="dxa"/>
              <w:right w:w="105" w:type="dxa"/>
            </w:tcMar>
            <w:vAlign w:val="top"/>
          </w:tcPr>
          <w:p w:rsidR="29B4B1D6" w:rsidP="29B4B1D6" w:rsidRDefault="29B4B1D6" w14:paraId="2F258A47" w14:textId="69A1C6D4">
            <w:pPr>
              <w:spacing w:before="0" w:beforeAutospacing="off" w:after="0" w:afterAutospacing="off"/>
              <w:jc w:val="center"/>
              <w:rPr>
                <w:rFonts w:ascii="Arial" w:hAnsi="Arial" w:eastAsia="Arial" w:cs="Arial"/>
                <w:b w:val="0"/>
                <w:bCs w:val="0"/>
                <w:i w:val="0"/>
                <w:iCs w:val="0"/>
                <w:sz w:val="22"/>
                <w:szCs w:val="22"/>
              </w:rPr>
            </w:pPr>
          </w:p>
          <w:p w:rsidR="29B4B1D6" w:rsidP="29B4B1D6" w:rsidRDefault="29B4B1D6" w14:paraId="247391EB" w14:textId="19931BB8">
            <w:pPr>
              <w:spacing w:before="0" w:beforeAutospacing="off" w:after="0" w:afterAutospacing="off"/>
              <w:jc w:val="center"/>
              <w:rPr>
                <w:rFonts w:ascii="Arial" w:hAnsi="Arial" w:eastAsia="Arial" w:cs="Arial"/>
                <w:b w:val="0"/>
                <w:bCs w:val="0"/>
                <w:i w:val="0"/>
                <w:iCs w:val="0"/>
                <w:sz w:val="22"/>
                <w:szCs w:val="22"/>
              </w:rPr>
            </w:pPr>
          </w:p>
          <w:p w:rsidR="29B4B1D6" w:rsidP="29B4B1D6" w:rsidRDefault="29B4B1D6" w14:paraId="0DE76CB1" w14:textId="2FCF4577">
            <w:pPr>
              <w:spacing w:before="0" w:beforeAutospacing="off" w:after="0" w:afterAutospacing="off"/>
              <w:jc w:val="center"/>
              <w:rPr>
                <w:rFonts w:ascii="Arial" w:hAnsi="Arial" w:eastAsia="Arial" w:cs="Arial"/>
                <w:b w:val="0"/>
                <w:bCs w:val="0"/>
                <w:i w:val="0"/>
                <w:iCs w:val="0"/>
                <w:sz w:val="22"/>
                <w:szCs w:val="22"/>
              </w:rPr>
            </w:pPr>
          </w:p>
          <w:p w:rsidR="29B4B1D6" w:rsidP="29B4B1D6" w:rsidRDefault="29B4B1D6" w14:paraId="6B641DF1" w14:textId="7BD6CF1B">
            <w:pPr>
              <w:spacing w:before="0" w:beforeAutospacing="off" w:after="0" w:afterAutospacing="off"/>
              <w:jc w:val="center"/>
              <w:rPr>
                <w:rFonts w:ascii="Arial" w:hAnsi="Arial" w:eastAsia="Arial" w:cs="Arial"/>
                <w:b w:val="0"/>
                <w:bCs w:val="0"/>
                <w:i w:val="0"/>
                <w:iCs w:val="0"/>
                <w:sz w:val="22"/>
                <w:szCs w:val="22"/>
              </w:rPr>
            </w:pPr>
          </w:p>
          <w:p w:rsidR="29B4B1D6" w:rsidP="29B4B1D6" w:rsidRDefault="29B4B1D6" w14:paraId="63065282" w14:textId="5ACE45E2">
            <w:pPr>
              <w:spacing w:before="0" w:beforeAutospacing="off" w:after="0" w:afterAutospacing="off"/>
              <w:jc w:val="center"/>
              <w:rPr>
                <w:rFonts w:ascii="Arial" w:hAnsi="Arial" w:eastAsia="Arial" w:cs="Arial"/>
                <w:b w:val="0"/>
                <w:bCs w:val="0"/>
                <w:i w:val="0"/>
                <w:iCs w:val="0"/>
                <w:sz w:val="32"/>
                <w:szCs w:val="32"/>
              </w:rPr>
            </w:pPr>
            <w:r w:rsidRPr="29B4B1D6" w:rsidR="29B4B1D6">
              <w:rPr>
                <w:rFonts w:ascii="Arial" w:hAnsi="Arial" w:eastAsia="Arial" w:cs="Arial"/>
                <w:b w:val="0"/>
                <w:bCs w:val="0"/>
                <w:i w:val="0"/>
                <w:iCs w:val="0"/>
                <w:sz w:val="32"/>
                <w:szCs w:val="32"/>
                <w:lang w:val="en-GB"/>
              </w:rPr>
              <w:t>↓ (Proceeding to eligibility phase)</w:t>
            </w:r>
          </w:p>
        </w:tc>
        <w:tc>
          <w:tcPr>
            <w:tcW w:w="3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5D787095" w14:textId="617ECFD0">
            <w:pPr>
              <w:spacing w:before="0" w:beforeAutospacing="off" w:after="0" w:afterAutospacing="off"/>
              <w:rPr>
                <w:rFonts w:ascii="Arial" w:hAnsi="Arial" w:eastAsia="Arial" w:cs="Arial"/>
                <w:b w:val="0"/>
                <w:bCs w:val="0"/>
                <w:i w:val="0"/>
                <w:iCs w:val="0"/>
                <w:sz w:val="22"/>
                <w:szCs w:val="22"/>
              </w:rPr>
            </w:pPr>
          </w:p>
        </w:tc>
      </w:tr>
      <w:tr w:rsidR="29B4B1D6" w:rsidTr="29B4B1D6" w14:paraId="02A51C78">
        <w:trPr>
          <w:trHeight w:val="285"/>
        </w:trPr>
        <w:tc>
          <w:tcPr>
            <w:tcW w:w="2250" w:type="dxa"/>
            <w:tcBorders>
              <w:top w:val="nil"/>
              <w:left w:val="nil"/>
              <w:bottom w:val="nil"/>
              <w:right w:val="nil"/>
            </w:tcBorders>
            <w:shd w:val="clear" w:color="auto" w:fill="DAE9F7" w:themeFill="text2" w:themeFillTint="1A"/>
            <w:tcMar>
              <w:left w:w="105" w:type="dxa"/>
              <w:right w:w="105" w:type="dxa"/>
            </w:tcMar>
            <w:vAlign w:val="top"/>
          </w:tcPr>
          <w:p w:rsidR="29B4B1D6" w:rsidP="29B4B1D6" w:rsidRDefault="29B4B1D6" w14:paraId="26308C62" w14:textId="1D1D57CD">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 xml:space="preserve">                                  Phase                                                                                                  </w:t>
            </w:r>
          </w:p>
        </w:tc>
        <w:tc>
          <w:tcPr>
            <w:tcW w:w="3750" w:type="dxa"/>
            <w:tcBorders>
              <w:top w:val="nil"/>
              <w:left w:val="nil"/>
              <w:bottom w:val="nil"/>
              <w:right w:val="nil"/>
            </w:tcBorders>
            <w:shd w:val="clear" w:color="auto" w:fill="DAE9F7" w:themeFill="text2" w:themeFillTint="1A"/>
            <w:tcMar>
              <w:left w:w="105" w:type="dxa"/>
              <w:right w:w="105" w:type="dxa"/>
            </w:tcMar>
            <w:vAlign w:val="top"/>
          </w:tcPr>
          <w:p w:rsidR="29B4B1D6" w:rsidP="29B4B1D6" w:rsidRDefault="29B4B1D6" w14:paraId="66DB3167" w14:textId="5DB1E7CA">
            <w:pPr>
              <w:spacing w:before="0" w:beforeAutospacing="off" w:after="0" w:afterAutospacing="off" w:line="240" w:lineRule="auto"/>
              <w:ind w:left="0" w:right="0"/>
              <w:jc w:val="center"/>
              <w:rPr>
                <w:rFonts w:ascii="Arial" w:hAnsi="Arial" w:eastAsia="Arial" w:cs="Arial"/>
                <w:b w:val="0"/>
                <w:bCs w:val="0"/>
                <w:i w:val="0"/>
                <w:iCs w:val="0"/>
                <w:sz w:val="22"/>
                <w:szCs w:val="22"/>
              </w:rPr>
            </w:pPr>
          </w:p>
          <w:p w:rsidR="29B4B1D6" w:rsidP="29B4B1D6" w:rsidRDefault="29B4B1D6" w14:paraId="619DC4CF" w14:textId="32EC03AF">
            <w:pPr>
              <w:spacing w:before="0" w:beforeAutospacing="off" w:after="0" w:afterAutospacing="off" w:line="240" w:lineRule="auto"/>
              <w:ind w:left="0" w:right="0"/>
              <w:jc w:val="center"/>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Flow of Information and Study Counts (</w:t>
            </w:r>
            <w:r w:rsidRPr="29B4B1D6" w:rsidR="29B4B1D6">
              <w:rPr>
                <w:rFonts w:ascii="Arial" w:hAnsi="Arial" w:eastAsia="Arial" w:cs="Arial"/>
                <w:b w:val="1"/>
                <w:bCs w:val="1"/>
                <w:i w:val="0"/>
                <w:iCs w:val="0"/>
                <w:sz w:val="40"/>
                <w:szCs w:val="40"/>
                <w:lang w:val="en-GB"/>
              </w:rPr>
              <w:t xml:space="preserve"> </w:t>
            </w:r>
            <w:r w:rsidRPr="29B4B1D6" w:rsidR="29B4B1D6">
              <w:rPr>
                <w:rFonts w:ascii="Arial" w:hAnsi="Arial" w:eastAsia="Arial" w:cs="Arial"/>
                <w:b w:val="1"/>
                <w:bCs w:val="1"/>
                <w:i w:val="0"/>
                <w:iCs w:val="0"/>
                <w:sz w:val="22"/>
                <w:szCs w:val="22"/>
                <w:lang w:val="en-GB"/>
              </w:rPr>
              <w:t>n )</w:t>
            </w:r>
          </w:p>
          <w:p w:rsidR="29B4B1D6" w:rsidP="29B4B1D6" w:rsidRDefault="29B4B1D6" w14:paraId="5DF213BD" w14:textId="631F2FA4">
            <w:pPr>
              <w:spacing w:before="0" w:beforeAutospacing="off" w:after="0" w:afterAutospacing="off"/>
              <w:rPr>
                <w:rFonts w:ascii="Arial" w:hAnsi="Arial" w:eastAsia="Arial" w:cs="Arial"/>
                <w:b w:val="0"/>
                <w:bCs w:val="0"/>
                <w:i w:val="0"/>
                <w:iCs w:val="0"/>
                <w:sz w:val="22"/>
                <w:szCs w:val="22"/>
              </w:rPr>
            </w:pPr>
          </w:p>
        </w:tc>
        <w:tc>
          <w:tcPr>
            <w:tcW w:w="3000" w:type="dxa"/>
            <w:tcBorders>
              <w:top w:val="nil"/>
              <w:left w:val="nil"/>
              <w:bottom w:val="nil"/>
              <w:right w:val="nil"/>
            </w:tcBorders>
            <w:shd w:val="clear" w:color="auto" w:fill="DAE9F7" w:themeFill="text2" w:themeFillTint="1A"/>
            <w:tcMar>
              <w:left w:w="105" w:type="dxa"/>
              <w:right w:w="105" w:type="dxa"/>
            </w:tcMar>
            <w:vAlign w:val="top"/>
          </w:tcPr>
          <w:p w:rsidR="29B4B1D6" w:rsidP="29B4B1D6" w:rsidRDefault="29B4B1D6" w14:paraId="2AB4D919" w14:textId="4EE3AF78">
            <w:pPr>
              <w:spacing w:before="0" w:beforeAutospacing="off" w:after="0" w:afterAutospacing="off"/>
              <w:rPr>
                <w:rFonts w:ascii="Arial" w:hAnsi="Arial" w:eastAsia="Arial" w:cs="Arial"/>
                <w:b w:val="0"/>
                <w:bCs w:val="0"/>
                <w:i w:val="0"/>
                <w:iCs w:val="0"/>
                <w:sz w:val="22"/>
                <w:szCs w:val="22"/>
              </w:rPr>
            </w:pPr>
          </w:p>
          <w:p w:rsidR="29B4B1D6" w:rsidP="29B4B1D6" w:rsidRDefault="29B4B1D6" w14:paraId="39F3FF47" w14:textId="54A5273C">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Excluded Records</w:t>
            </w:r>
          </w:p>
        </w:tc>
      </w:tr>
      <w:tr w:rsidR="29B4B1D6" w:rsidTr="29B4B1D6" w14:paraId="3D2A3014">
        <w:trPr>
          <w:trHeight w:val="285"/>
        </w:trPr>
        <w:tc>
          <w:tcPr>
            <w:tcW w:w="2250" w:type="dxa"/>
            <w:tcBorders>
              <w:top w:val="nil"/>
              <w:left w:val="nil"/>
              <w:bottom w:val="nil"/>
              <w:right w:val="nil"/>
            </w:tcBorders>
            <w:shd w:val="clear" w:color="auto" w:fill="E8E8E8" w:themeFill="background2"/>
            <w:tcMar>
              <w:left w:w="105" w:type="dxa"/>
              <w:right w:w="105" w:type="dxa"/>
            </w:tcMar>
            <w:vAlign w:val="top"/>
          </w:tcPr>
          <w:p w:rsidR="29B4B1D6" w:rsidP="29B4B1D6" w:rsidRDefault="29B4B1D6" w14:paraId="75CEC230" w14:textId="2F66A585">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3. ELIGIBILITY</w:t>
            </w:r>
          </w:p>
        </w:tc>
        <w:tc>
          <w:tcPr>
            <w:tcW w:w="3750" w:type="dxa"/>
            <w:tcBorders>
              <w:top w:val="nil"/>
              <w:left w:val="nil"/>
              <w:bottom w:val="nil"/>
              <w:right w:val="nil"/>
            </w:tcBorders>
            <w:shd w:val="clear" w:color="auto" w:fill="FAE2D5" w:themeFill="accent2" w:themeFillTint="33"/>
            <w:tcMar>
              <w:left w:w="105" w:type="dxa"/>
              <w:right w:w="105" w:type="dxa"/>
            </w:tcMar>
            <w:vAlign w:val="top"/>
          </w:tcPr>
          <w:p w:rsidR="29B4B1D6" w:rsidP="29B4B1D6" w:rsidRDefault="29B4B1D6" w14:paraId="69DDDDE2" w14:textId="018B4099">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Full-text articles assessed for detailed eligibility:</w:t>
            </w:r>
          </w:p>
          <w:p w:rsidR="29B4B1D6" w:rsidP="29B4B1D6" w:rsidRDefault="29B4B1D6" w14:paraId="3B28B012" w14:textId="5906B7D7">
            <w:pPr>
              <w:pStyle w:val="ListParagraph"/>
              <w:numPr>
                <w:ilvl w:val="0"/>
                <w:numId w:val="3"/>
              </w:num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n = 27</w:t>
            </w:r>
          </w:p>
          <w:p w:rsidR="29B4B1D6" w:rsidP="29B4B1D6" w:rsidRDefault="29B4B1D6" w14:paraId="56E6FBF9" w14:textId="1A29E22F">
            <w:pPr>
              <w:spacing w:before="0" w:beforeAutospacing="off" w:after="0" w:afterAutospacing="off"/>
              <w:rPr>
                <w:rFonts w:ascii="Arial" w:hAnsi="Arial" w:eastAsia="Arial" w:cs="Arial"/>
                <w:b w:val="0"/>
                <w:bCs w:val="0"/>
                <w:i w:val="0"/>
                <w:iCs w:val="0"/>
                <w:sz w:val="22"/>
                <w:szCs w:val="22"/>
              </w:rPr>
            </w:pPr>
          </w:p>
        </w:tc>
        <w:tc>
          <w:tcPr>
            <w:tcW w:w="3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3F0E40AD" w14:textId="55E4C123">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Full-text articles excluded with specific reasons: n = 9</w:t>
            </w:r>
          </w:p>
          <w:p w:rsidR="29B4B1D6" w:rsidP="29B4B1D6" w:rsidRDefault="29B4B1D6" w14:paraId="4661867E" w14:textId="3A852CCF">
            <w:pPr>
              <w:spacing w:before="0" w:beforeAutospacing="off" w:after="0" w:afterAutospacing="off"/>
              <w:rPr>
                <w:rFonts w:ascii="Arial" w:hAnsi="Arial" w:eastAsia="Arial" w:cs="Arial"/>
                <w:b w:val="0"/>
                <w:bCs w:val="0"/>
                <w:i w:val="0"/>
                <w:iCs w:val="0"/>
                <w:sz w:val="22"/>
                <w:szCs w:val="22"/>
              </w:rPr>
            </w:pPr>
          </w:p>
          <w:p w:rsidR="29B4B1D6" w:rsidP="29B4B1D6" w:rsidRDefault="29B4B1D6" w14:paraId="0E46BF6F" w14:textId="033346C1">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1"/>
                <w:iCs w:val="1"/>
                <w:sz w:val="22"/>
                <w:szCs w:val="22"/>
                <w:lang w:val="en-GB"/>
              </w:rPr>
              <w:t>Reasons for exclusion:</w:t>
            </w:r>
          </w:p>
          <w:p w:rsidR="29B4B1D6" w:rsidP="29B4B1D6" w:rsidRDefault="29B4B1D6" w14:paraId="0E8D15E4" w14:textId="7B08762A">
            <w:pPr>
              <w:spacing w:before="0" w:beforeAutospacing="off" w:after="0" w:afterAutospacing="off"/>
              <w:rPr>
                <w:rFonts w:ascii="Arial" w:hAnsi="Arial" w:eastAsia="Arial" w:cs="Arial"/>
                <w:b w:val="0"/>
                <w:bCs w:val="0"/>
                <w:i w:val="0"/>
                <w:iCs w:val="0"/>
                <w:sz w:val="22"/>
                <w:szCs w:val="22"/>
              </w:rPr>
            </w:pPr>
          </w:p>
          <w:p w:rsidR="29B4B1D6" w:rsidP="29B4B1D6" w:rsidRDefault="29B4B1D6" w14:paraId="17AC8C12" w14:textId="4C5FE678">
            <w:pPr>
              <w:spacing w:before="0" w:beforeAutospacing="off" w:after="0" w:afterAutospacing="off"/>
              <w:jc w:val="center"/>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n = 7</w:t>
            </w:r>
          </w:p>
          <w:p w:rsidR="29B4B1D6" w:rsidP="29B4B1D6" w:rsidRDefault="29B4B1D6" w14:paraId="76593191" w14:textId="5B9CF618">
            <w:pPr>
              <w:spacing w:before="0" w:beforeAutospacing="off" w:after="0" w:afterAutospacing="off"/>
              <w:jc w:val="center"/>
              <w:rPr>
                <w:rFonts w:ascii="Arial" w:hAnsi="Arial" w:eastAsia="Arial" w:cs="Arial"/>
                <w:b w:val="0"/>
                <w:bCs w:val="0"/>
                <w:i w:val="0"/>
                <w:iCs w:val="0"/>
                <w:sz w:val="22"/>
                <w:szCs w:val="22"/>
              </w:rPr>
            </w:pPr>
          </w:p>
          <w:p w:rsidR="29B4B1D6" w:rsidP="29B4B1D6" w:rsidRDefault="29B4B1D6" w14:paraId="2F0355E0" w14:textId="02851345">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Focused strictly on molecular DNA biochemistry without public health digital transformation impact.</w:t>
            </w:r>
          </w:p>
          <w:p w:rsidR="29B4B1D6" w:rsidP="29B4B1D6" w:rsidRDefault="29B4B1D6" w14:paraId="448DF17B" w14:textId="10B5AE54">
            <w:pPr>
              <w:spacing w:before="0" w:beforeAutospacing="off" w:after="0" w:afterAutospacing="off"/>
              <w:rPr>
                <w:rFonts w:ascii="Arial" w:hAnsi="Arial" w:eastAsia="Arial" w:cs="Arial"/>
                <w:b w:val="0"/>
                <w:bCs w:val="0"/>
                <w:i w:val="0"/>
                <w:iCs w:val="0"/>
                <w:sz w:val="22"/>
                <w:szCs w:val="22"/>
              </w:rPr>
            </w:pPr>
          </w:p>
          <w:p w:rsidR="29B4B1D6" w:rsidP="29B4B1D6" w:rsidRDefault="29B4B1D6" w14:paraId="0F5AF265" w14:textId="2FD7D054">
            <w:pPr>
              <w:spacing w:before="0" w:beforeAutospacing="off" w:after="0" w:afterAutospacing="off"/>
              <w:jc w:val="center"/>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n = 2</w:t>
            </w:r>
          </w:p>
          <w:p w:rsidR="29B4B1D6" w:rsidP="29B4B1D6" w:rsidRDefault="29B4B1D6" w14:paraId="40958023" w14:textId="77182FF2">
            <w:pPr>
              <w:spacing w:before="0" w:beforeAutospacing="off" w:after="0" w:afterAutospacing="off"/>
              <w:jc w:val="center"/>
              <w:rPr>
                <w:rFonts w:ascii="Arial" w:hAnsi="Arial" w:eastAsia="Arial" w:cs="Arial"/>
                <w:b w:val="0"/>
                <w:bCs w:val="0"/>
                <w:i w:val="0"/>
                <w:iCs w:val="0"/>
                <w:sz w:val="22"/>
                <w:szCs w:val="22"/>
              </w:rPr>
            </w:pPr>
          </w:p>
          <w:p w:rsidR="29B4B1D6" w:rsidP="29B4B1D6" w:rsidRDefault="29B4B1D6" w14:paraId="483D9115" w14:textId="5C9C6B49">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Brief editorial commentaries lacking empirical academic depth.</w:t>
            </w:r>
          </w:p>
          <w:p w:rsidR="29B4B1D6" w:rsidP="29B4B1D6" w:rsidRDefault="29B4B1D6" w14:paraId="23A42C88" w14:textId="6E404D61">
            <w:pPr>
              <w:spacing w:before="0" w:beforeAutospacing="off" w:after="0" w:afterAutospacing="off"/>
              <w:rPr>
                <w:rFonts w:ascii="Arial" w:hAnsi="Arial" w:eastAsia="Arial" w:cs="Arial"/>
                <w:b w:val="0"/>
                <w:bCs w:val="0"/>
                <w:i w:val="0"/>
                <w:iCs w:val="0"/>
                <w:sz w:val="22"/>
                <w:szCs w:val="22"/>
              </w:rPr>
            </w:pPr>
          </w:p>
          <w:p w:rsidR="29B4B1D6" w:rsidP="29B4B1D6" w:rsidRDefault="29B4B1D6" w14:paraId="473F5EAF" w14:textId="4553FD16">
            <w:pPr>
              <w:spacing w:before="0" w:beforeAutospacing="off" w:after="0" w:afterAutospacing="off"/>
              <w:rPr>
                <w:rFonts w:ascii="Arial" w:hAnsi="Arial" w:eastAsia="Arial" w:cs="Arial"/>
                <w:b w:val="0"/>
                <w:bCs w:val="0"/>
                <w:i w:val="0"/>
                <w:iCs w:val="0"/>
                <w:sz w:val="22"/>
                <w:szCs w:val="22"/>
              </w:rPr>
            </w:pPr>
          </w:p>
          <w:p w:rsidR="29B4B1D6" w:rsidP="29B4B1D6" w:rsidRDefault="29B4B1D6" w14:paraId="210BC9B1" w14:textId="228DF00D">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xml:space="preserve">➡️ Records moved to Appendix A </w:t>
            </w:r>
          </w:p>
          <w:p w:rsidR="29B4B1D6" w:rsidP="29B4B1D6" w:rsidRDefault="29B4B1D6" w14:paraId="7E7F6CE0" w14:textId="21DD176F">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(Excluded Matrix): n = 4</w:t>
            </w:r>
          </w:p>
          <w:p w:rsidR="29B4B1D6" w:rsidP="29B4B1D6" w:rsidRDefault="29B4B1D6" w14:paraId="6D7166CC" w14:textId="6B968BDA">
            <w:pPr>
              <w:spacing w:before="0" w:beforeAutospacing="off" w:after="0" w:afterAutospacing="off"/>
              <w:rPr>
                <w:rFonts w:ascii="Arial" w:hAnsi="Arial" w:eastAsia="Arial" w:cs="Arial"/>
                <w:b w:val="0"/>
                <w:bCs w:val="0"/>
                <w:i w:val="0"/>
                <w:iCs w:val="0"/>
                <w:sz w:val="22"/>
                <w:szCs w:val="22"/>
              </w:rPr>
            </w:pPr>
          </w:p>
        </w:tc>
      </w:tr>
      <w:tr w:rsidR="29B4B1D6" w:rsidTr="29B4B1D6" w14:paraId="4C2649CD">
        <w:trPr>
          <w:trHeight w:val="285"/>
        </w:trPr>
        <w:tc>
          <w:tcPr>
            <w:tcW w:w="2250" w:type="dxa"/>
            <w:tcBorders>
              <w:top w:val="nil"/>
              <w:left w:val="nil"/>
              <w:bottom w:val="nil"/>
              <w:right w:val="nil"/>
            </w:tcBorders>
            <w:shd w:val="clear" w:color="auto" w:fill="E8E8E8" w:themeFill="background2"/>
            <w:tcMar>
              <w:left w:w="105" w:type="dxa"/>
              <w:right w:w="105" w:type="dxa"/>
            </w:tcMar>
            <w:vAlign w:val="top"/>
          </w:tcPr>
          <w:p w:rsidR="29B4B1D6" w:rsidP="29B4B1D6" w:rsidRDefault="29B4B1D6" w14:paraId="5382E4D1" w14:textId="461FF55C">
            <w:pPr>
              <w:spacing w:before="0" w:beforeAutospacing="off" w:after="0" w:afterAutospacing="off"/>
              <w:rPr>
                <w:rFonts w:ascii="Arial" w:hAnsi="Arial" w:eastAsia="Arial" w:cs="Arial"/>
                <w:b w:val="0"/>
                <w:bCs w:val="0"/>
                <w:i w:val="0"/>
                <w:iCs w:val="0"/>
                <w:sz w:val="22"/>
                <w:szCs w:val="22"/>
              </w:rPr>
            </w:pPr>
          </w:p>
        </w:tc>
        <w:tc>
          <w:tcPr>
            <w:tcW w:w="3750" w:type="dxa"/>
            <w:tcBorders>
              <w:top w:val="nil"/>
              <w:left w:val="nil"/>
              <w:bottom w:val="nil"/>
              <w:right w:val="nil"/>
            </w:tcBorders>
            <w:shd w:val="clear" w:color="auto" w:fill="FAE2D5" w:themeFill="accent2" w:themeFillTint="33"/>
            <w:tcMar>
              <w:left w:w="105" w:type="dxa"/>
              <w:right w:w="105" w:type="dxa"/>
            </w:tcMar>
            <w:vAlign w:val="top"/>
          </w:tcPr>
          <w:p w:rsidR="29B4B1D6" w:rsidP="29B4B1D6" w:rsidRDefault="29B4B1D6" w14:paraId="0DED396B" w14:textId="3D491E02">
            <w:pPr>
              <w:spacing w:before="0" w:beforeAutospacing="off" w:after="0" w:afterAutospacing="off"/>
              <w:rPr>
                <w:rFonts w:ascii="Arial" w:hAnsi="Arial" w:eastAsia="Arial" w:cs="Arial"/>
                <w:b w:val="0"/>
                <w:bCs w:val="0"/>
                <w:i w:val="0"/>
                <w:iCs w:val="0"/>
                <w:sz w:val="32"/>
                <w:szCs w:val="32"/>
              </w:rPr>
            </w:pPr>
            <w:r w:rsidRPr="29B4B1D6" w:rsidR="29B4B1D6">
              <w:rPr>
                <w:rFonts w:ascii="Arial" w:hAnsi="Arial" w:eastAsia="Arial" w:cs="Arial"/>
                <w:b w:val="0"/>
                <w:bCs w:val="0"/>
                <w:i w:val="0"/>
                <w:iCs w:val="0"/>
                <w:sz w:val="32"/>
                <w:szCs w:val="32"/>
                <w:lang w:val="en-GB"/>
              </w:rPr>
              <w:t>↓ (Final inclusion stage)</w:t>
            </w:r>
          </w:p>
        </w:tc>
        <w:tc>
          <w:tcPr>
            <w:tcW w:w="3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34AE691A" w14:textId="0BCDC146">
            <w:pPr>
              <w:spacing w:before="0" w:beforeAutospacing="off" w:after="0" w:afterAutospacing="off"/>
              <w:rPr>
                <w:rFonts w:ascii="Arial" w:hAnsi="Arial" w:eastAsia="Arial" w:cs="Arial"/>
                <w:b w:val="0"/>
                <w:bCs w:val="0"/>
                <w:i w:val="0"/>
                <w:iCs w:val="0"/>
                <w:sz w:val="22"/>
                <w:szCs w:val="22"/>
              </w:rPr>
            </w:pPr>
          </w:p>
        </w:tc>
      </w:tr>
      <w:tr w:rsidR="29B4B1D6" w:rsidTr="29B4B1D6" w14:paraId="65CD2192">
        <w:trPr>
          <w:trHeight w:val="285"/>
        </w:trPr>
        <w:tc>
          <w:tcPr>
            <w:tcW w:w="2250" w:type="dxa"/>
            <w:tcBorders>
              <w:top w:val="nil"/>
              <w:left w:val="nil"/>
              <w:bottom w:val="nil"/>
              <w:right w:val="nil"/>
            </w:tcBorders>
            <w:shd w:val="clear" w:color="auto" w:fill="E8E8E8" w:themeFill="background2"/>
            <w:tcMar>
              <w:left w:w="105" w:type="dxa"/>
              <w:right w:w="105" w:type="dxa"/>
            </w:tcMar>
            <w:vAlign w:val="top"/>
          </w:tcPr>
          <w:p w:rsidR="29B4B1D6" w:rsidP="29B4B1D6" w:rsidRDefault="29B4B1D6" w14:paraId="2229D569" w14:textId="41259069">
            <w:pPr>
              <w:spacing w:before="0" w:beforeAutospacing="off" w:after="0" w:afterAutospacing="off"/>
              <w:rPr>
                <w:rFonts w:ascii="Arial" w:hAnsi="Arial" w:eastAsia="Arial" w:cs="Arial"/>
                <w:b w:val="0"/>
                <w:bCs w:val="0"/>
                <w:i w:val="0"/>
                <w:iCs w:val="0"/>
                <w:sz w:val="22"/>
                <w:szCs w:val="22"/>
              </w:rPr>
            </w:pPr>
          </w:p>
          <w:p w:rsidR="29B4B1D6" w:rsidP="29B4B1D6" w:rsidRDefault="29B4B1D6" w14:paraId="2E592651" w14:textId="25649CFA">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4.INCLUDED</w:t>
            </w:r>
          </w:p>
        </w:tc>
        <w:tc>
          <w:tcPr>
            <w:tcW w:w="3750" w:type="dxa"/>
            <w:tcBorders>
              <w:top w:val="nil"/>
              <w:left w:val="nil"/>
              <w:bottom w:val="nil"/>
              <w:right w:val="nil"/>
            </w:tcBorders>
            <w:shd w:val="clear" w:color="auto" w:fill="FAE2D5" w:themeFill="accent2" w:themeFillTint="33"/>
            <w:tcMar>
              <w:left w:w="105" w:type="dxa"/>
              <w:right w:w="105" w:type="dxa"/>
            </w:tcMar>
            <w:vAlign w:val="top"/>
          </w:tcPr>
          <w:p w:rsidR="29B4B1D6" w:rsidP="29B4B1D6" w:rsidRDefault="29B4B1D6" w14:paraId="18D8F434" w14:textId="436EF2D6">
            <w:pPr>
              <w:spacing w:before="0" w:beforeAutospacing="off" w:after="0" w:afterAutospacing="off"/>
              <w:rPr>
                <w:rFonts w:ascii="Arial" w:hAnsi="Arial" w:eastAsia="Arial" w:cs="Arial"/>
                <w:b w:val="0"/>
                <w:bCs w:val="0"/>
                <w:i w:val="0"/>
                <w:iCs w:val="0"/>
                <w:sz w:val="22"/>
                <w:szCs w:val="22"/>
              </w:rPr>
            </w:pPr>
          </w:p>
          <w:p w:rsidR="29B4B1D6" w:rsidP="29B4B1D6" w:rsidRDefault="29B4B1D6" w14:paraId="292C81AD" w14:textId="470CA024">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0"/>
                <w:bCs w:val="0"/>
                <w:i w:val="0"/>
                <w:iCs w:val="0"/>
                <w:strike w:val="0"/>
                <w:dstrike w:val="0"/>
                <w:sz w:val="22"/>
                <w:szCs w:val="22"/>
                <w:u w:val="single"/>
                <w:lang w:val="en-GB"/>
              </w:rPr>
              <w:t>Studies included in the final qualitative synthesis:</w:t>
            </w:r>
          </w:p>
          <w:p w:rsidR="29B4B1D6" w:rsidP="29B4B1D6" w:rsidRDefault="29B4B1D6" w14:paraId="10A50E71" w14:textId="529969BC">
            <w:pPr>
              <w:spacing w:before="0" w:beforeAutospacing="off" w:after="0" w:afterAutospacing="off"/>
              <w:rPr>
                <w:rFonts w:ascii="Arial" w:hAnsi="Arial" w:eastAsia="Arial" w:cs="Arial"/>
                <w:b w:val="0"/>
                <w:bCs w:val="0"/>
                <w:i w:val="0"/>
                <w:iCs w:val="0"/>
                <w:sz w:val="22"/>
                <w:szCs w:val="22"/>
              </w:rPr>
            </w:pPr>
          </w:p>
          <w:p w:rsidR="29B4B1D6" w:rsidP="29B4B1D6" w:rsidRDefault="29B4B1D6" w14:paraId="11DDA172" w14:textId="1DEABF7A">
            <w:pPr>
              <w:spacing w:before="0" w:beforeAutospacing="off" w:after="0" w:afterAutospacing="off"/>
              <w:jc w:val="center"/>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 n = 17</w:t>
            </w:r>
          </w:p>
          <w:p w:rsidR="29B4B1D6" w:rsidP="29B4B1D6" w:rsidRDefault="29B4B1D6" w14:paraId="6D729678" w14:textId="727B7816">
            <w:pPr>
              <w:spacing w:before="0" w:beforeAutospacing="off" w:after="0" w:afterAutospacing="off"/>
              <w:rPr>
                <w:rFonts w:ascii="Arial" w:hAnsi="Arial" w:eastAsia="Arial" w:cs="Arial"/>
                <w:b w:val="0"/>
                <w:bCs w:val="0"/>
                <w:i w:val="0"/>
                <w:iCs w:val="0"/>
                <w:sz w:val="22"/>
                <w:szCs w:val="22"/>
              </w:rPr>
            </w:pPr>
          </w:p>
          <w:p w:rsidR="29B4B1D6" w:rsidP="29B4B1D6" w:rsidRDefault="29B4B1D6" w14:paraId="4C09D586" w14:textId="3E1A765F">
            <w:pPr>
              <w:spacing w:before="0" w:beforeAutospacing="off" w:after="0" w:afterAutospacing="off"/>
              <w:rPr>
                <w:rFonts w:ascii="Arial" w:hAnsi="Arial" w:eastAsia="Arial" w:cs="Arial"/>
                <w:b w:val="0"/>
                <w:bCs w:val="0"/>
                <w:i w:val="0"/>
                <w:iCs w:val="0"/>
                <w:sz w:val="22"/>
                <w:szCs w:val="22"/>
              </w:rPr>
            </w:pPr>
          </w:p>
          <w:p w:rsidR="29B4B1D6" w:rsidP="29B4B1D6" w:rsidRDefault="29B4B1D6" w14:paraId="453F35A5" w14:textId="2E7565E5">
            <w:pPr>
              <w:spacing w:before="0" w:beforeAutospacing="off" w:after="0" w:afterAutospacing="off"/>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(This final count exactly corresponds to the 17 references cited within the text and compiled in the final Reference List).</w:t>
            </w:r>
          </w:p>
          <w:p w:rsidR="29B4B1D6" w:rsidP="29B4B1D6" w:rsidRDefault="29B4B1D6" w14:paraId="087CA7E7" w14:textId="2573BE30">
            <w:pPr>
              <w:spacing w:before="0" w:beforeAutospacing="off" w:after="0" w:afterAutospacing="off"/>
              <w:rPr>
                <w:rFonts w:ascii="Arial" w:hAnsi="Arial" w:eastAsia="Arial" w:cs="Arial"/>
                <w:b w:val="0"/>
                <w:bCs w:val="0"/>
                <w:i w:val="0"/>
                <w:iCs w:val="0"/>
                <w:sz w:val="22"/>
                <w:szCs w:val="22"/>
              </w:rPr>
            </w:pPr>
          </w:p>
        </w:tc>
        <w:tc>
          <w:tcPr>
            <w:tcW w:w="3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290547B4" w14:textId="72D103EC">
            <w:pPr>
              <w:spacing w:before="0" w:beforeAutospacing="off" w:after="0" w:afterAutospacing="off"/>
              <w:rPr>
                <w:rFonts w:ascii="Arial" w:hAnsi="Arial" w:eastAsia="Arial" w:cs="Arial"/>
                <w:b w:val="0"/>
                <w:bCs w:val="0"/>
                <w:i w:val="0"/>
                <w:iCs w:val="0"/>
                <w:sz w:val="22"/>
                <w:szCs w:val="22"/>
              </w:rPr>
            </w:pPr>
          </w:p>
        </w:tc>
      </w:tr>
    </w:tbl>
    <w:p w:rsidR="29B4B1D6" w:rsidP="29B4B1D6" w:rsidRDefault="29B4B1D6" w14:paraId="12899A68" w14:textId="263FA06F">
      <w:pPr>
        <w:pStyle w:val="Normal"/>
        <w:spacing w:line="360" w:lineRule="auto"/>
        <w:jc w:val="both"/>
        <w:rPr>
          <w:rFonts w:ascii="Arial" w:hAnsi="Arial" w:eastAsia="Arial" w:cs="Arial" w:asciiTheme="minorAscii" w:hAnsiTheme="minorAscii" w:eastAsiaTheme="minorAscii" w:cstheme="minorAscii"/>
          <w:sz w:val="22"/>
          <w:szCs w:val="22"/>
        </w:rPr>
      </w:pPr>
    </w:p>
    <w:p w:rsidR="29B4B1D6" w:rsidRDefault="29B4B1D6" w14:paraId="4651D464" w14:textId="3D1267BF">
      <w:r>
        <w:br w:type="page"/>
      </w:r>
    </w:p>
    <w:p w:rsidR="1EC03A48" w:rsidP="29B4B1D6" w:rsidRDefault="1EC03A48" w14:paraId="486C2BFE" w14:textId="5136A803">
      <w:pPr>
        <w:pStyle w:val="Heading3"/>
        <w:rPr>
          <w:b w:val="1"/>
          <w:bCs w:val="1"/>
          <w:color w:val="auto"/>
          <w:sz w:val="20"/>
          <w:szCs w:val="20"/>
        </w:rPr>
      </w:pPr>
      <w:r w:rsidRPr="29B4B1D6" w:rsidR="1EC03A48">
        <w:rPr>
          <w:b w:val="1"/>
          <w:bCs w:val="1"/>
          <w:color w:val="auto"/>
          <w:sz w:val="20"/>
          <w:szCs w:val="20"/>
        </w:rPr>
        <w:t>Critical SWOT Analysis Framework</w:t>
      </w:r>
      <w:r w:rsidRPr="29B4B1D6" w:rsidR="1EC03A48">
        <w:rPr>
          <w:b w:val="1"/>
          <w:bCs w:val="1"/>
          <w:color w:val="auto"/>
          <w:sz w:val="20"/>
          <w:szCs w:val="20"/>
        </w:rPr>
        <w:t xml:space="preserve"> </w:t>
      </w:r>
    </w:p>
    <w:p w:rsidR="1EC03A48" w:rsidP="29B4B1D6" w:rsidRDefault="1EC03A48" w14:paraId="74813273" w14:textId="75E86521">
      <w:pPr>
        <w:pStyle w:val="Normal"/>
        <w:spacing w:line="360" w:lineRule="auto"/>
        <w:jc w:val="both"/>
      </w:pPr>
      <w:r w:rsidRPr="29B4B1D6" w:rsidR="1EC03A48">
        <w:rPr>
          <w:rFonts w:ascii="Arial" w:hAnsi="Arial" w:eastAsia="Arial" w:cs="Arial" w:asciiTheme="minorAscii" w:hAnsiTheme="minorAscii" w:eastAsiaTheme="minorAscii" w:cstheme="minorAscii"/>
          <w:sz w:val="22"/>
          <w:szCs w:val="22"/>
        </w:rPr>
        <w:t>To evaluate the systemic impact of genomic surveillance within the UK healthcare sector, the following sections provide a critical analysis of its strategic strengths, weaknesses, opportunities, and threats, focusing strictly on the workforce and the broader community (see Appendix A).</w:t>
      </w:r>
    </w:p>
    <w:p w:rsidR="1EC03A48" w:rsidP="29B4B1D6" w:rsidRDefault="1EC03A48" w14:paraId="476C853E" w14:textId="27D8D888">
      <w:pPr>
        <w:pStyle w:val="Heading1"/>
        <w:jc w:val="center"/>
        <w:rPr>
          <w:rFonts w:ascii="Arial" w:hAnsi="Arial" w:eastAsia="Arial" w:cs="Arial" w:asciiTheme="minorAscii" w:hAnsiTheme="minorAscii" w:eastAsiaTheme="minorAscii" w:cstheme="minorAscii"/>
          <w:b w:val="1"/>
          <w:bCs w:val="1"/>
          <w:color w:val="auto"/>
          <w:sz w:val="28"/>
          <w:szCs w:val="28"/>
        </w:rPr>
      </w:pPr>
      <w:r w:rsidRPr="29B4B1D6" w:rsidR="1EC03A48">
        <w:rPr>
          <w:rFonts w:ascii="Arial" w:hAnsi="Arial" w:eastAsia="Arial" w:cs="Arial" w:asciiTheme="minorAscii" w:hAnsiTheme="minorAscii" w:eastAsiaTheme="minorAscii" w:cstheme="minorAscii"/>
          <w:b w:val="1"/>
          <w:bCs w:val="1"/>
          <w:color w:val="auto"/>
          <w:sz w:val="28"/>
          <w:szCs w:val="28"/>
        </w:rPr>
        <w:t>2. Strengths</w:t>
      </w:r>
    </w:p>
    <w:p w:rsidR="1EC03A48" w:rsidP="29B4B1D6" w:rsidRDefault="1EC03A48" w14:paraId="56B57F09" w14:textId="47224FA3">
      <w:pPr>
        <w:pStyle w:val="Heading2"/>
        <w:rPr>
          <w:rFonts w:ascii="Arial" w:hAnsi="Arial" w:eastAsia="Arial" w:cs="Arial" w:asciiTheme="minorAscii" w:hAnsiTheme="minorAscii" w:eastAsiaTheme="minorAscii" w:cstheme="minorAscii"/>
          <w:color w:val="auto"/>
          <w:sz w:val="22"/>
          <w:szCs w:val="22"/>
          <w:u w:val="single"/>
        </w:rPr>
      </w:pPr>
      <w:r w:rsidRPr="29B4B1D6" w:rsidR="1EC03A48">
        <w:rPr>
          <w:rFonts w:ascii="Arial" w:hAnsi="Arial" w:eastAsia="Arial" w:cs="Arial" w:asciiTheme="minorAscii" w:hAnsiTheme="minorAscii" w:eastAsiaTheme="minorAscii" w:cstheme="minorAscii"/>
          <w:color w:val="auto"/>
          <w:sz w:val="22"/>
          <w:szCs w:val="22"/>
          <w:u w:val="single"/>
        </w:rPr>
        <w:t>2.1 Impact on the Workforce</w:t>
      </w:r>
      <w:r w:rsidRPr="29B4B1D6" w:rsidR="1EC03A48">
        <w:rPr>
          <w:rFonts w:ascii="Arial" w:hAnsi="Arial" w:eastAsia="Arial" w:cs="Arial" w:asciiTheme="minorAscii" w:hAnsiTheme="minorAscii" w:eastAsiaTheme="minorAscii" w:cstheme="minorAscii"/>
          <w:color w:val="auto"/>
          <w:sz w:val="22"/>
          <w:szCs w:val="22"/>
          <w:u w:val="single"/>
        </w:rPr>
        <w:t xml:space="preserve"> </w:t>
      </w:r>
    </w:p>
    <w:p w:rsidR="1EC03A48" w:rsidP="29B4B1D6" w:rsidRDefault="1EC03A48" w14:paraId="776615DE" w14:textId="422EB0A3">
      <w:pPr>
        <w:pStyle w:val="Normal"/>
        <w:spacing w:line="360" w:lineRule="auto"/>
        <w:jc w:val="both"/>
      </w:pPr>
      <w:r w:rsidRPr="29B4B1D6" w:rsidR="1EC03A48">
        <w:rPr>
          <w:rFonts w:ascii="Arial" w:hAnsi="Arial" w:eastAsia="Arial" w:cs="Arial" w:asciiTheme="minorAscii" w:hAnsiTheme="minorAscii" w:eastAsiaTheme="minorAscii" w:cstheme="minorAscii"/>
          <w:sz w:val="22"/>
          <w:szCs w:val="22"/>
        </w:rPr>
        <w:t xml:space="preserve">The integration of genomic surveillance within the NHS aligns with the Frontline Digitisation Programme, backed by a £1.9 billion investment to establish baseline digital capabilities and optimise Electronic Patient Records (EPRs) (NHS England, 2026). In alignment with the WGLL framework, this digital shift reshapes professional practice from analogue processing toward automated data integration, alleviating administrative burdens, preventing burnout, and enhancing real-time decision-making (DHSC, 2026; NHS England, 2026). High-throughput pathogen sequencing enhances clinical workflows and agile public health policy by translating complex viral genomic data into actionable epidemiological insights (BEIS, 2022, p.3). Operationalising these open-science genomic networks drives a critical shift for biomedical specialists, moving from repetitive diagnostic processing toward collaborative, data-driven variant surveillance and proactive pandemic preparedness (Marjanovic </w:t>
      </w:r>
      <w:r w:rsidRPr="29B4B1D6" w:rsidR="1EC03A48">
        <w:rPr>
          <w:rFonts w:ascii="Arial" w:hAnsi="Arial" w:eastAsia="Arial" w:cs="Arial" w:asciiTheme="minorAscii" w:hAnsiTheme="minorAscii" w:eastAsiaTheme="minorAscii" w:cstheme="minorAscii"/>
          <w:i w:val="1"/>
          <w:iCs w:val="1"/>
          <w:sz w:val="22"/>
          <w:szCs w:val="22"/>
        </w:rPr>
        <w:t>et al.,</w:t>
      </w:r>
      <w:r w:rsidRPr="29B4B1D6" w:rsidR="1EC03A48">
        <w:rPr>
          <w:rFonts w:ascii="Arial" w:hAnsi="Arial" w:eastAsia="Arial" w:cs="Arial" w:asciiTheme="minorAscii" w:hAnsiTheme="minorAscii" w:eastAsiaTheme="minorAscii" w:cstheme="minorAscii"/>
          <w:sz w:val="22"/>
          <w:szCs w:val="22"/>
        </w:rPr>
        <w:t xml:space="preserve"> 2022). Furthermore, bioinformatics in the big data era has fostered specialised hybrid roles, such as genomic practitioners, who leverage computational tools and mathematical modelling to analyse complex DNA and RNA structures within hybrid biological frameworks (Discover Applied Sciences, 2025; Liu and Zhang, 2024, pp. 173-181; Nature Portfolio, 2026). For specialist nurses and consultants, access to high-precision genomic reports enhances role competency and clinical confidence by providing definitive evidence for targeted treatment plans, particularly in managing multi-drug-resistant strains (PHG Foundation, 2025). This embeds data-driven accuracy directly into the practitioner's scope of practice, increasing workforce efficiency and job satisfaction.</w:t>
      </w:r>
    </w:p>
    <w:p w:rsidR="29B4B1D6" w:rsidRDefault="29B4B1D6" w14:paraId="400BB1CA" w14:textId="2CAE433A">
      <w:r>
        <w:br w:type="page"/>
      </w:r>
    </w:p>
    <w:p w:rsidR="1259086F" w:rsidP="29B4B1D6" w:rsidRDefault="1259086F" w14:paraId="6107F5E9" w14:textId="5400F1C4">
      <w:pPr>
        <w:pStyle w:val="Heading2"/>
        <w:rPr>
          <w:rFonts w:ascii="Arial" w:hAnsi="Arial" w:eastAsia="Arial" w:cs="Arial" w:asciiTheme="minorAscii" w:hAnsiTheme="minorAscii" w:eastAsiaTheme="minorAscii" w:cstheme="minorAscii"/>
          <w:color w:val="auto"/>
          <w:sz w:val="22"/>
          <w:szCs w:val="22"/>
          <w:u w:val="single"/>
        </w:rPr>
      </w:pPr>
      <w:r w:rsidRPr="29B4B1D6" w:rsidR="1259086F">
        <w:rPr>
          <w:rFonts w:ascii="Arial" w:hAnsi="Arial" w:eastAsia="Arial" w:cs="Arial" w:asciiTheme="minorAscii" w:hAnsiTheme="minorAscii" w:eastAsiaTheme="minorAscii" w:cstheme="minorAscii"/>
          <w:color w:val="auto"/>
          <w:sz w:val="22"/>
          <w:szCs w:val="22"/>
          <w:u w:val="single"/>
        </w:rPr>
        <w:t>2.2 Impact on the Community</w:t>
      </w:r>
      <w:r w:rsidRPr="29B4B1D6" w:rsidR="1259086F">
        <w:rPr>
          <w:rFonts w:ascii="Arial" w:hAnsi="Arial" w:eastAsia="Arial" w:cs="Arial" w:asciiTheme="minorAscii" w:hAnsiTheme="minorAscii" w:eastAsiaTheme="minorAscii" w:cstheme="minorAscii"/>
          <w:color w:val="auto"/>
          <w:sz w:val="22"/>
          <w:szCs w:val="22"/>
          <w:u w:val="single"/>
        </w:rPr>
        <w:t xml:space="preserve"> </w:t>
      </w:r>
    </w:p>
    <w:p w:rsidR="1259086F" w:rsidP="29B4B1D6" w:rsidRDefault="1259086F" w14:paraId="18838464" w14:textId="68CEE792">
      <w:pPr>
        <w:pStyle w:val="Normal"/>
        <w:spacing w:line="360" w:lineRule="auto"/>
        <w:jc w:val="both"/>
      </w:pPr>
      <w:r w:rsidRPr="29B4B1D6" w:rsidR="1259086F">
        <w:rPr>
          <w:rFonts w:ascii="Arial" w:hAnsi="Arial" w:eastAsia="Arial" w:cs="Arial" w:asciiTheme="minorAscii" w:hAnsiTheme="minorAscii" w:eastAsiaTheme="minorAscii" w:cstheme="minorAscii"/>
          <w:sz w:val="22"/>
          <w:szCs w:val="22"/>
        </w:rPr>
        <w:t>From a public health perspective, national genomic surveillance delivers precision protection to the broader community, shifting interventions from reactive treatments to proactive prevention. Centralised digital networks allow the NHS and UKHSA to map pathogen mutation vectors rapidly, reinforcing the healthy populations dimension of national data strategies (DHSC, 2022; BEIS, 2022, p.3). A prime operational example is the localised border bio-surveillance managed by the UKHSA at major ports of entry, including London Heathrow Airport (UKHSA, 2024). Through wastewater genomic sequencing and targeted voluntary passenger sampling, public health teams detect high-consequence infectious diseases, such as emerging Zika variants, long before they manifest as symptomatic clusters within local municipal communities (Food Standards Agency, 2026; UKHSA, 2024). This macro-level surveillance directly shields vulnerable areas, minimises the necessity of widespread lockdowns, and empowers health protection teams to deploy localised, targeted interventions, thereby safeguarding public health and families across the United Kingdom (see Appendix A).</w:t>
      </w:r>
    </w:p>
    <w:p w:rsidR="29B4B1D6" w:rsidRDefault="29B4B1D6" w14:paraId="6A95E574" w14:textId="3D2EEF7E">
      <w:r>
        <w:br w:type="page"/>
      </w:r>
    </w:p>
    <w:p w:rsidR="5AEE8359" w:rsidP="29B4B1D6" w:rsidRDefault="5AEE8359" w14:paraId="2FF0C8EC" w14:textId="1C701CFC">
      <w:pPr>
        <w:pStyle w:val="Heading1"/>
        <w:jc w:val="center"/>
        <w:rPr>
          <w:rFonts w:ascii="Arial" w:hAnsi="Arial" w:eastAsia="Arial" w:cs="Arial" w:asciiTheme="minorAscii" w:hAnsiTheme="minorAscii" w:eastAsiaTheme="minorAscii" w:cstheme="minorAscii"/>
          <w:b w:val="1"/>
          <w:bCs w:val="1"/>
          <w:color w:val="auto"/>
          <w:sz w:val="28"/>
          <w:szCs w:val="28"/>
          <w:u w:val="none"/>
        </w:rPr>
      </w:pPr>
      <w:r w:rsidRPr="29B4B1D6" w:rsidR="5AEE8359">
        <w:rPr>
          <w:rFonts w:ascii="Arial" w:hAnsi="Arial" w:eastAsia="Arial" w:cs="Arial" w:asciiTheme="minorAscii" w:hAnsiTheme="minorAscii" w:eastAsiaTheme="minorAscii" w:cstheme="minorAscii"/>
          <w:b w:val="1"/>
          <w:bCs w:val="1"/>
          <w:color w:val="auto"/>
          <w:sz w:val="28"/>
          <w:szCs w:val="28"/>
          <w:u w:val="none"/>
        </w:rPr>
        <w:t>3. Weaknesses</w:t>
      </w:r>
    </w:p>
    <w:p w:rsidR="5AEE8359" w:rsidP="29B4B1D6" w:rsidRDefault="5AEE8359" w14:paraId="48CD5BDD" w14:textId="3013D57C">
      <w:pPr>
        <w:pStyle w:val="Heading2"/>
        <w:rPr>
          <w:rFonts w:ascii="Arial" w:hAnsi="Arial" w:eastAsia="Arial" w:cs="Arial" w:asciiTheme="minorAscii" w:hAnsiTheme="minorAscii" w:eastAsiaTheme="minorAscii" w:cstheme="minorAscii"/>
          <w:color w:val="auto"/>
          <w:sz w:val="22"/>
          <w:szCs w:val="22"/>
          <w:u w:val="single"/>
        </w:rPr>
      </w:pPr>
      <w:r w:rsidRPr="29B4B1D6" w:rsidR="5AEE8359">
        <w:rPr>
          <w:rFonts w:ascii="Arial" w:hAnsi="Arial" w:eastAsia="Arial" w:cs="Arial" w:asciiTheme="minorAscii" w:hAnsiTheme="minorAscii" w:eastAsiaTheme="minorAscii" w:cstheme="minorAscii"/>
          <w:color w:val="auto"/>
          <w:sz w:val="22"/>
          <w:szCs w:val="22"/>
          <w:u w:val="single"/>
        </w:rPr>
        <w:t>3.1 Impact on the Workforce</w:t>
      </w:r>
    </w:p>
    <w:p w:rsidR="5AEE8359" w:rsidP="29B4B1D6" w:rsidRDefault="5AEE8359" w14:paraId="6BF510E0" w14:textId="1E324CE7">
      <w:pPr>
        <w:pStyle w:val="Normal"/>
        <w:spacing w:line="360" w:lineRule="auto"/>
        <w:jc w:val="both"/>
      </w:pPr>
      <w:r w:rsidRPr="29B4B1D6" w:rsidR="5AEE8359">
        <w:rPr>
          <w:rFonts w:ascii="Arial" w:hAnsi="Arial" w:eastAsia="Arial" w:cs="Arial" w:asciiTheme="minorAscii" w:hAnsiTheme="minorAscii" w:eastAsiaTheme="minorAscii" w:cstheme="minorAscii"/>
          <w:sz w:val="22"/>
          <w:szCs w:val="22"/>
        </w:rPr>
        <w:t>Despite the operational efficiencies gained through genomic surveillance, its implementation has exposed significant weaknesses regarding workforce adaptation and psychological strain. In critical opposition to the safe practice and support workforce pillars of the WGLL framework, the rapid roll-out of high-throughput sequencing has induced severe digital overload and systemic resistance among frontline staff (DHSC, 2026; NHS England, 2026). This friction is primarily driven by a stark asynchronous development pace between private IT vendors and the public health sector, leaving practitioners to grapple with complex, non-intuitive bioinformatic software systems (Discover Applied Sciences, 2025; UKHSA, 2023, p. 7). Biomedical scientists and clinical infection specialists are frequently forced to navigate advanced platforms that lack seamless interoperability and remain fundamentally incompatible with legacy infrastructure (UKHSA, 2023, p. 9). Consequently, rather than reducing administrative burdens, this technological misalignment has introduced workflow inefficiencies, including duplicate</w:t>
      </w:r>
      <w:r w:rsidRPr="29B4B1D6" w:rsidR="5AEE8359">
        <w:rPr>
          <w:rFonts w:ascii="Arial" w:hAnsi="Arial" w:eastAsia="Arial" w:cs="Arial" w:asciiTheme="minorAscii" w:hAnsiTheme="minorAscii" w:eastAsiaTheme="minorAscii" w:cstheme="minorAscii"/>
          <w:sz w:val="22"/>
          <w:szCs w:val="22"/>
        </w:rPr>
        <w:t xml:space="preserve"> data entry and the formation of isolated data silos that complicate compliance with national data protection guidelines (ICO, 2023; PHG Foundation, 2025, see Appendix B). Furthermore, there is a distinct deficit in specialised health informatics training across the wider workforce. Frontline practitioners report heightened professional stress and anxiety due to a lack of competency in interpreting dense genetic blueprints, creating an over-reliance on a limited pool of bioinformaticians and disrupting traditional clinical hierarchies (UKHSA, 2024).</w:t>
      </w:r>
    </w:p>
    <w:p w:rsidR="29B4B1D6" w:rsidRDefault="29B4B1D6" w14:paraId="7EC40002" w14:textId="669AD2D5">
      <w:r>
        <w:br w:type="page"/>
      </w:r>
    </w:p>
    <w:p w:rsidR="452AB378" w:rsidP="29B4B1D6" w:rsidRDefault="452AB378" w14:paraId="717E6600" w14:textId="7E0CB29C">
      <w:pPr>
        <w:pStyle w:val="Heading2"/>
        <w:rPr>
          <w:rFonts w:ascii="Arial" w:hAnsi="Arial" w:eastAsia="Arial" w:cs="Arial" w:asciiTheme="minorAscii" w:hAnsiTheme="minorAscii" w:eastAsiaTheme="minorAscii" w:cstheme="minorAscii"/>
          <w:color w:val="auto"/>
          <w:sz w:val="22"/>
          <w:szCs w:val="22"/>
          <w:u w:val="single"/>
        </w:rPr>
      </w:pPr>
      <w:r w:rsidRPr="29B4B1D6" w:rsidR="452AB378">
        <w:rPr>
          <w:rFonts w:ascii="Arial" w:hAnsi="Arial" w:eastAsia="Arial" w:cs="Arial" w:asciiTheme="minorAscii" w:hAnsiTheme="minorAscii" w:eastAsiaTheme="minorAscii" w:cstheme="minorAscii"/>
          <w:color w:val="auto"/>
          <w:sz w:val="22"/>
          <w:szCs w:val="22"/>
          <w:u w:val="single"/>
        </w:rPr>
        <w:t>3.2 Impact on the Community</w:t>
      </w:r>
      <w:r w:rsidRPr="29B4B1D6" w:rsidR="452AB378">
        <w:rPr>
          <w:rFonts w:ascii="Arial" w:hAnsi="Arial" w:eastAsia="Arial" w:cs="Arial" w:asciiTheme="minorAscii" w:hAnsiTheme="minorAscii" w:eastAsiaTheme="minorAscii" w:cstheme="minorAscii"/>
          <w:color w:val="auto"/>
          <w:sz w:val="22"/>
          <w:szCs w:val="22"/>
          <w:u w:val="single"/>
        </w:rPr>
        <w:t xml:space="preserve"> </w:t>
      </w:r>
    </w:p>
    <w:p w:rsidR="452AB378" w:rsidP="29B4B1D6" w:rsidRDefault="452AB378" w14:paraId="30D3F0C1" w14:textId="424223DC">
      <w:pPr>
        <w:pStyle w:val="Normal"/>
        <w:spacing w:line="360" w:lineRule="auto"/>
        <w:jc w:val="both"/>
      </w:pPr>
      <w:r w:rsidRPr="29B4B1D6" w:rsidR="452AB378">
        <w:rPr>
          <w:rFonts w:ascii="Arial" w:hAnsi="Arial" w:eastAsia="Arial" w:cs="Arial" w:asciiTheme="minorAscii" w:hAnsiTheme="minorAscii" w:eastAsiaTheme="minorAscii" w:cstheme="minorAscii"/>
          <w:sz w:val="22"/>
          <w:szCs w:val="22"/>
        </w:rPr>
        <w:t>At the community level, the primary weakness of this digital transformation is the risk of widening existing public health inequalities and fostering institutional distrust. While centralised genomic sequencing tracks regional pathogen vectors, its heavy reliance on data-dense digital infrastructure inherently isolates marginalised, digitally excluded populations within the community (DHSC, 2022). Furthermore, the centralisation of extremely sensitive genetic data creates substantial Information Governance (IG) vulnerabilities. A critical evaluation reveals that public health agencies face severe scrutiny from national regulators, such as the Information Commissioner’s Office (ICO), regarding the lawfulness and purpose limitation of storing community genetic blueprints (ICO, 2023, see Appendix B). If data leaks occur, or if regulatory compliance failures are identified during institutional inspections, it directly erodes public trust in healthcare providers and data management systems (DHSC, 2022). This anxiety is particularly acute in close-knit communities, where fears of over-surveillance and data commercialisation by external IT firms can cause families to withdraw from vital voluntary screening programmes, thereby undermining the core public health goal of preventative community protection.</w:t>
      </w:r>
    </w:p>
    <w:p w:rsidR="29B4B1D6" w:rsidRDefault="29B4B1D6" w14:paraId="437C4C40" w14:textId="085ACA7A">
      <w:r>
        <w:br w:type="page"/>
      </w:r>
    </w:p>
    <w:p w:rsidR="457B95FE" w:rsidP="29B4B1D6" w:rsidRDefault="457B95FE" w14:paraId="7601CBA2" w14:textId="4CC38591">
      <w:pPr>
        <w:pStyle w:val="Heading1"/>
        <w:jc w:val="center"/>
        <w:rPr>
          <w:rFonts w:ascii="Arial" w:hAnsi="Arial" w:eastAsia="Arial" w:cs="Arial" w:asciiTheme="minorAscii" w:hAnsiTheme="minorAscii" w:eastAsiaTheme="minorAscii" w:cstheme="minorAscii"/>
          <w:b w:val="1"/>
          <w:bCs w:val="1"/>
          <w:color w:val="auto"/>
          <w:sz w:val="28"/>
          <w:szCs w:val="28"/>
        </w:rPr>
      </w:pPr>
      <w:r w:rsidRPr="29B4B1D6" w:rsidR="457B95FE">
        <w:rPr>
          <w:rFonts w:ascii="Arial" w:hAnsi="Arial" w:eastAsia="Arial" w:cs="Arial" w:asciiTheme="minorAscii" w:hAnsiTheme="minorAscii" w:eastAsiaTheme="minorAscii" w:cstheme="minorAscii"/>
          <w:b w:val="1"/>
          <w:bCs w:val="1"/>
          <w:color w:val="auto"/>
          <w:sz w:val="28"/>
          <w:szCs w:val="28"/>
        </w:rPr>
        <w:t>4. Opportunities</w:t>
      </w:r>
    </w:p>
    <w:p w:rsidR="457B95FE" w:rsidP="29B4B1D6" w:rsidRDefault="457B95FE" w14:paraId="3C4DA6A7" w14:textId="7A247B7D">
      <w:pPr>
        <w:pStyle w:val="Heading2"/>
        <w:rPr>
          <w:rFonts w:ascii="Arial" w:hAnsi="Arial" w:eastAsia="Arial" w:cs="Arial" w:asciiTheme="minorAscii" w:hAnsiTheme="minorAscii" w:eastAsiaTheme="minorAscii" w:cstheme="minorAscii"/>
          <w:color w:val="auto"/>
          <w:sz w:val="22"/>
          <w:szCs w:val="22"/>
          <w:u w:val="single"/>
        </w:rPr>
      </w:pPr>
      <w:r w:rsidRPr="29B4B1D6" w:rsidR="457B95FE">
        <w:rPr>
          <w:rFonts w:ascii="Arial" w:hAnsi="Arial" w:eastAsia="Arial" w:cs="Arial" w:asciiTheme="minorAscii" w:hAnsiTheme="minorAscii" w:eastAsiaTheme="minorAscii" w:cstheme="minorAscii"/>
          <w:color w:val="auto"/>
          <w:sz w:val="22"/>
          <w:szCs w:val="22"/>
          <w:u w:val="single"/>
        </w:rPr>
        <w:t>4.1 Impact on the Workforce</w:t>
      </w:r>
    </w:p>
    <w:p w:rsidR="457B95FE" w:rsidP="29B4B1D6" w:rsidRDefault="457B95FE" w14:paraId="7D106998" w14:textId="4B78BAA6">
      <w:pPr>
        <w:pStyle w:val="Normal"/>
        <w:spacing w:line="360" w:lineRule="auto"/>
        <w:jc w:val="both"/>
      </w:pPr>
      <w:r w:rsidRPr="29B4B1D6" w:rsidR="457B95FE">
        <w:rPr>
          <w:rFonts w:ascii="Arial" w:hAnsi="Arial" w:eastAsia="Arial" w:cs="Arial" w:asciiTheme="minorAscii" w:hAnsiTheme="minorAscii" w:eastAsiaTheme="minorAscii" w:cstheme="minorAscii"/>
          <w:sz w:val="22"/>
          <w:szCs w:val="22"/>
        </w:rPr>
        <w:t>The evolution of genomic surveillance presents transformative opportunities for upskilling, professional development, and the multidisciplinary evolution of the healthcare workforce. In alignment with the 'Well-led' pillar of the WGLL framework, future expansions of this technology can drive the creation of structured, national training pathways and shared digital blueprint repositories in clinical bioinformatics for frontline staff (DHSC, 2022; DHSC, 2026). Rather than treating genomic sequencing as an isolated laboratory tool, there is a significant opportunity to integrate AI-assisted interpretation tools directly into general practice and community clinics, necessitating a fundamental understanding of core bioinformatics competencies across the workforce (Discover Applied Sciences, 2025; Liu and Zhang, 2024, pp. 173-181).</w:t>
      </w:r>
    </w:p>
    <w:p w:rsidR="457B95FE" w:rsidP="29B4B1D6" w:rsidRDefault="457B95FE" w14:paraId="25D4C9CF" w14:textId="5D7F581D">
      <w:pPr>
        <w:pStyle w:val="Normal"/>
        <w:spacing w:line="360" w:lineRule="auto"/>
        <w:jc w:val="both"/>
      </w:pPr>
      <w:r w:rsidRPr="29B4B1D6" w:rsidR="457B95FE">
        <w:rPr>
          <w:rFonts w:ascii="Arial" w:hAnsi="Arial" w:eastAsia="Arial" w:cs="Arial" w:asciiTheme="minorAscii" w:hAnsiTheme="minorAscii" w:eastAsiaTheme="minorAscii" w:cstheme="minorAscii"/>
          <w:sz w:val="22"/>
          <w:szCs w:val="22"/>
        </w:rPr>
        <w:t>This upskilling will empower general practitioners, district nurses, and community pharmacists to confidently use real-time pathogen data, shifting their professional roles from reactive clinical managers to proactive health protection experts. Furthermore, this digital maturation will foster a highly collaborative, interdisciplinary work environment where bioinformaticians, data scientists, and frontline clinicians engage in continuous co-production, breaking down traditional institutional silos and significantly increasing workforce retention through enhanced job satisfaction and clinical autonomy (see Appendix B).</w:t>
      </w:r>
    </w:p>
    <w:p w:rsidR="29B4B1D6" w:rsidRDefault="29B4B1D6" w14:paraId="05540D8F" w14:textId="6B2DDA27">
      <w:r>
        <w:br w:type="page"/>
      </w:r>
    </w:p>
    <w:p w:rsidR="6B99AD44" w:rsidP="29B4B1D6" w:rsidRDefault="6B99AD44" w14:paraId="3A0D8468" w14:textId="55B927FF">
      <w:pPr>
        <w:pStyle w:val="Heading2"/>
        <w:rPr>
          <w:rFonts w:ascii="Arial" w:hAnsi="Arial" w:eastAsia="Arial" w:cs="Arial" w:asciiTheme="minorAscii" w:hAnsiTheme="minorAscii" w:eastAsiaTheme="minorAscii" w:cstheme="minorAscii"/>
          <w:color w:val="auto"/>
          <w:sz w:val="22"/>
          <w:szCs w:val="22"/>
          <w:u w:val="single"/>
        </w:rPr>
      </w:pPr>
      <w:r w:rsidRPr="29B4B1D6" w:rsidR="6B99AD44">
        <w:rPr>
          <w:rFonts w:ascii="Arial" w:hAnsi="Arial" w:eastAsia="Arial" w:cs="Arial" w:asciiTheme="minorAscii" w:hAnsiTheme="minorAscii" w:eastAsiaTheme="minorAscii" w:cstheme="minorAscii"/>
          <w:color w:val="auto"/>
          <w:sz w:val="22"/>
          <w:szCs w:val="22"/>
          <w:u w:val="single"/>
        </w:rPr>
        <w:t>4.2 Impact on the Community</w:t>
      </w:r>
      <w:r w:rsidRPr="29B4B1D6" w:rsidR="6B99AD44">
        <w:rPr>
          <w:rFonts w:ascii="Arial" w:hAnsi="Arial" w:eastAsia="Arial" w:cs="Arial" w:asciiTheme="minorAscii" w:hAnsiTheme="minorAscii" w:eastAsiaTheme="minorAscii" w:cstheme="minorAscii"/>
          <w:color w:val="auto"/>
          <w:sz w:val="22"/>
          <w:szCs w:val="22"/>
          <w:u w:val="single"/>
        </w:rPr>
        <w:t xml:space="preserve"> </w:t>
      </w:r>
    </w:p>
    <w:p w:rsidR="6B99AD44" w:rsidP="29B4B1D6" w:rsidRDefault="6B99AD44" w14:paraId="2149BA34" w14:textId="12B47E67">
      <w:pPr>
        <w:pStyle w:val="Normal"/>
        <w:spacing w:line="360" w:lineRule="auto"/>
        <w:jc w:val="both"/>
      </w:pPr>
      <w:r w:rsidRPr="29B4B1D6" w:rsidR="6B99AD44">
        <w:rPr>
          <w:rFonts w:ascii="Arial" w:hAnsi="Arial" w:eastAsia="Arial" w:cs="Arial" w:asciiTheme="minorAscii" w:hAnsiTheme="minorAscii" w:eastAsiaTheme="minorAscii" w:cstheme="minorAscii"/>
          <w:sz w:val="22"/>
          <w:szCs w:val="22"/>
        </w:rPr>
        <w:t>At the community level, the next frontier of genomic surveillance offers unprecedented opportunities to transition from reactive public health models toward advanced predictive healthcare and precision protection. A prime opportunity exists to leverage high-throughput pathogen sequencing within national data frameworks to build complex computational models of infectious diseases; using machine learning, public health teams can predict regional mutation vectors and seasonal outbreak trends before they spread through municipal populations (Nature Portfolio, 2026). Furthermore, moving pathogen genomics beyond simple tracking enables its application in personalised community medicine. As highlighted by the PHG Foundation (2025), expanding metagenomic sequencing directly into local clinical frameworks allows healthcare providers to tailor highly specific antimicrobial treatments for patients within the community, effectively mitigating the rising threat of multi-drug-resistant strains. Crucially, establishing transparent, cloud-based data repositories fosters a robust environment for genuine community co-production. Local health protection teams, municipal authorities, and community leaders can utilise real-time epidemiological insights to co-design targeted, localised preventative interventions (Food Standards Agency, 2026). Scaling this advanced informatics infrastructure into regional clinics ensures that historically underserved or digitally marginalised demographic groups secure equitable access to innovative digital health advancements. This proactive approach not only directly dismantles geographic health inequalities but also solidifies long-term public trust and safeguards families across the entire United Kingdom population (see Appendix B).</w:t>
      </w:r>
    </w:p>
    <w:p w:rsidR="29B4B1D6" w:rsidRDefault="29B4B1D6" w14:paraId="177442E6" w14:textId="55A52844">
      <w:r>
        <w:br w:type="page"/>
      </w:r>
    </w:p>
    <w:p w:rsidR="4126E9F8" w:rsidP="29B4B1D6" w:rsidRDefault="4126E9F8" w14:paraId="712173FB" w14:textId="0B7A9F7C">
      <w:pPr>
        <w:pStyle w:val="Heading1"/>
        <w:jc w:val="center"/>
        <w:rPr>
          <w:rFonts w:ascii="Arial" w:hAnsi="Arial" w:eastAsia="Arial" w:cs="Arial" w:asciiTheme="minorAscii" w:hAnsiTheme="minorAscii" w:eastAsiaTheme="minorAscii" w:cstheme="minorAscii"/>
          <w:b w:val="1"/>
          <w:bCs w:val="1"/>
          <w:color w:val="auto"/>
          <w:sz w:val="28"/>
          <w:szCs w:val="28"/>
          <w:u w:val="none"/>
        </w:rPr>
      </w:pPr>
      <w:r w:rsidRPr="29B4B1D6" w:rsidR="4126E9F8">
        <w:rPr>
          <w:rFonts w:ascii="Arial" w:hAnsi="Arial" w:eastAsia="Arial" w:cs="Arial" w:asciiTheme="minorAscii" w:hAnsiTheme="minorAscii" w:eastAsiaTheme="minorAscii" w:cstheme="minorAscii"/>
          <w:b w:val="1"/>
          <w:bCs w:val="1"/>
          <w:color w:val="auto"/>
          <w:sz w:val="28"/>
          <w:szCs w:val="28"/>
        </w:rPr>
        <w:t>5. Threats</w:t>
      </w:r>
    </w:p>
    <w:p w:rsidR="4126E9F8" w:rsidP="29B4B1D6" w:rsidRDefault="4126E9F8" w14:paraId="2309895A" w14:textId="2820F88C">
      <w:pPr>
        <w:pStyle w:val="Heading2"/>
        <w:rPr>
          <w:rFonts w:ascii="Arial" w:hAnsi="Arial" w:eastAsia="Arial" w:cs="Arial" w:asciiTheme="minorAscii" w:hAnsiTheme="minorAscii" w:eastAsiaTheme="minorAscii" w:cstheme="minorAscii"/>
          <w:color w:val="auto"/>
          <w:sz w:val="22"/>
          <w:szCs w:val="22"/>
          <w:u w:val="single"/>
        </w:rPr>
      </w:pPr>
      <w:r w:rsidRPr="29B4B1D6" w:rsidR="4126E9F8">
        <w:rPr>
          <w:rFonts w:ascii="Arial" w:hAnsi="Arial" w:eastAsia="Arial" w:cs="Arial" w:asciiTheme="minorAscii" w:hAnsiTheme="minorAscii" w:eastAsiaTheme="minorAscii" w:cstheme="minorAscii"/>
          <w:color w:val="auto"/>
          <w:sz w:val="22"/>
          <w:szCs w:val="22"/>
          <w:u w:val="single"/>
        </w:rPr>
        <w:t>5.1 Impact on the Workforce</w:t>
      </w:r>
      <w:r w:rsidRPr="29B4B1D6" w:rsidR="4126E9F8">
        <w:rPr>
          <w:rFonts w:ascii="Arial" w:hAnsi="Arial" w:eastAsia="Arial" w:cs="Arial" w:asciiTheme="minorAscii" w:hAnsiTheme="minorAscii" w:eastAsiaTheme="minorAscii" w:cstheme="minorAscii"/>
          <w:color w:val="auto"/>
          <w:sz w:val="22"/>
          <w:szCs w:val="22"/>
          <w:u w:val="single"/>
        </w:rPr>
        <w:t xml:space="preserve"> </w:t>
      </w:r>
    </w:p>
    <w:p w:rsidR="4126E9F8" w:rsidP="29B4B1D6" w:rsidRDefault="4126E9F8" w14:paraId="34523620" w14:textId="31B72CF6">
      <w:pPr>
        <w:pStyle w:val="Normal"/>
        <w:spacing w:line="360" w:lineRule="auto"/>
        <w:jc w:val="both"/>
      </w:pPr>
      <w:r w:rsidRPr="29B4B1D6" w:rsidR="4126E9F8">
        <w:rPr>
          <w:rFonts w:ascii="Arial" w:hAnsi="Arial" w:eastAsia="Arial" w:cs="Arial" w:asciiTheme="minorAscii" w:hAnsiTheme="minorAscii" w:eastAsiaTheme="minorAscii" w:cstheme="minorAscii"/>
          <w:sz w:val="22"/>
          <w:szCs w:val="22"/>
        </w:rPr>
        <w:t>The long-term sustainability of genomic surveillance faces severe threats related to staff morale, role displacement, and systemic non-compliance. As complex computational biology, automated bioinformatics, and machine learning algorithms become more deeply integrated into diagnostic pathways, there is a profound threat of technological determinism overshadowing clinical intuition (Nature Portfolio, 2026). This creates a risk of professional alienation, where healthcare staff feel that their clinical expertise and human judgment are being completely subordinated to automated datasets. Furthermore, as the public sector continuously grapples with an asynchronous development pace compared to private IT firms, the workforce faces an imminent threat of widespread burnout and active resistance to system updates (UKHSA, 2023, p. 7). From a legal perspective under the strict principles of the UK GDPR, individual practitioners bear high accountability for data integrity. If frontline clinicians are not provided with adequate, ongoing training, the risk of accidental data mishandling increases exponentially. This threat of severe financial penalties from the ICO and potential loss of professional registration creates a culture of defensive medicine and low morale, severely threatening the long-term adoption of digital innovations within the workforce (ICO, 2023, see Appendix B).</w:t>
      </w:r>
    </w:p>
    <w:p w:rsidR="29B4B1D6" w:rsidRDefault="29B4B1D6" w14:paraId="5782BC3C" w14:textId="1F4F8819">
      <w:r>
        <w:br w:type="page"/>
      </w:r>
    </w:p>
    <w:p w:rsidR="272C947A" w:rsidP="29B4B1D6" w:rsidRDefault="272C947A" w14:paraId="07D05F1B" w14:textId="3DF92033">
      <w:pPr>
        <w:pStyle w:val="Heading2"/>
        <w:rPr>
          <w:rFonts w:ascii="Arial" w:hAnsi="Arial" w:eastAsia="Arial" w:cs="Arial" w:asciiTheme="minorAscii" w:hAnsiTheme="minorAscii" w:eastAsiaTheme="minorAscii" w:cstheme="minorAscii"/>
          <w:color w:val="auto"/>
          <w:sz w:val="22"/>
          <w:szCs w:val="22"/>
          <w:u w:val="single"/>
        </w:rPr>
      </w:pPr>
      <w:r w:rsidRPr="29B4B1D6" w:rsidR="272C947A">
        <w:rPr>
          <w:rFonts w:ascii="Arial" w:hAnsi="Arial" w:eastAsia="Arial" w:cs="Arial" w:asciiTheme="minorAscii" w:hAnsiTheme="minorAscii" w:eastAsiaTheme="minorAscii" w:cstheme="minorAscii"/>
          <w:color w:val="auto"/>
          <w:sz w:val="22"/>
          <w:szCs w:val="22"/>
          <w:u w:val="single"/>
        </w:rPr>
        <w:t>5.2 Impact on the Community</w:t>
      </w:r>
      <w:r w:rsidRPr="29B4B1D6" w:rsidR="272C947A">
        <w:rPr>
          <w:rFonts w:ascii="Arial" w:hAnsi="Arial" w:eastAsia="Arial" w:cs="Arial" w:asciiTheme="minorAscii" w:hAnsiTheme="minorAscii" w:eastAsiaTheme="minorAscii" w:cstheme="minorAscii"/>
          <w:color w:val="auto"/>
          <w:sz w:val="22"/>
          <w:szCs w:val="22"/>
          <w:u w:val="single"/>
        </w:rPr>
        <w:t xml:space="preserve"> </w:t>
      </w:r>
    </w:p>
    <w:p w:rsidR="272C947A" w:rsidP="29B4B1D6" w:rsidRDefault="272C947A" w14:paraId="09A429B9" w14:textId="23512DC3">
      <w:pPr>
        <w:pStyle w:val="Normal"/>
        <w:spacing w:line="360" w:lineRule="auto"/>
        <w:jc w:val="both"/>
      </w:pPr>
      <w:r w:rsidRPr="29B4B1D6" w:rsidR="272C947A">
        <w:rPr>
          <w:rFonts w:ascii="Arial" w:hAnsi="Arial" w:eastAsia="Arial" w:cs="Arial" w:asciiTheme="minorAscii" w:hAnsiTheme="minorAscii" w:eastAsiaTheme="minorAscii" w:cstheme="minorAscii"/>
          <w:sz w:val="22"/>
          <w:szCs w:val="22"/>
        </w:rPr>
        <w:t>At the community level, the most dangerous threat posed by centralised genomic databases is the permanent erosion of public trust through cybersecurity breaches and the alienation of marginalised groups. Because a person's genomic blueprint is inherently immutable, any failure in maintaining data integrity and confidentiality represents a catastrophic societal and ethical risk (WHO, 2022). If external cybercriminals compromise healthcare databases, the unauthorised exposure of community genetic data could lead to severe ethical violations, including public stigmatisation or potential discrimination by commercial entities. Furthermore, as this technology advances, there is a persistent threat of exacerbating the digital divide and entrenching historical health inequalities. Underserved or remote communities, which frequently lack robust digital infrastructure, face geographic exclusion from precision public health benefits. Critically evaluating these dynamics suggests that if the public perceives that genomic data collection breaches the core UK GDPR principles of lawfulness, fairness, and transparency, communities will actively withdraw consent from voluntary public health screening programs, effectively collapsing the national surveillance net (ICO, 2023, see Appendix B).</w:t>
      </w:r>
    </w:p>
    <w:p w:rsidR="29B4B1D6" w:rsidRDefault="29B4B1D6" w14:paraId="5C706367" w14:textId="44EEC19C">
      <w:r>
        <w:br w:type="page"/>
      </w:r>
    </w:p>
    <w:p w:rsidR="1DC45FDA" w:rsidP="29B4B1D6" w:rsidRDefault="1DC45FDA" w14:paraId="73BC3D6B" w14:textId="0A0A8B5A">
      <w:pPr>
        <w:pStyle w:val="Heading1"/>
        <w:jc w:val="center"/>
        <w:rPr>
          <w:rFonts w:ascii="Arial" w:hAnsi="Arial" w:eastAsia="Arial" w:cs="Arial" w:asciiTheme="minorAscii" w:hAnsiTheme="minorAscii" w:eastAsiaTheme="minorAscii" w:cstheme="minorAscii"/>
          <w:b w:val="1"/>
          <w:bCs w:val="1"/>
          <w:color w:val="auto"/>
          <w:sz w:val="28"/>
          <w:szCs w:val="28"/>
        </w:rPr>
      </w:pPr>
      <w:r w:rsidRPr="29B4B1D6" w:rsidR="1DC45FDA">
        <w:rPr>
          <w:rFonts w:ascii="Arial" w:hAnsi="Arial" w:eastAsia="Arial" w:cs="Arial" w:asciiTheme="minorAscii" w:hAnsiTheme="minorAscii" w:eastAsiaTheme="minorAscii" w:cstheme="minorAscii"/>
          <w:b w:val="1"/>
          <w:bCs w:val="1"/>
          <w:color w:val="auto"/>
          <w:sz w:val="28"/>
          <w:szCs w:val="28"/>
        </w:rPr>
        <w:t>Conclusion</w:t>
      </w:r>
      <w:r w:rsidRPr="29B4B1D6" w:rsidR="1DC45FDA">
        <w:rPr>
          <w:rFonts w:ascii="Arial" w:hAnsi="Arial" w:eastAsia="Arial" w:cs="Arial" w:asciiTheme="minorAscii" w:hAnsiTheme="minorAscii" w:eastAsiaTheme="minorAscii" w:cstheme="minorAscii"/>
          <w:b w:val="1"/>
          <w:bCs w:val="1"/>
          <w:color w:val="auto"/>
          <w:sz w:val="28"/>
          <w:szCs w:val="28"/>
        </w:rPr>
        <w:t xml:space="preserve"> </w:t>
      </w:r>
    </w:p>
    <w:p w:rsidR="1DC45FDA" w:rsidP="29B4B1D6" w:rsidRDefault="1DC45FDA" w14:paraId="1E630A7B" w14:textId="161F01DE">
      <w:pPr>
        <w:pStyle w:val="Normal"/>
        <w:spacing w:line="360" w:lineRule="auto"/>
        <w:jc w:val="both"/>
      </w:pPr>
      <w:r w:rsidRPr="29B4B1D6" w:rsidR="1DC45FDA">
        <w:rPr>
          <w:rFonts w:ascii="Arial" w:hAnsi="Arial" w:eastAsia="Arial" w:cs="Arial" w:asciiTheme="minorAscii" w:hAnsiTheme="minorAscii" w:eastAsiaTheme="minorAscii" w:cstheme="minorAscii"/>
          <w:sz w:val="22"/>
          <w:szCs w:val="22"/>
        </w:rPr>
        <w:t>The implementation of genomic surveillance represents a landmark digital transformation within the UK healthcare landscape. Evaluated against the 'What Good Looks Like' framework, this report demonstrates that long-term success requires a well-led balance between technological innovation and robust risk mitigation. For the workforce, this data-centric paradigm has enhanced role competencies and modernised professional identity, though these advancements remain tethered to digital overload and poor integration with legacy NHS hardware. At the community level, localised border bio-surveillance at London Heathrow Airport has revolutionised preventative protection. However, data privacy risks under the UK GDPR and digital exclusion for marginalised groups remain critical barriers to public trust. Looking ahead, the future trajectory must transcend simple epidemiology. Expanding bioinformatics into predictive modelling and personalised medicine—using machine learning to tailor targeted antimicrobial therapies against resistant strains—presents an unprecedented opportunity for NHS innovation. To maximise this potential, it is recommended that the NHS accelerates targeted funding into interoperable infrastructure, enforces strict Information Governance oversight via the ICO and CQC (see Appendix B), and decentralises sequencing capabilities to eradicate regional health inequalities. Ultimately, addressing these structural vulnerabilities will ensure that digital genomic networks remain safe, equitable, and sustainable.</w:t>
      </w:r>
    </w:p>
    <w:p w:rsidR="29B4B1D6" w:rsidRDefault="29B4B1D6" w14:paraId="149280D6" w14:textId="45883B57">
      <w:r>
        <w:br w:type="page"/>
      </w:r>
    </w:p>
    <w:p w:rsidR="022FFEEC" w:rsidP="29B4B1D6" w:rsidRDefault="022FFEEC" w14:paraId="186ABB96" w14:textId="49691AB6">
      <w:pPr>
        <w:pStyle w:val="Heading1"/>
        <w:jc w:val="center"/>
        <w:rPr>
          <w:rFonts w:ascii="Arial" w:hAnsi="Arial" w:eastAsia="Arial" w:cs="Arial" w:asciiTheme="minorAscii" w:hAnsiTheme="minorAscii" w:eastAsiaTheme="minorAscii" w:cstheme="minorAscii"/>
          <w:b w:val="1"/>
          <w:bCs w:val="1"/>
          <w:color w:val="auto"/>
          <w:sz w:val="28"/>
          <w:szCs w:val="28"/>
        </w:rPr>
      </w:pPr>
      <w:r w:rsidRPr="29B4B1D6" w:rsidR="022FFEEC">
        <w:rPr>
          <w:rFonts w:ascii="Arial" w:hAnsi="Arial" w:eastAsia="Arial" w:cs="Arial" w:asciiTheme="minorAscii" w:hAnsiTheme="minorAscii" w:eastAsiaTheme="minorAscii" w:cstheme="minorAscii"/>
          <w:b w:val="1"/>
          <w:bCs w:val="1"/>
          <w:color w:val="auto"/>
          <w:sz w:val="28"/>
          <w:szCs w:val="28"/>
        </w:rPr>
        <w:t>REFERENCE LIST:</w:t>
      </w:r>
      <w:r w:rsidRPr="29B4B1D6" w:rsidR="022FFEEC">
        <w:rPr>
          <w:rFonts w:ascii="Arial" w:hAnsi="Arial" w:eastAsia="Arial" w:cs="Arial" w:asciiTheme="minorAscii" w:hAnsiTheme="minorAscii" w:eastAsiaTheme="minorAscii" w:cstheme="minorAscii"/>
          <w:b w:val="1"/>
          <w:bCs w:val="1"/>
          <w:color w:val="auto"/>
          <w:sz w:val="28"/>
          <w:szCs w:val="28"/>
        </w:rPr>
        <w:t xml:space="preserve"> </w:t>
      </w:r>
    </w:p>
    <w:p w:rsidR="022FFEEC" w:rsidP="29B4B1D6" w:rsidRDefault="022FFEEC" w14:paraId="7E922B7E" w14:textId="53BD954C">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Department for Business, Energy &amp; Industrial Strategy, (BEIS), (2022), </w:t>
      </w:r>
      <w:r w:rsidRPr="5A14FE64" w:rsidR="022FFEEC">
        <w:rPr>
          <w:rFonts w:ascii="Arial" w:hAnsi="Arial" w:eastAsia="Arial" w:cs="Arial" w:asciiTheme="minorAscii" w:hAnsiTheme="minorAscii" w:eastAsiaTheme="minorAscii" w:cstheme="minorAscii"/>
          <w:i w:val="1"/>
          <w:iCs w:val="1"/>
          <w:sz w:val="22"/>
          <w:szCs w:val="22"/>
        </w:rPr>
        <w:t>Intelligent open science: A case study of viral genomic data sharing during the COVID-19 pandemic</w:t>
      </w:r>
      <w:r w:rsidRPr="5A14FE64" w:rsidR="022FFEEC">
        <w:rPr>
          <w:rFonts w:ascii="Arial" w:hAnsi="Arial" w:eastAsia="Arial" w:cs="Arial" w:asciiTheme="minorAscii" w:hAnsiTheme="minorAscii" w:eastAsiaTheme="minorAscii" w:cstheme="minorAscii"/>
          <w:sz w:val="22"/>
          <w:szCs w:val="22"/>
        </w:rPr>
        <w:t xml:space="preserve">, Report prepared by Research Consulting, London: BEIS., Available at: </w:t>
      </w:r>
      <w:hyperlink r:id="Rc508278e349c4da0">
        <w:r w:rsidRPr="5A14FE64" w:rsidR="497EEA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A case study of viral genomic data sharing during the COVID-19 pandemic ,</w:t>
        </w:r>
      </w:hyperlink>
      <w:r w:rsidRPr="5A14FE64" w:rsidR="022FFEEC">
        <w:rPr>
          <w:rFonts w:ascii="Arial" w:hAnsi="Arial" w:eastAsia="Arial" w:cs="Arial" w:asciiTheme="minorAscii" w:hAnsiTheme="minorAscii" w:eastAsiaTheme="minorAscii" w:cstheme="minorAscii"/>
          <w:sz w:val="22"/>
          <w:szCs w:val="22"/>
        </w:rPr>
        <w:t xml:space="preserve"> ,</w:t>
      </w:r>
      <w:r w:rsidRPr="5A14FE64" w:rsidR="022FFEEC">
        <w:rPr>
          <w:rFonts w:ascii="Arial" w:hAnsi="Arial" w:eastAsia="Arial" w:cs="Arial" w:asciiTheme="minorAscii" w:hAnsiTheme="minorAscii" w:eastAsiaTheme="minorAscii" w:cstheme="minorAscii"/>
          <w:sz w:val="22"/>
          <w:szCs w:val="22"/>
        </w:rPr>
        <w:t xml:space="preserve"> (Accessed 13 June 2026), p.3</w:t>
      </w:r>
    </w:p>
    <w:p w:rsidR="022FFEEC" w:rsidP="29B4B1D6" w:rsidRDefault="022FFEEC" w14:paraId="0DD866D7" w14:textId="4FBF7653">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Department of Health and Social Care (DHSC), (2022), </w:t>
      </w:r>
      <w:r w:rsidRPr="5A14FE64" w:rsidR="022FFEEC">
        <w:rPr>
          <w:rFonts w:ascii="Arial" w:hAnsi="Arial" w:eastAsia="Arial" w:cs="Arial" w:asciiTheme="minorAscii" w:hAnsiTheme="minorAscii" w:eastAsiaTheme="minorAscii" w:cstheme="minorAscii"/>
          <w:i w:val="1"/>
          <w:iCs w:val="1"/>
          <w:sz w:val="22"/>
          <w:szCs w:val="22"/>
        </w:rPr>
        <w:t>Data saves lives: reshaping health and social care with data</w:t>
      </w:r>
      <w:r w:rsidRPr="5A14FE64" w:rsidR="022FFEEC">
        <w:rPr>
          <w:rFonts w:ascii="Arial" w:hAnsi="Arial" w:eastAsia="Arial" w:cs="Arial" w:asciiTheme="minorAscii" w:hAnsiTheme="minorAscii" w:eastAsiaTheme="minorAscii" w:cstheme="minorAscii"/>
          <w:sz w:val="22"/>
          <w:szCs w:val="22"/>
        </w:rPr>
        <w:t xml:space="preserve">, London: DHSC., Available at: </w:t>
      </w:r>
      <w:hyperlink r:id="R6131f38b59904354">
        <w:r w:rsidRPr="5A14FE64" w:rsidR="7E84CA78">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Data saves lives: reshaping health and social care with data,</w:t>
        </w:r>
      </w:hyperlink>
      <w:r w:rsidRPr="5A14FE64" w:rsidR="022FFEEC">
        <w:rPr>
          <w:rFonts w:ascii="Arial" w:hAnsi="Arial" w:eastAsia="Arial" w:cs="Arial" w:asciiTheme="minorAscii" w:hAnsiTheme="minorAscii" w:eastAsiaTheme="minorAscii" w:cstheme="minorAscii"/>
          <w:sz w:val="22"/>
          <w:szCs w:val="22"/>
        </w:rPr>
        <w:t xml:space="preserve"> (Accessed 9 June 2026)</w:t>
      </w:r>
    </w:p>
    <w:p w:rsidR="022FFEEC" w:rsidP="29B4B1D6" w:rsidRDefault="022FFEEC" w14:paraId="27800116" w14:textId="25E1A013">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Department of Health and Social Care (DHSC), (2026), </w:t>
      </w:r>
      <w:r w:rsidRPr="5A14FE64" w:rsidR="022FFEEC">
        <w:rPr>
          <w:rFonts w:ascii="Arial" w:hAnsi="Arial" w:eastAsia="Arial" w:cs="Arial" w:asciiTheme="minorAscii" w:hAnsiTheme="minorAscii" w:eastAsiaTheme="minorAscii" w:cstheme="minorAscii"/>
          <w:i w:val="1"/>
          <w:iCs w:val="1"/>
          <w:sz w:val="22"/>
          <w:szCs w:val="22"/>
        </w:rPr>
        <w:t>What Good Looks Like Hub,</w:t>
      </w:r>
      <w:r w:rsidRPr="5A14FE64" w:rsidR="022FFEEC">
        <w:rPr>
          <w:rFonts w:ascii="Arial" w:hAnsi="Arial" w:eastAsia="Arial" w:cs="Arial" w:asciiTheme="minorAscii" w:hAnsiTheme="minorAscii" w:eastAsiaTheme="minorAscii" w:cstheme="minorAscii"/>
          <w:sz w:val="22"/>
          <w:szCs w:val="22"/>
        </w:rPr>
        <w:t xml:space="preserve"> Future NHS, Revised domain: names pending publication, under review for 2026., Available at: </w:t>
      </w:r>
      <w:hyperlink r:id="R59ee7683be7c4f19">
        <w:r w:rsidRPr="5A14FE64" w:rsidR="64794B55">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What Good Looks Like Hub,</w:t>
        </w:r>
      </w:hyperlink>
      <w:r w:rsidRPr="5A14FE64" w:rsidR="022FFEEC">
        <w:rPr>
          <w:rFonts w:ascii="Arial" w:hAnsi="Arial" w:eastAsia="Arial" w:cs="Arial" w:asciiTheme="minorAscii" w:hAnsiTheme="minorAscii" w:eastAsiaTheme="minorAscii" w:cstheme="minorAscii"/>
          <w:sz w:val="22"/>
          <w:szCs w:val="22"/>
        </w:rPr>
        <w:t xml:space="preserve"> (Accessed:12. June 2026)</w:t>
      </w:r>
    </w:p>
    <w:p w:rsidR="022FFEEC" w:rsidP="29B4B1D6" w:rsidRDefault="022FFEEC" w14:paraId="0AD3CF2D" w14:textId="1FF37378">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Discover Applied Sciences, (2025), </w:t>
      </w:r>
      <w:r w:rsidRPr="5A14FE64" w:rsidR="022FFEEC">
        <w:rPr>
          <w:rFonts w:ascii="Arial" w:hAnsi="Arial" w:eastAsia="Arial" w:cs="Arial" w:asciiTheme="minorAscii" w:hAnsiTheme="minorAscii" w:eastAsiaTheme="minorAscii" w:cstheme="minorAscii"/>
          <w:i w:val="1"/>
          <w:iCs w:val="1"/>
          <w:sz w:val="22"/>
          <w:szCs w:val="22"/>
        </w:rPr>
        <w:t>Transforming antimicrobial resistance mitigation: the genomic revolution in one health and public health,</w:t>
      </w:r>
      <w:r w:rsidRPr="5A14FE64" w:rsidR="022FFEEC">
        <w:rPr>
          <w:rFonts w:ascii="Arial" w:hAnsi="Arial" w:eastAsia="Arial" w:cs="Arial" w:asciiTheme="minorAscii" w:hAnsiTheme="minorAscii" w:eastAsiaTheme="minorAscii" w:cstheme="minorAscii"/>
          <w:sz w:val="22"/>
          <w:szCs w:val="22"/>
        </w:rPr>
        <w:t xml:space="preserve"> Discover Applied Sciences, Volume 7, article number 1187 (2025), Available at: </w:t>
      </w:r>
      <w:hyperlink r:id="Rd9199310aab3409a">
        <w:r w:rsidRPr="5A14FE64" w:rsidR="27338AC9">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Transforming antimicrobial resistance mitigation: the genomic revolution in one health and public health,</w:t>
        </w:r>
      </w:hyperlink>
      <w:r w:rsidRPr="5A14FE64" w:rsidR="022FFEEC">
        <w:rPr>
          <w:rFonts w:ascii="Arial" w:hAnsi="Arial" w:eastAsia="Arial" w:cs="Arial" w:asciiTheme="minorAscii" w:hAnsiTheme="minorAscii" w:eastAsiaTheme="minorAscii" w:cstheme="minorAscii"/>
          <w:sz w:val="22"/>
          <w:szCs w:val="22"/>
        </w:rPr>
        <w:t xml:space="preserve"> (Accessed 12 June 2026)</w:t>
      </w:r>
    </w:p>
    <w:p w:rsidR="022FFEEC" w:rsidP="29B4B1D6" w:rsidRDefault="022FFEEC" w14:paraId="6FF4F1EB" w14:textId="4B461B6A">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Food Standards Agency, (2026), </w:t>
      </w:r>
      <w:r w:rsidRPr="5A14FE64" w:rsidR="022FFEEC">
        <w:rPr>
          <w:rFonts w:ascii="Arial" w:hAnsi="Arial" w:eastAsia="Arial" w:cs="Arial" w:asciiTheme="minorAscii" w:hAnsiTheme="minorAscii" w:eastAsiaTheme="minorAscii" w:cstheme="minorAscii"/>
          <w:i w:val="1"/>
          <w:iCs w:val="1"/>
          <w:sz w:val="22"/>
          <w:szCs w:val="22"/>
        </w:rPr>
        <w:t xml:space="preserve">PATH-SAFE: Novel Foodborne Pathogen, and associated antimicrobial resistance, knowledge and surveillance approaches, </w:t>
      </w:r>
      <w:r w:rsidRPr="5A14FE64" w:rsidR="022FFEEC">
        <w:rPr>
          <w:rFonts w:ascii="Arial" w:hAnsi="Arial" w:eastAsia="Arial" w:cs="Arial" w:asciiTheme="minorAscii" w:hAnsiTheme="minorAscii" w:eastAsiaTheme="minorAscii" w:cstheme="minorAscii"/>
          <w:sz w:val="22"/>
          <w:szCs w:val="22"/>
        </w:rPr>
        <w:t xml:space="preserve">Food Standard Agency, Available at: </w:t>
      </w:r>
      <w:hyperlink r:id="Rca5fa01540674d3a">
        <w:r w:rsidRPr="5A14FE64" w:rsidR="41068B5A">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PATH-SAFE: Novel Foodborne Pathogen, and associated antimicrobial resistance, knowledge and surveillance approaches,</w:t>
        </w:r>
      </w:hyperlink>
      <w:r w:rsidRPr="5A14FE64" w:rsidR="022FFEEC">
        <w:rPr>
          <w:rFonts w:ascii="Arial" w:hAnsi="Arial" w:eastAsia="Arial" w:cs="Arial" w:asciiTheme="minorAscii" w:hAnsiTheme="minorAscii" w:eastAsiaTheme="minorAscii" w:cstheme="minorAscii"/>
          <w:sz w:val="22"/>
          <w:szCs w:val="22"/>
        </w:rPr>
        <w:t xml:space="preserve"> (Accessed 10 June 2026)</w:t>
      </w:r>
    </w:p>
    <w:p w:rsidR="022FFEEC" w:rsidP="29B4B1D6" w:rsidRDefault="022FFEEC" w14:paraId="598D9D69" w14:textId="0AD3BF44">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Green, E.D, Gunter, C., Biesecker, L.G, Di Francesco, V., Easter, C.L., Feingold, E.A., </w:t>
      </w:r>
      <w:r w:rsidRPr="5A14FE64" w:rsidR="022FFEEC">
        <w:rPr>
          <w:rFonts w:ascii="Arial" w:hAnsi="Arial" w:eastAsia="Arial" w:cs="Arial" w:asciiTheme="minorAscii" w:hAnsiTheme="minorAscii" w:eastAsiaTheme="minorAscii" w:cstheme="minorAscii"/>
          <w:sz w:val="22"/>
          <w:szCs w:val="22"/>
        </w:rPr>
        <w:t>Felsenfeld</w:t>
      </w:r>
      <w:r w:rsidRPr="5A14FE64" w:rsidR="022FFEEC">
        <w:rPr>
          <w:rFonts w:ascii="Arial" w:hAnsi="Arial" w:eastAsia="Arial" w:cs="Arial" w:asciiTheme="minorAscii" w:hAnsiTheme="minorAscii" w:eastAsiaTheme="minorAscii" w:cstheme="minorAscii"/>
          <w:sz w:val="22"/>
          <w:szCs w:val="22"/>
        </w:rPr>
        <w:t xml:space="preserve">, A.L., Kaufman, D.J., Ostrander, E.A., Pavan, W.J., Phillippy, A.M., Wise, A. L., Dayal, J.G., Kish, B.J., Mandich, A., Wellington, C.R., </w:t>
      </w:r>
      <w:r w:rsidRPr="5A14FE64" w:rsidR="022FFEEC">
        <w:rPr>
          <w:rFonts w:ascii="Arial" w:hAnsi="Arial" w:eastAsia="Arial" w:cs="Arial" w:asciiTheme="minorAscii" w:hAnsiTheme="minorAscii" w:eastAsiaTheme="minorAscii" w:cstheme="minorAscii"/>
          <w:sz w:val="22"/>
          <w:szCs w:val="22"/>
        </w:rPr>
        <w:t>Wetterstrand</w:t>
      </w:r>
      <w:r w:rsidRPr="5A14FE64" w:rsidR="022FFEEC">
        <w:rPr>
          <w:rFonts w:ascii="Arial" w:hAnsi="Arial" w:eastAsia="Arial" w:cs="Arial" w:asciiTheme="minorAscii" w:hAnsiTheme="minorAscii" w:eastAsiaTheme="minorAscii" w:cstheme="minorAscii"/>
          <w:sz w:val="22"/>
          <w:szCs w:val="22"/>
        </w:rPr>
        <w:t xml:space="preserve">, K.A., Bates, S.A., Leja, D., Vasquez, S., Gahl, W.A., Graham, B.J., Kastner, D.L., Liu, P., Rodriguez, L.L., Solomon, B.D., Bonham, V.L., Brody, L.C., Hutter, C.M, Manolio, T.A., (2020), </w:t>
      </w:r>
      <w:r w:rsidRPr="5A14FE64" w:rsidR="022FFEEC">
        <w:rPr>
          <w:rFonts w:ascii="Arial" w:hAnsi="Arial" w:eastAsia="Arial" w:cs="Arial" w:asciiTheme="minorAscii" w:hAnsiTheme="minorAscii" w:eastAsiaTheme="minorAscii" w:cstheme="minorAscii"/>
          <w:i w:val="1"/>
          <w:iCs w:val="1"/>
          <w:sz w:val="22"/>
          <w:szCs w:val="22"/>
        </w:rPr>
        <w:t>Strategic vision for improving human health at The Forefront of Genomics</w:t>
      </w:r>
      <w:r w:rsidRPr="5A14FE64" w:rsidR="022FFEEC">
        <w:rPr>
          <w:rFonts w:ascii="Arial" w:hAnsi="Arial" w:eastAsia="Arial" w:cs="Arial" w:asciiTheme="minorAscii" w:hAnsiTheme="minorAscii" w:eastAsiaTheme="minorAscii" w:cstheme="minorAscii"/>
          <w:sz w:val="22"/>
          <w:szCs w:val="22"/>
        </w:rPr>
        <w:t xml:space="preserve">, Nature, 2020 Oct;586(7831):683-692., National Library of Medicine, Available at: </w:t>
      </w:r>
      <w:hyperlink r:id="R19dcd1beabde4d77">
        <w:r w:rsidRPr="5A14FE64" w:rsidR="0E711294">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Strategic vision for improving human health at The Forefront of Genomics,</w:t>
        </w:r>
      </w:hyperlink>
      <w:r w:rsidRPr="5A14FE64" w:rsidR="0E711294">
        <w:rPr>
          <w:rFonts w:ascii="Arial" w:hAnsi="Arial" w:eastAsia="Arial" w:cs="Arial" w:asciiTheme="minorAscii" w:hAnsiTheme="minorAscii" w:eastAsiaTheme="minorAscii" w:cstheme="minorAscii"/>
          <w:sz w:val="22"/>
          <w:szCs w:val="22"/>
        </w:rPr>
        <w:t xml:space="preserve"> </w:t>
      </w:r>
      <w:r w:rsidRPr="5A14FE64" w:rsidR="022FFEEC">
        <w:rPr>
          <w:rFonts w:ascii="Arial" w:hAnsi="Arial" w:eastAsia="Arial" w:cs="Arial" w:asciiTheme="minorAscii" w:hAnsiTheme="minorAscii" w:eastAsiaTheme="minorAscii" w:cstheme="minorAscii"/>
          <w:sz w:val="22"/>
          <w:szCs w:val="22"/>
        </w:rPr>
        <w:t xml:space="preserve"> (Accessed 10 June 2026) </w:t>
      </w:r>
    </w:p>
    <w:p w:rsidR="022FFEEC" w:rsidP="29B4B1D6" w:rsidRDefault="022FFEEC" w14:paraId="30C3DB44" w14:textId="05E59EF0">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Hellwig, L.D., Turner, C., O'Neill, S.C., (2019), </w:t>
      </w:r>
      <w:r w:rsidRPr="5A14FE64" w:rsidR="022FFEEC">
        <w:rPr>
          <w:rFonts w:ascii="Arial" w:hAnsi="Arial" w:eastAsia="Arial" w:cs="Arial" w:asciiTheme="minorAscii" w:hAnsiTheme="minorAscii" w:eastAsiaTheme="minorAscii" w:cstheme="minorAscii"/>
          <w:i w:val="1"/>
          <w:iCs w:val="1"/>
          <w:sz w:val="22"/>
          <w:szCs w:val="22"/>
        </w:rPr>
        <w:t>Patient-</w:t>
      </w:r>
      <w:r w:rsidRPr="5A14FE64" w:rsidR="022FFEEC">
        <w:rPr>
          <w:rFonts w:ascii="Arial" w:hAnsi="Arial" w:eastAsia="Arial" w:cs="Arial" w:asciiTheme="minorAscii" w:hAnsiTheme="minorAscii" w:eastAsiaTheme="minorAscii" w:cstheme="minorAscii"/>
          <w:i w:val="1"/>
          <w:iCs w:val="1"/>
          <w:sz w:val="22"/>
          <w:szCs w:val="22"/>
        </w:rPr>
        <w:t>centered</w:t>
      </w:r>
      <w:r w:rsidRPr="5A14FE64" w:rsidR="022FFEEC">
        <w:rPr>
          <w:rFonts w:ascii="Arial" w:hAnsi="Arial" w:eastAsia="Arial" w:cs="Arial" w:asciiTheme="minorAscii" w:hAnsiTheme="minorAscii" w:eastAsiaTheme="minorAscii" w:cstheme="minorAscii"/>
          <w:i w:val="1"/>
          <w:iCs w:val="1"/>
          <w:sz w:val="22"/>
          <w:szCs w:val="22"/>
        </w:rPr>
        <w:t xml:space="preserve"> care and genomic medicine: A qualitative provider study in the military health system,</w:t>
      </w:r>
      <w:r w:rsidRPr="5A14FE64" w:rsidR="022FFEEC">
        <w:rPr>
          <w:rFonts w:ascii="Arial" w:hAnsi="Arial" w:eastAsia="Arial" w:cs="Arial" w:asciiTheme="minorAscii" w:hAnsiTheme="minorAscii" w:eastAsiaTheme="minorAscii" w:cstheme="minorAscii"/>
          <w:sz w:val="22"/>
          <w:szCs w:val="22"/>
        </w:rPr>
        <w:t xml:space="preserve"> Pub Med, National Library of Medicine, Available at: </w:t>
      </w:r>
      <w:hyperlink r:id="R12427f64ac934b14">
        <w:r w:rsidRPr="5A14FE64" w:rsidR="6D23DBCB">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Patient-centered care and genomic medicine,</w:t>
        </w:r>
      </w:hyperlink>
      <w:r w:rsidRPr="5A14FE64" w:rsidR="022FFEEC">
        <w:rPr>
          <w:rFonts w:ascii="Arial" w:hAnsi="Arial" w:eastAsia="Arial" w:cs="Arial" w:asciiTheme="minorAscii" w:hAnsiTheme="minorAscii" w:eastAsiaTheme="minorAscii" w:cstheme="minorAscii"/>
          <w:sz w:val="22"/>
          <w:szCs w:val="22"/>
        </w:rPr>
        <w:t xml:space="preserve"> (Accessed 10 June 2026)</w:t>
      </w:r>
    </w:p>
    <w:p w:rsidR="022FFEEC" w:rsidP="29B4B1D6" w:rsidRDefault="022FFEEC" w14:paraId="5152A7F9" w14:textId="569061D4">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Information Commissioner’s Office (ICO), (2023),</w:t>
      </w:r>
      <w:r w:rsidRPr="5A14FE64" w:rsidR="022FFEEC">
        <w:rPr>
          <w:rFonts w:ascii="Arial" w:hAnsi="Arial" w:eastAsia="Arial" w:cs="Arial" w:asciiTheme="minorAscii" w:hAnsiTheme="minorAscii" w:eastAsiaTheme="minorAscii" w:cstheme="minorAscii"/>
          <w:i w:val="1"/>
          <w:iCs w:val="1"/>
          <w:sz w:val="22"/>
          <w:szCs w:val="22"/>
        </w:rPr>
        <w:t xml:space="preserve"> Data protection principles - guidance and resources, </w:t>
      </w:r>
      <w:r w:rsidRPr="5A14FE64" w:rsidR="022FFEEC">
        <w:rPr>
          <w:rFonts w:ascii="Arial" w:hAnsi="Arial" w:eastAsia="Arial" w:cs="Arial" w:asciiTheme="minorAscii" w:hAnsiTheme="minorAscii" w:eastAsiaTheme="minorAscii" w:cstheme="minorAscii"/>
          <w:sz w:val="22"/>
          <w:szCs w:val="22"/>
        </w:rPr>
        <w:t>Available at:</w:t>
      </w:r>
      <w:hyperlink r:id="R53dd13920cd34b45">
        <w:r w:rsidRPr="5A14FE64" w:rsidR="1A7023AE">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UK GDPR guidance and resources,</w:t>
        </w:r>
      </w:hyperlink>
      <w:r w:rsidRPr="5A14FE64" w:rsidR="022FFEEC">
        <w:rPr>
          <w:rFonts w:ascii="Arial" w:hAnsi="Arial" w:eastAsia="Arial" w:cs="Arial" w:asciiTheme="minorAscii" w:hAnsiTheme="minorAscii" w:eastAsiaTheme="minorAscii" w:cstheme="minorAscii"/>
          <w:sz w:val="22"/>
          <w:szCs w:val="22"/>
        </w:rPr>
        <w:t xml:space="preserve"> (Accessed: 5. June 2026)</w:t>
      </w:r>
    </w:p>
    <w:p w:rsidR="022FFEEC" w:rsidP="29B4B1D6" w:rsidRDefault="022FFEEC" w14:paraId="0AD71129" w14:textId="51C2E8E0">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Liu X.M., and Zhang W., (2024), </w:t>
      </w:r>
      <w:r w:rsidRPr="5A14FE64" w:rsidR="022FFEEC">
        <w:rPr>
          <w:rFonts w:ascii="Arial" w:hAnsi="Arial" w:eastAsia="Arial" w:cs="Arial" w:asciiTheme="minorAscii" w:hAnsiTheme="minorAscii" w:eastAsiaTheme="minorAscii" w:cstheme="minorAscii"/>
          <w:i w:val="1"/>
          <w:iCs w:val="1"/>
          <w:sz w:val="22"/>
          <w:szCs w:val="22"/>
        </w:rPr>
        <w:t>Bioinformatics in the age of big data: leveraging computational tools for biological discoveries,</w:t>
      </w:r>
      <w:r w:rsidRPr="5A14FE64" w:rsidR="022FFEEC">
        <w:rPr>
          <w:rFonts w:ascii="Arial" w:hAnsi="Arial" w:eastAsia="Arial" w:cs="Arial" w:asciiTheme="minorAscii" w:hAnsiTheme="minorAscii" w:eastAsiaTheme="minorAscii" w:cstheme="minorAscii"/>
          <w:sz w:val="22"/>
          <w:szCs w:val="22"/>
        </w:rPr>
        <w:t xml:space="preserve"> Computational Molecular Biology, 14(4), Available at: </w:t>
      </w:r>
      <w:hyperlink r:id="R0b1356f20fc74cc8">
        <w:r w:rsidRPr="5A14FE64" w:rsidR="5268F592">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Bioinformatics in the Age of Big Data: Leveraging Computational ToolsforBiological Discoveries,</w:t>
        </w:r>
      </w:hyperlink>
      <w:r w:rsidRPr="5A14FE64" w:rsidR="022FFEEC">
        <w:rPr>
          <w:rFonts w:ascii="Arial" w:hAnsi="Arial" w:eastAsia="Arial" w:cs="Arial" w:asciiTheme="minorAscii" w:hAnsiTheme="minorAscii" w:eastAsiaTheme="minorAscii" w:cstheme="minorAscii"/>
          <w:sz w:val="22"/>
          <w:szCs w:val="22"/>
        </w:rPr>
        <w:t xml:space="preserve"> (Accessed 13 June 2026), pp.173-181</w:t>
      </w:r>
    </w:p>
    <w:p w:rsidR="022FFEEC" w:rsidP="29B4B1D6" w:rsidRDefault="022FFEEC" w14:paraId="4719FC17" w14:textId="4C05A138">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Marjanovic. S., Romanelli. R.J., Ali. G.C., Leach. B., Bonsu. M., Rodriguez-Rincon. D., Ling. T., (2022),</w:t>
      </w:r>
      <w:r w:rsidRPr="5A14FE64" w:rsidR="022FFEEC">
        <w:rPr>
          <w:rFonts w:ascii="Arial" w:hAnsi="Arial" w:eastAsia="Arial" w:cs="Arial" w:asciiTheme="minorAscii" w:hAnsiTheme="minorAscii" w:eastAsiaTheme="minorAscii" w:cstheme="minorAscii"/>
          <w:i w:val="1"/>
          <w:iCs w:val="1"/>
          <w:sz w:val="22"/>
          <w:szCs w:val="22"/>
        </w:rPr>
        <w:t xml:space="preserve"> COVID-19 Genomics UK (COG-UK) Consortium: Final Report,</w:t>
      </w:r>
      <w:r w:rsidRPr="5A14FE64" w:rsidR="022FFEEC">
        <w:rPr>
          <w:rFonts w:ascii="Arial" w:hAnsi="Arial" w:eastAsia="Arial" w:cs="Arial" w:asciiTheme="minorAscii" w:hAnsiTheme="minorAscii" w:eastAsiaTheme="minorAscii" w:cstheme="minorAscii"/>
          <w:sz w:val="22"/>
          <w:szCs w:val="22"/>
        </w:rPr>
        <w:t xml:space="preserve"> Rand Health Q. 2022 Aug 31;9(4), Pub Med Central, National Library of Medicine, Available at: </w:t>
      </w:r>
      <w:hyperlink r:id="R8d42f73000a74d52">
        <w:r w:rsidRPr="5A14FE64" w:rsidR="4563BF78">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COVID-19 Genomics UK (COG-UK) Consortium: Final Report,</w:t>
        </w:r>
      </w:hyperlink>
      <w:r w:rsidRPr="5A14FE64" w:rsidR="022FFEEC">
        <w:rPr>
          <w:rFonts w:ascii="Arial" w:hAnsi="Arial" w:eastAsia="Arial" w:cs="Arial" w:asciiTheme="minorAscii" w:hAnsiTheme="minorAscii" w:eastAsiaTheme="minorAscii" w:cstheme="minorAscii"/>
          <w:sz w:val="22"/>
          <w:szCs w:val="22"/>
        </w:rPr>
        <w:t xml:space="preserve"> (Accessed 11 June 2026)</w:t>
      </w:r>
    </w:p>
    <w:p w:rsidR="022FFEEC" w:rsidP="29B4B1D6" w:rsidRDefault="022FFEEC" w14:paraId="5D6A440A" w14:textId="52D66C44">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Mukamurera</w:t>
      </w:r>
      <w:r w:rsidRPr="5A14FE64" w:rsidR="022FFEEC">
        <w:rPr>
          <w:rFonts w:ascii="Arial" w:hAnsi="Arial" w:eastAsia="Arial" w:cs="Arial" w:asciiTheme="minorAscii" w:hAnsiTheme="minorAscii" w:eastAsiaTheme="minorAscii" w:cstheme="minorAscii"/>
          <w:sz w:val="22"/>
          <w:szCs w:val="22"/>
        </w:rPr>
        <w:t xml:space="preserve">, N., (2024), </w:t>
      </w:r>
      <w:r w:rsidRPr="5A14FE64" w:rsidR="022FFEEC">
        <w:rPr>
          <w:rFonts w:ascii="Arial" w:hAnsi="Arial" w:eastAsia="Arial" w:cs="Arial" w:asciiTheme="minorAscii" w:hAnsiTheme="minorAscii" w:eastAsiaTheme="minorAscii" w:cstheme="minorAscii"/>
          <w:i w:val="1"/>
          <w:iCs w:val="1"/>
          <w:sz w:val="22"/>
          <w:szCs w:val="22"/>
        </w:rPr>
        <w:t>The Role of Genomics in Infectious Disease Control,</w:t>
      </w:r>
      <w:r w:rsidRPr="5A14FE64" w:rsidR="022FFEEC">
        <w:rPr>
          <w:rFonts w:ascii="Arial" w:hAnsi="Arial" w:eastAsia="Arial" w:cs="Arial" w:asciiTheme="minorAscii" w:hAnsiTheme="minorAscii" w:eastAsiaTheme="minorAscii" w:cstheme="minorAscii"/>
          <w:sz w:val="22"/>
          <w:szCs w:val="22"/>
        </w:rPr>
        <w:t xml:space="preserve"> Research Gate, Available at: </w:t>
      </w:r>
      <w:hyperlink r:id="R8579294ae8f14ae9">
        <w:r w:rsidRPr="5A14FE64" w:rsidR="41B6F21E">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The Role of Genomics in Infectious Disease Control,</w:t>
        </w:r>
      </w:hyperlink>
      <w:r w:rsidRPr="5A14FE64" w:rsidR="022FFEEC">
        <w:rPr>
          <w:rFonts w:ascii="Arial" w:hAnsi="Arial" w:eastAsia="Arial" w:cs="Arial" w:asciiTheme="minorAscii" w:hAnsiTheme="minorAscii" w:eastAsiaTheme="minorAscii" w:cstheme="minorAscii"/>
          <w:sz w:val="22"/>
          <w:szCs w:val="22"/>
        </w:rPr>
        <w:t xml:space="preserve"> (Accessed 11 June 2026)</w:t>
      </w:r>
    </w:p>
    <w:p w:rsidR="022FFEEC" w:rsidP="29B4B1D6" w:rsidRDefault="022FFEEC" w14:paraId="1B85AABC" w14:textId="05987E6B">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Nature Portfolio, (2026), </w:t>
      </w:r>
      <w:r w:rsidRPr="5A14FE64" w:rsidR="022FFEEC">
        <w:rPr>
          <w:rFonts w:ascii="Arial" w:hAnsi="Arial" w:eastAsia="Arial" w:cs="Arial" w:asciiTheme="minorAscii" w:hAnsiTheme="minorAscii" w:eastAsiaTheme="minorAscii" w:cstheme="minorAscii"/>
          <w:i w:val="1"/>
          <w:iCs w:val="1"/>
          <w:sz w:val="22"/>
          <w:szCs w:val="22"/>
        </w:rPr>
        <w:t xml:space="preserve">Computational biology and mathematical modelling of biological systems, </w:t>
      </w:r>
      <w:r w:rsidRPr="5A14FE64" w:rsidR="022FFEEC">
        <w:rPr>
          <w:rFonts w:ascii="Arial" w:hAnsi="Arial" w:eastAsia="Arial" w:cs="Arial" w:asciiTheme="minorAscii" w:hAnsiTheme="minorAscii" w:eastAsiaTheme="minorAscii" w:cstheme="minorAscii"/>
          <w:sz w:val="22"/>
          <w:szCs w:val="22"/>
        </w:rPr>
        <w:t xml:space="preserve">Guest Edited by Brunner. G., Cheng, R. H., and </w:t>
      </w:r>
      <w:r w:rsidRPr="5A14FE64" w:rsidR="022FFEEC">
        <w:rPr>
          <w:rFonts w:ascii="Arial" w:hAnsi="Arial" w:eastAsia="Arial" w:cs="Arial" w:asciiTheme="minorAscii" w:hAnsiTheme="minorAscii" w:eastAsiaTheme="minorAscii" w:cstheme="minorAscii"/>
          <w:sz w:val="22"/>
          <w:szCs w:val="22"/>
        </w:rPr>
        <w:t>Kirmizialtin</w:t>
      </w:r>
      <w:r w:rsidRPr="5A14FE64" w:rsidR="022FFEEC">
        <w:rPr>
          <w:rFonts w:ascii="Arial" w:hAnsi="Arial" w:eastAsia="Arial" w:cs="Arial" w:asciiTheme="minorAscii" w:hAnsiTheme="minorAscii" w:eastAsiaTheme="minorAscii" w:cstheme="minorAscii"/>
          <w:sz w:val="22"/>
          <w:szCs w:val="22"/>
        </w:rPr>
        <w:t xml:space="preserve">. S., London: Springer Nature., Available at: </w:t>
      </w:r>
      <w:hyperlink r:id="R25415f067d74482f">
        <w:r w:rsidRPr="5A14FE64" w:rsidR="6667FD29">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Computational biology and mathematical modelling of biological systems,</w:t>
        </w:r>
      </w:hyperlink>
      <w:r w:rsidRPr="5A14FE64" w:rsidR="022FFEEC">
        <w:rPr>
          <w:rFonts w:ascii="Arial" w:hAnsi="Arial" w:eastAsia="Arial" w:cs="Arial" w:asciiTheme="minorAscii" w:hAnsiTheme="minorAscii" w:eastAsiaTheme="minorAscii" w:cstheme="minorAscii"/>
          <w:sz w:val="22"/>
          <w:szCs w:val="22"/>
        </w:rPr>
        <w:t xml:space="preserve"> (Accessed 17 June 2026)</w:t>
      </w:r>
    </w:p>
    <w:p w:rsidR="022FFEEC" w:rsidP="29B4B1D6" w:rsidRDefault="022FFEEC" w14:paraId="49D9C873" w14:textId="12AA3C73">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NHS England, (2026), </w:t>
      </w:r>
      <w:r w:rsidRPr="5A14FE64" w:rsidR="022FFEEC">
        <w:rPr>
          <w:rFonts w:ascii="Arial" w:hAnsi="Arial" w:eastAsia="Arial" w:cs="Arial" w:asciiTheme="minorAscii" w:hAnsiTheme="minorAscii" w:eastAsiaTheme="minorAscii" w:cstheme="minorAscii"/>
          <w:i w:val="1"/>
          <w:iCs w:val="1"/>
          <w:sz w:val="22"/>
          <w:szCs w:val="22"/>
        </w:rPr>
        <w:t xml:space="preserve">Digitising the frontline, </w:t>
      </w:r>
      <w:r w:rsidRPr="5A14FE64" w:rsidR="022FFEEC">
        <w:rPr>
          <w:rFonts w:ascii="Arial" w:hAnsi="Arial" w:eastAsia="Arial" w:cs="Arial" w:asciiTheme="minorAscii" w:hAnsiTheme="minorAscii" w:eastAsiaTheme="minorAscii" w:cstheme="minorAscii"/>
          <w:sz w:val="22"/>
          <w:szCs w:val="22"/>
        </w:rPr>
        <w:t xml:space="preserve">London: NHS England, Available at: </w:t>
      </w:r>
      <w:hyperlink r:id="R1f48d06a3a82482a">
        <w:r w:rsidRPr="5A14FE64" w:rsidR="6D95A71E">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Digitising the frontline,</w:t>
        </w:r>
      </w:hyperlink>
      <w:r w:rsidRPr="5A14FE64" w:rsidR="022FFEEC">
        <w:rPr>
          <w:rFonts w:ascii="Arial" w:hAnsi="Arial" w:eastAsia="Arial" w:cs="Arial" w:asciiTheme="minorAscii" w:hAnsiTheme="minorAscii" w:eastAsiaTheme="minorAscii" w:cstheme="minorAscii"/>
          <w:sz w:val="22"/>
          <w:szCs w:val="22"/>
        </w:rPr>
        <w:t xml:space="preserve"> (Accessed 11 June 2026)</w:t>
      </w:r>
    </w:p>
    <w:p w:rsidR="022FFEEC" w:rsidP="29B4B1D6" w:rsidRDefault="022FFEEC" w14:paraId="6346F40C" w14:textId="67418B6F">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PHG Foundation, </w:t>
      </w:r>
      <w:r w:rsidRPr="5A14FE64" w:rsidR="64735052">
        <w:rPr>
          <w:rFonts w:ascii="Arial" w:hAnsi="Arial" w:eastAsia="Arial" w:cs="Arial" w:asciiTheme="minorAscii" w:hAnsiTheme="minorAscii" w:eastAsiaTheme="minorAscii" w:cstheme="minorAscii"/>
          <w:sz w:val="22"/>
          <w:szCs w:val="22"/>
        </w:rPr>
        <w:t>(</w:t>
      </w:r>
      <w:r w:rsidRPr="5A14FE64" w:rsidR="022FFEEC">
        <w:rPr>
          <w:rFonts w:ascii="Arial" w:hAnsi="Arial" w:eastAsia="Arial" w:cs="Arial" w:asciiTheme="minorAscii" w:hAnsiTheme="minorAscii" w:eastAsiaTheme="minorAscii" w:cstheme="minorAscii"/>
          <w:sz w:val="22"/>
          <w:szCs w:val="22"/>
        </w:rPr>
        <w:t>2025</w:t>
      </w:r>
      <w:r w:rsidRPr="5A14FE64" w:rsidR="11AF1008">
        <w:rPr>
          <w:rFonts w:ascii="Arial" w:hAnsi="Arial" w:eastAsia="Arial" w:cs="Arial" w:asciiTheme="minorAscii" w:hAnsiTheme="minorAscii" w:eastAsiaTheme="minorAscii" w:cstheme="minorAscii"/>
          <w:sz w:val="22"/>
          <w:szCs w:val="22"/>
        </w:rPr>
        <w:t>),</w:t>
      </w:r>
      <w:r w:rsidRPr="5A14FE64" w:rsidR="022FFEEC">
        <w:rPr>
          <w:rFonts w:ascii="Arial" w:hAnsi="Arial" w:eastAsia="Arial" w:cs="Arial" w:asciiTheme="minorAscii" w:hAnsiTheme="minorAscii" w:eastAsiaTheme="minorAscii" w:cstheme="minorAscii"/>
          <w:sz w:val="22"/>
          <w:szCs w:val="22"/>
        </w:rPr>
        <w:t xml:space="preserve"> </w:t>
      </w:r>
      <w:r w:rsidRPr="5A14FE64" w:rsidR="022FFEEC">
        <w:rPr>
          <w:rFonts w:ascii="Arial" w:hAnsi="Arial" w:eastAsia="Arial" w:cs="Arial" w:asciiTheme="minorAscii" w:hAnsiTheme="minorAscii" w:eastAsiaTheme="minorAscii" w:cstheme="minorAscii"/>
          <w:i w:val="1"/>
          <w:iCs w:val="1"/>
          <w:sz w:val="22"/>
          <w:szCs w:val="22"/>
        </w:rPr>
        <w:t>Metagenomic sequencing in public health – can long read sequencing be used to tackle antimicrobial resistance,</w:t>
      </w:r>
      <w:r w:rsidRPr="5A14FE64" w:rsidR="022FFEEC">
        <w:rPr>
          <w:rFonts w:ascii="Arial" w:hAnsi="Arial" w:eastAsia="Arial" w:cs="Arial" w:asciiTheme="minorAscii" w:hAnsiTheme="minorAscii" w:eastAsiaTheme="minorAscii" w:cstheme="minorAscii"/>
          <w:sz w:val="22"/>
          <w:szCs w:val="22"/>
        </w:rPr>
        <w:t xml:space="preserve"> Making Science work for Health, Cambridge: University of Cambridge, Available at: </w:t>
      </w:r>
      <w:hyperlink r:id="Rf8686f82ba6e430b">
        <w:r w:rsidRPr="5A14FE64" w:rsidR="5ADAEAE8">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Metagenomic sequencing in public health – can long read sequencing be used to tackle antimicrobial resistance,</w:t>
        </w:r>
      </w:hyperlink>
      <w:r w:rsidRPr="5A14FE64" w:rsidR="5ADAEAE8">
        <w:rPr>
          <w:rFonts w:ascii="Arial" w:hAnsi="Arial" w:eastAsia="Arial" w:cs="Arial" w:asciiTheme="minorAscii" w:hAnsiTheme="minorAscii" w:eastAsiaTheme="minorAscii" w:cstheme="minorAscii"/>
          <w:noProof w:val="0"/>
          <w:sz w:val="22"/>
          <w:szCs w:val="22"/>
          <w:lang w:val="en-GB"/>
        </w:rPr>
        <w:t xml:space="preserve"> </w:t>
      </w:r>
      <w:r w:rsidRPr="5A14FE64" w:rsidR="022FFEEC">
        <w:rPr>
          <w:rFonts w:ascii="Arial" w:hAnsi="Arial" w:eastAsia="Arial" w:cs="Arial" w:asciiTheme="minorAscii" w:hAnsiTheme="minorAscii" w:eastAsiaTheme="minorAscii" w:cstheme="minorAscii"/>
          <w:sz w:val="22"/>
          <w:szCs w:val="22"/>
        </w:rPr>
        <w:t>(Accessed 22 June 2026)</w:t>
      </w:r>
    </w:p>
    <w:p w:rsidR="022FFEEC" w:rsidP="29B4B1D6" w:rsidRDefault="022FFEEC" w14:paraId="097B0FC6" w14:textId="6F5DC2CA">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UKHSA, (2024), </w:t>
      </w:r>
      <w:r w:rsidRPr="5A14FE64" w:rsidR="022FFEEC">
        <w:rPr>
          <w:rFonts w:ascii="Arial" w:hAnsi="Arial" w:eastAsia="Arial" w:cs="Arial" w:asciiTheme="minorAscii" w:hAnsiTheme="minorAscii" w:eastAsiaTheme="minorAscii" w:cstheme="minorAscii"/>
          <w:i w:val="1"/>
          <w:iCs w:val="1"/>
          <w:sz w:val="22"/>
          <w:szCs w:val="22"/>
        </w:rPr>
        <w:t xml:space="preserve">Pathogen Genomics Strategy, </w:t>
      </w:r>
      <w:r w:rsidRPr="5A14FE64" w:rsidR="022FFEEC">
        <w:rPr>
          <w:rFonts w:ascii="Arial" w:hAnsi="Arial" w:eastAsia="Arial" w:cs="Arial" w:asciiTheme="minorAscii" w:hAnsiTheme="minorAscii" w:eastAsiaTheme="minorAscii" w:cstheme="minorAscii"/>
          <w:sz w:val="22"/>
          <w:szCs w:val="22"/>
        </w:rPr>
        <w:t xml:space="preserve">UK Health Security Agency, Available at: </w:t>
      </w:r>
      <w:hyperlink r:id="R35fb2418b75e4315">
        <w:r w:rsidRPr="5A14FE64" w:rsidR="16F19BC9">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Pathogen Genomics Strategy,</w:t>
        </w:r>
      </w:hyperlink>
      <w:r w:rsidRPr="5A14FE64" w:rsidR="16F19BC9">
        <w:rPr>
          <w:rFonts w:ascii="Arial" w:hAnsi="Arial" w:eastAsia="Arial" w:cs="Arial" w:asciiTheme="minorAscii" w:hAnsiTheme="minorAscii" w:eastAsiaTheme="minorAscii" w:cstheme="minorAscii"/>
          <w:sz w:val="22"/>
          <w:szCs w:val="22"/>
        </w:rPr>
        <w:t xml:space="preserve"> </w:t>
      </w:r>
      <w:r w:rsidRPr="5A14FE64" w:rsidR="022FFEEC">
        <w:rPr>
          <w:rFonts w:ascii="Arial" w:hAnsi="Arial" w:eastAsia="Arial" w:cs="Arial" w:asciiTheme="minorAscii" w:hAnsiTheme="minorAscii" w:eastAsiaTheme="minorAscii" w:cstheme="minorAscii"/>
          <w:sz w:val="22"/>
          <w:szCs w:val="22"/>
        </w:rPr>
        <w:t>(Accessed: 5. June 2026)</w:t>
      </w:r>
    </w:p>
    <w:p w:rsidR="022FFEEC" w:rsidP="29B4B1D6" w:rsidRDefault="022FFEEC" w14:paraId="5BD2DA55" w14:textId="2EBC45E7">
      <w:pPr>
        <w:pStyle w:val="Normal"/>
        <w:spacing w:line="360" w:lineRule="auto"/>
        <w:jc w:val="both"/>
        <w:rPr>
          <w:rFonts w:ascii="Arial" w:hAnsi="Arial" w:eastAsia="Arial" w:cs="Arial" w:asciiTheme="minorAscii" w:hAnsiTheme="minorAscii" w:eastAsiaTheme="minorAscii" w:cstheme="minorAscii"/>
          <w:sz w:val="22"/>
          <w:szCs w:val="22"/>
        </w:rPr>
      </w:pPr>
      <w:r w:rsidRPr="5A14FE64" w:rsidR="022FFEEC">
        <w:rPr>
          <w:rFonts w:ascii="Arial" w:hAnsi="Arial" w:eastAsia="Arial" w:cs="Arial" w:asciiTheme="minorAscii" w:hAnsiTheme="minorAscii" w:eastAsiaTheme="minorAscii" w:cstheme="minorAscii"/>
          <w:sz w:val="22"/>
          <w:szCs w:val="22"/>
        </w:rPr>
        <w:t xml:space="preserve">UKHSA, (2023), </w:t>
      </w:r>
      <w:r w:rsidRPr="5A14FE64" w:rsidR="022FFEEC">
        <w:rPr>
          <w:rFonts w:ascii="Arial" w:hAnsi="Arial" w:eastAsia="Arial" w:cs="Arial" w:asciiTheme="minorAscii" w:hAnsiTheme="minorAscii" w:eastAsiaTheme="minorAscii" w:cstheme="minorAscii"/>
          <w:i w:val="1"/>
          <w:iCs w:val="1"/>
          <w:sz w:val="22"/>
          <w:szCs w:val="22"/>
        </w:rPr>
        <w:t>UKHSA Strategic Plan 2023 to 2026,</w:t>
      </w:r>
      <w:r w:rsidRPr="5A14FE64" w:rsidR="022FFEEC">
        <w:rPr>
          <w:rFonts w:ascii="Arial" w:hAnsi="Arial" w:eastAsia="Arial" w:cs="Arial" w:asciiTheme="minorAscii" w:hAnsiTheme="minorAscii" w:eastAsiaTheme="minorAscii" w:cstheme="minorAscii"/>
          <w:sz w:val="22"/>
          <w:szCs w:val="22"/>
        </w:rPr>
        <w:t xml:space="preserve"> UK Health Security Agency, Available at: </w:t>
      </w:r>
      <w:hyperlink r:id="Ra76cb123dda64809">
        <w:r w:rsidRPr="5A14FE64" w:rsidR="0A6224F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UKHSA Strategic Plan 2023 to 2026,</w:t>
        </w:r>
      </w:hyperlink>
      <w:r w:rsidRPr="5A14FE64" w:rsidR="022FFEEC">
        <w:rPr>
          <w:rFonts w:ascii="Arial" w:hAnsi="Arial" w:eastAsia="Arial" w:cs="Arial" w:asciiTheme="minorAscii" w:hAnsiTheme="minorAscii" w:eastAsiaTheme="minorAscii" w:cstheme="minorAscii"/>
          <w:sz w:val="22"/>
          <w:szCs w:val="22"/>
        </w:rPr>
        <w:t xml:space="preserve"> (Accessed 10 June 2026), p.7, 9</w:t>
      </w:r>
    </w:p>
    <w:p w:rsidR="022FFEEC" w:rsidP="29B4B1D6" w:rsidRDefault="022FFEEC" w14:paraId="211C665D" w14:textId="3059531C">
      <w:pPr>
        <w:pStyle w:val="Normal"/>
        <w:spacing w:line="360" w:lineRule="auto"/>
        <w:jc w:val="both"/>
      </w:pPr>
      <w:r w:rsidRPr="5A14FE64" w:rsidR="022FFEEC">
        <w:rPr>
          <w:rFonts w:ascii="Arial" w:hAnsi="Arial" w:eastAsia="Arial" w:cs="Arial" w:asciiTheme="minorAscii" w:hAnsiTheme="minorAscii" w:eastAsiaTheme="minorAscii" w:cstheme="minorAscii"/>
          <w:sz w:val="22"/>
          <w:szCs w:val="22"/>
        </w:rPr>
        <w:t xml:space="preserve">WHO, (2022), </w:t>
      </w:r>
      <w:r w:rsidRPr="5A14FE64" w:rsidR="022FFEEC">
        <w:rPr>
          <w:rFonts w:ascii="Arial" w:hAnsi="Arial" w:eastAsia="Arial" w:cs="Arial" w:asciiTheme="minorAscii" w:hAnsiTheme="minorAscii" w:eastAsiaTheme="minorAscii" w:cstheme="minorAscii"/>
          <w:i w:val="1"/>
          <w:iCs w:val="1"/>
          <w:sz w:val="22"/>
          <w:szCs w:val="22"/>
        </w:rPr>
        <w:t>Global genomic surveillance strategy for pathogens with pandemic and epidemic potential 2022–2032,</w:t>
      </w:r>
      <w:r w:rsidRPr="5A14FE64" w:rsidR="022FFEEC">
        <w:rPr>
          <w:rFonts w:ascii="Arial" w:hAnsi="Arial" w:eastAsia="Arial" w:cs="Arial" w:asciiTheme="minorAscii" w:hAnsiTheme="minorAscii" w:eastAsiaTheme="minorAscii" w:cstheme="minorAscii"/>
          <w:sz w:val="22"/>
          <w:szCs w:val="22"/>
        </w:rPr>
        <w:t xml:space="preserve"> World Health Organization, Available at: </w:t>
      </w:r>
      <w:hyperlink r:id="R2087d504c3074b57">
        <w:r w:rsidRPr="5A14FE64" w:rsidR="799900AB">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Global genomic surveillance strategy for pathogens with pandemic and epidemic potential 2022–2032,</w:t>
        </w:r>
      </w:hyperlink>
      <w:r w:rsidRPr="5A14FE64" w:rsidR="022FFEEC">
        <w:rPr>
          <w:rFonts w:ascii="Arial" w:hAnsi="Arial" w:eastAsia="Arial" w:cs="Arial" w:asciiTheme="minorAscii" w:hAnsiTheme="minorAscii" w:eastAsiaTheme="minorAscii" w:cstheme="minorAscii"/>
          <w:sz w:val="22"/>
          <w:szCs w:val="22"/>
        </w:rPr>
        <w:t xml:space="preserve"> (Accessed 13 June 2026)</w:t>
      </w:r>
    </w:p>
    <w:p w:rsidR="29B4B1D6" w:rsidRDefault="29B4B1D6" w14:paraId="3ADB6971" w14:textId="58CE6DE1">
      <w:r>
        <w:br w:type="page"/>
      </w:r>
    </w:p>
    <w:p w:rsidR="0C96BD73" w:rsidP="29B4B1D6" w:rsidRDefault="0C96BD73" w14:paraId="0E7ECAF8" w14:textId="1841DD96">
      <w:pPr>
        <w:pStyle w:val="Heading1"/>
        <w:jc w:val="center"/>
        <w:rPr>
          <w:rFonts w:ascii="Arial" w:hAnsi="Arial" w:eastAsia="Arial" w:cs="Arial" w:asciiTheme="minorAscii" w:hAnsiTheme="minorAscii" w:eastAsiaTheme="minorAscii" w:cstheme="minorAscii"/>
          <w:b w:val="1"/>
          <w:bCs w:val="1"/>
          <w:sz w:val="28"/>
          <w:szCs w:val="28"/>
        </w:rPr>
      </w:pPr>
      <w:r w:rsidRPr="29B4B1D6" w:rsidR="0C96BD73">
        <w:rPr>
          <w:rFonts w:ascii="Arial" w:hAnsi="Arial" w:eastAsia="Arial" w:cs="Arial" w:asciiTheme="minorAscii" w:hAnsiTheme="minorAscii" w:eastAsiaTheme="minorAscii" w:cstheme="minorAscii"/>
          <w:b w:val="1"/>
          <w:bCs w:val="1"/>
          <w:color w:val="auto"/>
          <w:sz w:val="28"/>
          <w:szCs w:val="28"/>
        </w:rPr>
        <w:t>Appendix for Component 1 (Report)</w:t>
      </w:r>
      <w:r w:rsidR="0C96BD73">
        <w:rPr/>
        <w:t xml:space="preserve"> </w:t>
      </w:r>
    </w:p>
    <w:p w:rsidR="163292D4" w:rsidP="29B4B1D6" w:rsidRDefault="163292D4" w14:paraId="757F8CA4" w14:textId="2297C902">
      <w:pPr>
        <w:pStyle w:val="Heading2"/>
        <w:rPr>
          <w:rFonts w:ascii="Arial" w:hAnsi="Arial" w:eastAsia="Arial" w:cs="Arial" w:asciiTheme="minorAscii" w:hAnsiTheme="minorAscii" w:eastAsiaTheme="minorAscii" w:cstheme="minorAscii"/>
          <w:color w:val="auto"/>
          <w:sz w:val="22"/>
          <w:szCs w:val="22"/>
          <w:u w:val="single"/>
        </w:rPr>
      </w:pPr>
      <w:r w:rsidRPr="29B4B1D6" w:rsidR="163292D4">
        <w:rPr>
          <w:rFonts w:ascii="Arial" w:hAnsi="Arial" w:eastAsia="Arial" w:cs="Arial" w:asciiTheme="minorAscii" w:hAnsiTheme="minorAscii" w:eastAsiaTheme="minorAscii" w:cstheme="minorAscii"/>
          <w:color w:val="auto"/>
          <w:sz w:val="22"/>
          <w:szCs w:val="22"/>
          <w:u w:val="none"/>
        </w:rPr>
        <w:t xml:space="preserve">Appendix </w:t>
      </w:r>
      <w:r w:rsidRPr="29B4B1D6" w:rsidR="0C96BD73">
        <w:rPr>
          <w:rFonts w:ascii="Arial" w:hAnsi="Arial" w:eastAsia="Arial" w:cs="Arial" w:asciiTheme="minorAscii" w:hAnsiTheme="minorAscii" w:eastAsiaTheme="minorAscii" w:cstheme="minorAscii"/>
          <w:color w:val="auto"/>
          <w:sz w:val="22"/>
          <w:szCs w:val="22"/>
          <w:u w:val="none"/>
        </w:rPr>
        <w:t>A:</w:t>
      </w:r>
      <w:r w:rsidRPr="29B4B1D6" w:rsidR="0C96BD73">
        <w:rPr>
          <w:rFonts w:ascii="Arial" w:hAnsi="Arial" w:eastAsia="Arial" w:cs="Arial" w:asciiTheme="minorAscii" w:hAnsiTheme="minorAscii" w:eastAsiaTheme="minorAscii" w:cstheme="minorAscii"/>
          <w:color w:val="auto"/>
          <w:sz w:val="22"/>
          <w:szCs w:val="22"/>
          <w:u w:val="single"/>
        </w:rPr>
        <w:t xml:space="preserve"> SWOT Analysis Matrix of Genomic Surveillance in the NHS</w:t>
      </w:r>
    </w:p>
    <w:p w:rsidR="29B4B1D6" w:rsidP="29B4B1D6" w:rsidRDefault="29B4B1D6" w14:paraId="1F313B3D" w14:textId="76FEE113">
      <w:pPr>
        <w:spacing w:before="0" w:beforeAutospacing="off" w:after="0" w:afterAutospacing="off" w:line="360" w:lineRule="auto"/>
        <w:ind w:left="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tbl>
      <w:tblPr>
        <w:tblStyle w:val="TableGrid"/>
        <w:bidiVisual w:val="0"/>
        <w:tblW w:w="0" w:type="auto"/>
        <w:tblInd w:w="720" w:type="dxa"/>
        <w:tblBorders>
          <w:top w:val="single" w:sz="6"/>
          <w:left w:val="single" w:sz="6"/>
          <w:bottom w:val="single" w:sz="6"/>
          <w:right w:val="single" w:sz="6"/>
        </w:tblBorders>
        <w:tblLook w:val="06A0" w:firstRow="1" w:lastRow="0" w:firstColumn="1" w:lastColumn="0" w:noHBand="1" w:noVBand="1"/>
      </w:tblPr>
      <w:tblGrid>
        <w:gridCol w:w="2895"/>
        <w:gridCol w:w="6000"/>
      </w:tblGrid>
      <w:tr w:rsidR="29B4B1D6" w:rsidTr="29B4B1D6" w14:paraId="4AE74819">
        <w:trPr>
          <w:trHeight w:val="285"/>
        </w:trPr>
        <w:tc>
          <w:tcPr>
            <w:tcW w:w="2895" w:type="dxa"/>
            <w:tcBorders>
              <w:top w:val="nil"/>
              <w:left w:val="nil"/>
              <w:bottom w:val="nil"/>
              <w:right w:val="nil"/>
            </w:tcBorders>
            <w:shd w:val="clear" w:color="auto" w:fill="DAE9F7" w:themeFill="text2" w:themeFillTint="1A"/>
            <w:tcMar>
              <w:left w:w="105" w:type="dxa"/>
              <w:right w:w="105" w:type="dxa"/>
            </w:tcMar>
            <w:vAlign w:val="top"/>
          </w:tcPr>
          <w:p w:rsidR="29B4B1D6" w:rsidP="29B4B1D6" w:rsidRDefault="29B4B1D6" w14:paraId="0564F370" w14:textId="7D89B78C">
            <w:pPr>
              <w:spacing w:before="0" w:beforeAutospacing="off" w:after="0" w:afterAutospacing="off"/>
              <w:ind w:left="720"/>
              <w:rPr>
                <w:rFonts w:ascii="Arial" w:hAnsi="Arial" w:eastAsia="Arial" w:cs="Arial"/>
                <w:b w:val="0"/>
                <w:bCs w:val="0"/>
                <w:i w:val="0"/>
                <w:iCs w:val="0"/>
                <w:sz w:val="24"/>
                <w:szCs w:val="24"/>
              </w:rPr>
            </w:pPr>
            <w:r w:rsidRPr="29B4B1D6" w:rsidR="29B4B1D6">
              <w:rPr>
                <w:rFonts w:ascii="Arial" w:hAnsi="Arial" w:eastAsia="Arial" w:cs="Arial"/>
                <w:b w:val="0"/>
                <w:bCs w:val="0"/>
                <w:i w:val="0"/>
                <w:iCs w:val="0"/>
                <w:sz w:val="24"/>
                <w:szCs w:val="24"/>
                <w:lang w:val="en-GB"/>
              </w:rPr>
              <w:t>Category</w:t>
            </w:r>
          </w:p>
        </w:tc>
        <w:tc>
          <w:tcPr>
            <w:tcW w:w="6000" w:type="dxa"/>
            <w:tcBorders>
              <w:top w:val="nil"/>
              <w:left w:val="nil"/>
              <w:bottom w:val="nil"/>
              <w:right w:val="nil"/>
            </w:tcBorders>
            <w:shd w:val="clear" w:color="auto" w:fill="DAE9F7" w:themeFill="text2" w:themeFillTint="1A"/>
            <w:tcMar>
              <w:left w:w="105" w:type="dxa"/>
              <w:right w:w="105" w:type="dxa"/>
            </w:tcMar>
            <w:vAlign w:val="top"/>
          </w:tcPr>
          <w:p w:rsidR="29B4B1D6" w:rsidP="29B4B1D6" w:rsidRDefault="29B4B1D6" w14:paraId="2D33D947" w14:textId="224EBFD7">
            <w:pPr>
              <w:spacing w:before="0" w:beforeAutospacing="off" w:after="0" w:afterAutospacing="off" w:line="360" w:lineRule="auto"/>
              <w:ind w:left="720"/>
              <w:jc w:val="center"/>
              <w:rPr>
                <w:rFonts w:ascii="Arial" w:hAnsi="Arial" w:eastAsia="Arial" w:cs="Arial"/>
                <w:b w:val="0"/>
                <w:bCs w:val="0"/>
                <w:i w:val="0"/>
                <w:iCs w:val="0"/>
                <w:sz w:val="24"/>
                <w:szCs w:val="24"/>
              </w:rPr>
            </w:pPr>
            <w:r w:rsidRPr="29B4B1D6" w:rsidR="29B4B1D6">
              <w:rPr>
                <w:rFonts w:ascii="Arial" w:hAnsi="Arial" w:eastAsia="Arial" w:cs="Arial"/>
                <w:b w:val="0"/>
                <w:bCs w:val="0"/>
                <w:i w:val="0"/>
                <w:iCs w:val="0"/>
                <w:sz w:val="24"/>
                <w:szCs w:val="24"/>
                <w:lang w:val="en-GB"/>
              </w:rPr>
              <w:t>Key Strategic Factors in the UK Healthcare System</w:t>
            </w:r>
          </w:p>
          <w:p w:rsidR="29B4B1D6" w:rsidP="29B4B1D6" w:rsidRDefault="29B4B1D6" w14:paraId="1DE64738" w14:textId="064F2BA7">
            <w:pPr>
              <w:spacing w:before="0" w:beforeAutospacing="off" w:after="0" w:afterAutospacing="off"/>
              <w:ind w:left="720"/>
              <w:rPr>
                <w:rFonts w:ascii="Arial" w:hAnsi="Arial" w:eastAsia="Arial" w:cs="Arial"/>
                <w:b w:val="0"/>
                <w:bCs w:val="0"/>
                <w:i w:val="0"/>
                <w:iCs w:val="0"/>
                <w:sz w:val="24"/>
                <w:szCs w:val="24"/>
              </w:rPr>
            </w:pPr>
          </w:p>
        </w:tc>
      </w:tr>
      <w:tr w:rsidR="29B4B1D6" w:rsidTr="29B4B1D6" w14:paraId="1D6D6983">
        <w:trPr>
          <w:trHeight w:val="285"/>
        </w:trPr>
        <w:tc>
          <w:tcPr>
            <w:tcW w:w="2895" w:type="dxa"/>
            <w:tcBorders>
              <w:top w:val="nil"/>
              <w:left w:val="nil"/>
              <w:bottom w:val="nil"/>
              <w:right w:val="nil"/>
            </w:tcBorders>
            <w:shd w:val="clear" w:color="auto" w:fill="F2CEED" w:themeFill="accent5" w:themeFillTint="33"/>
            <w:tcMar>
              <w:left w:w="105" w:type="dxa"/>
              <w:right w:w="105" w:type="dxa"/>
            </w:tcMar>
            <w:vAlign w:val="top"/>
          </w:tcPr>
          <w:p w:rsidR="29B4B1D6" w:rsidP="29B4B1D6" w:rsidRDefault="29B4B1D6" w14:paraId="0029154E" w14:textId="164C1B12">
            <w:pPr>
              <w:spacing w:before="0" w:beforeAutospacing="off" w:after="0" w:afterAutospacing="off"/>
              <w:ind w:left="720"/>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Strengths</w:t>
            </w:r>
          </w:p>
        </w:tc>
        <w:tc>
          <w:tcPr>
            <w:tcW w:w="6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19F973BC" w14:textId="039C9C6B">
            <w:pPr>
              <w:spacing w:before="0" w:beforeAutospacing="off" w:after="0" w:afterAutospacing="off" w:line="360" w:lineRule="auto"/>
              <w:ind w:left="720"/>
              <w:jc w:val="both"/>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Rapid pathogen identification (hours vs. weeks) Improved real-time diagnostic accuracy for clinical staff Centralised data sharing via open-science networks (e.g., COG-UK) Enhanced workforce digital competencies and interdisciplinary roles.</w:t>
            </w:r>
          </w:p>
          <w:p w:rsidR="29B4B1D6" w:rsidP="29B4B1D6" w:rsidRDefault="29B4B1D6" w14:paraId="617B4F1E" w14:textId="48490D79">
            <w:pPr>
              <w:spacing w:before="0" w:beforeAutospacing="off" w:after="0" w:afterAutospacing="off" w:line="360" w:lineRule="auto"/>
              <w:ind w:left="720"/>
              <w:jc w:val="left"/>
              <w:rPr>
                <w:rFonts w:ascii="Arial" w:hAnsi="Arial" w:eastAsia="Arial" w:cs="Arial"/>
                <w:b w:val="0"/>
                <w:bCs w:val="0"/>
                <w:i w:val="0"/>
                <w:iCs w:val="0"/>
                <w:sz w:val="22"/>
                <w:szCs w:val="22"/>
              </w:rPr>
            </w:pPr>
          </w:p>
        </w:tc>
      </w:tr>
      <w:tr w:rsidR="29B4B1D6" w:rsidTr="29B4B1D6" w14:paraId="2451D4DA">
        <w:trPr>
          <w:trHeight w:val="285"/>
        </w:trPr>
        <w:tc>
          <w:tcPr>
            <w:tcW w:w="2895" w:type="dxa"/>
            <w:tcBorders>
              <w:top w:val="nil"/>
              <w:left w:val="nil"/>
              <w:bottom w:val="nil"/>
              <w:right w:val="nil"/>
            </w:tcBorders>
            <w:shd w:val="clear" w:color="auto" w:fill="F2CEED" w:themeFill="accent5" w:themeFillTint="33"/>
            <w:tcMar>
              <w:left w:w="105" w:type="dxa"/>
              <w:right w:w="105" w:type="dxa"/>
            </w:tcMar>
            <w:vAlign w:val="top"/>
          </w:tcPr>
          <w:p w:rsidR="29B4B1D6" w:rsidP="29B4B1D6" w:rsidRDefault="29B4B1D6" w14:paraId="0C8BA374" w14:textId="785BC7BC">
            <w:pPr>
              <w:spacing w:before="0" w:beforeAutospacing="off" w:after="0" w:afterAutospacing="off"/>
              <w:ind w:left="720"/>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Weaknesses</w:t>
            </w:r>
          </w:p>
        </w:tc>
        <w:tc>
          <w:tcPr>
            <w:tcW w:w="6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1C5AAFC1" w14:textId="3B911254">
            <w:pPr>
              <w:spacing w:before="0" w:beforeAutospacing="off" w:after="0" w:afterAutospacing="off" w:line="360" w:lineRule="auto"/>
              <w:ind w:left="720"/>
              <w:jc w:val="both"/>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High infrastructure investment for WGS hardware and legacy system integration Significant specialised informatics training requirements for frontline staff Risk of "digital overload" and systemic resistance to complex platforms.</w:t>
            </w:r>
          </w:p>
          <w:p w:rsidR="29B4B1D6" w:rsidP="29B4B1D6" w:rsidRDefault="29B4B1D6" w14:paraId="23820096" w14:textId="0923443A">
            <w:pPr>
              <w:spacing w:before="0" w:beforeAutospacing="off" w:after="0" w:afterAutospacing="off" w:line="360" w:lineRule="auto"/>
              <w:ind w:left="720"/>
              <w:rPr>
                <w:rFonts w:ascii="Arial" w:hAnsi="Arial" w:eastAsia="Arial" w:cs="Arial"/>
                <w:b w:val="0"/>
                <w:bCs w:val="0"/>
                <w:i w:val="0"/>
                <w:iCs w:val="0"/>
                <w:sz w:val="22"/>
                <w:szCs w:val="22"/>
              </w:rPr>
            </w:pPr>
          </w:p>
        </w:tc>
      </w:tr>
      <w:tr w:rsidR="29B4B1D6" w:rsidTr="29B4B1D6" w14:paraId="14FCB674">
        <w:trPr>
          <w:trHeight w:val="285"/>
        </w:trPr>
        <w:tc>
          <w:tcPr>
            <w:tcW w:w="2895" w:type="dxa"/>
            <w:tcBorders>
              <w:top w:val="nil"/>
              <w:left w:val="nil"/>
              <w:bottom w:val="nil"/>
              <w:right w:val="nil"/>
            </w:tcBorders>
            <w:shd w:val="clear" w:color="auto" w:fill="F2CEED" w:themeFill="accent5" w:themeFillTint="33"/>
            <w:tcMar>
              <w:left w:w="105" w:type="dxa"/>
              <w:right w:w="105" w:type="dxa"/>
            </w:tcMar>
            <w:vAlign w:val="top"/>
          </w:tcPr>
          <w:p w:rsidR="29B4B1D6" w:rsidP="29B4B1D6" w:rsidRDefault="29B4B1D6" w14:paraId="250F92C8" w14:textId="591BC179">
            <w:pPr>
              <w:spacing w:before="0" w:beforeAutospacing="off" w:after="0" w:afterAutospacing="off"/>
              <w:ind w:left="720"/>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Opportunities</w:t>
            </w:r>
          </w:p>
        </w:tc>
        <w:tc>
          <w:tcPr>
            <w:tcW w:w="6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43F68C0B" w14:textId="08E41048">
            <w:pPr>
              <w:spacing w:before="0" w:beforeAutospacing="off" w:after="0" w:afterAutospacing="off" w:line="360" w:lineRule="auto"/>
              <w:ind w:left="720"/>
              <w:jc w:val="both"/>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Integration with AI and machine learning for predictive mutation tracking Expansion into national antimicrobial resistance (AMR) monitoring frameworks Scaling capabilities to decentralised and remote community health teams.</w:t>
            </w:r>
          </w:p>
          <w:p w:rsidR="29B4B1D6" w:rsidP="29B4B1D6" w:rsidRDefault="29B4B1D6" w14:paraId="79484063" w14:textId="1C7E8DC1">
            <w:pPr>
              <w:spacing w:before="0" w:beforeAutospacing="off" w:after="0" w:afterAutospacing="off" w:line="360" w:lineRule="auto"/>
              <w:ind w:left="720"/>
              <w:rPr>
                <w:rFonts w:ascii="Arial" w:hAnsi="Arial" w:eastAsia="Arial" w:cs="Arial"/>
                <w:b w:val="0"/>
                <w:bCs w:val="0"/>
                <w:i w:val="0"/>
                <w:iCs w:val="0"/>
                <w:sz w:val="22"/>
                <w:szCs w:val="22"/>
              </w:rPr>
            </w:pPr>
          </w:p>
        </w:tc>
      </w:tr>
      <w:tr w:rsidR="29B4B1D6" w:rsidTr="29B4B1D6" w14:paraId="4C948BD8">
        <w:trPr>
          <w:trHeight w:val="285"/>
        </w:trPr>
        <w:tc>
          <w:tcPr>
            <w:tcW w:w="2895" w:type="dxa"/>
            <w:tcBorders>
              <w:top w:val="nil"/>
              <w:left w:val="nil"/>
              <w:bottom w:val="nil"/>
              <w:right w:val="nil"/>
            </w:tcBorders>
            <w:shd w:val="clear" w:color="auto" w:fill="F2CEED" w:themeFill="accent5" w:themeFillTint="33"/>
            <w:tcMar>
              <w:left w:w="105" w:type="dxa"/>
              <w:right w:w="105" w:type="dxa"/>
            </w:tcMar>
            <w:vAlign w:val="top"/>
          </w:tcPr>
          <w:p w:rsidR="29B4B1D6" w:rsidP="29B4B1D6" w:rsidRDefault="29B4B1D6" w14:paraId="58E69520" w14:textId="527CCCD2">
            <w:pPr>
              <w:spacing w:before="0" w:beforeAutospacing="off" w:after="0" w:afterAutospacing="off"/>
              <w:ind w:left="720"/>
              <w:rPr>
                <w:rFonts w:ascii="Arial" w:hAnsi="Arial" w:eastAsia="Arial" w:cs="Arial"/>
                <w:b w:val="0"/>
                <w:bCs w:val="0"/>
                <w:i w:val="0"/>
                <w:iCs w:val="0"/>
                <w:sz w:val="22"/>
                <w:szCs w:val="22"/>
              </w:rPr>
            </w:pPr>
            <w:r w:rsidRPr="29B4B1D6" w:rsidR="29B4B1D6">
              <w:rPr>
                <w:rFonts w:ascii="Arial" w:hAnsi="Arial" w:eastAsia="Arial" w:cs="Arial"/>
                <w:b w:val="1"/>
                <w:bCs w:val="1"/>
                <w:i w:val="0"/>
                <w:iCs w:val="0"/>
                <w:sz w:val="22"/>
                <w:szCs w:val="22"/>
                <w:lang w:val="en-GB"/>
              </w:rPr>
              <w:t>Threats</w:t>
            </w:r>
          </w:p>
        </w:tc>
        <w:tc>
          <w:tcPr>
            <w:tcW w:w="60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451A1820" w14:textId="6C5A3151">
            <w:pPr>
              <w:spacing w:before="0" w:beforeAutospacing="off" w:after="0" w:afterAutospacing="off" w:line="360" w:lineRule="auto"/>
              <w:ind w:left="720"/>
              <w:jc w:val="both"/>
              <w:rPr>
                <w:rFonts w:ascii="Arial" w:hAnsi="Arial" w:eastAsia="Arial" w:cs="Arial"/>
                <w:b w:val="0"/>
                <w:bCs w:val="0"/>
                <w:i w:val="0"/>
                <w:iCs w:val="0"/>
                <w:sz w:val="22"/>
                <w:szCs w:val="22"/>
              </w:rPr>
            </w:pPr>
            <w:r w:rsidRPr="29B4B1D6" w:rsidR="29B4B1D6">
              <w:rPr>
                <w:rFonts w:ascii="Arial" w:hAnsi="Arial" w:eastAsia="Arial" w:cs="Arial"/>
                <w:b w:val="0"/>
                <w:bCs w:val="0"/>
                <w:i w:val="0"/>
                <w:iCs w:val="0"/>
                <w:sz w:val="22"/>
                <w:szCs w:val="22"/>
                <w:lang w:val="en-GB"/>
              </w:rPr>
              <w:t>Cybersecurity risks and catastrophic data breaches of immutable genetic blueprints Widening the "digital divide" and health inequalities in underserved regions Workforce alienation and erosion of public trust due to privacy concerns</w:t>
            </w:r>
          </w:p>
        </w:tc>
      </w:tr>
    </w:tbl>
    <w:p w:rsidR="29B4B1D6" w:rsidP="29B4B1D6" w:rsidRDefault="29B4B1D6" w14:paraId="4199B50D" w14:textId="1F4BB8E8">
      <w:pPr>
        <w:pStyle w:val="Normal"/>
        <w:spacing w:line="360" w:lineRule="auto"/>
        <w:jc w:val="both"/>
        <w:rPr>
          <w:rFonts w:ascii="Arial" w:hAnsi="Arial" w:eastAsia="Arial" w:cs="Arial" w:asciiTheme="minorAscii" w:hAnsiTheme="minorAscii" w:eastAsiaTheme="minorAscii" w:cstheme="minorAscii"/>
          <w:sz w:val="22"/>
          <w:szCs w:val="22"/>
          <w:u w:val="single"/>
        </w:rPr>
      </w:pPr>
    </w:p>
    <w:p w:rsidR="29B4B1D6" w:rsidRDefault="29B4B1D6" w14:paraId="7465DF79" w14:textId="6E22943A">
      <w:r>
        <w:br w:type="page"/>
      </w:r>
    </w:p>
    <w:p w:rsidR="25961761" w:rsidP="29B4B1D6" w:rsidRDefault="25961761" w14:paraId="2C31AAF8" w14:textId="53B8D8CF">
      <w:pPr>
        <w:pStyle w:val="Heading2"/>
        <w:rPr>
          <w:rFonts w:ascii="Arial" w:hAnsi="Arial" w:eastAsia="Arial" w:cs="Arial" w:asciiTheme="minorAscii" w:hAnsiTheme="minorAscii" w:eastAsiaTheme="minorAscii" w:cstheme="minorAscii"/>
          <w:color w:val="auto"/>
          <w:sz w:val="22"/>
          <w:szCs w:val="22"/>
          <w:u w:val="single"/>
        </w:rPr>
      </w:pPr>
      <w:r w:rsidRPr="29B4B1D6" w:rsidR="25961761">
        <w:rPr>
          <w:rFonts w:ascii="Arial" w:hAnsi="Arial" w:eastAsia="Arial" w:cs="Arial" w:asciiTheme="minorAscii" w:hAnsiTheme="minorAscii" w:eastAsiaTheme="minorAscii" w:cstheme="minorAscii"/>
          <w:color w:val="auto"/>
          <w:sz w:val="22"/>
          <w:szCs w:val="22"/>
          <w:u w:val="none"/>
        </w:rPr>
        <w:t>Appendix B:</w:t>
      </w:r>
      <w:r w:rsidRPr="29B4B1D6" w:rsidR="25961761">
        <w:rPr>
          <w:rFonts w:ascii="Arial" w:hAnsi="Arial" w:eastAsia="Arial" w:cs="Arial" w:asciiTheme="minorAscii" w:hAnsiTheme="minorAscii" w:eastAsiaTheme="minorAscii" w:cstheme="minorAscii"/>
          <w:color w:val="auto"/>
          <w:sz w:val="22"/>
          <w:szCs w:val="22"/>
          <w:u w:val="single"/>
        </w:rPr>
        <w:t xml:space="preserve"> Key Organisations in Information Governance Frameworks</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29B4B1D6" w:rsidTr="29B4B1D6" w14:paraId="6383FDF4">
        <w:trPr>
          <w:trHeight w:val="285"/>
        </w:trPr>
        <w:tc>
          <w:tcPr>
            <w:tcW w:w="4500" w:type="dxa"/>
            <w:tcBorders>
              <w:top w:val="nil"/>
              <w:left w:val="nil"/>
              <w:bottom w:val="nil"/>
              <w:right w:val="nil"/>
            </w:tcBorders>
            <w:shd w:val="clear" w:color="auto" w:fill="CAEDFB" w:themeFill="accent4" w:themeFillTint="33"/>
            <w:tcMar>
              <w:left w:w="105" w:type="dxa"/>
              <w:right w:w="105" w:type="dxa"/>
            </w:tcMar>
            <w:vAlign w:val="top"/>
          </w:tcPr>
          <w:p w:rsidR="29B4B1D6" w:rsidP="29B4B1D6" w:rsidRDefault="29B4B1D6" w14:paraId="383A5245" w14:textId="3BB101F9">
            <w:pPr>
              <w:spacing w:before="0" w:beforeAutospacing="off" w:after="0" w:afterAutospacing="off"/>
              <w:ind w:left="720"/>
              <w:rPr>
                <w:rFonts w:ascii="Arial" w:hAnsi="Arial" w:eastAsia="Arial" w:cs="Arial"/>
                <w:b w:val="0"/>
                <w:bCs w:val="0"/>
                <w:i w:val="0"/>
                <w:iCs w:val="0"/>
                <w:caps w:val="0"/>
                <w:smallCaps w:val="0"/>
                <w:color w:val="000000" w:themeColor="text1" w:themeTint="FF" w:themeShade="FF"/>
                <w:sz w:val="24"/>
                <w:szCs w:val="24"/>
              </w:rPr>
            </w:pPr>
            <w:r w:rsidRPr="29B4B1D6" w:rsidR="29B4B1D6">
              <w:rPr>
                <w:rFonts w:ascii="Arial" w:hAnsi="Arial" w:eastAsia="Arial" w:cs="Arial"/>
                <w:b w:val="0"/>
                <w:bCs w:val="0"/>
                <w:i w:val="0"/>
                <w:iCs w:val="0"/>
                <w:caps w:val="0"/>
                <w:smallCaps w:val="0"/>
                <w:color w:val="000000" w:themeColor="text1" w:themeTint="FF" w:themeShade="FF"/>
                <w:sz w:val="24"/>
                <w:szCs w:val="24"/>
                <w:lang w:val="en-GB"/>
              </w:rPr>
              <w:t>Organisation</w:t>
            </w:r>
          </w:p>
          <w:p w:rsidR="29B4B1D6" w:rsidP="29B4B1D6" w:rsidRDefault="29B4B1D6" w14:paraId="011A5B6A" w14:textId="69157D2C">
            <w:pPr>
              <w:spacing w:before="0" w:beforeAutospacing="off" w:after="0" w:afterAutospacing="off"/>
              <w:ind w:left="720"/>
              <w:rPr>
                <w:rFonts w:ascii="Arial" w:hAnsi="Arial" w:eastAsia="Arial" w:cs="Arial"/>
                <w:b w:val="0"/>
                <w:bCs w:val="0"/>
                <w:i w:val="0"/>
                <w:iCs w:val="0"/>
                <w:caps w:val="0"/>
                <w:smallCaps w:val="0"/>
                <w:color w:val="000000" w:themeColor="text1" w:themeTint="FF" w:themeShade="FF"/>
                <w:sz w:val="24"/>
                <w:szCs w:val="24"/>
              </w:rPr>
            </w:pPr>
          </w:p>
          <w:p w:rsidR="29B4B1D6" w:rsidP="29B4B1D6" w:rsidRDefault="29B4B1D6" w14:paraId="73D3CD1D" w14:textId="05AF1B69">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rPr>
            </w:pPr>
          </w:p>
        </w:tc>
        <w:tc>
          <w:tcPr>
            <w:tcW w:w="4500" w:type="dxa"/>
            <w:tcBorders>
              <w:top w:val="nil"/>
              <w:left w:val="nil"/>
              <w:bottom w:val="nil"/>
              <w:right w:val="nil"/>
            </w:tcBorders>
            <w:shd w:val="clear" w:color="auto" w:fill="CAEDFB" w:themeFill="accent4" w:themeFillTint="33"/>
            <w:tcMar>
              <w:left w:w="105" w:type="dxa"/>
              <w:right w:w="105" w:type="dxa"/>
            </w:tcMar>
            <w:vAlign w:val="top"/>
          </w:tcPr>
          <w:p w:rsidR="29B4B1D6" w:rsidP="29B4B1D6" w:rsidRDefault="29B4B1D6" w14:paraId="6A6C731B" w14:textId="38166225">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24"/>
                <w:szCs w:val="24"/>
              </w:rPr>
            </w:pPr>
            <w:r w:rsidRPr="29B4B1D6" w:rsidR="29B4B1D6">
              <w:rPr>
                <w:rFonts w:ascii="Arial" w:hAnsi="Arial" w:eastAsia="Arial" w:cs="Arial"/>
                <w:b w:val="0"/>
                <w:bCs w:val="0"/>
                <w:i w:val="0"/>
                <w:iCs w:val="0"/>
                <w:caps w:val="0"/>
                <w:smallCaps w:val="0"/>
                <w:color w:val="000000" w:themeColor="text1" w:themeTint="FF" w:themeShade="FF"/>
                <w:sz w:val="24"/>
                <w:szCs w:val="24"/>
                <w:lang w:val="en-GB"/>
              </w:rPr>
              <w:t>Statutory Role and Oversight inside the UK Healthcare System</w:t>
            </w:r>
          </w:p>
          <w:p w:rsidR="29B4B1D6" w:rsidP="29B4B1D6" w:rsidRDefault="29B4B1D6" w14:paraId="3ECB92F7" w14:textId="29925C08">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4"/>
                <w:szCs w:val="24"/>
              </w:rPr>
            </w:pPr>
          </w:p>
        </w:tc>
      </w:tr>
      <w:tr w:rsidR="29B4B1D6" w:rsidTr="29B4B1D6" w14:paraId="6057C70A">
        <w:trPr>
          <w:trHeight w:val="285"/>
        </w:trPr>
        <w:tc>
          <w:tcPr>
            <w:tcW w:w="4500" w:type="dxa"/>
            <w:tcBorders>
              <w:top w:val="nil"/>
              <w:left w:val="nil"/>
              <w:bottom w:val="nil"/>
              <w:right w:val="nil"/>
            </w:tcBorders>
            <w:shd w:val="clear" w:color="auto" w:fill="F2CEED" w:themeFill="accent5" w:themeFillTint="33"/>
            <w:tcMar>
              <w:left w:w="105" w:type="dxa"/>
              <w:right w:w="105" w:type="dxa"/>
            </w:tcMar>
            <w:vAlign w:val="top"/>
          </w:tcPr>
          <w:p w:rsidR="29B4B1D6" w:rsidP="29B4B1D6" w:rsidRDefault="29B4B1D6" w14:paraId="7ABA5E4D" w14:textId="56B59261">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1"/>
                <w:bCs w:val="1"/>
                <w:i w:val="0"/>
                <w:iCs w:val="0"/>
                <w:caps w:val="0"/>
                <w:smallCaps w:val="0"/>
                <w:color w:val="000000" w:themeColor="text1" w:themeTint="FF" w:themeShade="FF"/>
                <w:sz w:val="22"/>
                <w:szCs w:val="22"/>
                <w:lang w:val="en-GB"/>
              </w:rPr>
              <w:t>Information Commissioner’s Office (ICO)</w:t>
            </w:r>
          </w:p>
        </w:tc>
        <w:tc>
          <w:tcPr>
            <w:tcW w:w="45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7BB7DCC3" w14:textId="0F796F7F">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0"/>
                <w:bCs w:val="0"/>
                <w:i w:val="0"/>
                <w:iCs w:val="0"/>
                <w:caps w:val="0"/>
                <w:smallCaps w:val="0"/>
                <w:color w:val="000000" w:themeColor="text1" w:themeTint="FF" w:themeShade="FF"/>
                <w:sz w:val="22"/>
                <w:szCs w:val="22"/>
                <w:lang w:val="en-GB"/>
              </w:rPr>
              <w:t>Acts as the national regulator for data protection; offers statutory guidance and holds the authority to issue financial penalties for non-compliance.</w:t>
            </w:r>
          </w:p>
          <w:p w:rsidR="29B4B1D6" w:rsidP="29B4B1D6" w:rsidRDefault="29B4B1D6" w14:paraId="6ACC0BB1" w14:textId="7F28C75A">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p>
        </w:tc>
      </w:tr>
      <w:tr w:rsidR="29B4B1D6" w:rsidTr="29B4B1D6" w14:paraId="70D4E118">
        <w:trPr>
          <w:trHeight w:val="285"/>
        </w:trPr>
        <w:tc>
          <w:tcPr>
            <w:tcW w:w="4500" w:type="dxa"/>
            <w:tcBorders>
              <w:top w:val="nil"/>
              <w:left w:val="nil"/>
              <w:bottom w:val="nil"/>
              <w:right w:val="nil"/>
            </w:tcBorders>
            <w:shd w:val="clear" w:color="auto" w:fill="F2CEED" w:themeFill="accent5" w:themeFillTint="33"/>
            <w:tcMar>
              <w:left w:w="105" w:type="dxa"/>
              <w:right w:w="105" w:type="dxa"/>
            </w:tcMar>
            <w:vAlign w:val="top"/>
          </w:tcPr>
          <w:p w:rsidR="29B4B1D6" w:rsidP="29B4B1D6" w:rsidRDefault="29B4B1D6" w14:paraId="74C20D62" w14:textId="53D644DD">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1"/>
                <w:bCs w:val="1"/>
                <w:i w:val="0"/>
                <w:iCs w:val="0"/>
                <w:caps w:val="0"/>
                <w:smallCaps w:val="0"/>
                <w:color w:val="000000" w:themeColor="text1" w:themeTint="FF" w:themeShade="FF"/>
                <w:sz w:val="22"/>
                <w:szCs w:val="22"/>
                <w:lang w:val="en-GB"/>
              </w:rPr>
              <w:t>NHS England</w:t>
            </w:r>
          </w:p>
        </w:tc>
        <w:tc>
          <w:tcPr>
            <w:tcW w:w="45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2898F3A6" w14:textId="5A064A86">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0"/>
                <w:bCs w:val="0"/>
                <w:i w:val="0"/>
                <w:iCs w:val="0"/>
                <w:caps w:val="0"/>
                <w:smallCaps w:val="0"/>
                <w:color w:val="000000" w:themeColor="text1" w:themeTint="FF" w:themeShade="FF"/>
                <w:sz w:val="22"/>
                <w:szCs w:val="22"/>
                <w:lang w:val="en-GB"/>
              </w:rPr>
              <w:t>Sets the overarching national policies, frameworks, and digital security standards for IG across health and care, including digital health records.</w:t>
            </w:r>
          </w:p>
          <w:p w:rsidR="29B4B1D6" w:rsidP="29B4B1D6" w:rsidRDefault="29B4B1D6" w14:paraId="5555FC6C" w14:textId="3113358C">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p>
        </w:tc>
      </w:tr>
      <w:tr w:rsidR="29B4B1D6" w:rsidTr="29B4B1D6" w14:paraId="455A4E8A">
        <w:trPr>
          <w:trHeight w:val="285"/>
        </w:trPr>
        <w:tc>
          <w:tcPr>
            <w:tcW w:w="4500" w:type="dxa"/>
            <w:tcBorders>
              <w:top w:val="nil"/>
              <w:left w:val="nil"/>
              <w:bottom w:val="nil"/>
              <w:right w:val="nil"/>
            </w:tcBorders>
            <w:shd w:val="clear" w:color="auto" w:fill="F2CEED" w:themeFill="accent5" w:themeFillTint="33"/>
            <w:tcMar>
              <w:left w:w="105" w:type="dxa"/>
              <w:right w:w="105" w:type="dxa"/>
            </w:tcMar>
            <w:vAlign w:val="top"/>
          </w:tcPr>
          <w:p w:rsidR="29B4B1D6" w:rsidP="29B4B1D6" w:rsidRDefault="29B4B1D6" w14:paraId="0965C3D4" w14:textId="4C8C1B46">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1"/>
                <w:bCs w:val="1"/>
                <w:i w:val="0"/>
                <w:iCs w:val="0"/>
                <w:caps w:val="0"/>
                <w:smallCaps w:val="0"/>
                <w:color w:val="000000" w:themeColor="text1" w:themeTint="FF" w:themeShade="FF"/>
                <w:sz w:val="22"/>
                <w:szCs w:val="22"/>
                <w:lang w:val="en-GB"/>
              </w:rPr>
              <w:t>Department of Health and Social Care (DHSC)</w:t>
            </w:r>
          </w:p>
        </w:tc>
        <w:tc>
          <w:tcPr>
            <w:tcW w:w="45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746FA50D" w14:textId="5A363A66">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0"/>
                <w:bCs w:val="0"/>
                <w:i w:val="0"/>
                <w:iCs w:val="0"/>
                <w:caps w:val="0"/>
                <w:smallCaps w:val="0"/>
                <w:color w:val="000000" w:themeColor="text1" w:themeTint="FF" w:themeShade="FF"/>
                <w:sz w:val="22"/>
                <w:szCs w:val="22"/>
                <w:lang w:val="en-GB"/>
              </w:rPr>
              <w:t>Responsible for creating primary legislation and establishing macroscopic strategic frameworks for data management.</w:t>
            </w:r>
          </w:p>
          <w:p w:rsidR="29B4B1D6" w:rsidP="29B4B1D6" w:rsidRDefault="29B4B1D6" w14:paraId="731151D5" w14:textId="0BC080C1">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p>
        </w:tc>
      </w:tr>
      <w:tr w:rsidR="29B4B1D6" w:rsidTr="29B4B1D6" w14:paraId="79C1544F">
        <w:trPr>
          <w:trHeight w:val="285"/>
        </w:trPr>
        <w:tc>
          <w:tcPr>
            <w:tcW w:w="4500" w:type="dxa"/>
            <w:tcBorders>
              <w:top w:val="nil"/>
              <w:left w:val="nil"/>
              <w:bottom w:val="nil"/>
              <w:right w:val="nil"/>
            </w:tcBorders>
            <w:shd w:val="clear" w:color="auto" w:fill="F2CEED" w:themeFill="accent5" w:themeFillTint="33"/>
            <w:tcMar>
              <w:left w:w="105" w:type="dxa"/>
              <w:right w:w="105" w:type="dxa"/>
            </w:tcMar>
            <w:vAlign w:val="top"/>
          </w:tcPr>
          <w:p w:rsidR="29B4B1D6" w:rsidP="29B4B1D6" w:rsidRDefault="29B4B1D6" w14:paraId="5B600E0D" w14:textId="4235E87B">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1"/>
                <w:bCs w:val="1"/>
                <w:i w:val="0"/>
                <w:iCs w:val="0"/>
                <w:caps w:val="0"/>
                <w:smallCaps w:val="0"/>
                <w:color w:val="000000" w:themeColor="text1" w:themeTint="FF" w:themeShade="FF"/>
                <w:sz w:val="22"/>
                <w:szCs w:val="22"/>
                <w:lang w:val="en-GB"/>
              </w:rPr>
              <w:t>Care Quality Commission (CQC)</w:t>
            </w:r>
          </w:p>
        </w:tc>
        <w:tc>
          <w:tcPr>
            <w:tcW w:w="45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72AB60E8" w14:textId="6BB3CF57">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0"/>
                <w:bCs w:val="0"/>
                <w:i w:val="0"/>
                <w:iCs w:val="0"/>
                <w:caps w:val="0"/>
                <w:smallCaps w:val="0"/>
                <w:color w:val="000000" w:themeColor="text1" w:themeTint="FF" w:themeShade="FF"/>
                <w:sz w:val="22"/>
                <w:szCs w:val="22"/>
                <w:lang w:val="en-GB"/>
              </w:rPr>
              <w:t>Checks that health and social care providers meet required IG standards as a fundamental part of their regular institutional inspections.</w:t>
            </w:r>
          </w:p>
          <w:p w:rsidR="29B4B1D6" w:rsidP="29B4B1D6" w:rsidRDefault="29B4B1D6" w14:paraId="7534C320" w14:textId="5E3EC99C">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p>
        </w:tc>
      </w:tr>
      <w:tr w:rsidR="29B4B1D6" w:rsidTr="29B4B1D6" w14:paraId="758F8686">
        <w:trPr>
          <w:trHeight w:val="285"/>
        </w:trPr>
        <w:tc>
          <w:tcPr>
            <w:tcW w:w="4500" w:type="dxa"/>
            <w:tcBorders>
              <w:top w:val="nil"/>
              <w:left w:val="nil"/>
              <w:bottom w:val="nil"/>
              <w:right w:val="nil"/>
            </w:tcBorders>
            <w:shd w:val="clear" w:color="auto" w:fill="F2CEED" w:themeFill="accent5" w:themeFillTint="33"/>
            <w:tcMar>
              <w:left w:w="105" w:type="dxa"/>
              <w:right w:w="105" w:type="dxa"/>
            </w:tcMar>
            <w:vAlign w:val="top"/>
          </w:tcPr>
          <w:p w:rsidR="29B4B1D6" w:rsidP="29B4B1D6" w:rsidRDefault="29B4B1D6" w14:paraId="7F137C96" w14:textId="48E67A51">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1"/>
                <w:bCs w:val="1"/>
                <w:i w:val="0"/>
                <w:iCs w:val="0"/>
                <w:caps w:val="0"/>
                <w:smallCaps w:val="0"/>
                <w:color w:val="000000" w:themeColor="text1" w:themeTint="FF" w:themeShade="FF"/>
                <w:sz w:val="22"/>
                <w:szCs w:val="22"/>
                <w:lang w:val="en-GB"/>
              </w:rPr>
              <w:t>Local Authorities and Care Providers</w:t>
            </w:r>
          </w:p>
        </w:tc>
        <w:tc>
          <w:tcPr>
            <w:tcW w:w="4500" w:type="dxa"/>
            <w:tcBorders>
              <w:top w:val="nil"/>
              <w:left w:val="nil"/>
              <w:bottom w:val="nil"/>
              <w:right w:val="nil"/>
            </w:tcBorders>
            <w:shd w:val="clear" w:color="auto" w:fill="D9F2D0" w:themeFill="accent6" w:themeFillTint="33"/>
            <w:tcMar>
              <w:left w:w="105" w:type="dxa"/>
              <w:right w:w="105" w:type="dxa"/>
            </w:tcMar>
            <w:vAlign w:val="top"/>
          </w:tcPr>
          <w:p w:rsidR="29B4B1D6" w:rsidP="29B4B1D6" w:rsidRDefault="29B4B1D6" w14:paraId="22419320" w14:textId="2AD12403">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29B4B1D6" w:rsidR="29B4B1D6">
              <w:rPr>
                <w:rFonts w:ascii="Arial" w:hAnsi="Arial" w:eastAsia="Arial" w:cs="Arial"/>
                <w:b w:val="0"/>
                <w:bCs w:val="0"/>
                <w:i w:val="0"/>
                <w:iCs w:val="0"/>
                <w:caps w:val="0"/>
                <w:smallCaps w:val="0"/>
                <w:color w:val="000000" w:themeColor="text1" w:themeTint="FF" w:themeShade="FF"/>
                <w:sz w:val="22"/>
                <w:szCs w:val="22"/>
                <w:lang w:val="en-GB"/>
              </w:rPr>
              <w:t>Responsible for operational execution, ensuring that national IG policies are strictly followed at the local organisational level.</w:t>
            </w:r>
          </w:p>
        </w:tc>
      </w:tr>
    </w:tbl>
    <w:p w:rsidR="29B4B1D6" w:rsidP="29B4B1D6" w:rsidRDefault="29B4B1D6" w14:paraId="46E2E8BF" w14:textId="4B2C2754">
      <w:pPr>
        <w:pStyle w:val="Normal"/>
        <w:spacing w:line="360" w:lineRule="auto"/>
        <w:jc w:val="both"/>
        <w:rPr>
          <w:rFonts w:ascii="Arial" w:hAnsi="Arial" w:eastAsia="Arial" w:cs="Arial" w:asciiTheme="minorAscii" w:hAnsiTheme="minorAscii" w:eastAsiaTheme="minorAscii" w:cstheme="minorAscii"/>
          <w:sz w:val="22"/>
          <w:szCs w:val="22"/>
          <w:u w:val="single"/>
        </w:rPr>
      </w:pPr>
    </w:p>
    <w:p w:rsidR="76B4A218" w:rsidP="29B4B1D6" w:rsidRDefault="76B4A218" w14:paraId="542720AC" w14:textId="0DA42721">
      <w:pPr>
        <w:pStyle w:val="Normal"/>
        <w:spacing w:line="360" w:lineRule="auto"/>
        <w:jc w:val="both"/>
        <w:rPr>
          <w:rFonts w:ascii="Arial" w:hAnsi="Arial" w:eastAsia="Arial" w:cs="Arial" w:asciiTheme="minorAscii" w:hAnsiTheme="minorAscii" w:eastAsiaTheme="minorAscii" w:cstheme="minorAscii"/>
          <w:i w:val="1"/>
          <w:iCs w:val="1"/>
          <w:sz w:val="22"/>
          <w:szCs w:val="22"/>
          <w:u w:val="none"/>
        </w:rPr>
      </w:pPr>
      <w:r w:rsidRPr="29B4B1D6" w:rsidR="76B4A218">
        <w:rPr>
          <w:rFonts w:ascii="Arial" w:hAnsi="Arial" w:eastAsia="Arial" w:cs="Arial" w:asciiTheme="minorAscii" w:hAnsiTheme="minorAscii" w:eastAsiaTheme="minorAscii" w:cstheme="minorAscii"/>
          <w:sz w:val="22"/>
          <w:szCs w:val="22"/>
          <w:u w:val="single"/>
        </w:rPr>
        <w:t>Figure B1:</w:t>
      </w:r>
      <w:r w:rsidRPr="29B4B1D6" w:rsidR="76B4A218">
        <w:rPr>
          <w:rFonts w:ascii="Arial" w:hAnsi="Arial" w:eastAsia="Arial" w:cs="Arial" w:asciiTheme="minorAscii" w:hAnsiTheme="minorAscii" w:eastAsiaTheme="minorAscii" w:cstheme="minorAscii"/>
          <w:i w:val="1"/>
          <w:iCs w:val="1"/>
          <w:sz w:val="22"/>
          <w:szCs w:val="22"/>
          <w:u w:val="none"/>
        </w:rPr>
        <w:t xml:space="preserve"> Overview of regulatory bodies and key organisations responsible for Information Governance (IG) statutory compliance, policy creation, and inspection frameworks within the UK health and social care sector.</w:t>
      </w:r>
    </w:p>
    <w:p w:rsidR="29B4B1D6" w:rsidP="29B4B1D6" w:rsidRDefault="29B4B1D6" w14:paraId="0FBA37AA" w14:textId="508A0F45">
      <w:pPr>
        <w:pStyle w:val="Normal"/>
      </w:pPr>
    </w:p>
    <w:sectPr>
      <w:pgSz w:w="11906" w:h="16838" w:orient="portrait"/>
      <w:pgMar w:top="1440" w:right="1440" w:bottom="1440" w:left="1440" w:header="720" w:footer="720" w:gutter="0"/>
      <w:cols w:space="720"/>
      <w:docGrid w:linePitch="360"/>
      <w:headerReference w:type="default" r:id="R95d22301ba6e4877"/>
      <w:footerReference w:type="default" r:id="Rfa12877936d74a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9B4B1D6" w:rsidTr="29B4B1D6" w14:paraId="4DBBC550">
      <w:trPr>
        <w:trHeight w:val="300"/>
      </w:trPr>
      <w:tc>
        <w:tcPr>
          <w:tcW w:w="3005" w:type="dxa"/>
          <w:tcMar/>
        </w:tcPr>
        <w:p w:rsidR="29B4B1D6" w:rsidP="29B4B1D6" w:rsidRDefault="29B4B1D6" w14:paraId="3E4297FE" w14:textId="51522D45">
          <w:pPr>
            <w:pStyle w:val="Header"/>
            <w:bidi w:val="0"/>
            <w:ind w:left="-115"/>
            <w:jc w:val="left"/>
          </w:pPr>
        </w:p>
      </w:tc>
      <w:tc>
        <w:tcPr>
          <w:tcW w:w="3005" w:type="dxa"/>
          <w:tcMar/>
        </w:tcPr>
        <w:p w:rsidR="29B4B1D6" w:rsidP="29B4B1D6" w:rsidRDefault="29B4B1D6" w14:paraId="1BFB7EDF" w14:textId="155F6964">
          <w:pPr>
            <w:pStyle w:val="Header"/>
            <w:bidi w:val="0"/>
            <w:jc w:val="center"/>
          </w:pPr>
        </w:p>
      </w:tc>
      <w:tc>
        <w:tcPr>
          <w:tcW w:w="3005" w:type="dxa"/>
          <w:tcMar/>
        </w:tcPr>
        <w:p w:rsidR="29B4B1D6" w:rsidP="29B4B1D6" w:rsidRDefault="29B4B1D6" w14:paraId="691A65EA" w14:textId="6359350E">
          <w:pPr>
            <w:pStyle w:val="Header"/>
            <w:bidi w:val="0"/>
            <w:ind w:right="-115"/>
            <w:jc w:val="right"/>
          </w:pPr>
          <w:r>
            <w:fldChar w:fldCharType="begin"/>
          </w:r>
          <w:r>
            <w:instrText xml:space="preserve">PAGE</w:instrText>
          </w:r>
          <w:r>
            <w:fldChar w:fldCharType="separate"/>
          </w:r>
          <w:r>
            <w:fldChar w:fldCharType="end"/>
          </w:r>
        </w:p>
      </w:tc>
    </w:tr>
  </w:tbl>
  <w:p w:rsidR="29B4B1D6" w:rsidP="29B4B1D6" w:rsidRDefault="29B4B1D6" w14:paraId="216C6582" w14:textId="65A3124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9B4B1D6" w:rsidTr="29B4B1D6" w14:paraId="547B3DD2">
      <w:trPr>
        <w:trHeight w:val="300"/>
      </w:trPr>
      <w:tc>
        <w:tcPr>
          <w:tcW w:w="3005" w:type="dxa"/>
          <w:tcMar/>
        </w:tcPr>
        <w:p w:rsidR="29B4B1D6" w:rsidP="29B4B1D6" w:rsidRDefault="29B4B1D6" w14:paraId="38487D45" w14:textId="5FFE3718">
          <w:pPr>
            <w:pStyle w:val="Header"/>
            <w:bidi w:val="0"/>
            <w:ind w:left="-115"/>
            <w:jc w:val="left"/>
          </w:pPr>
        </w:p>
      </w:tc>
      <w:tc>
        <w:tcPr>
          <w:tcW w:w="3005" w:type="dxa"/>
          <w:tcMar/>
        </w:tcPr>
        <w:p w:rsidR="29B4B1D6" w:rsidP="29B4B1D6" w:rsidRDefault="29B4B1D6" w14:paraId="572E7903" w14:textId="0CB90FAA">
          <w:pPr>
            <w:pStyle w:val="Header"/>
            <w:bidi w:val="0"/>
            <w:jc w:val="center"/>
          </w:pPr>
        </w:p>
      </w:tc>
      <w:tc>
        <w:tcPr>
          <w:tcW w:w="3005" w:type="dxa"/>
          <w:tcMar/>
        </w:tcPr>
        <w:p w:rsidR="29B4B1D6" w:rsidP="29B4B1D6" w:rsidRDefault="29B4B1D6" w14:paraId="4408D102" w14:textId="6F7EA905">
          <w:pPr>
            <w:pStyle w:val="Header"/>
            <w:bidi w:val="0"/>
            <w:ind w:right="-115"/>
            <w:jc w:val="right"/>
          </w:pPr>
        </w:p>
      </w:tc>
    </w:tr>
  </w:tbl>
  <w:p w:rsidR="29B4B1D6" w:rsidP="29B4B1D6" w:rsidRDefault="29B4B1D6" w14:paraId="53E6DAB9" w14:textId="56BBF1E9">
    <w:pPr>
      <w:pStyle w:val="Header"/>
      <w:bidi w:val="0"/>
    </w:pPr>
  </w:p>
</w:hdr>
</file>

<file path=word/numbering.xml><?xml version="1.0" encoding="utf-8"?>
<w:numbering xmlns:w="http://schemas.openxmlformats.org/wordprocessingml/2006/main">
  <w:abstractNum xmlns:w="http://schemas.openxmlformats.org/wordprocessingml/2006/main" w:abstractNumId="3">
    <w:nsid w:val="2ab75f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5c19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efd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C6EFA6"/>
    <w:rsid w:val="00E1194B"/>
    <w:rsid w:val="0151896F"/>
    <w:rsid w:val="022FFEEC"/>
    <w:rsid w:val="02EED481"/>
    <w:rsid w:val="05DA34AD"/>
    <w:rsid w:val="07A14C81"/>
    <w:rsid w:val="0A6224FD"/>
    <w:rsid w:val="0AB7AE32"/>
    <w:rsid w:val="0C8AA7B7"/>
    <w:rsid w:val="0C96BD73"/>
    <w:rsid w:val="0CC0564C"/>
    <w:rsid w:val="0E711294"/>
    <w:rsid w:val="10192B0C"/>
    <w:rsid w:val="11047573"/>
    <w:rsid w:val="1136F1E9"/>
    <w:rsid w:val="11AF1008"/>
    <w:rsid w:val="1259086F"/>
    <w:rsid w:val="12DA5698"/>
    <w:rsid w:val="13D7623C"/>
    <w:rsid w:val="14CE5D4D"/>
    <w:rsid w:val="156442D8"/>
    <w:rsid w:val="163292D4"/>
    <w:rsid w:val="16F19BC9"/>
    <w:rsid w:val="16F5F5B5"/>
    <w:rsid w:val="192D365C"/>
    <w:rsid w:val="1A7023AE"/>
    <w:rsid w:val="1B3255E0"/>
    <w:rsid w:val="1D24113A"/>
    <w:rsid w:val="1DC45FDA"/>
    <w:rsid w:val="1EC03A48"/>
    <w:rsid w:val="1F6DC1CA"/>
    <w:rsid w:val="1F8847B6"/>
    <w:rsid w:val="20007600"/>
    <w:rsid w:val="2123683C"/>
    <w:rsid w:val="229DA2A1"/>
    <w:rsid w:val="2312AE64"/>
    <w:rsid w:val="246FCFD1"/>
    <w:rsid w:val="247890CA"/>
    <w:rsid w:val="25961761"/>
    <w:rsid w:val="2650EEF6"/>
    <w:rsid w:val="265AA97F"/>
    <w:rsid w:val="272C947A"/>
    <w:rsid w:val="27338AC9"/>
    <w:rsid w:val="27B6D82C"/>
    <w:rsid w:val="28B11078"/>
    <w:rsid w:val="29B4B1D6"/>
    <w:rsid w:val="2AE467C0"/>
    <w:rsid w:val="2BE6B19F"/>
    <w:rsid w:val="2C0137EB"/>
    <w:rsid w:val="2D997430"/>
    <w:rsid w:val="2DB1AF85"/>
    <w:rsid w:val="2DC3FCD2"/>
    <w:rsid w:val="2E7D0266"/>
    <w:rsid w:val="2EA540B5"/>
    <w:rsid w:val="30063F4D"/>
    <w:rsid w:val="31430444"/>
    <w:rsid w:val="34AED689"/>
    <w:rsid w:val="364C89ED"/>
    <w:rsid w:val="3A335656"/>
    <w:rsid w:val="3A78A585"/>
    <w:rsid w:val="3B9259E6"/>
    <w:rsid w:val="3CB1FEA2"/>
    <w:rsid w:val="3DC64B97"/>
    <w:rsid w:val="3F766BA7"/>
    <w:rsid w:val="3FC16C08"/>
    <w:rsid w:val="40EA94F9"/>
    <w:rsid w:val="41068B5A"/>
    <w:rsid w:val="4126E9F8"/>
    <w:rsid w:val="41A0D147"/>
    <w:rsid w:val="41B6F21E"/>
    <w:rsid w:val="440A4F93"/>
    <w:rsid w:val="442389B6"/>
    <w:rsid w:val="452AB378"/>
    <w:rsid w:val="4563BF78"/>
    <w:rsid w:val="457B95FE"/>
    <w:rsid w:val="464C1E4C"/>
    <w:rsid w:val="46DE6370"/>
    <w:rsid w:val="478BBE16"/>
    <w:rsid w:val="484BB57F"/>
    <w:rsid w:val="48984270"/>
    <w:rsid w:val="48D06444"/>
    <w:rsid w:val="49046FA7"/>
    <w:rsid w:val="497EEA06"/>
    <w:rsid w:val="49CF9E4E"/>
    <w:rsid w:val="4A167086"/>
    <w:rsid w:val="4C3DB932"/>
    <w:rsid w:val="4D695F80"/>
    <w:rsid w:val="4EA0B035"/>
    <w:rsid w:val="508730F5"/>
    <w:rsid w:val="52437123"/>
    <w:rsid w:val="5256C545"/>
    <w:rsid w:val="5268F592"/>
    <w:rsid w:val="5297976B"/>
    <w:rsid w:val="52F60095"/>
    <w:rsid w:val="5380ABF0"/>
    <w:rsid w:val="53ADE691"/>
    <w:rsid w:val="5446C87E"/>
    <w:rsid w:val="567E35BA"/>
    <w:rsid w:val="57721ADD"/>
    <w:rsid w:val="5862F459"/>
    <w:rsid w:val="58A2A991"/>
    <w:rsid w:val="59F8B522"/>
    <w:rsid w:val="5A14FE64"/>
    <w:rsid w:val="5A8A5791"/>
    <w:rsid w:val="5ADAEAE8"/>
    <w:rsid w:val="5AEE8359"/>
    <w:rsid w:val="5BE063FA"/>
    <w:rsid w:val="5C64AAAF"/>
    <w:rsid w:val="6085EA34"/>
    <w:rsid w:val="61721E2F"/>
    <w:rsid w:val="6223D993"/>
    <w:rsid w:val="62C6EFA6"/>
    <w:rsid w:val="64175AF5"/>
    <w:rsid w:val="64735052"/>
    <w:rsid w:val="64794B55"/>
    <w:rsid w:val="64A99117"/>
    <w:rsid w:val="64C5C2C8"/>
    <w:rsid w:val="6667FD29"/>
    <w:rsid w:val="6835839C"/>
    <w:rsid w:val="6838A1A1"/>
    <w:rsid w:val="6899DFE0"/>
    <w:rsid w:val="68D4B2CD"/>
    <w:rsid w:val="69FA7E6E"/>
    <w:rsid w:val="6AC2E6E8"/>
    <w:rsid w:val="6AD6718D"/>
    <w:rsid w:val="6B99AD44"/>
    <w:rsid w:val="6C29F370"/>
    <w:rsid w:val="6CE15967"/>
    <w:rsid w:val="6D23DBCB"/>
    <w:rsid w:val="6D95A71E"/>
    <w:rsid w:val="6E58B7AA"/>
    <w:rsid w:val="72D5E503"/>
    <w:rsid w:val="74C4F1B8"/>
    <w:rsid w:val="74C4F1B8"/>
    <w:rsid w:val="756CC06D"/>
    <w:rsid w:val="75B35F47"/>
    <w:rsid w:val="75BA999D"/>
    <w:rsid w:val="75F2E829"/>
    <w:rsid w:val="76B4A218"/>
    <w:rsid w:val="78B489E4"/>
    <w:rsid w:val="799900AB"/>
    <w:rsid w:val="7AC22DD4"/>
    <w:rsid w:val="7E84CA78"/>
    <w:rsid w:val="7F735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77290"/>
  <w15:chartTrackingRefBased/>
  <w15:docId w15:val="{BD434861-04EB-47EB-8A42-C9C7A870DE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9B4B1D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29B4B1D6"/>
    <w:pPr>
      <w:tabs>
        <w:tab w:val="center" w:leader="none" w:pos="4680"/>
        <w:tab w:val="right" w:leader="none" w:pos="9360"/>
      </w:tabs>
      <w:spacing w:after="0" w:line="240" w:lineRule="auto"/>
    </w:pPr>
  </w:style>
  <w:style w:type="paragraph" w:styleId="Footer">
    <w:uiPriority w:val="99"/>
    <w:name w:val="footer"/>
    <w:basedOn w:val="Normal"/>
    <w:unhideWhenUsed/>
    <w:rsid w:val="29B4B1D6"/>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29B4B1D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9B4B1D6"/>
    <w:pPr>
      <w:spacing/>
      <w:ind w:left="720"/>
      <w:contextualSpacing/>
    </w:pPr>
  </w:style>
  <w:style w:type="character" w:styleId="Hyperlink">
    <w:uiPriority w:val="99"/>
    <w:name w:val="Hyperlink"/>
    <w:basedOn w:val="DefaultParagraphFont"/>
    <w:unhideWhenUsed/>
    <w:rsid w:val="29B4B1D6"/>
    <w:rPr>
      <w:color w:val="467886"/>
      <w:u w:val="single"/>
    </w:rPr>
  </w:style>
  <w:style w:type="paragraph" w:styleId="Heading3">
    <w:uiPriority w:val="9"/>
    <w:name w:val="heading 3"/>
    <w:basedOn w:val="Normal"/>
    <w:next w:val="Normal"/>
    <w:unhideWhenUsed/>
    <w:qFormat/>
    <w:rsid w:val="29B4B1D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1">
    <w:uiPriority w:val="39"/>
    <w:name w:val="toc 1"/>
    <w:basedOn w:val="Normal"/>
    <w:next w:val="Normal"/>
    <w:unhideWhenUsed/>
    <w:rsid w:val="29B4B1D6"/>
    <w:pPr>
      <w:spacing w:after="100"/>
    </w:pPr>
  </w:style>
  <w:style w:type="paragraph" w:styleId="TOC2">
    <w:uiPriority w:val="39"/>
    <w:name w:val="toc 2"/>
    <w:basedOn w:val="Normal"/>
    <w:next w:val="Normal"/>
    <w:unhideWhenUsed/>
    <w:rsid w:val="29B4B1D6"/>
    <w:pPr>
      <w:spacing w:after="100"/>
      <w:ind w:left="220"/>
    </w:pPr>
  </w:style>
  <w:style w:type="paragraph" w:styleId="TOC3">
    <w:uiPriority w:val="39"/>
    <w:name w:val="toc 3"/>
    <w:basedOn w:val="Normal"/>
    <w:next w:val="Normal"/>
    <w:unhideWhenUsed/>
    <w:rsid w:val="29B4B1D6"/>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52645162" /><Relationship Type="http://schemas.openxmlformats.org/officeDocument/2006/relationships/header" Target="/word/header.xml" Id="R95d22301ba6e4877" /><Relationship Type="http://schemas.openxmlformats.org/officeDocument/2006/relationships/footer" Target="/word/footer.xml" Id="Rfa12877936d74ae2" /><Relationship Type="http://schemas.openxmlformats.org/officeDocument/2006/relationships/numbering" Target="/word/numbering.xml" Id="R5c8e3e38fedd424a" /><Relationship Type="http://schemas.openxmlformats.org/officeDocument/2006/relationships/hyperlink" Target="https://assets.publishing.service.gov.uk/media/63766ddf8fa8f57721e34e30/intelligent-open-science.pdf" TargetMode="External" Id="Rc508278e349c4da0" /><Relationship Type="http://schemas.openxmlformats.org/officeDocument/2006/relationships/hyperlink" Target="https://www.gov.uk/government/publications/data-saves-lives-reshaping-health-and-social-care-with-data" TargetMode="External" Id="R6131f38b59904354" /><Relationship Type="http://schemas.openxmlformats.org/officeDocument/2006/relationships/hyperlink" Target="https://future.nhs.uk/WhatGoodLooksLikeKnowledge/grouphome" TargetMode="External" Id="R59ee7683be7c4f19" /><Relationship Type="http://schemas.openxmlformats.org/officeDocument/2006/relationships/hyperlink" Target="https://link.springer.com/article/10.1007/s42452-025-07053-7" TargetMode="External" Id="Rd9199310aab3409a" /><Relationship Type="http://schemas.openxmlformats.org/officeDocument/2006/relationships/hyperlink" Target="https://www.food.gov.uk/our-work/path-safe-novel-foodborne-pathogen-and-associated-antimicrobial-resistance-knowledge-and-surveillance-approaches" TargetMode="External" Id="Rca5fa01540674d3a" /><Relationship Type="http://schemas.openxmlformats.org/officeDocument/2006/relationships/hyperlink" Target="https://pubmed.ncbi.nlm.nih.gov/33116284/" TargetMode="External" Id="R19dcd1beabde4d77" /><Relationship Type="http://schemas.openxmlformats.org/officeDocument/2006/relationships/hyperlink" Target="https://pubmed.ncbi.nlm.nih.gov/31240828/" TargetMode="External" Id="R12427f64ac934b14" /><Relationship Type="http://schemas.openxmlformats.org/officeDocument/2006/relationships/hyperlink" Target="https://ico.org.uk/for-organisations/uk-gdpr-guidance-and-resources/data-protection-principles/" TargetMode="External" Id="R53dd13920cd34b45" /><Relationship Type="http://schemas.openxmlformats.org/officeDocument/2006/relationships/hyperlink" Target="https://bioscipublisher.com/index.php/cmb/article/view/3975/3024" TargetMode="External" Id="R0b1356f20fc74cc8" /><Relationship Type="http://schemas.openxmlformats.org/officeDocument/2006/relationships/hyperlink" Target="https://pmc.ncbi.nlm.nih.gov/articles/PMC9519096/" TargetMode="External" Id="R8d42f73000a74d52" /><Relationship Type="http://schemas.openxmlformats.org/officeDocument/2006/relationships/hyperlink" Target="https://www.researchgate.net/publication/384455209_The_Role_of_Genomics_in_Infectious_Disease_Control" TargetMode="External" Id="R8579294ae8f14ae9" /><Relationship Type="http://schemas.openxmlformats.org/officeDocument/2006/relationships/hyperlink" Target="https://www.nature.com/collections/fhdbcciefa?gad_source=1&amp;gad_campaignid=21668541333&amp;gbraid=0AAAAADu685PDcLEBvMoxmf_rcpSsPLtQZ&amp;gclid=CjwKCAjw3ejRBhAdEiwADkqPnw4iXxQIeb7TINxuwV7EsymvqWHVIZ1l3N0832pxS9cFyedkhfPmohoCLhoQAvD_BwE" TargetMode="External" Id="R25415f067d74482f" /><Relationship Type="http://schemas.openxmlformats.org/officeDocument/2006/relationships/hyperlink" Target="https://www.england.nhs.uk/digitaltechnology/digitising-the-frontline/" TargetMode="External" Id="R1f48d06a3a82482a" /><Relationship Type="http://schemas.openxmlformats.org/officeDocument/2006/relationships/hyperlink" Target="https://www.phgfoundation.org/blog/metagenomic-sequencing-in-public-health/" TargetMode="External" Id="Rf8686f82ba6e430b" /><Relationship Type="http://schemas.openxmlformats.org/officeDocument/2006/relationships/hyperlink" Target="https://assets.publishing.service.gov.uk/media/65aff68ef2718c000dfb1bd8/Pathogen_Genomics_Strategy_2024.pdf" TargetMode="External" Id="R35fb2418b75e4315" /><Relationship Type="http://schemas.openxmlformats.org/officeDocument/2006/relationships/hyperlink" Target="https://assets.publishing.service.gov.uk/media/650d530e52e73c00139426c1/UKHSA_3_year_strategy.pdf" TargetMode="External" Id="Ra76cb123dda64809" /><Relationship Type="http://schemas.openxmlformats.org/officeDocument/2006/relationships/hyperlink" Target="https://www.who.int/initiatives/genomic-surveillance-strategy" TargetMode="External" Id="R2087d504c3074b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Zikavska (2332569)</dc:creator>
  <keywords/>
  <dc:description/>
  <lastModifiedBy>Kamila Zikavska (2332569)</lastModifiedBy>
  <revision>3</revision>
  <dcterms:created xsi:type="dcterms:W3CDTF">2026-06-24T08:47:33.4467398Z</dcterms:created>
  <dcterms:modified xsi:type="dcterms:W3CDTF">2026-06-27T14:22:39.1963593Z</dcterms:modified>
</coreProperties>
</file>