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A84E6" w14:textId="5ECBA574" w:rsidR="006A5400" w:rsidRPr="006D1229" w:rsidRDefault="00DA1248" w:rsidP="006A5400">
      <w:pPr>
        <w:rPr>
          <w:rFonts w:ascii="Arial" w:hAnsi="Arial" w:cs="Arial"/>
          <w:sz w:val="28"/>
          <w:szCs w:val="28"/>
        </w:rPr>
      </w:pPr>
      <w:bookmarkStart w:id="0" w:name="_Toc189586164"/>
      <w:r w:rsidRPr="006D1229">
        <w:rPr>
          <w:rFonts w:ascii="Arial" w:hAnsi="Arial" w:cs="Arial"/>
          <w:sz w:val="28"/>
          <w:szCs w:val="28"/>
        </w:rPr>
        <w:t xml:space="preserve">International Financial Management </w:t>
      </w:r>
      <w:r w:rsidR="005C0E7F" w:rsidRPr="006D1229">
        <w:rPr>
          <w:rFonts w:ascii="Arial" w:hAnsi="Arial" w:cs="Arial"/>
          <w:sz w:val="28"/>
          <w:szCs w:val="28"/>
        </w:rPr>
        <w:t>( LCBB6002</w:t>
      </w:r>
      <w:r w:rsidR="00404F1C" w:rsidRPr="006D1229">
        <w:rPr>
          <w:rFonts w:ascii="Arial" w:hAnsi="Arial" w:cs="Arial"/>
          <w:sz w:val="28"/>
          <w:szCs w:val="28"/>
        </w:rPr>
        <w:t>)</w:t>
      </w:r>
    </w:p>
    <w:p w14:paraId="4F02459F" w14:textId="09C9FFE1" w:rsidR="006A5400" w:rsidRPr="006D1229" w:rsidRDefault="00404F1C" w:rsidP="006A5400">
      <w:pPr>
        <w:rPr>
          <w:rFonts w:ascii="Arial" w:hAnsi="Arial" w:cs="Arial"/>
        </w:rPr>
      </w:pPr>
      <w:r w:rsidRPr="006D1229">
        <w:rPr>
          <w:rFonts w:ascii="Arial" w:hAnsi="Arial" w:cs="Arial"/>
          <w:b/>
          <w:bCs/>
        </w:rPr>
        <w:t>Name:</w:t>
      </w:r>
      <w:r w:rsidRPr="006D1229">
        <w:rPr>
          <w:rFonts w:ascii="Arial" w:hAnsi="Arial" w:cs="Arial"/>
        </w:rPr>
        <w:t xml:space="preserve"> Maiyara Mabel Florian Santana </w:t>
      </w:r>
      <w:r w:rsidR="00E42DDE" w:rsidRPr="006D1229">
        <w:rPr>
          <w:rFonts w:ascii="Arial" w:hAnsi="Arial" w:cs="Arial"/>
        </w:rPr>
        <w:t xml:space="preserve"> ( 2113112)</w:t>
      </w:r>
    </w:p>
    <w:p w14:paraId="709366F1" w14:textId="21FB83EE" w:rsidR="00E42DDE" w:rsidRPr="006D1229" w:rsidRDefault="00E42DDE" w:rsidP="006A5400">
      <w:pPr>
        <w:rPr>
          <w:rFonts w:ascii="Arial" w:hAnsi="Arial" w:cs="Arial"/>
        </w:rPr>
      </w:pPr>
      <w:r w:rsidRPr="006D1229">
        <w:rPr>
          <w:rFonts w:ascii="Arial" w:hAnsi="Arial" w:cs="Arial"/>
          <w:b/>
          <w:bCs/>
        </w:rPr>
        <w:t>Lecturer:</w:t>
      </w:r>
      <w:r w:rsidRPr="006D1229">
        <w:rPr>
          <w:rFonts w:ascii="Arial" w:hAnsi="Arial" w:cs="Arial"/>
        </w:rPr>
        <w:t xml:space="preserve"> M</w:t>
      </w:r>
      <w:r w:rsidR="006D1229" w:rsidRPr="006D1229">
        <w:rPr>
          <w:rFonts w:ascii="Arial" w:hAnsi="Arial" w:cs="Arial"/>
        </w:rPr>
        <w:t>udassar Hasan</w:t>
      </w:r>
    </w:p>
    <w:p w14:paraId="1B08DE2B" w14:textId="77777777" w:rsidR="006A5400" w:rsidRPr="006D1229" w:rsidRDefault="006A5400" w:rsidP="006A5400">
      <w:pPr>
        <w:rPr>
          <w:rFonts w:ascii="Arial" w:hAnsi="Arial" w:cs="Arial"/>
        </w:rPr>
      </w:pPr>
    </w:p>
    <w:p w14:paraId="3510D9B2" w14:textId="77777777" w:rsidR="006A5400" w:rsidRPr="006D1229" w:rsidRDefault="006A5400" w:rsidP="006A5400">
      <w:pPr>
        <w:rPr>
          <w:rFonts w:ascii="Arial" w:hAnsi="Arial" w:cs="Arial"/>
        </w:rPr>
      </w:pPr>
    </w:p>
    <w:p w14:paraId="584DAFD8" w14:textId="77777777" w:rsidR="006A5400" w:rsidRDefault="006A5400" w:rsidP="006A5400"/>
    <w:p w14:paraId="7288960A" w14:textId="77777777" w:rsidR="006A5400" w:rsidRDefault="006A5400" w:rsidP="006A5400"/>
    <w:p w14:paraId="41F0E764" w14:textId="77777777" w:rsidR="006A5400" w:rsidRDefault="006A5400" w:rsidP="006A5400"/>
    <w:p w14:paraId="0CDB805F" w14:textId="77777777" w:rsidR="006A5400" w:rsidRDefault="006A5400" w:rsidP="006A5400"/>
    <w:p w14:paraId="172AE728" w14:textId="77777777" w:rsidR="006A5400" w:rsidRDefault="006A5400" w:rsidP="006A5400"/>
    <w:p w14:paraId="6FC88D03" w14:textId="77777777" w:rsidR="006A5400" w:rsidRDefault="006A5400" w:rsidP="006A5400"/>
    <w:p w14:paraId="7609C613" w14:textId="77777777" w:rsidR="006A5400" w:rsidRDefault="006A5400" w:rsidP="006A5400"/>
    <w:p w14:paraId="6967629B" w14:textId="77777777" w:rsidR="006A5400" w:rsidRDefault="006A5400" w:rsidP="006A5400"/>
    <w:p w14:paraId="06FEEA38" w14:textId="77777777" w:rsidR="006A5400" w:rsidRDefault="006A5400" w:rsidP="006A5400"/>
    <w:p w14:paraId="5BF34A44" w14:textId="77777777" w:rsidR="006A5400" w:rsidRDefault="006A5400" w:rsidP="006A5400"/>
    <w:p w14:paraId="6843ACE2" w14:textId="77777777" w:rsidR="006A5400" w:rsidRDefault="006A5400" w:rsidP="006A5400"/>
    <w:p w14:paraId="15A485DC" w14:textId="77777777" w:rsidR="006A5400" w:rsidRDefault="006A5400" w:rsidP="006A5400"/>
    <w:p w14:paraId="705EB324" w14:textId="77777777" w:rsidR="006A5400" w:rsidRDefault="006A5400" w:rsidP="006A5400"/>
    <w:p w14:paraId="5940C633" w14:textId="77777777" w:rsidR="006A5400" w:rsidRDefault="006A5400" w:rsidP="006A5400"/>
    <w:p w14:paraId="1FE7BA2E" w14:textId="77777777" w:rsidR="006A5400" w:rsidRDefault="006A5400" w:rsidP="006A5400"/>
    <w:p w14:paraId="434FAABA" w14:textId="77777777" w:rsidR="006A5400" w:rsidRDefault="006A5400" w:rsidP="006A5400"/>
    <w:p w14:paraId="04D977E8" w14:textId="77777777" w:rsidR="006A5400" w:rsidRDefault="006A5400" w:rsidP="006A5400"/>
    <w:p w14:paraId="2B21945C" w14:textId="77777777" w:rsidR="006A5400" w:rsidRDefault="006A5400" w:rsidP="006A5400"/>
    <w:p w14:paraId="76AC3FA7" w14:textId="77777777" w:rsidR="006A5400" w:rsidRDefault="006A5400" w:rsidP="006A5400"/>
    <w:p w14:paraId="75DC5F2B" w14:textId="77777777" w:rsidR="006A5400" w:rsidRDefault="006A5400" w:rsidP="006A5400"/>
    <w:p w14:paraId="714BB30C" w14:textId="77777777" w:rsidR="006A5400" w:rsidRDefault="006A5400" w:rsidP="006A5400"/>
    <w:p w14:paraId="075B21E3" w14:textId="77777777" w:rsidR="006A5400" w:rsidRDefault="006A5400" w:rsidP="006A5400"/>
    <w:p w14:paraId="17460137" w14:textId="77777777" w:rsidR="006A5400" w:rsidRDefault="006A5400" w:rsidP="006A5400"/>
    <w:p w14:paraId="420586BC" w14:textId="77777777" w:rsidR="006A5400" w:rsidRDefault="006A5400" w:rsidP="006A5400"/>
    <w:p w14:paraId="74FBEA8E" w14:textId="77777777" w:rsidR="006A5400" w:rsidRDefault="006A5400" w:rsidP="006A5400"/>
    <w:p w14:paraId="77B2E7C4" w14:textId="77777777" w:rsidR="006A5400" w:rsidRDefault="006A5400" w:rsidP="006A5400"/>
    <w:sdt>
      <w:sdtPr>
        <w:rPr>
          <w:rFonts w:asciiTheme="minorHAnsi" w:eastAsiaTheme="minorHAnsi" w:hAnsiTheme="minorHAnsi" w:cstheme="minorBidi"/>
          <w:color w:val="auto"/>
          <w:sz w:val="22"/>
          <w:szCs w:val="22"/>
          <w:lang w:val="en-GB"/>
        </w:rPr>
        <w:id w:val="1266112881"/>
        <w:docPartObj>
          <w:docPartGallery w:val="Table of Contents"/>
          <w:docPartUnique/>
        </w:docPartObj>
      </w:sdtPr>
      <w:sdtEndPr>
        <w:rPr>
          <w:b/>
          <w:bCs/>
          <w:noProof/>
        </w:rPr>
      </w:sdtEndPr>
      <w:sdtContent>
        <w:p w14:paraId="54C69321" w14:textId="1FA89C93" w:rsidR="006D1229" w:rsidRPr="005F0FBE" w:rsidRDefault="005F0FBE">
          <w:pPr>
            <w:pStyle w:val="TOCHeading"/>
            <w:rPr>
              <w:rFonts w:ascii="Arial" w:hAnsi="Arial" w:cs="Arial"/>
              <w:b/>
              <w:bCs/>
              <w:color w:val="auto"/>
              <w:sz w:val="24"/>
              <w:szCs w:val="24"/>
            </w:rPr>
          </w:pPr>
          <w:r w:rsidRPr="005F0FBE">
            <w:rPr>
              <w:rFonts w:ascii="Arial" w:eastAsiaTheme="minorHAnsi" w:hAnsi="Arial" w:cs="Arial"/>
              <w:b/>
              <w:bCs/>
              <w:color w:val="auto"/>
              <w:sz w:val="24"/>
              <w:szCs w:val="24"/>
              <w:lang w:val="en-GB"/>
            </w:rPr>
            <w:t xml:space="preserve">Table of </w:t>
          </w:r>
          <w:r w:rsidR="006D1229" w:rsidRPr="005F0FBE">
            <w:rPr>
              <w:rFonts w:ascii="Arial" w:hAnsi="Arial" w:cs="Arial"/>
              <w:b/>
              <w:bCs/>
              <w:color w:val="auto"/>
              <w:sz w:val="24"/>
              <w:szCs w:val="24"/>
            </w:rPr>
            <w:t>Content</w:t>
          </w:r>
        </w:p>
        <w:p w14:paraId="51A9FA5E" w14:textId="0CF40D11" w:rsidR="00800171" w:rsidRDefault="006D1229">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1040345" w:history="1">
            <w:r w:rsidR="00800171" w:rsidRPr="00C658FF">
              <w:rPr>
                <w:rStyle w:val="Hyperlink"/>
                <w:rFonts w:ascii="Arial" w:hAnsi="Arial" w:cs="Arial"/>
                <w:b/>
                <w:bCs/>
                <w:noProof/>
              </w:rPr>
              <w:t>Executive Summary</w:t>
            </w:r>
            <w:r w:rsidR="00800171">
              <w:rPr>
                <w:noProof/>
                <w:webHidden/>
              </w:rPr>
              <w:tab/>
            </w:r>
            <w:r w:rsidR="00800171">
              <w:rPr>
                <w:noProof/>
                <w:webHidden/>
              </w:rPr>
              <w:fldChar w:fldCharType="begin"/>
            </w:r>
            <w:r w:rsidR="00800171">
              <w:rPr>
                <w:noProof/>
                <w:webHidden/>
              </w:rPr>
              <w:instrText xml:space="preserve"> PAGEREF _Toc191040345 \h </w:instrText>
            </w:r>
            <w:r w:rsidR="00800171">
              <w:rPr>
                <w:noProof/>
                <w:webHidden/>
              </w:rPr>
            </w:r>
            <w:r w:rsidR="00800171">
              <w:rPr>
                <w:noProof/>
                <w:webHidden/>
              </w:rPr>
              <w:fldChar w:fldCharType="separate"/>
            </w:r>
            <w:r w:rsidR="00800171">
              <w:rPr>
                <w:noProof/>
                <w:webHidden/>
              </w:rPr>
              <w:t>3</w:t>
            </w:r>
            <w:r w:rsidR="00800171">
              <w:rPr>
                <w:noProof/>
                <w:webHidden/>
              </w:rPr>
              <w:fldChar w:fldCharType="end"/>
            </w:r>
          </w:hyperlink>
        </w:p>
        <w:p w14:paraId="00F6CCEE" w14:textId="37894C0A" w:rsidR="00800171" w:rsidRDefault="00800171">
          <w:pPr>
            <w:pStyle w:val="TOC1"/>
            <w:tabs>
              <w:tab w:val="right" w:leader="dot" w:pos="9016"/>
            </w:tabs>
            <w:rPr>
              <w:rFonts w:eastAsiaTheme="minorEastAsia"/>
              <w:noProof/>
              <w:kern w:val="2"/>
              <w:sz w:val="24"/>
              <w:szCs w:val="24"/>
              <w:lang w:eastAsia="en-GB"/>
              <w14:ligatures w14:val="standardContextual"/>
            </w:rPr>
          </w:pPr>
          <w:hyperlink w:anchor="_Toc191040346" w:history="1">
            <w:r w:rsidRPr="00C658FF">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_Toc191040346 \h </w:instrText>
            </w:r>
            <w:r>
              <w:rPr>
                <w:noProof/>
                <w:webHidden/>
              </w:rPr>
            </w:r>
            <w:r>
              <w:rPr>
                <w:noProof/>
                <w:webHidden/>
              </w:rPr>
              <w:fldChar w:fldCharType="separate"/>
            </w:r>
            <w:r>
              <w:rPr>
                <w:noProof/>
                <w:webHidden/>
              </w:rPr>
              <w:t>3</w:t>
            </w:r>
            <w:r>
              <w:rPr>
                <w:noProof/>
                <w:webHidden/>
              </w:rPr>
              <w:fldChar w:fldCharType="end"/>
            </w:r>
          </w:hyperlink>
        </w:p>
        <w:p w14:paraId="172085B4" w14:textId="06C76610" w:rsidR="00800171" w:rsidRDefault="00800171">
          <w:pPr>
            <w:pStyle w:val="TOC1"/>
            <w:tabs>
              <w:tab w:val="right" w:leader="dot" w:pos="9016"/>
            </w:tabs>
            <w:rPr>
              <w:rFonts w:eastAsiaTheme="minorEastAsia"/>
              <w:noProof/>
              <w:kern w:val="2"/>
              <w:sz w:val="24"/>
              <w:szCs w:val="24"/>
              <w:lang w:eastAsia="en-GB"/>
              <w14:ligatures w14:val="standardContextual"/>
            </w:rPr>
          </w:pPr>
          <w:hyperlink w:anchor="_Toc191040347" w:history="1">
            <w:r w:rsidRPr="00C658FF">
              <w:rPr>
                <w:rStyle w:val="Hyperlink"/>
                <w:rFonts w:ascii="Arial" w:hAnsi="Arial" w:cs="Arial"/>
                <w:b/>
                <w:noProof/>
              </w:rPr>
              <w:t>Corporate Governance, Agency Theory and their Significance to Public Limited Liability Companies.</w:t>
            </w:r>
            <w:r>
              <w:rPr>
                <w:noProof/>
                <w:webHidden/>
              </w:rPr>
              <w:tab/>
            </w:r>
            <w:r>
              <w:rPr>
                <w:noProof/>
                <w:webHidden/>
              </w:rPr>
              <w:fldChar w:fldCharType="begin"/>
            </w:r>
            <w:r>
              <w:rPr>
                <w:noProof/>
                <w:webHidden/>
              </w:rPr>
              <w:instrText xml:space="preserve"> PAGEREF _Toc191040347 \h </w:instrText>
            </w:r>
            <w:r>
              <w:rPr>
                <w:noProof/>
                <w:webHidden/>
              </w:rPr>
            </w:r>
            <w:r>
              <w:rPr>
                <w:noProof/>
                <w:webHidden/>
              </w:rPr>
              <w:fldChar w:fldCharType="separate"/>
            </w:r>
            <w:r>
              <w:rPr>
                <w:noProof/>
                <w:webHidden/>
              </w:rPr>
              <w:t>3</w:t>
            </w:r>
            <w:r>
              <w:rPr>
                <w:noProof/>
                <w:webHidden/>
              </w:rPr>
              <w:fldChar w:fldCharType="end"/>
            </w:r>
          </w:hyperlink>
        </w:p>
        <w:p w14:paraId="55B6098E" w14:textId="17A163E0" w:rsidR="00800171" w:rsidRDefault="00800171">
          <w:pPr>
            <w:pStyle w:val="TOC1"/>
            <w:tabs>
              <w:tab w:val="right" w:leader="dot" w:pos="9016"/>
            </w:tabs>
            <w:rPr>
              <w:rFonts w:eastAsiaTheme="minorEastAsia"/>
              <w:noProof/>
              <w:kern w:val="2"/>
              <w:sz w:val="24"/>
              <w:szCs w:val="24"/>
              <w:lang w:eastAsia="en-GB"/>
              <w14:ligatures w14:val="standardContextual"/>
            </w:rPr>
          </w:pPr>
          <w:hyperlink w:anchor="_Toc191040348" w:history="1">
            <w:r w:rsidRPr="00C658FF">
              <w:rPr>
                <w:rStyle w:val="Hyperlink"/>
                <w:rFonts w:ascii="Arial" w:hAnsi="Arial" w:cs="Arial"/>
                <w:b/>
                <w:noProof/>
              </w:rPr>
              <w:t>Maintaining Control of the Board with 30% Shareholding</w:t>
            </w:r>
            <w:r>
              <w:rPr>
                <w:noProof/>
                <w:webHidden/>
              </w:rPr>
              <w:tab/>
            </w:r>
            <w:r>
              <w:rPr>
                <w:noProof/>
                <w:webHidden/>
              </w:rPr>
              <w:fldChar w:fldCharType="begin"/>
            </w:r>
            <w:r>
              <w:rPr>
                <w:noProof/>
                <w:webHidden/>
              </w:rPr>
              <w:instrText xml:space="preserve"> PAGEREF _Toc191040348 \h </w:instrText>
            </w:r>
            <w:r>
              <w:rPr>
                <w:noProof/>
                <w:webHidden/>
              </w:rPr>
            </w:r>
            <w:r>
              <w:rPr>
                <w:noProof/>
                <w:webHidden/>
              </w:rPr>
              <w:fldChar w:fldCharType="separate"/>
            </w:r>
            <w:r>
              <w:rPr>
                <w:noProof/>
                <w:webHidden/>
              </w:rPr>
              <w:t>4</w:t>
            </w:r>
            <w:r>
              <w:rPr>
                <w:noProof/>
                <w:webHidden/>
              </w:rPr>
              <w:fldChar w:fldCharType="end"/>
            </w:r>
          </w:hyperlink>
        </w:p>
        <w:p w14:paraId="439976A6" w14:textId="21156372" w:rsidR="00800171" w:rsidRDefault="00800171">
          <w:pPr>
            <w:pStyle w:val="TOC1"/>
            <w:tabs>
              <w:tab w:val="right" w:leader="dot" w:pos="9016"/>
            </w:tabs>
            <w:rPr>
              <w:rFonts w:eastAsiaTheme="minorEastAsia"/>
              <w:noProof/>
              <w:kern w:val="2"/>
              <w:sz w:val="24"/>
              <w:szCs w:val="24"/>
              <w:lang w:eastAsia="en-GB"/>
              <w14:ligatures w14:val="standardContextual"/>
            </w:rPr>
          </w:pPr>
          <w:hyperlink w:anchor="_Toc191040349" w:history="1">
            <w:r w:rsidRPr="00C658FF">
              <w:rPr>
                <w:rStyle w:val="Hyperlink"/>
                <w:rFonts w:ascii="Arial" w:hAnsi="Arial" w:cs="Arial"/>
                <w:b/>
                <w:noProof/>
              </w:rPr>
              <w:t>Decision on Remuneration of Directors</w:t>
            </w:r>
            <w:r>
              <w:rPr>
                <w:noProof/>
                <w:webHidden/>
              </w:rPr>
              <w:tab/>
            </w:r>
            <w:r>
              <w:rPr>
                <w:noProof/>
                <w:webHidden/>
              </w:rPr>
              <w:fldChar w:fldCharType="begin"/>
            </w:r>
            <w:r>
              <w:rPr>
                <w:noProof/>
                <w:webHidden/>
              </w:rPr>
              <w:instrText xml:space="preserve"> PAGEREF _Toc191040349 \h </w:instrText>
            </w:r>
            <w:r>
              <w:rPr>
                <w:noProof/>
                <w:webHidden/>
              </w:rPr>
            </w:r>
            <w:r>
              <w:rPr>
                <w:noProof/>
                <w:webHidden/>
              </w:rPr>
              <w:fldChar w:fldCharType="separate"/>
            </w:r>
            <w:r>
              <w:rPr>
                <w:noProof/>
                <w:webHidden/>
              </w:rPr>
              <w:t>5</w:t>
            </w:r>
            <w:r>
              <w:rPr>
                <w:noProof/>
                <w:webHidden/>
              </w:rPr>
              <w:fldChar w:fldCharType="end"/>
            </w:r>
          </w:hyperlink>
        </w:p>
        <w:p w14:paraId="7169893B" w14:textId="4D56B5E2" w:rsidR="00800171" w:rsidRDefault="00800171">
          <w:pPr>
            <w:pStyle w:val="TOC1"/>
            <w:tabs>
              <w:tab w:val="right" w:leader="dot" w:pos="9016"/>
            </w:tabs>
            <w:rPr>
              <w:rFonts w:eastAsiaTheme="minorEastAsia"/>
              <w:noProof/>
              <w:kern w:val="2"/>
              <w:sz w:val="24"/>
              <w:szCs w:val="24"/>
              <w:lang w:eastAsia="en-GB"/>
              <w14:ligatures w14:val="standardContextual"/>
            </w:rPr>
          </w:pPr>
          <w:hyperlink w:anchor="_Toc191040350" w:history="1">
            <w:r w:rsidRPr="00C658FF">
              <w:rPr>
                <w:rStyle w:val="Hyperlink"/>
                <w:rFonts w:ascii="Arial" w:hAnsi="Arial" w:cs="Arial"/>
                <w:b/>
                <w:noProof/>
              </w:rPr>
              <w:t>Institutional Factors and Corporate Governance</w:t>
            </w:r>
            <w:r>
              <w:rPr>
                <w:noProof/>
                <w:webHidden/>
              </w:rPr>
              <w:tab/>
            </w:r>
            <w:r>
              <w:rPr>
                <w:noProof/>
                <w:webHidden/>
              </w:rPr>
              <w:fldChar w:fldCharType="begin"/>
            </w:r>
            <w:r>
              <w:rPr>
                <w:noProof/>
                <w:webHidden/>
              </w:rPr>
              <w:instrText xml:space="preserve"> PAGEREF _Toc191040350 \h </w:instrText>
            </w:r>
            <w:r>
              <w:rPr>
                <w:noProof/>
                <w:webHidden/>
              </w:rPr>
            </w:r>
            <w:r>
              <w:rPr>
                <w:noProof/>
                <w:webHidden/>
              </w:rPr>
              <w:fldChar w:fldCharType="separate"/>
            </w:r>
            <w:r>
              <w:rPr>
                <w:noProof/>
                <w:webHidden/>
              </w:rPr>
              <w:t>5</w:t>
            </w:r>
            <w:r>
              <w:rPr>
                <w:noProof/>
                <w:webHidden/>
              </w:rPr>
              <w:fldChar w:fldCharType="end"/>
            </w:r>
          </w:hyperlink>
        </w:p>
        <w:p w14:paraId="78C28ED9" w14:textId="2B9F98FA" w:rsidR="00800171" w:rsidRDefault="00800171">
          <w:pPr>
            <w:pStyle w:val="TOC1"/>
            <w:tabs>
              <w:tab w:val="right" w:leader="dot" w:pos="9016"/>
            </w:tabs>
            <w:rPr>
              <w:rFonts w:eastAsiaTheme="minorEastAsia"/>
              <w:noProof/>
              <w:kern w:val="2"/>
              <w:sz w:val="24"/>
              <w:szCs w:val="24"/>
              <w:lang w:eastAsia="en-GB"/>
              <w14:ligatures w14:val="standardContextual"/>
            </w:rPr>
          </w:pPr>
          <w:hyperlink w:anchor="_Toc191040351" w:history="1">
            <w:r w:rsidRPr="00C658FF">
              <w:rPr>
                <w:rStyle w:val="Hyperlink"/>
                <w:rFonts w:ascii="Arial" w:hAnsi="Arial" w:cs="Arial"/>
                <w:b/>
                <w:noProof/>
              </w:rPr>
              <w:t>Conclusion and Recommendations</w:t>
            </w:r>
            <w:r>
              <w:rPr>
                <w:noProof/>
                <w:webHidden/>
              </w:rPr>
              <w:tab/>
            </w:r>
            <w:r>
              <w:rPr>
                <w:noProof/>
                <w:webHidden/>
              </w:rPr>
              <w:fldChar w:fldCharType="begin"/>
            </w:r>
            <w:r>
              <w:rPr>
                <w:noProof/>
                <w:webHidden/>
              </w:rPr>
              <w:instrText xml:space="preserve"> PAGEREF _Toc191040351 \h </w:instrText>
            </w:r>
            <w:r>
              <w:rPr>
                <w:noProof/>
                <w:webHidden/>
              </w:rPr>
            </w:r>
            <w:r>
              <w:rPr>
                <w:noProof/>
                <w:webHidden/>
              </w:rPr>
              <w:fldChar w:fldCharType="separate"/>
            </w:r>
            <w:r>
              <w:rPr>
                <w:noProof/>
                <w:webHidden/>
              </w:rPr>
              <w:t>6</w:t>
            </w:r>
            <w:r>
              <w:rPr>
                <w:noProof/>
                <w:webHidden/>
              </w:rPr>
              <w:fldChar w:fldCharType="end"/>
            </w:r>
          </w:hyperlink>
        </w:p>
        <w:p w14:paraId="5AEF02C2" w14:textId="6D658AE0" w:rsidR="00800171" w:rsidRDefault="00800171">
          <w:pPr>
            <w:pStyle w:val="TOC1"/>
            <w:tabs>
              <w:tab w:val="right" w:leader="dot" w:pos="9016"/>
            </w:tabs>
            <w:rPr>
              <w:rFonts w:eastAsiaTheme="minorEastAsia"/>
              <w:noProof/>
              <w:kern w:val="2"/>
              <w:sz w:val="24"/>
              <w:szCs w:val="24"/>
              <w:lang w:eastAsia="en-GB"/>
              <w14:ligatures w14:val="standardContextual"/>
            </w:rPr>
          </w:pPr>
          <w:hyperlink w:anchor="_Toc191040352" w:history="1">
            <w:r w:rsidRPr="00C658FF">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_Toc191040352 \h </w:instrText>
            </w:r>
            <w:r>
              <w:rPr>
                <w:noProof/>
                <w:webHidden/>
              </w:rPr>
            </w:r>
            <w:r>
              <w:rPr>
                <w:noProof/>
                <w:webHidden/>
              </w:rPr>
              <w:fldChar w:fldCharType="separate"/>
            </w:r>
            <w:r>
              <w:rPr>
                <w:noProof/>
                <w:webHidden/>
              </w:rPr>
              <w:t>7</w:t>
            </w:r>
            <w:r>
              <w:rPr>
                <w:noProof/>
                <w:webHidden/>
              </w:rPr>
              <w:fldChar w:fldCharType="end"/>
            </w:r>
          </w:hyperlink>
        </w:p>
        <w:p w14:paraId="61073872" w14:textId="1E49A3EC" w:rsidR="006D1229" w:rsidRDefault="006D1229">
          <w:r>
            <w:rPr>
              <w:b/>
              <w:bCs/>
              <w:noProof/>
            </w:rPr>
            <w:fldChar w:fldCharType="end"/>
          </w:r>
        </w:p>
      </w:sdtContent>
    </w:sdt>
    <w:p w14:paraId="2BB19422" w14:textId="77777777" w:rsidR="006A5400" w:rsidRDefault="006A5400" w:rsidP="006A5400"/>
    <w:p w14:paraId="6F16A8E5" w14:textId="77777777" w:rsidR="006A5400" w:rsidRDefault="006A5400" w:rsidP="006A5400"/>
    <w:p w14:paraId="475EA07A" w14:textId="77777777" w:rsidR="006A5400" w:rsidRDefault="006A5400" w:rsidP="006A5400"/>
    <w:p w14:paraId="59E2902D" w14:textId="77777777" w:rsidR="006A5400" w:rsidRDefault="006A5400" w:rsidP="006A5400"/>
    <w:p w14:paraId="24C97F03" w14:textId="77777777" w:rsidR="006A5400" w:rsidRDefault="006A5400" w:rsidP="006A5400"/>
    <w:p w14:paraId="4A9319AE" w14:textId="77777777" w:rsidR="006A5400" w:rsidRDefault="006A5400" w:rsidP="006A5400"/>
    <w:p w14:paraId="0F3A488B" w14:textId="77777777" w:rsidR="006A5400" w:rsidRDefault="006A5400" w:rsidP="006A5400"/>
    <w:p w14:paraId="23606020" w14:textId="77777777" w:rsidR="006A5400" w:rsidRDefault="006A5400" w:rsidP="006A5400"/>
    <w:p w14:paraId="1780923B" w14:textId="77777777" w:rsidR="006A5400" w:rsidRDefault="006A5400" w:rsidP="006A5400"/>
    <w:p w14:paraId="74BC8379" w14:textId="77777777" w:rsidR="006A5400" w:rsidRDefault="006A5400" w:rsidP="006A5400"/>
    <w:p w14:paraId="2659095F" w14:textId="77777777" w:rsidR="006A5400" w:rsidRDefault="006A5400" w:rsidP="006A5400"/>
    <w:p w14:paraId="02F414B9" w14:textId="77777777" w:rsidR="006A5400" w:rsidRDefault="006A5400" w:rsidP="006A5400"/>
    <w:p w14:paraId="69123D93" w14:textId="77777777" w:rsidR="006A5400" w:rsidRDefault="006A5400" w:rsidP="006A5400"/>
    <w:p w14:paraId="20823BAB" w14:textId="77777777" w:rsidR="006A5400" w:rsidRDefault="006A5400" w:rsidP="006A5400"/>
    <w:p w14:paraId="5AF764D2" w14:textId="77777777" w:rsidR="006A5400" w:rsidRDefault="006A5400" w:rsidP="006A5400"/>
    <w:p w14:paraId="3B8010A0" w14:textId="77777777" w:rsidR="006A5400" w:rsidRDefault="006A5400" w:rsidP="006A5400"/>
    <w:p w14:paraId="22FEC3DE" w14:textId="77777777" w:rsidR="006A5400" w:rsidRDefault="006A5400" w:rsidP="006A5400"/>
    <w:p w14:paraId="5FBD14CE" w14:textId="77777777" w:rsidR="006A5400" w:rsidRDefault="006A5400" w:rsidP="006A5400"/>
    <w:p w14:paraId="29DE6480" w14:textId="77777777" w:rsidR="006A5400" w:rsidRDefault="006A5400" w:rsidP="006A5400"/>
    <w:p w14:paraId="5EF36E97" w14:textId="77777777" w:rsidR="006A5400" w:rsidRDefault="006A5400" w:rsidP="006A5400"/>
    <w:p w14:paraId="1632C3A9" w14:textId="77777777" w:rsidR="006A5400" w:rsidRDefault="006A5400" w:rsidP="006A5400"/>
    <w:p w14:paraId="5ADE20D5" w14:textId="7F865B75" w:rsidR="000F2ACD" w:rsidRPr="00800171" w:rsidRDefault="000F2ACD" w:rsidP="00800171">
      <w:pPr>
        <w:pStyle w:val="Heading1"/>
        <w:spacing w:line="360" w:lineRule="auto"/>
        <w:rPr>
          <w:rFonts w:ascii="Arial" w:hAnsi="Arial" w:cs="Arial"/>
          <w:b/>
          <w:bCs/>
          <w:color w:val="auto"/>
          <w:sz w:val="22"/>
          <w:szCs w:val="22"/>
        </w:rPr>
      </w:pPr>
      <w:bookmarkStart w:id="1" w:name="_Toc191040345"/>
      <w:r w:rsidRPr="00800171">
        <w:rPr>
          <w:rFonts w:ascii="Arial" w:hAnsi="Arial" w:cs="Arial"/>
          <w:b/>
          <w:bCs/>
          <w:color w:val="auto"/>
          <w:sz w:val="22"/>
          <w:szCs w:val="22"/>
        </w:rPr>
        <w:lastRenderedPageBreak/>
        <w:t>Executive Summary</w:t>
      </w:r>
      <w:bookmarkEnd w:id="0"/>
      <w:bookmarkEnd w:id="1"/>
    </w:p>
    <w:p w14:paraId="169E71BC" w14:textId="19C8B44B" w:rsidR="000F2ACD" w:rsidRPr="00800171" w:rsidRDefault="000F2ACD" w:rsidP="00800171">
      <w:pPr>
        <w:spacing w:after="0" w:line="360" w:lineRule="auto"/>
        <w:rPr>
          <w:rFonts w:ascii="Arial" w:hAnsi="Arial" w:cs="Arial"/>
          <w:color w:val="000000" w:themeColor="text1"/>
        </w:rPr>
      </w:pPr>
      <w:r w:rsidRPr="00800171">
        <w:rPr>
          <w:rFonts w:ascii="Arial" w:hAnsi="Arial" w:cs="Arial"/>
          <w:color w:val="000000" w:themeColor="text1"/>
        </w:rPr>
        <w:t xml:space="preserve">A family-owned company is seeking to go public by listing 70% of its shares for acquisition by external investors on the </w:t>
      </w:r>
      <w:r w:rsidRPr="00800171">
        <w:rPr>
          <w:rFonts w:ascii="Arial" w:hAnsi="Arial" w:cs="Arial"/>
          <w:color w:val="000000" w:themeColor="text1"/>
          <w:lang w:val="en-US"/>
        </w:rPr>
        <w:t xml:space="preserve">Alternative Investment Market (AIM) UK. The report examines the corporate governance practices and agency theory to inform management how to retain control over the company with minority shareholding, recommends the director remuneration policy, and explores institutional differences between the UK, Shanghai, and the Netherlands. The findings in the report indicate that implementation of effective governance structures, dual-class shares, appointment of independent </w:t>
      </w:r>
      <w:r w:rsidR="00B20B9D" w:rsidRPr="00800171">
        <w:rPr>
          <w:rFonts w:ascii="Arial" w:hAnsi="Arial" w:cs="Arial"/>
          <w:color w:val="000000" w:themeColor="text1"/>
          <w:lang w:val="en-US"/>
        </w:rPr>
        <w:t>directors, emphasis</w:t>
      </w:r>
      <w:r w:rsidRPr="00800171">
        <w:rPr>
          <w:rFonts w:ascii="Arial" w:hAnsi="Arial" w:cs="Arial"/>
          <w:color w:val="000000" w:themeColor="text1"/>
          <w:lang w:val="en-US"/>
        </w:rPr>
        <w:t xml:space="preserve"> on performance-based executive compensation, and compliance with international corporate governance codes are key to </w:t>
      </w:r>
      <w:r w:rsidR="00B20B9D" w:rsidRPr="00800171">
        <w:rPr>
          <w:rFonts w:ascii="Arial" w:hAnsi="Arial" w:cs="Arial"/>
          <w:color w:val="000000" w:themeColor="text1"/>
          <w:lang w:val="en-US"/>
        </w:rPr>
        <w:t>achieving</w:t>
      </w:r>
      <w:r w:rsidRPr="00800171">
        <w:rPr>
          <w:rFonts w:ascii="Arial" w:hAnsi="Arial" w:cs="Arial"/>
          <w:color w:val="000000" w:themeColor="text1"/>
          <w:lang w:val="en-US"/>
        </w:rPr>
        <w:t xml:space="preserve"> its objectives. </w:t>
      </w:r>
    </w:p>
    <w:p w14:paraId="577DF16B" w14:textId="77777777" w:rsidR="000F2ACD" w:rsidRPr="00800171" w:rsidRDefault="000F2ACD" w:rsidP="00800171">
      <w:pPr>
        <w:pStyle w:val="Heading1"/>
        <w:spacing w:before="0" w:line="360" w:lineRule="auto"/>
        <w:rPr>
          <w:rFonts w:ascii="Arial" w:hAnsi="Arial" w:cs="Arial"/>
          <w:b/>
          <w:color w:val="000000" w:themeColor="text1"/>
          <w:sz w:val="22"/>
          <w:szCs w:val="22"/>
        </w:rPr>
      </w:pPr>
      <w:bookmarkStart w:id="2" w:name="_Toc189586165"/>
      <w:bookmarkStart w:id="3" w:name="_Toc191040346"/>
      <w:r w:rsidRPr="00800171">
        <w:rPr>
          <w:rFonts w:ascii="Arial" w:hAnsi="Arial" w:cs="Arial"/>
          <w:b/>
          <w:color w:val="000000" w:themeColor="text1"/>
          <w:sz w:val="22"/>
          <w:szCs w:val="22"/>
        </w:rPr>
        <w:t>Introduction</w:t>
      </w:r>
      <w:bookmarkEnd w:id="2"/>
      <w:bookmarkEnd w:id="3"/>
      <w:r w:rsidRPr="00800171">
        <w:rPr>
          <w:rFonts w:ascii="Arial" w:hAnsi="Arial" w:cs="Arial"/>
          <w:b/>
          <w:color w:val="000000" w:themeColor="text1"/>
          <w:sz w:val="22"/>
          <w:szCs w:val="22"/>
        </w:rPr>
        <w:t xml:space="preserve"> </w:t>
      </w:r>
    </w:p>
    <w:p w14:paraId="15A37196" w14:textId="6FEC0463" w:rsidR="000F2ACD" w:rsidRPr="00800171" w:rsidRDefault="000F2ACD" w:rsidP="00800171">
      <w:pPr>
        <w:spacing w:after="0" w:line="360" w:lineRule="auto"/>
        <w:ind w:firstLine="720"/>
        <w:rPr>
          <w:rFonts w:ascii="Arial" w:hAnsi="Arial" w:cs="Arial"/>
          <w:color w:val="000000" w:themeColor="text1"/>
        </w:rPr>
      </w:pPr>
      <w:r w:rsidRPr="00800171">
        <w:rPr>
          <w:rFonts w:ascii="Arial" w:hAnsi="Arial" w:cs="Arial"/>
          <w:color w:val="000000" w:themeColor="text1"/>
        </w:rPr>
        <w:t xml:space="preserve">Company X is a family enterprise, owned and managed by four family members with an equal shareholding of 25% each. In a bid to grow, the company is seeking to shift from a family-owned business to a publicly limited company by selling 70% its shares on the Alternative investment Market (AIM) UK. As the newly appointed financial manager, I have prepared this report to share insights to the management on how the company can successfully transition to a </w:t>
      </w:r>
      <w:r w:rsidR="00B20B9D" w:rsidRPr="00800171">
        <w:rPr>
          <w:rFonts w:ascii="Arial" w:hAnsi="Arial" w:cs="Arial"/>
          <w:color w:val="000000" w:themeColor="text1"/>
        </w:rPr>
        <w:t>publicly listed</w:t>
      </w:r>
      <w:r w:rsidRPr="00800171">
        <w:rPr>
          <w:rFonts w:ascii="Arial" w:hAnsi="Arial" w:cs="Arial"/>
          <w:color w:val="000000" w:themeColor="text1"/>
        </w:rPr>
        <w:t xml:space="preserve"> firm while ensuring effective control and management through incorporating corporate social responsibility, corporate governance and the principles of the agency theory. </w:t>
      </w:r>
    </w:p>
    <w:p w14:paraId="3A49478E" w14:textId="3EFCB476" w:rsidR="000F2ACD" w:rsidRPr="00800171" w:rsidRDefault="000F2ACD" w:rsidP="00800171">
      <w:pPr>
        <w:pStyle w:val="Heading1"/>
        <w:spacing w:before="0" w:line="360" w:lineRule="auto"/>
        <w:rPr>
          <w:rFonts w:ascii="Arial" w:hAnsi="Arial" w:cs="Arial"/>
          <w:b/>
          <w:color w:val="000000" w:themeColor="text1"/>
          <w:sz w:val="22"/>
          <w:szCs w:val="22"/>
        </w:rPr>
      </w:pPr>
      <w:bookmarkStart w:id="4" w:name="_Toc189586166"/>
      <w:bookmarkStart w:id="5" w:name="_Toc191040347"/>
      <w:r w:rsidRPr="00800171">
        <w:rPr>
          <w:rFonts w:ascii="Arial" w:hAnsi="Arial" w:cs="Arial"/>
          <w:b/>
          <w:color w:val="000000" w:themeColor="text1"/>
          <w:sz w:val="22"/>
          <w:szCs w:val="22"/>
        </w:rPr>
        <w:t xml:space="preserve">Corporate Governance, Agency Theory and their Significance </w:t>
      </w:r>
      <w:r w:rsidR="00800171" w:rsidRPr="00800171">
        <w:rPr>
          <w:rFonts w:ascii="Arial" w:hAnsi="Arial" w:cs="Arial"/>
          <w:b/>
          <w:color w:val="000000" w:themeColor="text1"/>
          <w:sz w:val="22"/>
          <w:szCs w:val="22"/>
        </w:rPr>
        <w:t>to</w:t>
      </w:r>
      <w:r w:rsidRPr="00800171">
        <w:rPr>
          <w:rFonts w:ascii="Arial" w:hAnsi="Arial" w:cs="Arial"/>
          <w:b/>
          <w:color w:val="000000" w:themeColor="text1"/>
          <w:sz w:val="22"/>
          <w:szCs w:val="22"/>
        </w:rPr>
        <w:t xml:space="preserve"> Public Limited Liability Companies.</w:t>
      </w:r>
      <w:bookmarkEnd w:id="4"/>
      <w:bookmarkEnd w:id="5"/>
      <w:r w:rsidRPr="00800171">
        <w:rPr>
          <w:rFonts w:ascii="Arial" w:hAnsi="Arial" w:cs="Arial"/>
          <w:b/>
          <w:color w:val="000000" w:themeColor="text1"/>
          <w:sz w:val="22"/>
          <w:szCs w:val="22"/>
        </w:rPr>
        <w:t xml:space="preserve"> </w:t>
      </w:r>
    </w:p>
    <w:p w14:paraId="284AF80A" w14:textId="6B5F2442" w:rsidR="000F2ACD" w:rsidRPr="00800171" w:rsidRDefault="000F2ACD" w:rsidP="00800171">
      <w:pPr>
        <w:spacing w:after="0" w:line="360" w:lineRule="auto"/>
        <w:ind w:firstLine="720"/>
        <w:rPr>
          <w:rFonts w:ascii="Arial" w:hAnsi="Arial" w:cs="Arial"/>
          <w:color w:val="000000" w:themeColor="text1"/>
        </w:rPr>
      </w:pPr>
      <w:r w:rsidRPr="00800171">
        <w:rPr>
          <w:rFonts w:ascii="Arial" w:hAnsi="Arial" w:cs="Arial"/>
          <w:color w:val="000000" w:themeColor="text1"/>
        </w:rPr>
        <w:t>Shareholders or principals appoint managers as agents to oversee the management and operations of their enterprises. The agency theory was therefore developed to explain the relationship between investors (principals) and their managers (agents). In the agency relationship, principals rely on agents to execute certain roles or transactions in their best interests. The agent is therefore expected to execute the business transactions in the best interest of the principal while disregarding their own interests (</w:t>
      </w:r>
      <w:proofErr w:type="spellStart"/>
      <w:r w:rsidRPr="00800171">
        <w:rPr>
          <w:rFonts w:ascii="Arial" w:hAnsi="Arial" w:cs="Arial"/>
          <w:color w:val="000000" w:themeColor="text1"/>
        </w:rPr>
        <w:t>Denossa</w:t>
      </w:r>
      <w:proofErr w:type="spellEnd"/>
      <w:r w:rsidRPr="00800171">
        <w:rPr>
          <w:rFonts w:ascii="Arial" w:hAnsi="Arial" w:cs="Arial"/>
          <w:color w:val="000000" w:themeColor="text1"/>
        </w:rPr>
        <w:t xml:space="preserve">, and </w:t>
      </w:r>
      <w:proofErr w:type="spellStart"/>
      <w:r w:rsidRPr="00800171">
        <w:rPr>
          <w:rFonts w:ascii="Arial" w:hAnsi="Arial" w:cs="Arial"/>
          <w:color w:val="000000" w:themeColor="text1"/>
        </w:rPr>
        <w:t>Stabilini</w:t>
      </w:r>
      <w:proofErr w:type="spellEnd"/>
      <w:r w:rsidRPr="00800171">
        <w:rPr>
          <w:rFonts w:ascii="Arial" w:hAnsi="Arial" w:cs="Arial"/>
          <w:color w:val="000000" w:themeColor="text1"/>
        </w:rPr>
        <w:t>, 2017). However, an agency problem arises when the agent and principal’s interest become a source of conflict resulting in miscommunication and disagreement in how a company is directed and managed (</w:t>
      </w:r>
      <w:proofErr w:type="spellStart"/>
      <w:r w:rsidRPr="00800171">
        <w:rPr>
          <w:rFonts w:ascii="Arial" w:hAnsi="Arial" w:cs="Arial"/>
          <w:color w:val="000000" w:themeColor="text1"/>
        </w:rPr>
        <w:t>ElKelish</w:t>
      </w:r>
      <w:proofErr w:type="spellEnd"/>
      <w:r w:rsidRPr="00800171">
        <w:rPr>
          <w:rFonts w:ascii="Arial" w:hAnsi="Arial" w:cs="Arial"/>
          <w:color w:val="000000" w:themeColor="text1"/>
        </w:rPr>
        <w:t xml:space="preserve">, 2018). The incompatible interests may lead to differences between the stakeholders thus causing financial losses and inefficiency in the business. The agency theory applies to the current organisation especially as company X is seeking to shift from a family-based enterprise to a </w:t>
      </w:r>
      <w:r w:rsidR="00800171" w:rsidRPr="00800171">
        <w:rPr>
          <w:rFonts w:ascii="Arial" w:hAnsi="Arial" w:cs="Arial"/>
          <w:color w:val="000000" w:themeColor="text1"/>
        </w:rPr>
        <w:t>publicly listed</w:t>
      </w:r>
      <w:r w:rsidRPr="00800171">
        <w:rPr>
          <w:rFonts w:ascii="Arial" w:hAnsi="Arial" w:cs="Arial"/>
          <w:color w:val="000000" w:themeColor="text1"/>
        </w:rPr>
        <w:t xml:space="preserve"> company with diverse shareholders. </w:t>
      </w:r>
    </w:p>
    <w:p w14:paraId="5F1A6F39" w14:textId="59ED4A02" w:rsidR="000F2ACD" w:rsidRPr="00800171" w:rsidRDefault="000F2ACD" w:rsidP="00800171">
      <w:pPr>
        <w:spacing w:after="0" w:line="360" w:lineRule="auto"/>
        <w:rPr>
          <w:rFonts w:ascii="Arial" w:hAnsi="Arial" w:cs="Arial"/>
          <w:color w:val="000000" w:themeColor="text1"/>
        </w:rPr>
      </w:pPr>
      <w:r w:rsidRPr="00800171">
        <w:rPr>
          <w:rFonts w:ascii="Arial" w:hAnsi="Arial" w:cs="Arial"/>
          <w:color w:val="000000" w:themeColor="text1"/>
        </w:rPr>
        <w:t xml:space="preserve">As a publicly listed company, the scope of the company is about to change thus creating a distinction between ownership and management. As owners of the business, shareholders offer capital and thus expect managers to implement policies to maximise their wealth. </w:t>
      </w:r>
      <w:r w:rsidRPr="00800171">
        <w:rPr>
          <w:rFonts w:ascii="Arial" w:hAnsi="Arial" w:cs="Arial"/>
          <w:color w:val="000000" w:themeColor="text1"/>
        </w:rPr>
        <w:lastRenderedPageBreak/>
        <w:t xml:space="preserve">Nevertheless, managers may also pursue their personal interests such as demanding higher remuneration, authority and reinvestment of profits (Al-Faryan, 2024). Shareholders incur agency costs such as monitoring costs to monitor and check the power of the managers. In the aftermath of major scandals leading to collapse of public companies such as </w:t>
      </w:r>
      <w:proofErr w:type="spellStart"/>
      <w:r w:rsidRPr="00800171">
        <w:rPr>
          <w:rFonts w:ascii="Arial" w:hAnsi="Arial" w:cs="Arial"/>
          <w:color w:val="000000" w:themeColor="text1"/>
        </w:rPr>
        <w:t>Worldcom</w:t>
      </w:r>
      <w:proofErr w:type="spellEnd"/>
      <w:r w:rsidRPr="00800171">
        <w:rPr>
          <w:rFonts w:ascii="Arial" w:hAnsi="Arial" w:cs="Arial"/>
          <w:color w:val="000000" w:themeColor="text1"/>
        </w:rPr>
        <w:t>, Enron and Adolphia, investors increasingly recognised the need to invest in companies with good corporate governance practices (</w:t>
      </w:r>
      <w:proofErr w:type="spellStart"/>
      <w:r w:rsidRPr="00800171">
        <w:rPr>
          <w:rFonts w:ascii="Arial" w:hAnsi="Arial" w:cs="Arial"/>
          <w:color w:val="000000" w:themeColor="text1"/>
        </w:rPr>
        <w:t>Castrillón</w:t>
      </w:r>
      <w:proofErr w:type="spellEnd"/>
      <w:r w:rsidRPr="00800171">
        <w:rPr>
          <w:rFonts w:ascii="Arial" w:hAnsi="Arial" w:cs="Arial"/>
          <w:color w:val="000000" w:themeColor="text1"/>
        </w:rPr>
        <w:t xml:space="preserve">, 2021). Corporate governance is a system that guides how firms are directed and controlled. According to the Financial Reporting Council (2018), is a system of rules, practices and processes that are put in place to manage and control a company. Corporate governance helps to align the interests of managers and shareholders to ensure efficient and effective decision-making. Corporate governance implements various systems in place such as mandatory corporate disclosures, establishment of the board directors, constitution of the board and implementing internal controls (Davies, 2000). As a listed company, company X is guided the UK Corporate Governance Code. This is important especially for the company as </w:t>
      </w:r>
      <w:r w:rsidR="00B20B9D" w:rsidRPr="00800171">
        <w:rPr>
          <w:rFonts w:ascii="Arial" w:hAnsi="Arial" w:cs="Arial"/>
          <w:color w:val="000000" w:themeColor="text1"/>
        </w:rPr>
        <w:t>its</w:t>
      </w:r>
      <w:r w:rsidRPr="00800171">
        <w:rPr>
          <w:rFonts w:ascii="Arial" w:hAnsi="Arial" w:cs="Arial"/>
          <w:color w:val="000000" w:themeColor="text1"/>
        </w:rPr>
        <w:t xml:space="preserve"> Aras, and Crowther, 2008). Effective corporate governance also helps to mitigate the agency conflict between shareholders of the listed companies and management by aligning the interests of the stakeholders thus improving the performance and value of the company. </w:t>
      </w:r>
    </w:p>
    <w:p w14:paraId="1429C483" w14:textId="77777777" w:rsidR="000F2ACD" w:rsidRPr="00800171" w:rsidRDefault="000F2ACD" w:rsidP="00800171">
      <w:pPr>
        <w:pStyle w:val="Heading1"/>
        <w:spacing w:before="0" w:line="360" w:lineRule="auto"/>
        <w:rPr>
          <w:rFonts w:ascii="Arial" w:hAnsi="Arial" w:cs="Arial"/>
          <w:b/>
          <w:color w:val="000000" w:themeColor="text1"/>
          <w:sz w:val="22"/>
          <w:szCs w:val="22"/>
        </w:rPr>
      </w:pPr>
      <w:bookmarkStart w:id="6" w:name="_Toc189586167"/>
      <w:bookmarkStart w:id="7" w:name="_Toc191040348"/>
      <w:r w:rsidRPr="00800171">
        <w:rPr>
          <w:rFonts w:ascii="Arial" w:hAnsi="Arial" w:cs="Arial"/>
          <w:b/>
          <w:color w:val="000000" w:themeColor="text1"/>
          <w:sz w:val="22"/>
          <w:szCs w:val="22"/>
        </w:rPr>
        <w:t>Maintaining Control of the Board with 30% Shareholding</w:t>
      </w:r>
      <w:bookmarkEnd w:id="6"/>
      <w:bookmarkEnd w:id="7"/>
      <w:r w:rsidRPr="00800171">
        <w:rPr>
          <w:rFonts w:ascii="Arial" w:hAnsi="Arial" w:cs="Arial"/>
          <w:b/>
          <w:color w:val="000000" w:themeColor="text1"/>
          <w:sz w:val="22"/>
          <w:szCs w:val="22"/>
        </w:rPr>
        <w:t xml:space="preserve"> </w:t>
      </w:r>
    </w:p>
    <w:p w14:paraId="21649129" w14:textId="77777777" w:rsidR="000F2ACD" w:rsidRPr="00800171" w:rsidRDefault="000F2ACD" w:rsidP="00800171">
      <w:pPr>
        <w:spacing w:after="0" w:line="360" w:lineRule="auto"/>
        <w:rPr>
          <w:rFonts w:ascii="Arial" w:hAnsi="Arial" w:cs="Arial"/>
          <w:color w:val="000000" w:themeColor="text1"/>
        </w:rPr>
      </w:pPr>
      <w:r w:rsidRPr="00800171">
        <w:rPr>
          <w:rFonts w:ascii="Arial" w:hAnsi="Arial" w:cs="Arial"/>
          <w:color w:val="000000" w:themeColor="text1"/>
        </w:rPr>
        <w:t xml:space="preserve">With the expected transition from family-owned to a publicly traded enterprise, ownership of capital will be concentrated in the external investors up to 70% while the family will retain only 30% ownership. As, the current board could pursue various strategies to retain their control of the company even with the minimum shareholding. One of the key structures to retain control is through creating a dual-class class structure. This strategy allows minority shareholders such as the family directors to issue two classes of shares with elevated voting right and standard voting right (Amoako-Adu, and Smith, 2001). For instance, the current board could implement an enhanced voting right by keeping 10 votes per share for themselves and reserve one vote per share for the new external investors. This strategy would enable the current board to maintain control in key strategic decisions despite the low equity stake in the company. Shareholder agreements and voting coalitions also offer a viable solution for the current board to retain control in the company despite losing out 70% of the shares to external investors. This strategy involves negotiating agreements with the external investors to secure their support in key voting decisions (Baglioni, 2011). Therefore, the current board should negotiate to retain some board seats, appoint independent directors  and pursue agreements with independent directors to be in a pole position to influence key decisions in the company. The independent directors will serve as a key </w:t>
      </w:r>
      <w:r w:rsidRPr="00800171">
        <w:rPr>
          <w:rFonts w:ascii="Arial" w:hAnsi="Arial" w:cs="Arial"/>
          <w:color w:val="000000" w:themeColor="text1"/>
        </w:rPr>
        <w:lastRenderedPageBreak/>
        <w:t xml:space="preserve">barrier for the current board to mitigate against external pressure and ensure compliance with established standards and codes of practice (Baysinger, and Butler, 2019). </w:t>
      </w:r>
    </w:p>
    <w:p w14:paraId="2A2194E2" w14:textId="77777777" w:rsidR="000F2ACD" w:rsidRPr="00800171" w:rsidRDefault="000F2ACD" w:rsidP="00800171">
      <w:pPr>
        <w:pStyle w:val="Heading1"/>
        <w:spacing w:before="0" w:line="360" w:lineRule="auto"/>
        <w:rPr>
          <w:rFonts w:ascii="Arial" w:hAnsi="Arial" w:cs="Arial"/>
          <w:b/>
          <w:color w:val="000000" w:themeColor="text1"/>
          <w:sz w:val="22"/>
          <w:szCs w:val="22"/>
        </w:rPr>
      </w:pPr>
      <w:bookmarkStart w:id="8" w:name="_Toc189586168"/>
      <w:bookmarkStart w:id="9" w:name="_Toc191040349"/>
      <w:r w:rsidRPr="00800171">
        <w:rPr>
          <w:rFonts w:ascii="Arial" w:hAnsi="Arial" w:cs="Arial"/>
          <w:b/>
          <w:color w:val="000000" w:themeColor="text1"/>
          <w:sz w:val="22"/>
          <w:szCs w:val="22"/>
        </w:rPr>
        <w:t>Decision on Remuneration of Directors</w:t>
      </w:r>
      <w:bookmarkEnd w:id="8"/>
      <w:bookmarkEnd w:id="9"/>
      <w:r w:rsidRPr="00800171">
        <w:rPr>
          <w:rFonts w:ascii="Arial" w:hAnsi="Arial" w:cs="Arial"/>
          <w:b/>
          <w:color w:val="000000" w:themeColor="text1"/>
          <w:sz w:val="22"/>
          <w:szCs w:val="22"/>
        </w:rPr>
        <w:t xml:space="preserve"> </w:t>
      </w:r>
    </w:p>
    <w:p w14:paraId="65596469" w14:textId="77777777" w:rsidR="000F2ACD" w:rsidRPr="00800171" w:rsidRDefault="000F2ACD" w:rsidP="00800171">
      <w:pPr>
        <w:spacing w:after="0" w:line="360" w:lineRule="auto"/>
        <w:rPr>
          <w:rFonts w:ascii="Arial" w:hAnsi="Arial" w:cs="Arial"/>
          <w:color w:val="000000" w:themeColor="text1"/>
        </w:rPr>
      </w:pPr>
      <w:r w:rsidRPr="00800171">
        <w:rPr>
          <w:rFonts w:ascii="Arial" w:hAnsi="Arial" w:cs="Arial"/>
          <w:color w:val="000000" w:themeColor="text1"/>
        </w:rPr>
        <w:t xml:space="preserve">Executive compensation or remuneration is a key decision in balancing the interests of managers, directors and shareholders. Executive remuneration is a process that involves designing, approving and disclosing the salaries and compensation packages for top executives in the organisation. This decision serves to balance the interest of shareholders (Rathod, </w:t>
      </w:r>
      <w:proofErr w:type="spellStart"/>
      <w:r w:rsidRPr="00800171">
        <w:rPr>
          <w:rFonts w:ascii="Arial" w:hAnsi="Arial" w:cs="Arial"/>
          <w:color w:val="000000" w:themeColor="text1"/>
        </w:rPr>
        <w:t>Ghasy</w:t>
      </w:r>
      <w:proofErr w:type="spellEnd"/>
      <w:r w:rsidRPr="00800171">
        <w:rPr>
          <w:rFonts w:ascii="Arial" w:hAnsi="Arial" w:cs="Arial"/>
          <w:color w:val="000000" w:themeColor="text1"/>
        </w:rPr>
        <w:t xml:space="preserve"> and Carmo, 2024). Fair and competitive remuneration is important for the company as it helps to attract and retain highly qualified talents while aligning the interests of all stakeholders including the board members, managers and shareholders. According to Rathod, </w:t>
      </w:r>
      <w:proofErr w:type="spellStart"/>
      <w:r w:rsidRPr="00800171">
        <w:rPr>
          <w:rFonts w:ascii="Arial" w:hAnsi="Arial" w:cs="Arial"/>
          <w:color w:val="000000" w:themeColor="text1"/>
        </w:rPr>
        <w:t>Ghasy</w:t>
      </w:r>
      <w:proofErr w:type="spellEnd"/>
      <w:r w:rsidRPr="00800171">
        <w:rPr>
          <w:rFonts w:ascii="Arial" w:hAnsi="Arial" w:cs="Arial"/>
          <w:color w:val="000000" w:themeColor="text1"/>
        </w:rPr>
        <w:t xml:space="preserve"> and Carmo (2024), organisations should establish a clear governance structure through a dedicated remuneration committee. The committee should constitute independent non-executive directors to oversee the compensation policy and review it for fairness, objectivity and alignment with the company’s objectives. </w:t>
      </w:r>
      <w:r w:rsidRPr="00800171">
        <w:rPr>
          <w:rFonts w:ascii="Arial" w:eastAsia="Times New Roman" w:hAnsi="Arial" w:cs="Arial"/>
          <w:color w:val="000000" w:themeColor="text1"/>
          <w:lang w:val="en-US"/>
        </w:rPr>
        <w:t>An independent executive committee is recommended for the company to ensure that the executive compensation policy is aligned with the corporate strategy and performance (</w:t>
      </w:r>
      <w:proofErr w:type="spellStart"/>
      <w:r w:rsidRPr="00800171">
        <w:rPr>
          <w:rFonts w:ascii="Arial" w:hAnsi="Arial" w:cs="Arial"/>
          <w:color w:val="000000" w:themeColor="text1"/>
        </w:rPr>
        <w:t>Manulang</w:t>
      </w:r>
      <w:proofErr w:type="spellEnd"/>
      <w:r w:rsidRPr="00800171">
        <w:rPr>
          <w:rFonts w:ascii="Arial" w:hAnsi="Arial" w:cs="Arial"/>
          <w:color w:val="000000" w:themeColor="text1"/>
        </w:rPr>
        <w:t xml:space="preserve">, Hulu, and Muda, 2023). Mandatory disclosure policy should also be enforced by the company. As a listed company, the company should publicly disclose executive pay in a format that is clear and easy to understand as set out the clear pay philosophy explaining the reasons for the pay decisions and ratio between the CEO remuneration and median, lower and upper quartile (Webster and Rosseau, 2019).  This is important as it helps to clarify the rationale and criteria for the pay levels, structures, and outcomes. A conflict of interest is also created by the agency relationship as shareholders expect to maximise wealth and dividend on capital while managers prefer to reinvest the earnings back in the business. Directors may also award themselves high returns without considering the performance outcomes of the company. With this, a performance-based pay offers an effective structure for the company to balance the interests of both investors and directors. This structure will serve to motivate the managers to pursue higher performance and receive a percentage of the earnings in exchange thus boosting their morale and commitment to the organisation. </w:t>
      </w:r>
    </w:p>
    <w:p w14:paraId="316E06D5" w14:textId="77777777" w:rsidR="000F2ACD" w:rsidRPr="00800171" w:rsidRDefault="000F2ACD" w:rsidP="00800171">
      <w:pPr>
        <w:pStyle w:val="Heading1"/>
        <w:spacing w:before="0" w:line="360" w:lineRule="auto"/>
        <w:rPr>
          <w:rFonts w:ascii="Arial" w:hAnsi="Arial" w:cs="Arial"/>
          <w:b/>
          <w:color w:val="000000" w:themeColor="text1"/>
          <w:sz w:val="22"/>
          <w:szCs w:val="22"/>
        </w:rPr>
      </w:pPr>
      <w:bookmarkStart w:id="10" w:name="_Toc189586169"/>
      <w:bookmarkStart w:id="11" w:name="_Toc191040350"/>
      <w:r w:rsidRPr="00800171">
        <w:rPr>
          <w:rFonts w:ascii="Arial" w:hAnsi="Arial" w:cs="Arial"/>
          <w:b/>
          <w:color w:val="000000" w:themeColor="text1"/>
          <w:sz w:val="22"/>
          <w:szCs w:val="22"/>
        </w:rPr>
        <w:t>Institutional Factors and Corporate Governance</w:t>
      </w:r>
      <w:bookmarkEnd w:id="10"/>
      <w:bookmarkEnd w:id="11"/>
      <w:r w:rsidRPr="00800171">
        <w:rPr>
          <w:rFonts w:ascii="Arial" w:hAnsi="Arial" w:cs="Arial"/>
          <w:b/>
          <w:color w:val="000000" w:themeColor="text1"/>
          <w:sz w:val="22"/>
          <w:szCs w:val="22"/>
        </w:rPr>
        <w:t xml:space="preserve"> </w:t>
      </w:r>
    </w:p>
    <w:p w14:paraId="6508E86D" w14:textId="77777777" w:rsidR="000F2ACD" w:rsidRPr="00800171" w:rsidRDefault="000F2ACD" w:rsidP="00800171">
      <w:pPr>
        <w:spacing w:after="0" w:line="360" w:lineRule="auto"/>
        <w:ind w:firstLine="720"/>
        <w:rPr>
          <w:rFonts w:ascii="Arial" w:hAnsi="Arial" w:cs="Arial"/>
          <w:color w:val="000000" w:themeColor="text1"/>
        </w:rPr>
      </w:pPr>
      <w:r w:rsidRPr="00800171">
        <w:rPr>
          <w:rFonts w:ascii="Arial" w:hAnsi="Arial" w:cs="Arial"/>
          <w:color w:val="000000" w:themeColor="text1"/>
        </w:rPr>
        <w:t xml:space="preserve">Differences in institutional factors including legal, cultural, political, regulatory framework and board requirements or regulations also affects the corporate governance practices between countries (Arslan, and </w:t>
      </w:r>
      <w:proofErr w:type="spellStart"/>
      <w:r w:rsidRPr="00800171">
        <w:rPr>
          <w:rFonts w:ascii="Arial" w:hAnsi="Arial" w:cs="Arial"/>
          <w:color w:val="000000" w:themeColor="text1"/>
        </w:rPr>
        <w:t>Alqatan</w:t>
      </w:r>
      <w:proofErr w:type="spellEnd"/>
      <w:r w:rsidRPr="00800171">
        <w:rPr>
          <w:rFonts w:ascii="Arial" w:hAnsi="Arial" w:cs="Arial"/>
          <w:color w:val="000000" w:themeColor="text1"/>
        </w:rPr>
        <w:t xml:space="preserve">, 2020). In considering to be listed in other markets like Shanghai and Netherlands, the current board should consider important institutional factors that are likely to affect the decision. The UK Corporate Governance Code 2024 was developed based on improvements on the previous code of 2018.  The code </w:t>
      </w:r>
      <w:r w:rsidRPr="00800171">
        <w:rPr>
          <w:rFonts w:ascii="Arial" w:hAnsi="Arial" w:cs="Arial"/>
          <w:color w:val="000000" w:themeColor="text1"/>
        </w:rPr>
        <w:lastRenderedPageBreak/>
        <w:t xml:space="preserve">prioritises five key areas of compliance including board leadership and organisational purpose, division of responsibility, board composition, succession and evaluation, audit, risk management, internal controls and guidance on remuneration (Financial Reporting Council, 2025). Therefore, firms seeking to be listed in the UK should strictly comply and issue explanations for all their operations. </w:t>
      </w:r>
    </w:p>
    <w:p w14:paraId="21C98FA4" w14:textId="2B4BEFEA" w:rsidR="000F2ACD" w:rsidRPr="00800171" w:rsidRDefault="000F2ACD" w:rsidP="00800171">
      <w:pPr>
        <w:spacing w:after="0" w:line="360" w:lineRule="auto"/>
        <w:rPr>
          <w:rFonts w:ascii="Arial" w:hAnsi="Arial" w:cs="Arial"/>
          <w:color w:val="000000" w:themeColor="text1"/>
        </w:rPr>
      </w:pPr>
      <w:r w:rsidRPr="00800171">
        <w:rPr>
          <w:rFonts w:ascii="Arial" w:hAnsi="Arial" w:cs="Arial"/>
          <w:color w:val="000000" w:themeColor="text1"/>
        </w:rPr>
        <w:t xml:space="preserve">In Shanghai, the corporate governance code prioritises issues such as shareholder protection through one share one vote. The code also sets out guidelines guiding key institutional issues such as shareholder meetings, composition and responsibilities of the board of directors, audit committees, supervisory committees, remuneration and evaluation and emphasis on transparent disclosures (ECGI, </w:t>
      </w:r>
      <w:proofErr w:type="spellStart"/>
      <w:r w:rsidRPr="00800171">
        <w:rPr>
          <w:rFonts w:ascii="Arial" w:hAnsi="Arial" w:cs="Arial"/>
          <w:color w:val="000000" w:themeColor="text1"/>
        </w:rPr>
        <w:t>n.d</w:t>
      </w:r>
      <w:proofErr w:type="spellEnd"/>
      <w:r w:rsidRPr="00800171">
        <w:rPr>
          <w:rFonts w:ascii="Arial" w:hAnsi="Arial" w:cs="Arial"/>
          <w:color w:val="000000" w:themeColor="text1"/>
        </w:rPr>
        <w:t xml:space="preserve">). The Dutch Corporate Governance Code is almost </w:t>
      </w:r>
      <w:proofErr w:type="gramStart"/>
      <w:r w:rsidRPr="00800171">
        <w:rPr>
          <w:rFonts w:ascii="Arial" w:hAnsi="Arial" w:cs="Arial"/>
          <w:color w:val="000000" w:themeColor="text1"/>
        </w:rPr>
        <w:t>similar to</w:t>
      </w:r>
      <w:proofErr w:type="gramEnd"/>
      <w:r w:rsidRPr="00800171">
        <w:rPr>
          <w:rFonts w:ascii="Arial" w:hAnsi="Arial" w:cs="Arial"/>
          <w:color w:val="000000" w:themeColor="text1"/>
        </w:rPr>
        <w:t xml:space="preserve"> the U</w:t>
      </w:r>
      <w:r w:rsidR="00B20B9D" w:rsidRPr="00800171">
        <w:rPr>
          <w:rFonts w:ascii="Arial" w:hAnsi="Arial" w:cs="Arial"/>
          <w:color w:val="000000" w:themeColor="text1"/>
        </w:rPr>
        <w:t xml:space="preserve">nited Kingdom </w:t>
      </w:r>
      <w:r w:rsidRPr="00800171">
        <w:rPr>
          <w:rFonts w:ascii="Arial" w:hAnsi="Arial" w:cs="Arial"/>
          <w:color w:val="000000" w:themeColor="text1"/>
        </w:rPr>
        <w:t xml:space="preserve">. The code sets out the guidelines the relationship between shareholders and managers, setting up of supervisory board and annual general meeting of shareholders. The code is also based on principle of comply-explain to ensure that companies comply with the codes or explain the reasons for deviations. Therefore, compliance with these institutional guidelines is essential for the company to successfully list on foreign markets. </w:t>
      </w:r>
    </w:p>
    <w:p w14:paraId="4C984B96" w14:textId="77777777" w:rsidR="000F2ACD" w:rsidRPr="00800171" w:rsidRDefault="000F2ACD" w:rsidP="00800171">
      <w:pPr>
        <w:pStyle w:val="Heading1"/>
        <w:spacing w:before="0" w:line="360" w:lineRule="auto"/>
        <w:rPr>
          <w:rFonts w:ascii="Arial" w:hAnsi="Arial" w:cs="Arial"/>
          <w:b/>
          <w:color w:val="000000" w:themeColor="text1"/>
          <w:sz w:val="22"/>
          <w:szCs w:val="22"/>
        </w:rPr>
      </w:pPr>
      <w:bookmarkStart w:id="12" w:name="_Toc189586170"/>
      <w:bookmarkStart w:id="13" w:name="_Toc191040351"/>
      <w:r w:rsidRPr="00800171">
        <w:rPr>
          <w:rFonts w:ascii="Arial" w:hAnsi="Arial" w:cs="Arial"/>
          <w:b/>
          <w:color w:val="000000" w:themeColor="text1"/>
          <w:sz w:val="22"/>
          <w:szCs w:val="22"/>
        </w:rPr>
        <w:t>Conclusion and Recommendations</w:t>
      </w:r>
      <w:bookmarkEnd w:id="12"/>
      <w:bookmarkEnd w:id="13"/>
    </w:p>
    <w:p w14:paraId="09989E80" w14:textId="77777777" w:rsidR="000F2ACD" w:rsidRPr="00800171" w:rsidRDefault="000F2ACD" w:rsidP="00800171">
      <w:pPr>
        <w:spacing w:after="0" w:line="360" w:lineRule="auto"/>
        <w:rPr>
          <w:rFonts w:ascii="Arial" w:hAnsi="Arial" w:cs="Arial"/>
          <w:color w:val="000000" w:themeColor="text1"/>
        </w:rPr>
      </w:pPr>
      <w:r w:rsidRPr="00800171">
        <w:rPr>
          <w:rFonts w:ascii="Arial" w:hAnsi="Arial" w:cs="Arial"/>
          <w:color w:val="000000" w:themeColor="text1"/>
        </w:rPr>
        <w:t>The decision for the current company to change its structure from a family-owned enterprise to a publicly listed company offers an opportunity to grow and expand. However, this requires the company to incorporate corporate governance practices and the principles of agency theory. The following are recommendations for the board of the current company to maintain its control with just 30% shareholding. First, the company should adopt the dual-lass shares structure with the family retaining executive voting rights in key decisions of the board. The board should also negotiate shareholder agreement and forge voting coalitions with like-minded independent directors to retain control over key decisions. A fair compensation structure is also essential to enable the company to balance the competing interests of the board and shareholders. Therefore, the board should establish a compensation committee constituted by non-executive directors and incorporate performance-based package. Finally, the board should comply with the UK Corporate Governance Code and align its practices with international governance standards.</w:t>
      </w:r>
    </w:p>
    <w:p w14:paraId="3F054248" w14:textId="77777777" w:rsidR="000F2ACD" w:rsidRPr="00800171" w:rsidRDefault="000F2ACD" w:rsidP="00800171">
      <w:pPr>
        <w:spacing w:after="0" w:line="360" w:lineRule="auto"/>
        <w:ind w:firstLine="720"/>
        <w:rPr>
          <w:rFonts w:ascii="Arial" w:hAnsi="Arial" w:cs="Arial"/>
          <w:color w:val="000000" w:themeColor="text1"/>
        </w:rPr>
      </w:pPr>
    </w:p>
    <w:p w14:paraId="0FBC327A" w14:textId="77777777" w:rsidR="000F2ACD" w:rsidRPr="00800171" w:rsidRDefault="000F2ACD" w:rsidP="00800171">
      <w:pPr>
        <w:spacing w:after="0" w:line="360" w:lineRule="auto"/>
        <w:rPr>
          <w:rFonts w:ascii="Arial" w:hAnsi="Arial" w:cs="Arial"/>
          <w:color w:val="000000" w:themeColor="text1"/>
        </w:rPr>
      </w:pPr>
    </w:p>
    <w:p w14:paraId="4C8E725D" w14:textId="77777777" w:rsidR="00B20B9D" w:rsidRPr="00800171" w:rsidRDefault="00B20B9D" w:rsidP="00800171">
      <w:pPr>
        <w:spacing w:after="0" w:line="360" w:lineRule="auto"/>
        <w:rPr>
          <w:rFonts w:ascii="Arial" w:hAnsi="Arial" w:cs="Arial"/>
          <w:color w:val="000000" w:themeColor="text1"/>
        </w:rPr>
      </w:pPr>
    </w:p>
    <w:p w14:paraId="3FD46886" w14:textId="77777777" w:rsidR="00B20B9D" w:rsidRPr="00800171" w:rsidRDefault="00B20B9D" w:rsidP="00800171">
      <w:pPr>
        <w:spacing w:after="0" w:line="360" w:lineRule="auto"/>
        <w:rPr>
          <w:rFonts w:ascii="Arial" w:hAnsi="Arial" w:cs="Arial"/>
          <w:color w:val="000000" w:themeColor="text1"/>
        </w:rPr>
      </w:pPr>
    </w:p>
    <w:p w14:paraId="4F55CA7A" w14:textId="77777777" w:rsidR="00800171" w:rsidRDefault="00800171" w:rsidP="00800171">
      <w:pPr>
        <w:spacing w:after="0" w:line="360" w:lineRule="auto"/>
        <w:rPr>
          <w:rFonts w:ascii="Arial" w:hAnsi="Arial" w:cs="Arial"/>
          <w:color w:val="000000" w:themeColor="text1"/>
        </w:rPr>
      </w:pPr>
    </w:p>
    <w:p w14:paraId="6B47E66D" w14:textId="77777777" w:rsidR="00800171" w:rsidRDefault="00800171" w:rsidP="00800171">
      <w:pPr>
        <w:spacing w:after="0" w:line="360" w:lineRule="auto"/>
        <w:rPr>
          <w:rFonts w:ascii="Arial" w:hAnsi="Arial" w:cs="Arial"/>
          <w:color w:val="000000" w:themeColor="text1"/>
        </w:rPr>
      </w:pPr>
    </w:p>
    <w:p w14:paraId="5D2DD2C2" w14:textId="2945868F" w:rsidR="00B20B9D" w:rsidRPr="00800171" w:rsidRDefault="00B20B9D" w:rsidP="00800171">
      <w:pPr>
        <w:pStyle w:val="Heading1"/>
        <w:rPr>
          <w:rFonts w:ascii="Arial" w:hAnsi="Arial" w:cs="Arial"/>
          <w:b/>
          <w:bCs/>
          <w:color w:val="auto"/>
          <w:sz w:val="22"/>
          <w:szCs w:val="22"/>
        </w:rPr>
      </w:pPr>
      <w:bookmarkStart w:id="14" w:name="_Toc191040352"/>
      <w:r w:rsidRPr="00800171">
        <w:rPr>
          <w:rFonts w:ascii="Arial" w:hAnsi="Arial" w:cs="Arial"/>
          <w:b/>
          <w:bCs/>
          <w:color w:val="auto"/>
          <w:sz w:val="22"/>
          <w:szCs w:val="22"/>
        </w:rPr>
        <w:lastRenderedPageBreak/>
        <w:t>Reference list</w:t>
      </w:r>
      <w:bookmarkEnd w:id="14"/>
      <w:r w:rsidRPr="00800171">
        <w:rPr>
          <w:rFonts w:ascii="Arial" w:hAnsi="Arial" w:cs="Arial"/>
          <w:b/>
          <w:bCs/>
          <w:color w:val="auto"/>
          <w:sz w:val="22"/>
          <w:szCs w:val="22"/>
        </w:rPr>
        <w:t xml:space="preserve"> </w:t>
      </w:r>
    </w:p>
    <w:p w14:paraId="10A2050B" w14:textId="02F59D36" w:rsidR="00B20B9D" w:rsidRPr="00800171" w:rsidRDefault="00132217" w:rsidP="00800171">
      <w:pPr>
        <w:pStyle w:val="ListParagraph"/>
        <w:numPr>
          <w:ilvl w:val="0"/>
          <w:numId w:val="1"/>
        </w:numPr>
        <w:spacing w:after="0" w:line="360" w:lineRule="auto"/>
        <w:rPr>
          <w:rFonts w:ascii="Arial" w:hAnsi="Arial" w:cs="Arial"/>
          <w:color w:val="000000" w:themeColor="text1"/>
        </w:rPr>
      </w:pPr>
      <w:r w:rsidRPr="00800171">
        <w:rPr>
          <w:rFonts w:ascii="Arial" w:hAnsi="Arial" w:cs="Arial"/>
          <w:color w:val="000000" w:themeColor="text1"/>
        </w:rPr>
        <w:t xml:space="preserve">Al-Faryan, M.A.S., 2024. Agency theory, corporate governance and corruption: an integrative literature review approach. Cogent Social </w:t>
      </w:r>
      <w:proofErr w:type="spellStart"/>
      <w:r w:rsidRPr="00800171">
        <w:rPr>
          <w:rFonts w:ascii="Arial" w:hAnsi="Arial" w:cs="Arial"/>
          <w:color w:val="000000" w:themeColor="text1"/>
        </w:rPr>
        <w:t>Sciences.</w:t>
      </w:r>
      <w:r w:rsidR="00A1621C" w:rsidRPr="00800171">
        <w:rPr>
          <w:rFonts w:ascii="Arial" w:hAnsi="Arial" w:cs="Arial"/>
          <w:color w:val="000000" w:themeColor="text1"/>
        </w:rPr>
        <w:t>Available</w:t>
      </w:r>
      <w:proofErr w:type="spellEnd"/>
      <w:r w:rsidR="00A1621C" w:rsidRPr="00800171">
        <w:rPr>
          <w:rFonts w:ascii="Arial" w:hAnsi="Arial" w:cs="Arial"/>
          <w:color w:val="000000" w:themeColor="text1"/>
        </w:rPr>
        <w:t xml:space="preserve"> at:</w:t>
      </w:r>
      <w:r w:rsidR="00A1621C" w:rsidRPr="00800171">
        <w:rPr>
          <w:rFonts w:ascii="Arial" w:hAnsi="Arial" w:cs="Arial"/>
        </w:rPr>
        <w:t xml:space="preserve"> </w:t>
      </w:r>
      <w:hyperlink r:id="rId8" w:anchor="abstract" w:history="1">
        <w:r w:rsidR="00A1621C" w:rsidRPr="00800171">
          <w:rPr>
            <w:rStyle w:val="Hyperlink"/>
            <w:rFonts w:ascii="Arial" w:hAnsi="Arial" w:cs="Arial"/>
          </w:rPr>
          <w:t>Full article: Agency theory, corporate governance and corruption: an integrative literature review approach</w:t>
        </w:r>
      </w:hyperlink>
      <w:r w:rsidR="009D44D1" w:rsidRPr="00800171">
        <w:rPr>
          <w:rFonts w:ascii="Arial" w:hAnsi="Arial" w:cs="Arial"/>
          <w:color w:val="000000" w:themeColor="text1"/>
        </w:rPr>
        <w:t xml:space="preserve"> [Access</w:t>
      </w:r>
      <w:r w:rsidR="003A6096" w:rsidRPr="00800171">
        <w:rPr>
          <w:rFonts w:ascii="Arial" w:hAnsi="Arial" w:cs="Arial"/>
          <w:color w:val="000000" w:themeColor="text1"/>
        </w:rPr>
        <w:t>ed</w:t>
      </w:r>
      <w:r w:rsidR="009D44D1" w:rsidRPr="00800171">
        <w:rPr>
          <w:rFonts w:ascii="Arial" w:hAnsi="Arial" w:cs="Arial"/>
          <w:color w:val="000000" w:themeColor="text1"/>
        </w:rPr>
        <w:t xml:space="preserve"> on 30</w:t>
      </w:r>
      <w:r w:rsidR="009D44D1" w:rsidRPr="00800171">
        <w:rPr>
          <w:rFonts w:ascii="Arial" w:hAnsi="Arial" w:cs="Arial"/>
          <w:color w:val="000000" w:themeColor="text1"/>
          <w:vertAlign w:val="superscript"/>
        </w:rPr>
        <w:t>th</w:t>
      </w:r>
      <w:r w:rsidR="009D44D1" w:rsidRPr="00800171">
        <w:rPr>
          <w:rFonts w:ascii="Arial" w:hAnsi="Arial" w:cs="Arial"/>
          <w:color w:val="000000" w:themeColor="text1"/>
        </w:rPr>
        <w:t xml:space="preserve"> January, 2025]</w:t>
      </w:r>
    </w:p>
    <w:p w14:paraId="6222822A" w14:textId="5361A44E" w:rsidR="00DF51A0" w:rsidRPr="00800171" w:rsidRDefault="00DF51A0" w:rsidP="00800171">
      <w:pPr>
        <w:pStyle w:val="ListParagraph"/>
        <w:numPr>
          <w:ilvl w:val="0"/>
          <w:numId w:val="1"/>
        </w:numPr>
        <w:spacing w:after="0" w:line="360" w:lineRule="auto"/>
        <w:rPr>
          <w:rFonts w:ascii="Arial" w:hAnsi="Arial" w:cs="Arial"/>
          <w:color w:val="000000" w:themeColor="text1"/>
        </w:rPr>
      </w:pPr>
      <w:r w:rsidRPr="00800171">
        <w:rPr>
          <w:rFonts w:ascii="Arial" w:hAnsi="Arial" w:cs="Arial"/>
          <w:color w:val="000000" w:themeColor="text1"/>
        </w:rPr>
        <w:t>Amoako-Adu, B. and Smith, B.F., 2001. Dual class firms: Capitalisation, ownership structure and recapitalisation back into single class. </w:t>
      </w:r>
      <w:r w:rsidRPr="00800171">
        <w:rPr>
          <w:rFonts w:ascii="Arial" w:hAnsi="Arial" w:cs="Arial"/>
          <w:i/>
          <w:iCs/>
          <w:color w:val="000000" w:themeColor="text1"/>
        </w:rPr>
        <w:t xml:space="preserve">Journal of Banking &amp; </w:t>
      </w:r>
      <w:r w:rsidR="00FB1810" w:rsidRPr="00800171">
        <w:rPr>
          <w:rFonts w:ascii="Arial" w:hAnsi="Arial" w:cs="Arial"/>
          <w:i/>
          <w:iCs/>
          <w:color w:val="000000" w:themeColor="text1"/>
        </w:rPr>
        <w:t>Finance</w:t>
      </w:r>
      <w:r w:rsidR="00FB1810" w:rsidRPr="00800171">
        <w:rPr>
          <w:rFonts w:ascii="Arial" w:hAnsi="Arial" w:cs="Arial"/>
          <w:color w:val="000000" w:themeColor="text1"/>
        </w:rPr>
        <w:t>. Available at:</w:t>
      </w:r>
      <w:r w:rsidR="00FB1810" w:rsidRPr="00800171">
        <w:rPr>
          <w:rFonts w:ascii="Arial" w:hAnsi="Arial" w:cs="Arial"/>
        </w:rPr>
        <w:t xml:space="preserve"> </w:t>
      </w:r>
      <w:hyperlink r:id="rId9" w:history="1">
        <w:r w:rsidR="00FB1810" w:rsidRPr="00800171">
          <w:rPr>
            <w:rStyle w:val="Hyperlink"/>
            <w:rFonts w:ascii="Arial" w:hAnsi="Arial" w:cs="Arial"/>
          </w:rPr>
          <w:t>Dual class firms: Capitalization, ownership structure and recapitalization back into single class</w:t>
        </w:r>
      </w:hyperlink>
      <w:r w:rsidR="00FB1810" w:rsidRPr="00800171">
        <w:rPr>
          <w:rFonts w:ascii="Arial" w:hAnsi="Arial" w:cs="Arial"/>
          <w:color w:val="000000" w:themeColor="text1"/>
        </w:rPr>
        <w:t xml:space="preserve"> [Access</w:t>
      </w:r>
      <w:r w:rsidR="003A6096" w:rsidRPr="00800171">
        <w:rPr>
          <w:rFonts w:ascii="Arial" w:hAnsi="Arial" w:cs="Arial"/>
          <w:color w:val="000000" w:themeColor="text1"/>
        </w:rPr>
        <w:t>ed</w:t>
      </w:r>
      <w:r w:rsidR="00FB1810" w:rsidRPr="00800171">
        <w:rPr>
          <w:rFonts w:ascii="Arial" w:hAnsi="Arial" w:cs="Arial"/>
          <w:color w:val="000000" w:themeColor="text1"/>
        </w:rPr>
        <w:t xml:space="preserve"> on 30</w:t>
      </w:r>
      <w:r w:rsidR="00FB1810" w:rsidRPr="00800171">
        <w:rPr>
          <w:rFonts w:ascii="Arial" w:hAnsi="Arial" w:cs="Arial"/>
          <w:color w:val="000000" w:themeColor="text1"/>
          <w:vertAlign w:val="superscript"/>
        </w:rPr>
        <w:t>th</w:t>
      </w:r>
      <w:r w:rsidR="00FB1810" w:rsidRPr="00800171">
        <w:rPr>
          <w:rFonts w:ascii="Arial" w:hAnsi="Arial" w:cs="Arial"/>
          <w:color w:val="000000" w:themeColor="text1"/>
        </w:rPr>
        <w:t xml:space="preserve"> January, 2025]</w:t>
      </w:r>
    </w:p>
    <w:p w14:paraId="49D1D7F0" w14:textId="3DECD4CA" w:rsidR="009D44D1" w:rsidRPr="00800171" w:rsidRDefault="00A83219" w:rsidP="00800171">
      <w:pPr>
        <w:pStyle w:val="ListParagraph"/>
        <w:numPr>
          <w:ilvl w:val="0"/>
          <w:numId w:val="1"/>
        </w:numPr>
        <w:spacing w:after="0" w:line="360" w:lineRule="auto"/>
        <w:rPr>
          <w:rFonts w:ascii="Arial" w:hAnsi="Arial" w:cs="Arial"/>
          <w:color w:val="000000" w:themeColor="text1"/>
        </w:rPr>
      </w:pPr>
      <w:r w:rsidRPr="00800171">
        <w:rPr>
          <w:rFonts w:ascii="Arial" w:hAnsi="Arial" w:cs="Arial"/>
          <w:color w:val="000000" w:themeColor="text1"/>
        </w:rPr>
        <w:t>Aras, G. and Crowther, D., 2008. Governance and sustainability: An investigation into the relationship between corporate governance and corporate sustainability. Management Decision.</w:t>
      </w:r>
      <w:r w:rsidR="00CB00DF" w:rsidRPr="00800171">
        <w:rPr>
          <w:rFonts w:ascii="Arial" w:hAnsi="Arial" w:cs="Arial"/>
          <w:color w:val="000000" w:themeColor="text1"/>
        </w:rPr>
        <w:t xml:space="preserve"> Available at:</w:t>
      </w:r>
      <w:r w:rsidR="00CB00DF" w:rsidRPr="00800171">
        <w:rPr>
          <w:rFonts w:ascii="Arial" w:hAnsi="Arial" w:cs="Arial"/>
        </w:rPr>
        <w:t xml:space="preserve"> </w:t>
      </w:r>
      <w:hyperlink r:id="rId10" w:history="1">
        <w:r w:rsidR="00CB00DF" w:rsidRPr="00800171">
          <w:rPr>
            <w:rStyle w:val="Hyperlink"/>
            <w:rFonts w:ascii="Arial" w:hAnsi="Arial" w:cs="Arial"/>
          </w:rPr>
          <w:t>(PDF) Governance and Sustainability: An Investigation into the Relationship between Corporate Governance and Corporate Sustainability</w:t>
        </w:r>
      </w:hyperlink>
      <w:r w:rsidR="00CB00DF" w:rsidRPr="00800171">
        <w:rPr>
          <w:rFonts w:ascii="Arial" w:hAnsi="Arial" w:cs="Arial"/>
          <w:color w:val="000000" w:themeColor="text1"/>
        </w:rPr>
        <w:t xml:space="preserve"> </w:t>
      </w:r>
      <w:r w:rsidR="00ED16E6" w:rsidRPr="00800171">
        <w:rPr>
          <w:rFonts w:ascii="Arial" w:hAnsi="Arial" w:cs="Arial"/>
          <w:color w:val="000000" w:themeColor="text1"/>
        </w:rPr>
        <w:t>[ Access</w:t>
      </w:r>
      <w:r w:rsidR="003A6096" w:rsidRPr="00800171">
        <w:rPr>
          <w:rFonts w:ascii="Arial" w:hAnsi="Arial" w:cs="Arial"/>
          <w:color w:val="000000" w:themeColor="text1"/>
        </w:rPr>
        <w:t>ed</w:t>
      </w:r>
      <w:r w:rsidR="00ED16E6" w:rsidRPr="00800171">
        <w:rPr>
          <w:rFonts w:ascii="Arial" w:hAnsi="Arial" w:cs="Arial"/>
          <w:color w:val="000000" w:themeColor="text1"/>
        </w:rPr>
        <w:t xml:space="preserve"> on 2</w:t>
      </w:r>
      <w:r w:rsidR="00ED16E6" w:rsidRPr="00800171">
        <w:rPr>
          <w:rFonts w:ascii="Arial" w:hAnsi="Arial" w:cs="Arial"/>
          <w:color w:val="000000" w:themeColor="text1"/>
          <w:vertAlign w:val="superscript"/>
        </w:rPr>
        <w:t>nd</w:t>
      </w:r>
      <w:r w:rsidR="00ED16E6" w:rsidRPr="00800171">
        <w:rPr>
          <w:rFonts w:ascii="Arial" w:hAnsi="Arial" w:cs="Arial"/>
          <w:color w:val="000000" w:themeColor="text1"/>
        </w:rPr>
        <w:t xml:space="preserve"> February, 2025]</w:t>
      </w:r>
    </w:p>
    <w:p w14:paraId="5668C6A2" w14:textId="441C5FF3" w:rsidR="00ED16E6" w:rsidRPr="00800171" w:rsidRDefault="00390F25" w:rsidP="00800171">
      <w:pPr>
        <w:pStyle w:val="ListParagraph"/>
        <w:numPr>
          <w:ilvl w:val="0"/>
          <w:numId w:val="1"/>
        </w:numPr>
        <w:spacing w:after="0" w:line="360" w:lineRule="auto"/>
        <w:rPr>
          <w:rFonts w:ascii="Arial" w:hAnsi="Arial" w:cs="Arial"/>
          <w:color w:val="000000" w:themeColor="text1"/>
        </w:rPr>
      </w:pPr>
      <w:r w:rsidRPr="00800171">
        <w:rPr>
          <w:rFonts w:ascii="Arial" w:hAnsi="Arial" w:cs="Arial"/>
          <w:color w:val="000000" w:themeColor="text1"/>
        </w:rPr>
        <w:t xml:space="preserve">Arslan, M. and </w:t>
      </w:r>
      <w:proofErr w:type="spellStart"/>
      <w:r w:rsidRPr="00800171">
        <w:rPr>
          <w:rFonts w:ascii="Arial" w:hAnsi="Arial" w:cs="Arial"/>
          <w:color w:val="000000" w:themeColor="text1"/>
        </w:rPr>
        <w:t>Alqatan</w:t>
      </w:r>
      <w:proofErr w:type="spellEnd"/>
      <w:r w:rsidRPr="00800171">
        <w:rPr>
          <w:rFonts w:ascii="Arial" w:hAnsi="Arial" w:cs="Arial"/>
          <w:color w:val="000000" w:themeColor="text1"/>
        </w:rPr>
        <w:t xml:space="preserve">, A., 2020. Role of institutions in shaping corporate governance system: evidence from emerging economy. </w:t>
      </w:r>
      <w:proofErr w:type="spellStart"/>
      <w:r w:rsidRPr="00800171">
        <w:rPr>
          <w:rFonts w:ascii="Arial" w:hAnsi="Arial" w:cs="Arial"/>
          <w:color w:val="000000" w:themeColor="text1"/>
        </w:rPr>
        <w:t>Heliyon</w:t>
      </w:r>
      <w:proofErr w:type="spellEnd"/>
      <w:r w:rsidR="00766BD0" w:rsidRPr="00800171">
        <w:rPr>
          <w:rFonts w:ascii="Arial" w:hAnsi="Arial" w:cs="Arial"/>
          <w:color w:val="000000" w:themeColor="text1"/>
        </w:rPr>
        <w:t xml:space="preserve">. Available at: </w:t>
      </w:r>
      <w:hyperlink r:id="rId11" w:history="1">
        <w:r w:rsidR="00766BD0" w:rsidRPr="00800171">
          <w:rPr>
            <w:rStyle w:val="Hyperlink"/>
            <w:rFonts w:ascii="Arial" w:hAnsi="Arial" w:cs="Arial"/>
          </w:rPr>
          <w:t>Role of institutions in shaping corporate governance system: evidence from emerging economy - ScienceDirect</w:t>
        </w:r>
      </w:hyperlink>
      <w:r w:rsidR="00A42944" w:rsidRPr="00800171">
        <w:rPr>
          <w:rFonts w:ascii="Arial" w:hAnsi="Arial" w:cs="Arial"/>
          <w:color w:val="000000" w:themeColor="text1"/>
        </w:rPr>
        <w:t xml:space="preserve"> [Access</w:t>
      </w:r>
      <w:r w:rsidR="003A6096" w:rsidRPr="00800171">
        <w:rPr>
          <w:rFonts w:ascii="Arial" w:hAnsi="Arial" w:cs="Arial"/>
          <w:color w:val="000000" w:themeColor="text1"/>
        </w:rPr>
        <w:t>ed o</w:t>
      </w:r>
      <w:r w:rsidR="00A42944" w:rsidRPr="00800171">
        <w:rPr>
          <w:rFonts w:ascii="Arial" w:hAnsi="Arial" w:cs="Arial"/>
          <w:color w:val="000000" w:themeColor="text1"/>
        </w:rPr>
        <w:t>n 2</w:t>
      </w:r>
      <w:r w:rsidR="00A42944" w:rsidRPr="00800171">
        <w:rPr>
          <w:rFonts w:ascii="Arial" w:hAnsi="Arial" w:cs="Arial"/>
          <w:color w:val="000000" w:themeColor="text1"/>
          <w:vertAlign w:val="superscript"/>
        </w:rPr>
        <w:t>nd</w:t>
      </w:r>
      <w:r w:rsidR="00A42944" w:rsidRPr="00800171">
        <w:rPr>
          <w:rFonts w:ascii="Arial" w:hAnsi="Arial" w:cs="Arial"/>
          <w:color w:val="000000" w:themeColor="text1"/>
        </w:rPr>
        <w:t xml:space="preserve"> February, 2025]</w:t>
      </w:r>
    </w:p>
    <w:p w14:paraId="25D8DE66" w14:textId="1BF0FF1F" w:rsidR="00A42944" w:rsidRPr="00800171" w:rsidRDefault="00A90695" w:rsidP="00800171">
      <w:pPr>
        <w:pStyle w:val="ListParagraph"/>
        <w:numPr>
          <w:ilvl w:val="0"/>
          <w:numId w:val="1"/>
        </w:numPr>
        <w:spacing w:after="0" w:line="360" w:lineRule="auto"/>
        <w:rPr>
          <w:rFonts w:ascii="Arial" w:hAnsi="Arial" w:cs="Arial"/>
          <w:color w:val="000000" w:themeColor="text1"/>
        </w:rPr>
      </w:pPr>
      <w:r w:rsidRPr="00800171">
        <w:rPr>
          <w:rFonts w:ascii="Arial" w:hAnsi="Arial" w:cs="Arial"/>
          <w:color w:val="000000" w:themeColor="text1"/>
        </w:rPr>
        <w:t>Baglioni, A., 2011. Shareholders’ agreements and voting power: Evidence from Italian listed firms. Applied Economics.</w:t>
      </w:r>
      <w:r w:rsidR="00D5667F" w:rsidRPr="00800171">
        <w:rPr>
          <w:rFonts w:ascii="Arial" w:hAnsi="Arial" w:cs="Arial"/>
          <w:color w:val="000000" w:themeColor="text1"/>
        </w:rPr>
        <w:t xml:space="preserve"> [Access</w:t>
      </w:r>
      <w:r w:rsidR="003A6096" w:rsidRPr="00800171">
        <w:rPr>
          <w:rFonts w:ascii="Arial" w:hAnsi="Arial" w:cs="Arial"/>
          <w:color w:val="000000" w:themeColor="text1"/>
        </w:rPr>
        <w:t>ed</w:t>
      </w:r>
      <w:r w:rsidR="00D5667F" w:rsidRPr="00800171">
        <w:rPr>
          <w:rFonts w:ascii="Arial" w:hAnsi="Arial" w:cs="Arial"/>
          <w:color w:val="000000" w:themeColor="text1"/>
        </w:rPr>
        <w:t xml:space="preserve"> on</w:t>
      </w:r>
      <w:r w:rsidR="00234874" w:rsidRPr="00800171">
        <w:rPr>
          <w:rFonts w:ascii="Arial" w:hAnsi="Arial" w:cs="Arial"/>
          <w:color w:val="000000" w:themeColor="text1"/>
        </w:rPr>
        <w:t xml:space="preserve"> 2</w:t>
      </w:r>
      <w:r w:rsidR="00234874" w:rsidRPr="00800171">
        <w:rPr>
          <w:rFonts w:ascii="Arial" w:hAnsi="Arial" w:cs="Arial"/>
          <w:color w:val="000000" w:themeColor="text1"/>
          <w:vertAlign w:val="superscript"/>
        </w:rPr>
        <w:t>nd</w:t>
      </w:r>
      <w:r w:rsidR="00234874" w:rsidRPr="00800171">
        <w:rPr>
          <w:rFonts w:ascii="Arial" w:hAnsi="Arial" w:cs="Arial"/>
          <w:color w:val="000000" w:themeColor="text1"/>
        </w:rPr>
        <w:t xml:space="preserve"> February.2025]</w:t>
      </w:r>
    </w:p>
    <w:p w14:paraId="7D735AD2" w14:textId="1C9868C0" w:rsidR="00234874" w:rsidRPr="00800171" w:rsidRDefault="008802F1" w:rsidP="00800171">
      <w:pPr>
        <w:pStyle w:val="ListParagraph"/>
        <w:numPr>
          <w:ilvl w:val="0"/>
          <w:numId w:val="1"/>
        </w:numPr>
        <w:spacing w:after="0" w:line="360" w:lineRule="auto"/>
        <w:rPr>
          <w:rFonts w:ascii="Arial" w:hAnsi="Arial" w:cs="Arial"/>
          <w:color w:val="000000" w:themeColor="text1"/>
        </w:rPr>
      </w:pPr>
      <w:r w:rsidRPr="00800171">
        <w:rPr>
          <w:rFonts w:ascii="Arial" w:hAnsi="Arial" w:cs="Arial"/>
          <w:color w:val="000000" w:themeColor="text1"/>
        </w:rPr>
        <w:t>Baysinger, B.D. and Butler, H.N., 2019. Corporate governance and the board of directors: Performance effects of changes in board composition. In Corporate Governance</w:t>
      </w:r>
    </w:p>
    <w:p w14:paraId="09EB603E" w14:textId="50C002CC" w:rsidR="00A93794" w:rsidRPr="00800171" w:rsidRDefault="00F45DC9" w:rsidP="00800171">
      <w:pPr>
        <w:pStyle w:val="ListParagraph"/>
        <w:numPr>
          <w:ilvl w:val="0"/>
          <w:numId w:val="1"/>
        </w:numPr>
        <w:spacing w:after="0" w:line="360" w:lineRule="auto"/>
        <w:rPr>
          <w:rFonts w:ascii="Arial" w:hAnsi="Arial" w:cs="Arial"/>
          <w:color w:val="000000" w:themeColor="text1"/>
        </w:rPr>
      </w:pPr>
      <w:proofErr w:type="spellStart"/>
      <w:r w:rsidRPr="00800171">
        <w:rPr>
          <w:rFonts w:ascii="Arial" w:hAnsi="Arial" w:cs="Arial"/>
          <w:color w:val="000000" w:themeColor="text1"/>
        </w:rPr>
        <w:t>Castrillón</w:t>
      </w:r>
      <w:proofErr w:type="spellEnd"/>
      <w:r w:rsidRPr="00800171">
        <w:rPr>
          <w:rFonts w:ascii="Arial" w:hAnsi="Arial" w:cs="Arial"/>
          <w:color w:val="000000" w:themeColor="text1"/>
        </w:rPr>
        <w:t xml:space="preserve">, M.A.G., 2021. The concept of corporate governance. </w:t>
      </w:r>
      <w:proofErr w:type="spellStart"/>
      <w:r w:rsidRPr="00800171">
        <w:rPr>
          <w:rFonts w:ascii="Arial" w:hAnsi="Arial" w:cs="Arial"/>
          <w:color w:val="000000" w:themeColor="text1"/>
        </w:rPr>
        <w:t>Revista</w:t>
      </w:r>
      <w:proofErr w:type="spellEnd"/>
      <w:r w:rsidRPr="00800171">
        <w:rPr>
          <w:rFonts w:ascii="Arial" w:hAnsi="Arial" w:cs="Arial"/>
          <w:color w:val="000000" w:themeColor="text1"/>
        </w:rPr>
        <w:t xml:space="preserve"> </w:t>
      </w:r>
      <w:proofErr w:type="spellStart"/>
      <w:r w:rsidRPr="00800171">
        <w:rPr>
          <w:rFonts w:ascii="Arial" w:hAnsi="Arial" w:cs="Arial"/>
          <w:color w:val="000000" w:themeColor="text1"/>
        </w:rPr>
        <w:t>Científica</w:t>
      </w:r>
      <w:proofErr w:type="spellEnd"/>
      <w:r w:rsidRPr="00800171">
        <w:rPr>
          <w:rFonts w:ascii="Arial" w:hAnsi="Arial" w:cs="Arial"/>
          <w:color w:val="000000" w:themeColor="text1"/>
        </w:rPr>
        <w:t xml:space="preserve">" Visión de </w:t>
      </w:r>
      <w:proofErr w:type="spellStart"/>
      <w:r w:rsidRPr="00800171">
        <w:rPr>
          <w:rFonts w:ascii="Arial" w:hAnsi="Arial" w:cs="Arial"/>
          <w:color w:val="000000" w:themeColor="text1"/>
        </w:rPr>
        <w:t>Futuro".</w:t>
      </w:r>
      <w:r w:rsidR="00B60C2C" w:rsidRPr="00800171">
        <w:rPr>
          <w:rFonts w:ascii="Arial" w:hAnsi="Arial" w:cs="Arial"/>
          <w:color w:val="000000" w:themeColor="text1"/>
        </w:rPr>
        <w:t>Available</w:t>
      </w:r>
      <w:proofErr w:type="spellEnd"/>
      <w:r w:rsidR="00B60C2C" w:rsidRPr="00800171">
        <w:rPr>
          <w:rFonts w:ascii="Arial" w:hAnsi="Arial" w:cs="Arial"/>
          <w:color w:val="000000" w:themeColor="text1"/>
        </w:rPr>
        <w:t xml:space="preserve"> at:</w:t>
      </w:r>
      <w:r w:rsidR="00B60C2C" w:rsidRPr="00800171">
        <w:rPr>
          <w:rFonts w:ascii="Arial" w:hAnsi="Arial" w:cs="Arial"/>
        </w:rPr>
        <w:t xml:space="preserve"> </w:t>
      </w:r>
      <w:hyperlink r:id="rId12" w:history="1">
        <w:r w:rsidR="00B60C2C" w:rsidRPr="00800171">
          <w:rPr>
            <w:rStyle w:val="Hyperlink"/>
            <w:rFonts w:ascii="Arial" w:hAnsi="Arial" w:cs="Arial"/>
          </w:rPr>
          <w:t>https://www.researchgate.net/publication/352883993_The_concept_of_corporate_governance</w:t>
        </w:r>
      </w:hyperlink>
      <w:r w:rsidR="00B60C2C" w:rsidRPr="00800171">
        <w:rPr>
          <w:rFonts w:ascii="Arial" w:hAnsi="Arial" w:cs="Arial"/>
          <w:color w:val="000000" w:themeColor="text1"/>
        </w:rPr>
        <w:t xml:space="preserve"> [</w:t>
      </w:r>
      <w:proofErr w:type="spellStart"/>
      <w:r w:rsidR="003A6096" w:rsidRPr="00800171">
        <w:rPr>
          <w:rFonts w:ascii="Arial" w:hAnsi="Arial" w:cs="Arial"/>
          <w:color w:val="000000" w:themeColor="text1"/>
        </w:rPr>
        <w:t>A</w:t>
      </w:r>
      <w:r w:rsidR="00B60C2C" w:rsidRPr="00800171">
        <w:rPr>
          <w:rFonts w:ascii="Arial" w:hAnsi="Arial" w:cs="Arial"/>
          <w:color w:val="000000" w:themeColor="text1"/>
        </w:rPr>
        <w:t>cces</w:t>
      </w:r>
      <w:r w:rsidR="003A6096" w:rsidRPr="00800171">
        <w:rPr>
          <w:rFonts w:ascii="Arial" w:hAnsi="Arial" w:cs="Arial"/>
          <w:color w:val="000000" w:themeColor="text1"/>
        </w:rPr>
        <w:t>ed</w:t>
      </w:r>
      <w:proofErr w:type="spellEnd"/>
      <w:r w:rsidR="00774905" w:rsidRPr="00800171">
        <w:rPr>
          <w:rFonts w:ascii="Arial" w:hAnsi="Arial" w:cs="Arial"/>
          <w:color w:val="000000" w:themeColor="text1"/>
        </w:rPr>
        <w:t xml:space="preserve"> on </w:t>
      </w:r>
      <w:r w:rsidR="004D6FE2" w:rsidRPr="00800171">
        <w:rPr>
          <w:rFonts w:ascii="Arial" w:hAnsi="Arial" w:cs="Arial"/>
          <w:color w:val="000000" w:themeColor="text1"/>
        </w:rPr>
        <w:t>5th February 2025]</w:t>
      </w:r>
    </w:p>
    <w:p w14:paraId="213FCAF4" w14:textId="015A6DB0" w:rsidR="00B60C2C" w:rsidRPr="00800171" w:rsidRDefault="00862381" w:rsidP="00800171">
      <w:pPr>
        <w:pStyle w:val="ListParagraph"/>
        <w:numPr>
          <w:ilvl w:val="0"/>
          <w:numId w:val="1"/>
        </w:numPr>
        <w:spacing w:after="0" w:line="360" w:lineRule="auto"/>
        <w:rPr>
          <w:rFonts w:ascii="Arial" w:hAnsi="Arial" w:cs="Arial"/>
          <w:color w:val="000000" w:themeColor="text1"/>
        </w:rPr>
      </w:pPr>
      <w:r w:rsidRPr="00800171">
        <w:rPr>
          <w:rFonts w:ascii="Arial" w:hAnsi="Arial" w:cs="Arial"/>
          <w:color w:val="000000" w:themeColor="text1"/>
        </w:rPr>
        <w:t xml:space="preserve">Davies, P.L., 2000. The board of directors: composition, structure, duties and powers. Paper on Company Law Reform in OECD Countries: A Comparative Outlook of Current Trends. </w:t>
      </w:r>
    </w:p>
    <w:p w14:paraId="40C0E806" w14:textId="01AD2413" w:rsidR="00417AA7" w:rsidRPr="00800171" w:rsidRDefault="00BF727A" w:rsidP="00800171">
      <w:pPr>
        <w:pStyle w:val="ListParagraph"/>
        <w:numPr>
          <w:ilvl w:val="0"/>
          <w:numId w:val="1"/>
        </w:numPr>
        <w:spacing w:after="0" w:line="360" w:lineRule="auto"/>
        <w:rPr>
          <w:rFonts w:ascii="Arial" w:hAnsi="Arial" w:cs="Arial"/>
          <w:color w:val="000000" w:themeColor="text1"/>
        </w:rPr>
      </w:pPr>
      <w:proofErr w:type="spellStart"/>
      <w:r w:rsidRPr="00800171">
        <w:rPr>
          <w:rFonts w:ascii="Arial" w:hAnsi="Arial" w:cs="Arial"/>
          <w:color w:val="000000" w:themeColor="text1"/>
        </w:rPr>
        <w:t>Denossa</w:t>
      </w:r>
      <w:proofErr w:type="spellEnd"/>
      <w:r w:rsidRPr="00800171">
        <w:rPr>
          <w:rFonts w:ascii="Arial" w:hAnsi="Arial" w:cs="Arial"/>
          <w:color w:val="000000" w:themeColor="text1"/>
        </w:rPr>
        <w:t xml:space="preserve">, F. and </w:t>
      </w:r>
      <w:proofErr w:type="spellStart"/>
      <w:r w:rsidRPr="00800171">
        <w:rPr>
          <w:rFonts w:ascii="Arial" w:hAnsi="Arial" w:cs="Arial"/>
          <w:color w:val="000000" w:themeColor="text1"/>
        </w:rPr>
        <w:t>Stabilini</w:t>
      </w:r>
      <w:proofErr w:type="spellEnd"/>
      <w:r w:rsidRPr="00800171">
        <w:rPr>
          <w:rFonts w:ascii="Arial" w:hAnsi="Arial" w:cs="Arial"/>
          <w:color w:val="000000" w:themeColor="text1"/>
        </w:rPr>
        <w:t xml:space="preserve">, A., 2017. </w:t>
      </w:r>
      <w:proofErr w:type="gramStart"/>
      <w:r w:rsidRPr="00800171">
        <w:rPr>
          <w:rFonts w:ascii="Arial" w:hAnsi="Arial" w:cs="Arial"/>
          <w:color w:val="000000" w:themeColor="text1"/>
        </w:rPr>
        <w:t>Principals</w:t>
      </w:r>
      <w:proofErr w:type="gramEnd"/>
      <w:r w:rsidRPr="00800171">
        <w:rPr>
          <w:rFonts w:ascii="Arial" w:hAnsi="Arial" w:cs="Arial"/>
          <w:color w:val="000000" w:themeColor="text1"/>
        </w:rPr>
        <w:t xml:space="preserve"> vs Principals: The Twilight of the Agency Theory. Italian LJ</w:t>
      </w:r>
      <w:r w:rsidR="00285732" w:rsidRPr="00800171">
        <w:rPr>
          <w:rFonts w:ascii="Arial" w:hAnsi="Arial" w:cs="Arial"/>
          <w:color w:val="000000" w:themeColor="text1"/>
        </w:rPr>
        <w:t>. Available at:</w:t>
      </w:r>
      <w:r w:rsidR="00285732" w:rsidRPr="00800171">
        <w:rPr>
          <w:rFonts w:ascii="Arial" w:hAnsi="Arial" w:cs="Arial"/>
        </w:rPr>
        <w:t xml:space="preserve"> </w:t>
      </w:r>
      <w:hyperlink r:id="rId13" w:history="1">
        <w:r w:rsidR="00285732" w:rsidRPr="00800171">
          <w:rPr>
            <w:rStyle w:val="Hyperlink"/>
            <w:rFonts w:ascii="Arial" w:hAnsi="Arial" w:cs="Arial"/>
          </w:rPr>
          <w:t>511-denozza-stabilini.pdf</w:t>
        </w:r>
      </w:hyperlink>
      <w:r w:rsidR="00285732" w:rsidRPr="00800171">
        <w:rPr>
          <w:rFonts w:ascii="Arial" w:hAnsi="Arial" w:cs="Arial"/>
          <w:color w:val="000000" w:themeColor="text1"/>
        </w:rPr>
        <w:t xml:space="preserve"> </w:t>
      </w:r>
      <w:r w:rsidR="00247D2D" w:rsidRPr="00800171">
        <w:rPr>
          <w:rFonts w:ascii="Arial" w:hAnsi="Arial" w:cs="Arial"/>
          <w:color w:val="000000" w:themeColor="text1"/>
        </w:rPr>
        <w:t>[Accessed on 10</w:t>
      </w:r>
      <w:r w:rsidR="00247D2D" w:rsidRPr="00800171">
        <w:rPr>
          <w:rFonts w:ascii="Arial" w:hAnsi="Arial" w:cs="Arial"/>
          <w:color w:val="000000" w:themeColor="text1"/>
          <w:vertAlign w:val="superscript"/>
        </w:rPr>
        <w:t>th</w:t>
      </w:r>
      <w:r w:rsidR="00247D2D" w:rsidRPr="00800171">
        <w:rPr>
          <w:rFonts w:ascii="Arial" w:hAnsi="Arial" w:cs="Arial"/>
          <w:color w:val="000000" w:themeColor="text1"/>
        </w:rPr>
        <w:t xml:space="preserve"> February,2025]</w:t>
      </w:r>
    </w:p>
    <w:p w14:paraId="3BEF5EDE" w14:textId="2FAFFB75" w:rsidR="00247D2D" w:rsidRPr="00800171" w:rsidRDefault="00E86DE7" w:rsidP="00800171">
      <w:pPr>
        <w:pStyle w:val="ListParagraph"/>
        <w:numPr>
          <w:ilvl w:val="0"/>
          <w:numId w:val="1"/>
        </w:numPr>
        <w:spacing w:after="0" w:line="360" w:lineRule="auto"/>
        <w:rPr>
          <w:rFonts w:ascii="Arial" w:hAnsi="Arial" w:cs="Arial"/>
          <w:color w:val="000000" w:themeColor="text1"/>
        </w:rPr>
      </w:pPr>
      <w:r w:rsidRPr="00800171">
        <w:rPr>
          <w:rFonts w:ascii="Arial" w:hAnsi="Arial" w:cs="Arial"/>
          <w:color w:val="000000" w:themeColor="text1"/>
        </w:rPr>
        <w:t xml:space="preserve">ECGI. Corporate Governance in China. Available at: </w:t>
      </w:r>
      <w:hyperlink r:id="rId14" w:anchor=":~:text=In%20China%2C%20minority%20and%20majority,solely%20owned%20by%20the%20company" w:history="1">
        <w:r w:rsidRPr="00800171">
          <w:rPr>
            <w:rStyle w:val="Hyperlink"/>
            <w:rFonts w:ascii="Arial" w:hAnsi="Arial" w:cs="Arial"/>
          </w:rPr>
          <w:t>https://www.ecgi.global/publications/codes/countries/corporate-governance-in-china#:~:text=In%20China%2C%20minority%20and%20majority,solely%20owned%20by%20the%20company</w:t>
        </w:r>
      </w:hyperlink>
      <w:r w:rsidRPr="00800171">
        <w:rPr>
          <w:rFonts w:ascii="Arial" w:hAnsi="Arial" w:cs="Arial"/>
          <w:color w:val="000000" w:themeColor="text1"/>
        </w:rPr>
        <w:t xml:space="preserve"> [Accessed on </w:t>
      </w:r>
      <w:r w:rsidR="006E13D8" w:rsidRPr="00800171">
        <w:rPr>
          <w:rFonts w:ascii="Arial" w:hAnsi="Arial" w:cs="Arial"/>
          <w:color w:val="000000" w:themeColor="text1"/>
        </w:rPr>
        <w:t>12</w:t>
      </w:r>
      <w:r w:rsidR="006E13D8" w:rsidRPr="00800171">
        <w:rPr>
          <w:rFonts w:ascii="Arial" w:hAnsi="Arial" w:cs="Arial"/>
          <w:color w:val="000000" w:themeColor="text1"/>
          <w:vertAlign w:val="superscript"/>
        </w:rPr>
        <w:t>th</w:t>
      </w:r>
      <w:r w:rsidR="006E13D8" w:rsidRPr="00800171">
        <w:rPr>
          <w:rFonts w:ascii="Arial" w:hAnsi="Arial" w:cs="Arial"/>
          <w:color w:val="000000" w:themeColor="text1"/>
        </w:rPr>
        <w:t xml:space="preserve"> February, 2025]</w:t>
      </w:r>
    </w:p>
    <w:p w14:paraId="1AB1C891" w14:textId="180C309D" w:rsidR="006E13D8" w:rsidRPr="00800171" w:rsidRDefault="00D427D1" w:rsidP="00800171">
      <w:pPr>
        <w:pStyle w:val="ListParagraph"/>
        <w:numPr>
          <w:ilvl w:val="0"/>
          <w:numId w:val="1"/>
        </w:numPr>
        <w:spacing w:after="0" w:line="360" w:lineRule="auto"/>
        <w:rPr>
          <w:rFonts w:ascii="Arial" w:hAnsi="Arial" w:cs="Arial"/>
          <w:color w:val="000000" w:themeColor="text1"/>
        </w:rPr>
      </w:pPr>
      <w:proofErr w:type="spellStart"/>
      <w:r w:rsidRPr="00800171">
        <w:rPr>
          <w:rFonts w:ascii="Arial" w:hAnsi="Arial" w:cs="Arial"/>
          <w:color w:val="000000" w:themeColor="text1"/>
        </w:rPr>
        <w:lastRenderedPageBreak/>
        <w:t>ElKelish</w:t>
      </w:r>
      <w:proofErr w:type="spellEnd"/>
      <w:r w:rsidRPr="00800171">
        <w:rPr>
          <w:rFonts w:ascii="Arial" w:hAnsi="Arial" w:cs="Arial"/>
          <w:color w:val="000000" w:themeColor="text1"/>
        </w:rPr>
        <w:t>, W.W., 2018. Corporate governance risk and the agency problem. Corporate Governance: The International Journal of Business in Society.</w:t>
      </w:r>
    </w:p>
    <w:p w14:paraId="58B71F68" w14:textId="3E11E91D" w:rsidR="002A3A89" w:rsidRPr="00800171" w:rsidRDefault="00780AE8" w:rsidP="00800171">
      <w:pPr>
        <w:pStyle w:val="ListParagraph"/>
        <w:numPr>
          <w:ilvl w:val="0"/>
          <w:numId w:val="1"/>
        </w:numPr>
        <w:spacing w:after="0" w:line="360" w:lineRule="auto"/>
        <w:rPr>
          <w:rFonts w:ascii="Arial" w:hAnsi="Arial" w:cs="Arial"/>
          <w:color w:val="000000" w:themeColor="text1"/>
        </w:rPr>
      </w:pPr>
      <w:r w:rsidRPr="00800171">
        <w:rPr>
          <w:rFonts w:ascii="Arial" w:hAnsi="Arial" w:cs="Arial"/>
          <w:color w:val="000000" w:themeColor="text1"/>
        </w:rPr>
        <w:t xml:space="preserve">Financial Reporting Council. 2024 January 22. UK Corporate Governance Code. Available at: </w:t>
      </w:r>
      <w:hyperlink r:id="rId15" w:history="1">
        <w:r w:rsidRPr="00800171">
          <w:rPr>
            <w:rStyle w:val="Hyperlink"/>
            <w:rFonts w:ascii="Arial" w:hAnsi="Arial" w:cs="Arial"/>
          </w:rPr>
          <w:t>https://www.frc.org.uk/library/standards-codes-policy/corporate-governance/uk-corporate-governance-code/</w:t>
        </w:r>
      </w:hyperlink>
      <w:r w:rsidRPr="00800171">
        <w:rPr>
          <w:rFonts w:ascii="Arial" w:hAnsi="Arial" w:cs="Arial"/>
          <w:color w:val="000000" w:themeColor="text1"/>
        </w:rPr>
        <w:t xml:space="preserve">  [Accessed on 7</w:t>
      </w:r>
      <w:r w:rsidRPr="00800171">
        <w:rPr>
          <w:rFonts w:ascii="Arial" w:hAnsi="Arial" w:cs="Arial"/>
          <w:color w:val="000000" w:themeColor="text1"/>
          <w:vertAlign w:val="superscript"/>
        </w:rPr>
        <w:t>th</w:t>
      </w:r>
      <w:r w:rsidRPr="00800171">
        <w:rPr>
          <w:rFonts w:ascii="Arial" w:hAnsi="Arial" w:cs="Arial"/>
          <w:color w:val="000000" w:themeColor="text1"/>
        </w:rPr>
        <w:t xml:space="preserve"> February,2025]</w:t>
      </w:r>
    </w:p>
    <w:p w14:paraId="4AFAC29D" w14:textId="2F559937" w:rsidR="00780AE8" w:rsidRPr="00800171" w:rsidRDefault="00DF521C" w:rsidP="00800171">
      <w:pPr>
        <w:pStyle w:val="ListParagraph"/>
        <w:numPr>
          <w:ilvl w:val="0"/>
          <w:numId w:val="1"/>
        </w:numPr>
        <w:spacing w:after="0" w:line="360" w:lineRule="auto"/>
        <w:rPr>
          <w:rFonts w:ascii="Arial" w:hAnsi="Arial" w:cs="Arial"/>
          <w:color w:val="000000" w:themeColor="text1"/>
        </w:rPr>
      </w:pPr>
      <w:proofErr w:type="spellStart"/>
      <w:r w:rsidRPr="00800171">
        <w:rPr>
          <w:rFonts w:ascii="Arial" w:hAnsi="Arial" w:cs="Arial"/>
          <w:color w:val="000000" w:themeColor="text1"/>
        </w:rPr>
        <w:t>Manulang</w:t>
      </w:r>
      <w:proofErr w:type="spellEnd"/>
      <w:r w:rsidRPr="00800171">
        <w:rPr>
          <w:rFonts w:ascii="Arial" w:hAnsi="Arial" w:cs="Arial"/>
          <w:color w:val="000000" w:themeColor="text1"/>
        </w:rPr>
        <w:t xml:space="preserve">, D.L., Hulu, G.N. and Muda, I., 2023. Executive compensation as a corporate governance issue and factors determining executive compensation. </w:t>
      </w:r>
      <w:proofErr w:type="spellStart"/>
      <w:r w:rsidRPr="00800171">
        <w:rPr>
          <w:rFonts w:ascii="Arial" w:hAnsi="Arial" w:cs="Arial"/>
          <w:color w:val="000000" w:themeColor="text1"/>
        </w:rPr>
        <w:t>Brasilian</w:t>
      </w:r>
      <w:proofErr w:type="spellEnd"/>
      <w:r w:rsidRPr="00800171">
        <w:rPr>
          <w:rFonts w:ascii="Arial" w:hAnsi="Arial" w:cs="Arial"/>
          <w:color w:val="000000" w:themeColor="text1"/>
        </w:rPr>
        <w:t xml:space="preserve"> Journal of </w:t>
      </w:r>
      <w:proofErr w:type="spellStart"/>
      <w:r w:rsidRPr="00800171">
        <w:rPr>
          <w:rFonts w:ascii="Arial" w:hAnsi="Arial" w:cs="Arial"/>
          <w:color w:val="000000" w:themeColor="text1"/>
        </w:rPr>
        <w:t>Development.</w:t>
      </w:r>
      <w:r w:rsidR="007544E1" w:rsidRPr="00800171">
        <w:rPr>
          <w:rFonts w:ascii="Arial" w:hAnsi="Arial" w:cs="Arial"/>
          <w:color w:val="000000" w:themeColor="text1"/>
        </w:rPr>
        <w:t>Available</w:t>
      </w:r>
      <w:proofErr w:type="spellEnd"/>
      <w:r w:rsidR="007544E1" w:rsidRPr="00800171">
        <w:rPr>
          <w:rFonts w:ascii="Arial" w:hAnsi="Arial" w:cs="Arial"/>
          <w:color w:val="000000" w:themeColor="text1"/>
        </w:rPr>
        <w:t xml:space="preserve"> at:</w:t>
      </w:r>
      <w:r w:rsidR="007544E1" w:rsidRPr="00800171">
        <w:rPr>
          <w:rFonts w:ascii="Arial" w:hAnsi="Arial" w:cs="Arial"/>
        </w:rPr>
        <w:t xml:space="preserve"> </w:t>
      </w:r>
      <w:hyperlink r:id="rId16" w:history="1">
        <w:r w:rsidR="007544E1" w:rsidRPr="00800171">
          <w:rPr>
            <w:rStyle w:val="Hyperlink"/>
            <w:rFonts w:ascii="Arial" w:hAnsi="Arial" w:cs="Arial"/>
          </w:rPr>
          <w:t>View of Executive compensation as a corporate governance issue and factors determining executive compensation</w:t>
        </w:r>
      </w:hyperlink>
      <w:r w:rsidR="00EE08AE" w:rsidRPr="00800171">
        <w:rPr>
          <w:rFonts w:ascii="Arial" w:hAnsi="Arial" w:cs="Arial"/>
          <w:color w:val="000000" w:themeColor="text1"/>
        </w:rPr>
        <w:t xml:space="preserve"> [ Accessed on 11</w:t>
      </w:r>
      <w:r w:rsidR="00EE08AE" w:rsidRPr="00800171">
        <w:rPr>
          <w:rFonts w:ascii="Arial" w:hAnsi="Arial" w:cs="Arial"/>
          <w:color w:val="000000" w:themeColor="text1"/>
          <w:vertAlign w:val="superscript"/>
        </w:rPr>
        <w:t>th</w:t>
      </w:r>
      <w:r w:rsidR="00EE08AE" w:rsidRPr="00800171">
        <w:rPr>
          <w:rFonts w:ascii="Arial" w:hAnsi="Arial" w:cs="Arial"/>
          <w:color w:val="000000" w:themeColor="text1"/>
        </w:rPr>
        <w:t xml:space="preserve"> February, 2025]</w:t>
      </w:r>
    </w:p>
    <w:p w14:paraId="1219F7A0" w14:textId="51990737" w:rsidR="00EE08AE" w:rsidRPr="00800171" w:rsidRDefault="00500257" w:rsidP="00800171">
      <w:pPr>
        <w:pStyle w:val="ListParagraph"/>
        <w:numPr>
          <w:ilvl w:val="0"/>
          <w:numId w:val="1"/>
        </w:numPr>
        <w:spacing w:after="0" w:line="360" w:lineRule="auto"/>
        <w:rPr>
          <w:rFonts w:ascii="Arial" w:hAnsi="Arial" w:cs="Arial"/>
          <w:color w:val="000000" w:themeColor="text1"/>
        </w:rPr>
      </w:pPr>
      <w:r w:rsidRPr="00800171">
        <w:rPr>
          <w:rFonts w:ascii="Arial" w:hAnsi="Arial" w:cs="Arial"/>
          <w:color w:val="000000" w:themeColor="text1"/>
        </w:rPr>
        <w:t xml:space="preserve">Monitoring </w:t>
      </w:r>
      <w:proofErr w:type="spellStart"/>
      <w:r w:rsidRPr="00800171">
        <w:rPr>
          <w:rFonts w:ascii="Arial" w:hAnsi="Arial" w:cs="Arial"/>
          <w:color w:val="000000" w:themeColor="text1"/>
        </w:rPr>
        <w:t>Commissie</w:t>
      </w:r>
      <w:proofErr w:type="spellEnd"/>
      <w:r w:rsidRPr="00800171">
        <w:rPr>
          <w:rFonts w:ascii="Arial" w:hAnsi="Arial" w:cs="Arial"/>
          <w:color w:val="000000" w:themeColor="text1"/>
        </w:rPr>
        <w:t xml:space="preserve">, Corporate Governance Code. The Dutch Corporate Governance Code. Available at:  </w:t>
      </w:r>
      <w:hyperlink r:id="rId17" w:history="1">
        <w:r w:rsidRPr="00800171">
          <w:rPr>
            <w:rStyle w:val="Hyperlink"/>
            <w:rFonts w:ascii="Arial" w:hAnsi="Arial" w:cs="Arial"/>
          </w:rPr>
          <w:t>https://www.mccg.nl/english</w:t>
        </w:r>
      </w:hyperlink>
      <w:r w:rsidRPr="00800171">
        <w:rPr>
          <w:rFonts w:ascii="Arial" w:hAnsi="Arial" w:cs="Arial"/>
          <w:color w:val="000000" w:themeColor="text1"/>
        </w:rPr>
        <w:t xml:space="preserve"> [Accessed on 15th February 2025]</w:t>
      </w:r>
    </w:p>
    <w:p w14:paraId="5AB455A5" w14:textId="6DF48EBD" w:rsidR="00500257" w:rsidRPr="00800171" w:rsidRDefault="006A5400" w:rsidP="00800171">
      <w:pPr>
        <w:pStyle w:val="ListParagraph"/>
        <w:numPr>
          <w:ilvl w:val="0"/>
          <w:numId w:val="1"/>
        </w:numPr>
        <w:spacing w:after="0" w:line="360" w:lineRule="auto"/>
        <w:rPr>
          <w:rFonts w:ascii="Arial" w:hAnsi="Arial" w:cs="Arial"/>
          <w:color w:val="000000" w:themeColor="text1"/>
        </w:rPr>
      </w:pPr>
      <w:r w:rsidRPr="00800171">
        <w:rPr>
          <w:rFonts w:ascii="Arial" w:hAnsi="Arial" w:cs="Arial"/>
          <w:color w:val="000000" w:themeColor="text1"/>
        </w:rPr>
        <w:t xml:space="preserve">Rathod, B., </w:t>
      </w:r>
      <w:proofErr w:type="spellStart"/>
      <w:r w:rsidRPr="00800171">
        <w:rPr>
          <w:rFonts w:ascii="Arial" w:hAnsi="Arial" w:cs="Arial"/>
          <w:color w:val="000000" w:themeColor="text1"/>
        </w:rPr>
        <w:t>Ghasy</w:t>
      </w:r>
      <w:proofErr w:type="spellEnd"/>
      <w:r w:rsidRPr="00800171">
        <w:rPr>
          <w:rFonts w:ascii="Arial" w:hAnsi="Arial" w:cs="Arial"/>
          <w:color w:val="000000" w:themeColor="text1"/>
        </w:rPr>
        <w:t xml:space="preserve">, A., and do Carmo, 2024 November 11. How do you ensure executive pay governance is transparent and accountable? LinkedIn. Available at: </w:t>
      </w:r>
      <w:hyperlink r:id="rId18" w:history="1">
        <w:r w:rsidRPr="00800171">
          <w:rPr>
            <w:rStyle w:val="Hyperlink"/>
            <w:rFonts w:ascii="Arial" w:hAnsi="Arial" w:cs="Arial"/>
          </w:rPr>
          <w:t>https://www.linkedin.com/advice/0/how-do-you-ensure-executive-pay-governance</w:t>
        </w:r>
      </w:hyperlink>
      <w:r w:rsidRPr="00800171">
        <w:rPr>
          <w:rFonts w:ascii="Arial" w:hAnsi="Arial" w:cs="Arial"/>
          <w:color w:val="000000" w:themeColor="text1"/>
        </w:rPr>
        <w:t xml:space="preserve"> [Accessed on 10th </w:t>
      </w:r>
      <w:r w:rsidR="00800171" w:rsidRPr="00800171">
        <w:rPr>
          <w:rFonts w:ascii="Arial" w:hAnsi="Arial" w:cs="Arial"/>
          <w:color w:val="000000" w:themeColor="text1"/>
        </w:rPr>
        <w:t>February</w:t>
      </w:r>
      <w:r w:rsidRPr="00800171">
        <w:rPr>
          <w:rFonts w:ascii="Arial" w:hAnsi="Arial" w:cs="Arial"/>
          <w:color w:val="000000" w:themeColor="text1"/>
        </w:rPr>
        <w:t xml:space="preserve"> 2025]</w:t>
      </w:r>
    </w:p>
    <w:p w14:paraId="41E92413" w14:textId="77777777" w:rsidR="000F2ACD" w:rsidRPr="00800171" w:rsidRDefault="000F2ACD" w:rsidP="00800171">
      <w:pPr>
        <w:spacing w:after="0" w:line="360" w:lineRule="auto"/>
        <w:ind w:firstLine="720"/>
        <w:rPr>
          <w:rFonts w:ascii="Arial" w:hAnsi="Arial" w:cs="Arial"/>
          <w:color w:val="000000" w:themeColor="text1"/>
        </w:rPr>
      </w:pPr>
    </w:p>
    <w:p w14:paraId="18B351EB" w14:textId="77777777" w:rsidR="00C06FA5" w:rsidRPr="00800171" w:rsidRDefault="00C06FA5" w:rsidP="00800171">
      <w:pPr>
        <w:spacing w:line="360" w:lineRule="auto"/>
        <w:rPr>
          <w:rFonts w:ascii="Arial" w:hAnsi="Arial" w:cs="Arial"/>
        </w:rPr>
      </w:pPr>
    </w:p>
    <w:sectPr w:rsidR="00C06FA5" w:rsidRPr="00800171">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BD1C98" w14:textId="77777777" w:rsidR="006D1229" w:rsidRDefault="006D1229" w:rsidP="006D1229">
      <w:pPr>
        <w:spacing w:after="0" w:line="240" w:lineRule="auto"/>
      </w:pPr>
      <w:r>
        <w:separator/>
      </w:r>
    </w:p>
  </w:endnote>
  <w:endnote w:type="continuationSeparator" w:id="0">
    <w:p w14:paraId="4B525490" w14:textId="77777777" w:rsidR="006D1229" w:rsidRDefault="006D1229" w:rsidP="006D12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7924923"/>
      <w:docPartObj>
        <w:docPartGallery w:val="Page Numbers (Bottom of Page)"/>
        <w:docPartUnique/>
      </w:docPartObj>
    </w:sdtPr>
    <w:sdtEndPr>
      <w:rPr>
        <w:noProof/>
      </w:rPr>
    </w:sdtEndPr>
    <w:sdtContent>
      <w:p w14:paraId="7863DC59" w14:textId="2AED273F" w:rsidR="006D1229" w:rsidRDefault="006D12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3FE322" w14:textId="77777777" w:rsidR="006D1229" w:rsidRDefault="006D12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3D9A6" w14:textId="77777777" w:rsidR="006D1229" w:rsidRDefault="006D1229" w:rsidP="006D1229">
      <w:pPr>
        <w:spacing w:after="0" w:line="240" w:lineRule="auto"/>
      </w:pPr>
      <w:r>
        <w:separator/>
      </w:r>
    </w:p>
  </w:footnote>
  <w:footnote w:type="continuationSeparator" w:id="0">
    <w:p w14:paraId="52609976" w14:textId="77777777" w:rsidR="006D1229" w:rsidRDefault="006D1229" w:rsidP="006D12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2A158D"/>
    <w:multiLevelType w:val="hybridMultilevel"/>
    <w:tmpl w:val="F252F3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9837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ACD"/>
    <w:rsid w:val="000F2ACD"/>
    <w:rsid w:val="00132217"/>
    <w:rsid w:val="00234874"/>
    <w:rsid w:val="00247D2D"/>
    <w:rsid w:val="00285732"/>
    <w:rsid w:val="002A3A89"/>
    <w:rsid w:val="00390F25"/>
    <w:rsid w:val="003A6096"/>
    <w:rsid w:val="00404F1C"/>
    <w:rsid w:val="00417AA7"/>
    <w:rsid w:val="004D6FE2"/>
    <w:rsid w:val="00500257"/>
    <w:rsid w:val="005C0E7F"/>
    <w:rsid w:val="005F0FBE"/>
    <w:rsid w:val="006A5400"/>
    <w:rsid w:val="006D1229"/>
    <w:rsid w:val="006E13D8"/>
    <w:rsid w:val="007544E1"/>
    <w:rsid w:val="00766BD0"/>
    <w:rsid w:val="00774905"/>
    <w:rsid w:val="00780AE8"/>
    <w:rsid w:val="00800171"/>
    <w:rsid w:val="00836861"/>
    <w:rsid w:val="00862381"/>
    <w:rsid w:val="008802F1"/>
    <w:rsid w:val="008A4310"/>
    <w:rsid w:val="009D44D1"/>
    <w:rsid w:val="00A1621C"/>
    <w:rsid w:val="00A42944"/>
    <w:rsid w:val="00A83219"/>
    <w:rsid w:val="00A90695"/>
    <w:rsid w:val="00A93794"/>
    <w:rsid w:val="00B20B9D"/>
    <w:rsid w:val="00B60C2C"/>
    <w:rsid w:val="00BF727A"/>
    <w:rsid w:val="00C06FA5"/>
    <w:rsid w:val="00CB00DF"/>
    <w:rsid w:val="00D427D1"/>
    <w:rsid w:val="00D5667F"/>
    <w:rsid w:val="00D64BC4"/>
    <w:rsid w:val="00DA1248"/>
    <w:rsid w:val="00DF51A0"/>
    <w:rsid w:val="00DF521C"/>
    <w:rsid w:val="00E42DDE"/>
    <w:rsid w:val="00E86DE7"/>
    <w:rsid w:val="00ED16E6"/>
    <w:rsid w:val="00EE08AE"/>
    <w:rsid w:val="00F45DC9"/>
    <w:rsid w:val="00F85651"/>
    <w:rsid w:val="00FB1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EE340"/>
  <w15:chartTrackingRefBased/>
  <w15:docId w15:val="{0B587C98-AE01-4A6B-8066-7EF48172F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AC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F2A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2A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2A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2A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2A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2A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2A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2A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2A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2A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2A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2A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2A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2A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2A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2A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2A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2ACD"/>
    <w:rPr>
      <w:rFonts w:eastAsiaTheme="majorEastAsia" w:cstheme="majorBidi"/>
      <w:color w:val="272727" w:themeColor="text1" w:themeTint="D8"/>
    </w:rPr>
  </w:style>
  <w:style w:type="paragraph" w:styleId="Title">
    <w:name w:val="Title"/>
    <w:basedOn w:val="Normal"/>
    <w:next w:val="Normal"/>
    <w:link w:val="TitleChar"/>
    <w:uiPriority w:val="10"/>
    <w:qFormat/>
    <w:rsid w:val="000F2A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2A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2A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2A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2ACD"/>
    <w:pPr>
      <w:spacing w:before="160"/>
      <w:jc w:val="center"/>
    </w:pPr>
    <w:rPr>
      <w:i/>
      <w:iCs/>
      <w:color w:val="404040" w:themeColor="text1" w:themeTint="BF"/>
    </w:rPr>
  </w:style>
  <w:style w:type="character" w:customStyle="1" w:styleId="QuoteChar">
    <w:name w:val="Quote Char"/>
    <w:basedOn w:val="DefaultParagraphFont"/>
    <w:link w:val="Quote"/>
    <w:uiPriority w:val="29"/>
    <w:rsid w:val="000F2ACD"/>
    <w:rPr>
      <w:i/>
      <w:iCs/>
      <w:color w:val="404040" w:themeColor="text1" w:themeTint="BF"/>
    </w:rPr>
  </w:style>
  <w:style w:type="paragraph" w:styleId="ListParagraph">
    <w:name w:val="List Paragraph"/>
    <w:basedOn w:val="Normal"/>
    <w:uiPriority w:val="34"/>
    <w:qFormat/>
    <w:rsid w:val="000F2ACD"/>
    <w:pPr>
      <w:ind w:left="720"/>
      <w:contextualSpacing/>
    </w:pPr>
  </w:style>
  <w:style w:type="character" w:styleId="IntenseEmphasis">
    <w:name w:val="Intense Emphasis"/>
    <w:basedOn w:val="DefaultParagraphFont"/>
    <w:uiPriority w:val="21"/>
    <w:qFormat/>
    <w:rsid w:val="000F2ACD"/>
    <w:rPr>
      <w:i/>
      <w:iCs/>
      <w:color w:val="0F4761" w:themeColor="accent1" w:themeShade="BF"/>
    </w:rPr>
  </w:style>
  <w:style w:type="paragraph" w:styleId="IntenseQuote">
    <w:name w:val="Intense Quote"/>
    <w:basedOn w:val="Normal"/>
    <w:next w:val="Normal"/>
    <w:link w:val="IntenseQuoteChar"/>
    <w:uiPriority w:val="30"/>
    <w:qFormat/>
    <w:rsid w:val="000F2A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2ACD"/>
    <w:rPr>
      <w:i/>
      <w:iCs/>
      <w:color w:val="0F4761" w:themeColor="accent1" w:themeShade="BF"/>
    </w:rPr>
  </w:style>
  <w:style w:type="character" w:styleId="IntenseReference">
    <w:name w:val="Intense Reference"/>
    <w:basedOn w:val="DefaultParagraphFont"/>
    <w:uiPriority w:val="32"/>
    <w:qFormat/>
    <w:rsid w:val="000F2ACD"/>
    <w:rPr>
      <w:b/>
      <w:bCs/>
      <w:smallCaps/>
      <w:color w:val="0F4761" w:themeColor="accent1" w:themeShade="BF"/>
      <w:spacing w:val="5"/>
    </w:rPr>
  </w:style>
  <w:style w:type="character" w:styleId="Hyperlink">
    <w:name w:val="Hyperlink"/>
    <w:basedOn w:val="DefaultParagraphFont"/>
    <w:uiPriority w:val="99"/>
    <w:unhideWhenUsed/>
    <w:rsid w:val="00A1621C"/>
    <w:rPr>
      <w:color w:val="467886" w:themeColor="hyperlink"/>
      <w:u w:val="single"/>
    </w:rPr>
  </w:style>
  <w:style w:type="character" w:styleId="UnresolvedMention">
    <w:name w:val="Unresolved Mention"/>
    <w:basedOn w:val="DefaultParagraphFont"/>
    <w:uiPriority w:val="99"/>
    <w:semiHidden/>
    <w:unhideWhenUsed/>
    <w:rsid w:val="00A1621C"/>
    <w:rPr>
      <w:color w:val="605E5C"/>
      <w:shd w:val="clear" w:color="auto" w:fill="E1DFDD"/>
    </w:rPr>
  </w:style>
  <w:style w:type="paragraph" w:styleId="Header">
    <w:name w:val="header"/>
    <w:basedOn w:val="Normal"/>
    <w:link w:val="HeaderChar"/>
    <w:uiPriority w:val="99"/>
    <w:unhideWhenUsed/>
    <w:rsid w:val="006D12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1229"/>
    <w:rPr>
      <w:kern w:val="0"/>
      <w:sz w:val="22"/>
      <w:szCs w:val="22"/>
      <w14:ligatures w14:val="none"/>
    </w:rPr>
  </w:style>
  <w:style w:type="paragraph" w:styleId="Footer">
    <w:name w:val="footer"/>
    <w:basedOn w:val="Normal"/>
    <w:link w:val="FooterChar"/>
    <w:uiPriority w:val="99"/>
    <w:unhideWhenUsed/>
    <w:rsid w:val="006D12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1229"/>
    <w:rPr>
      <w:kern w:val="0"/>
      <w:sz w:val="22"/>
      <w:szCs w:val="22"/>
      <w14:ligatures w14:val="none"/>
    </w:rPr>
  </w:style>
  <w:style w:type="paragraph" w:styleId="TOCHeading">
    <w:name w:val="TOC Heading"/>
    <w:basedOn w:val="Heading1"/>
    <w:next w:val="Normal"/>
    <w:uiPriority w:val="39"/>
    <w:unhideWhenUsed/>
    <w:qFormat/>
    <w:rsid w:val="006D1229"/>
    <w:pPr>
      <w:spacing w:before="240" w:after="0"/>
      <w:outlineLvl w:val="9"/>
    </w:pPr>
    <w:rPr>
      <w:sz w:val="32"/>
      <w:szCs w:val="32"/>
      <w:lang w:val="en-US"/>
    </w:rPr>
  </w:style>
  <w:style w:type="paragraph" w:styleId="TOC1">
    <w:name w:val="toc 1"/>
    <w:basedOn w:val="Normal"/>
    <w:next w:val="Normal"/>
    <w:autoRedefine/>
    <w:uiPriority w:val="39"/>
    <w:unhideWhenUsed/>
    <w:rsid w:val="006D122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23311886.2024.2337893" TargetMode="External"/><Relationship Id="rId13" Type="http://schemas.openxmlformats.org/officeDocument/2006/relationships/hyperlink" Target="https://theitalianlawjournal.it/data/uploads/3-italj-2-2017/pdf-singoli/511-denozza-stabilini.pdf" TargetMode="External"/><Relationship Id="rId18" Type="http://schemas.openxmlformats.org/officeDocument/2006/relationships/hyperlink" Target="https://www.linkedin.com/advice/0/how-do-you-ensure-executive-pay-governanc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researchgate.net/publication/352883993_The_concept_of_corporate_governance" TargetMode="External"/><Relationship Id="rId17" Type="http://schemas.openxmlformats.org/officeDocument/2006/relationships/hyperlink" Target="https://www.mccg.nl/english" TargetMode="External"/><Relationship Id="rId2" Type="http://schemas.openxmlformats.org/officeDocument/2006/relationships/numbering" Target="numbering.xml"/><Relationship Id="rId16" Type="http://schemas.openxmlformats.org/officeDocument/2006/relationships/hyperlink" Target="https://ojs.brazilianjournals.com.br/ojs/index.php/BRJD/article/view/65923/4708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2405844020303650" TargetMode="External"/><Relationship Id="rId5" Type="http://schemas.openxmlformats.org/officeDocument/2006/relationships/webSettings" Target="webSettings.xml"/><Relationship Id="rId15" Type="http://schemas.openxmlformats.org/officeDocument/2006/relationships/hyperlink" Target="https://www.frc.org.uk/library/standards-codes-policy/corporate-governance/uk-corporate-governance-code/" TargetMode="External"/><Relationship Id="rId10" Type="http://schemas.openxmlformats.org/officeDocument/2006/relationships/hyperlink" Target="https://www.researchgate.net/publication/228238836_Governance_and_Sustainability_An_Investigation_into_the_Relationship_between_Corporate_Governance_and_Corporate_Sustainability"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researchgate.net/publication/223340949_Dual_class_firms_Capitalization_ownership_structure_and_recapitalization_back_into_single_class" TargetMode="External"/><Relationship Id="rId14" Type="http://schemas.openxmlformats.org/officeDocument/2006/relationships/hyperlink" Target="https://www.ecgi.global/publications/codes/countries/corporate-governance-in-chi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5A1486-C7F5-4DE9-8D08-87E83BDB5FE3}">
  <ds:schemaRefs>
    <ds:schemaRef ds:uri="http://schemas.openxmlformats.org/officeDocument/2006/bibliography"/>
  </ds:schemaRefs>
</ds:datastoreItem>
</file>

<file path=docMetadata/LabelInfo.xml><?xml version="1.0" encoding="utf-8"?>
<clbl:labelList xmlns:clbl="http://schemas.microsoft.com/office/2020/mipLabelMetadata">
  <clbl:label id="{c4aac716-8ed8-4567-8109-824167af23d8}" enabled="0" method="" siteId="{c4aac716-8ed8-4567-8109-824167af23d8}" removed="1"/>
</clbl:labelList>
</file>

<file path=docProps/app.xml><?xml version="1.0" encoding="utf-8"?>
<Properties xmlns="http://schemas.openxmlformats.org/officeDocument/2006/extended-properties" xmlns:vt="http://schemas.openxmlformats.org/officeDocument/2006/docPropsVTypes">
  <Template>Normal</Template>
  <TotalTime>148</TotalTime>
  <Pages>8</Pages>
  <Words>2596</Words>
  <Characters>14798</Characters>
  <Application>Microsoft Office Word</Application>
  <DocSecurity>0</DocSecurity>
  <Lines>123</Lines>
  <Paragraphs>34</Paragraphs>
  <ScaleCrop>false</ScaleCrop>
  <Company/>
  <LinksUpToDate>false</LinksUpToDate>
  <CharactersWithSpaces>17360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Maiyara Santana (Notts)</dc:creator>
  <cp:keywords/>
  <dc:description/>
  <cp:lastModifiedBy>Maiyara Santana (Notts)</cp:lastModifiedBy>
  <cp:revision>46</cp:revision>
  <dcterms:created xsi:type="dcterms:W3CDTF">2025-02-21T09:38:00Z</dcterms:created>
  <dcterms:modified xsi:type="dcterms:W3CDTF">2025-02-21T14:29:00Z</dcterms:modified>
</cp:coreProperties>
</file>