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05202" w14:textId="78612882" w:rsidR="004C6AA5" w:rsidRDefault="00DE5A35" w:rsidP="00E248B4">
      <w:pPr>
        <w:pStyle w:val="Nornal"/>
        <w:spacing w:after="0" w:line="240" w:lineRule="auto"/>
        <w:rPr>
          <w:rFonts w:ascii="Trebuchet MS" w:hAnsi="Trebuchet MS"/>
          <w:b/>
          <w:bCs/>
          <w:color w:val="00616A" w:themeColor="accent2" w:themeShade="BF"/>
        </w:rPr>
      </w:pPr>
      <w:r>
        <w:rPr>
          <w:rFonts w:ascii="Trebuchet MS" w:hAnsi="Trebuchet MS"/>
          <w:b/>
          <w:bCs/>
          <w:color w:val="00616A" w:themeColor="accent2" w:themeShade="BF"/>
        </w:rPr>
        <w:t>W</w:t>
      </w:r>
      <w:r w:rsidR="004C6AA5" w:rsidRPr="00E248B4">
        <w:rPr>
          <w:rFonts w:ascii="Trebuchet MS" w:hAnsi="Trebuchet MS"/>
          <w:b/>
          <w:bCs/>
          <w:color w:val="00616A" w:themeColor="accent2" w:themeShade="BF"/>
        </w:rPr>
        <w:t>hat it means to be a people professional (AC 1.1)</w:t>
      </w:r>
    </w:p>
    <w:p w14:paraId="36C45AB1" w14:textId="77777777" w:rsidR="00E248B4" w:rsidRDefault="00E248B4" w:rsidP="00E248B4">
      <w:pPr>
        <w:pStyle w:val="Nornal"/>
        <w:spacing w:after="0" w:line="240" w:lineRule="auto"/>
        <w:rPr>
          <w:rFonts w:ascii="Trebuchet MS" w:hAnsi="Trebuchet MS"/>
          <w:b/>
          <w:bCs/>
          <w:color w:val="00616A" w:themeColor="accent2" w:themeShade="BF"/>
        </w:rPr>
      </w:pPr>
    </w:p>
    <w:p w14:paraId="117EECC3" w14:textId="77777777" w:rsidR="00FC2C6E" w:rsidRPr="00D65950" w:rsidRDefault="00FC2C6E" w:rsidP="00FC2C6E">
      <w:pPr>
        <w:pStyle w:val="Nornal"/>
        <w:spacing w:after="0"/>
        <w:rPr>
          <w:rFonts w:ascii="Trebuchet MS" w:hAnsi="Trebuchet MS"/>
        </w:rPr>
      </w:pPr>
      <w:r w:rsidRPr="00FC2C6E">
        <w:rPr>
          <w:rFonts w:ascii="Trebuchet MS" w:hAnsi="Trebuchet MS"/>
        </w:rPr>
        <w:t>Being a people professional involves upholding ethical standards, fostering inclusive workplaces, and driving organisational success through strategic people management. The CIPD Profession Map (CIPD, 2021) provides a framework that outlines the core knowledge, behaviours, and specialist knowledge areas essential for effective people practice. These competencies help professionals support employees, lead change, and align HR strategies with business objectives.</w:t>
      </w:r>
    </w:p>
    <w:p w14:paraId="7D99803C" w14:textId="77777777" w:rsidR="00E31BC6" w:rsidRPr="00FC2C6E" w:rsidRDefault="00E31BC6" w:rsidP="00FC2C6E">
      <w:pPr>
        <w:pStyle w:val="Nornal"/>
        <w:spacing w:after="0"/>
        <w:rPr>
          <w:rFonts w:ascii="Trebuchet MS" w:hAnsi="Trebuchet MS"/>
          <w:color w:val="C00000"/>
        </w:rPr>
      </w:pPr>
    </w:p>
    <w:p w14:paraId="4D4DBCD8" w14:textId="39DC3517" w:rsidR="00FC2C6E" w:rsidRPr="009208E7" w:rsidRDefault="00FC2C6E" w:rsidP="00FC2C6E">
      <w:pPr>
        <w:pStyle w:val="Nornal"/>
        <w:spacing w:after="0"/>
        <w:rPr>
          <w:rFonts w:ascii="Trebuchet MS" w:hAnsi="Trebuchet MS"/>
        </w:rPr>
      </w:pPr>
      <w:r w:rsidRPr="00FC2C6E">
        <w:rPr>
          <w:rFonts w:ascii="Trebuchet MS" w:hAnsi="Trebuchet MS"/>
        </w:rPr>
        <w:t xml:space="preserve">One of the fundamental aspects of being a people professional is ethical practice. The CIPD Profession Map emphasises the need for integrity, professional courage, and a commitment to fairness (CIPD, 2021). Ethical considerations are critical in decision-making, ensuring that HR professionals advocate for fair treatment </w:t>
      </w:r>
      <w:r w:rsidR="00426B85" w:rsidRPr="009208E7">
        <w:rPr>
          <w:rFonts w:ascii="Trebuchet MS" w:hAnsi="Trebuchet MS"/>
        </w:rPr>
        <w:t xml:space="preserve">of employees </w:t>
      </w:r>
      <w:r w:rsidRPr="00FC2C6E">
        <w:rPr>
          <w:rFonts w:ascii="Trebuchet MS" w:hAnsi="Trebuchet MS"/>
        </w:rPr>
        <w:t>and compliance with legal and regulatory frameworks (Brewster et al., 2016). Professional integrity fosters trust between employees and the organisation, which is essential for engagement and retention.</w:t>
      </w:r>
    </w:p>
    <w:p w14:paraId="24EF0CC1" w14:textId="77777777" w:rsidR="00E31BC6" w:rsidRPr="00FC2C6E" w:rsidRDefault="00E31BC6" w:rsidP="00FC2C6E">
      <w:pPr>
        <w:pStyle w:val="Nornal"/>
        <w:spacing w:after="0"/>
        <w:rPr>
          <w:rFonts w:ascii="Trebuchet MS" w:hAnsi="Trebuchet MS"/>
          <w:color w:val="C00000"/>
        </w:rPr>
      </w:pPr>
    </w:p>
    <w:p w14:paraId="3A5299AA" w14:textId="77777777" w:rsidR="00FC2C6E" w:rsidRPr="00A124DB" w:rsidRDefault="00FC2C6E" w:rsidP="00FC2C6E">
      <w:pPr>
        <w:pStyle w:val="Nornal"/>
        <w:spacing w:after="0"/>
        <w:rPr>
          <w:rFonts w:ascii="Trebuchet MS" w:hAnsi="Trebuchet MS"/>
        </w:rPr>
      </w:pPr>
      <w:r w:rsidRPr="00FC2C6E">
        <w:rPr>
          <w:rFonts w:ascii="Trebuchet MS" w:hAnsi="Trebuchet MS"/>
        </w:rPr>
        <w:t>Another core dimension is valuing people and inclusivity. People professionals are responsible for creating inclusive environments where diversity is embraced, and employees feel valued (Armstrong &amp; Taylor, 2020). The ability to champion equality, diversity, and inclusion (EDI) aligns with the CIPD's behavioural competencies, particularly in fostering positive working relationships and psychological safety (CIPD, 2021). Research highlights that inclusive workplaces improve innovation and performance (Shen et al., 2009).</w:t>
      </w:r>
    </w:p>
    <w:p w14:paraId="1945A08D" w14:textId="77777777" w:rsidR="00E31BC6" w:rsidRPr="00FC2C6E" w:rsidRDefault="00E31BC6" w:rsidP="00FC2C6E">
      <w:pPr>
        <w:pStyle w:val="Nornal"/>
        <w:spacing w:after="0"/>
        <w:rPr>
          <w:rFonts w:ascii="Trebuchet MS" w:hAnsi="Trebuchet MS"/>
          <w:color w:val="C00000"/>
        </w:rPr>
      </w:pPr>
    </w:p>
    <w:p w14:paraId="0DDDD784" w14:textId="77777777" w:rsidR="00FC2C6E" w:rsidRPr="00C6256F" w:rsidRDefault="00FC2C6E" w:rsidP="00FC2C6E">
      <w:pPr>
        <w:pStyle w:val="Nornal"/>
        <w:spacing w:after="0"/>
        <w:rPr>
          <w:rFonts w:ascii="Trebuchet MS" w:hAnsi="Trebuchet MS"/>
        </w:rPr>
      </w:pPr>
      <w:r w:rsidRPr="00FC2C6E">
        <w:rPr>
          <w:rFonts w:ascii="Trebuchet MS" w:hAnsi="Trebuchet MS"/>
        </w:rPr>
        <w:t>Furthermore, effective people professionals contribute to organisational success by driving change and enhancing workforce capability. The CIPD framework underlines the importance of evidence-based practice and business acumen in strategic HR management (CIPD, 2021). HR practitioners must understand organisational goals, use data analytics, and adopt continuous professional development (Ulrich et al., 2017). A strong alignment between HR strategy and business objectives ensures sustainable growth and adaptability.</w:t>
      </w:r>
    </w:p>
    <w:p w14:paraId="1E211843" w14:textId="77777777" w:rsidR="00E31BC6" w:rsidRPr="00FC2C6E" w:rsidRDefault="00E31BC6" w:rsidP="00FC2C6E">
      <w:pPr>
        <w:pStyle w:val="Nornal"/>
        <w:spacing w:after="0"/>
        <w:rPr>
          <w:rFonts w:ascii="Trebuchet MS" w:hAnsi="Trebuchet MS"/>
          <w:color w:val="C00000"/>
        </w:rPr>
      </w:pPr>
    </w:p>
    <w:p w14:paraId="12A1A4BE" w14:textId="77777777" w:rsidR="00FC2C6E" w:rsidRPr="00FC2C6E" w:rsidRDefault="00FC2C6E" w:rsidP="00FC2C6E">
      <w:pPr>
        <w:pStyle w:val="Nornal"/>
        <w:spacing w:after="0"/>
        <w:rPr>
          <w:rFonts w:ascii="Trebuchet MS" w:hAnsi="Trebuchet MS"/>
        </w:rPr>
      </w:pPr>
      <w:r w:rsidRPr="00FC2C6E">
        <w:rPr>
          <w:rFonts w:ascii="Trebuchet MS" w:hAnsi="Trebuchet MS"/>
        </w:rPr>
        <w:t>In conclusion, being a people professional requires a commitment to ethical behaviour, inclusivity, and strategic HR management. The CIPD Profession Map provides a comprehensive guide to developing these competencies, ensuring that HR practitioners add value to both employees and organisations.</w:t>
      </w:r>
    </w:p>
    <w:p w14:paraId="6B2BD88B" w14:textId="77777777" w:rsidR="00E248B4" w:rsidRPr="00E248B4" w:rsidRDefault="00E248B4" w:rsidP="00E248B4">
      <w:pPr>
        <w:pStyle w:val="Nornal"/>
        <w:spacing w:after="0" w:line="240" w:lineRule="auto"/>
        <w:rPr>
          <w:rFonts w:ascii="Trebuchet MS" w:hAnsi="Trebuchet MS"/>
          <w:b/>
          <w:bCs/>
          <w:color w:val="00616A" w:themeColor="accent2" w:themeShade="BF"/>
        </w:rPr>
      </w:pP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66EFF411" w14:textId="2E09DD00" w:rsidR="00C55D7D" w:rsidRPr="00DE5A35" w:rsidRDefault="00DE5A35" w:rsidP="00397E19">
      <w:pPr>
        <w:pStyle w:val="Nornal"/>
        <w:spacing w:after="0" w:line="240" w:lineRule="auto"/>
        <w:rPr>
          <w:rFonts w:ascii="Trebuchet MS" w:hAnsi="Trebuchet MS"/>
          <w:b/>
          <w:bCs/>
          <w:color w:val="00616A" w:themeColor="accent2" w:themeShade="BF"/>
        </w:rPr>
      </w:pPr>
      <w:r w:rsidRPr="00DE5A35">
        <w:rPr>
          <w:rFonts w:ascii="Trebuchet MS" w:hAnsi="Trebuchet MS"/>
          <w:b/>
          <w:bCs/>
          <w:color w:val="00616A" w:themeColor="accent2" w:themeShade="BF"/>
        </w:rPr>
        <w:t>P</w:t>
      </w:r>
      <w:r w:rsidR="004C6AA5" w:rsidRPr="00DE5A35">
        <w:rPr>
          <w:rFonts w:ascii="Trebuchet MS" w:hAnsi="Trebuchet MS"/>
          <w:b/>
          <w:bCs/>
          <w:color w:val="00616A" w:themeColor="accent2" w:themeShade="BF"/>
        </w:rPr>
        <w:t>ersonal and ethical values</w:t>
      </w:r>
      <w:r w:rsidR="00792E3F" w:rsidRPr="00DE5A35">
        <w:rPr>
          <w:rFonts w:ascii="Trebuchet MS" w:hAnsi="Trebuchet MS"/>
          <w:b/>
          <w:bCs/>
          <w:color w:val="00616A" w:themeColor="accent2" w:themeShade="BF"/>
        </w:rPr>
        <w:t xml:space="preserve"> </w:t>
      </w:r>
      <w:r w:rsidRPr="00DE5A35">
        <w:rPr>
          <w:rFonts w:ascii="Trebuchet MS" w:hAnsi="Trebuchet MS"/>
          <w:b/>
          <w:bCs/>
          <w:color w:val="00616A" w:themeColor="accent2" w:themeShade="BF"/>
        </w:rPr>
        <w:t xml:space="preserve">at work </w:t>
      </w:r>
      <w:r w:rsidR="004C6AA5" w:rsidRPr="00DE5A35">
        <w:rPr>
          <w:rFonts w:ascii="Trebuchet MS" w:hAnsi="Trebuchet MS"/>
          <w:b/>
          <w:bCs/>
          <w:color w:val="00616A" w:themeColor="accent2" w:themeShade="BF"/>
        </w:rPr>
        <w:t>(AC</w:t>
      </w:r>
      <w:r w:rsidR="00284294" w:rsidRPr="00DE5A35">
        <w:rPr>
          <w:rFonts w:ascii="Trebuchet MS" w:hAnsi="Trebuchet MS"/>
          <w:b/>
          <w:bCs/>
          <w:color w:val="00616A" w:themeColor="accent2" w:themeShade="BF"/>
        </w:rPr>
        <w:t xml:space="preserve"> </w:t>
      </w:r>
      <w:r w:rsidR="004C6AA5" w:rsidRPr="00DE5A35">
        <w:rPr>
          <w:rFonts w:ascii="Trebuchet MS" w:hAnsi="Trebuchet MS"/>
          <w:b/>
          <w:bCs/>
          <w:color w:val="00616A" w:themeColor="accent2" w:themeShade="BF"/>
        </w:rPr>
        <w:t xml:space="preserve">1.2)  </w:t>
      </w:r>
    </w:p>
    <w:p w14:paraId="43813181" w14:textId="77777777" w:rsidR="00C55D7D" w:rsidRDefault="00C55D7D" w:rsidP="00397E19">
      <w:pPr>
        <w:pStyle w:val="Nornal"/>
        <w:spacing w:after="0" w:line="240" w:lineRule="auto"/>
        <w:rPr>
          <w:rFonts w:ascii="Trebuchet MS" w:hAnsi="Trebuchet MS"/>
        </w:rPr>
      </w:pPr>
    </w:p>
    <w:p w14:paraId="018DF28F" w14:textId="37B04103" w:rsidR="00C55D7D" w:rsidRPr="00D91F8A" w:rsidRDefault="00C55D7D" w:rsidP="00C55D7D">
      <w:pPr>
        <w:pStyle w:val="Nornal"/>
        <w:spacing w:after="0"/>
        <w:rPr>
          <w:rFonts w:ascii="Trebuchet MS" w:hAnsi="Trebuchet MS"/>
        </w:rPr>
      </w:pPr>
      <w:r w:rsidRPr="00C55D7D">
        <w:rPr>
          <w:rFonts w:ascii="Trebuchet MS" w:hAnsi="Trebuchet MS"/>
        </w:rPr>
        <w:t>Personal and ethical values shape the behaviours and decisions of people professionals, ensuring they contribute positively to individuals and organisations. One key personal value I uphold is empathy, which fosters trust, engagement, and wellbeing within the workplace. An essential ethical value I adhere to is integrity, ensuring fairness, transparency, and ethical decision-making in all professional interactions.</w:t>
      </w:r>
    </w:p>
    <w:p w14:paraId="7947FAAC" w14:textId="77777777" w:rsidR="00C55D7D" w:rsidRPr="00C55D7D" w:rsidRDefault="00C55D7D" w:rsidP="00C55D7D">
      <w:pPr>
        <w:pStyle w:val="Nornal"/>
        <w:spacing w:after="0"/>
        <w:rPr>
          <w:rFonts w:ascii="Trebuchet MS" w:hAnsi="Trebuchet MS"/>
          <w:color w:val="C00000"/>
        </w:rPr>
      </w:pPr>
    </w:p>
    <w:p w14:paraId="3D9F129E" w14:textId="6C99579B" w:rsidR="00C55D7D" w:rsidRPr="00EC575C" w:rsidRDefault="00C55D7D" w:rsidP="00C55D7D">
      <w:pPr>
        <w:pStyle w:val="Nornal"/>
        <w:spacing w:after="0"/>
        <w:rPr>
          <w:rFonts w:ascii="Trebuchet MS" w:hAnsi="Trebuchet MS"/>
        </w:rPr>
      </w:pPr>
      <w:r w:rsidRPr="00C55D7D">
        <w:rPr>
          <w:rFonts w:ascii="Trebuchet MS" w:hAnsi="Trebuchet MS"/>
        </w:rPr>
        <w:t>Empathy is crucial in</w:t>
      </w:r>
      <w:r w:rsidR="00D91F8A" w:rsidRPr="00EC575C">
        <w:rPr>
          <w:rFonts w:ascii="Trebuchet MS" w:hAnsi="Trebuchet MS"/>
        </w:rPr>
        <w:t xml:space="preserve"> people practice</w:t>
      </w:r>
      <w:r w:rsidRPr="00C55D7D">
        <w:rPr>
          <w:rFonts w:ascii="Trebuchet MS" w:hAnsi="Trebuchet MS"/>
        </w:rPr>
        <w:t xml:space="preserve">, as it allows professionals to understand employees' concerns and needs. By actively listening and responding to employees with compassion, </w:t>
      </w:r>
      <w:r w:rsidR="00FE7FDF" w:rsidRPr="00EC575C">
        <w:rPr>
          <w:rFonts w:ascii="Trebuchet MS" w:hAnsi="Trebuchet MS"/>
        </w:rPr>
        <w:t xml:space="preserve">people practitioners </w:t>
      </w:r>
      <w:r w:rsidRPr="00C55D7D">
        <w:rPr>
          <w:rFonts w:ascii="Trebuchet MS" w:hAnsi="Trebuchet MS"/>
        </w:rPr>
        <w:t xml:space="preserve">create a supportive workplace culture (Armstrong &amp; Taylor, 2020). For example, in my role, I have facilitated mental health awareness initiatives, ensuring employees feel comfortable seeking support. This aligns with the principles of employee wellbeing, which research shows leads to improved job satisfaction and productivity (Guest, 2017). Furthermore, the CIPD Profession Map (CIPD, 2021) highlights valuing people as a core behaviour, reinforcing the importance of empathy in </w:t>
      </w:r>
      <w:r w:rsidR="007E69EB">
        <w:rPr>
          <w:rFonts w:ascii="Trebuchet MS" w:hAnsi="Trebuchet MS"/>
        </w:rPr>
        <w:t>my role</w:t>
      </w:r>
      <w:r w:rsidRPr="00C55D7D">
        <w:rPr>
          <w:rFonts w:ascii="Trebuchet MS" w:hAnsi="Trebuchet MS"/>
        </w:rPr>
        <w:t>.</w:t>
      </w:r>
    </w:p>
    <w:p w14:paraId="1DAD9E91" w14:textId="77777777" w:rsidR="00C55D7D" w:rsidRPr="00C55D7D" w:rsidRDefault="00C55D7D" w:rsidP="00C55D7D">
      <w:pPr>
        <w:pStyle w:val="Nornal"/>
        <w:spacing w:after="0"/>
        <w:rPr>
          <w:rFonts w:ascii="Trebuchet MS" w:hAnsi="Trebuchet MS"/>
          <w:color w:val="C00000"/>
        </w:rPr>
      </w:pPr>
    </w:p>
    <w:p w14:paraId="1A9A19DC" w14:textId="57AC278D" w:rsidR="00C55D7D" w:rsidRPr="0068237E" w:rsidRDefault="00C55D7D" w:rsidP="00C55D7D">
      <w:pPr>
        <w:pStyle w:val="Nornal"/>
        <w:spacing w:after="0"/>
        <w:rPr>
          <w:rFonts w:ascii="Trebuchet MS" w:hAnsi="Trebuchet MS"/>
        </w:rPr>
      </w:pPr>
      <w:r w:rsidRPr="00C55D7D">
        <w:rPr>
          <w:rFonts w:ascii="Trebuchet MS" w:hAnsi="Trebuchet MS"/>
        </w:rPr>
        <w:lastRenderedPageBreak/>
        <w:t xml:space="preserve">Integrity, an essential ethical value, ensures fairness, transparency, and accountability in decision-making. The CIPD Code of Conduct emphasises that </w:t>
      </w:r>
      <w:r w:rsidR="007E69EB" w:rsidRPr="0068237E">
        <w:rPr>
          <w:rFonts w:ascii="Trebuchet MS" w:hAnsi="Trebuchet MS"/>
        </w:rPr>
        <w:t>people</w:t>
      </w:r>
      <w:r w:rsidRPr="00C55D7D">
        <w:rPr>
          <w:rFonts w:ascii="Trebuchet MS" w:hAnsi="Trebuchet MS"/>
        </w:rPr>
        <w:t xml:space="preserve"> professionals must act with honesty and uphold ethical standards (CIPD, 2021). In practice, I demonstrate integrity by ensuring recruitment and performance management processes remain unbiased and objective. For instance, I have implemented structured interview frameworks</w:t>
      </w:r>
      <w:r w:rsidR="0068237E" w:rsidRPr="0068237E">
        <w:rPr>
          <w:rFonts w:ascii="Trebuchet MS" w:hAnsi="Trebuchet MS"/>
        </w:rPr>
        <w:t xml:space="preserve"> for our apprenticeship programmes</w:t>
      </w:r>
      <w:r w:rsidRPr="00C55D7D">
        <w:rPr>
          <w:rFonts w:ascii="Trebuchet MS" w:hAnsi="Trebuchet MS"/>
        </w:rPr>
        <w:t xml:space="preserve"> to minimise unconscious bias and promote diversity. Research suggests that ethical HR practices not only enhance trust but also contribute to organisational success (Brewster et al., 2016).</w:t>
      </w:r>
    </w:p>
    <w:p w14:paraId="6F7B125D" w14:textId="77777777" w:rsidR="00C55D7D" w:rsidRPr="00C55D7D" w:rsidRDefault="00C55D7D" w:rsidP="00C55D7D">
      <w:pPr>
        <w:pStyle w:val="Nornal"/>
        <w:spacing w:after="0"/>
        <w:rPr>
          <w:rFonts w:ascii="Trebuchet MS" w:hAnsi="Trebuchet MS"/>
          <w:color w:val="C00000"/>
        </w:rPr>
      </w:pPr>
    </w:p>
    <w:p w14:paraId="6674B964" w14:textId="37044B7A" w:rsidR="004C6AA5" w:rsidRPr="00A24DF7" w:rsidRDefault="00C55D7D" w:rsidP="00E977F1">
      <w:pPr>
        <w:pStyle w:val="Nornal"/>
        <w:spacing w:after="0"/>
        <w:rPr>
          <w:rFonts w:ascii="Trebuchet MS" w:hAnsi="Trebuchet MS"/>
        </w:rPr>
      </w:pPr>
      <w:r w:rsidRPr="00C55D7D">
        <w:rPr>
          <w:rFonts w:ascii="Trebuchet MS" w:hAnsi="Trebuchet MS"/>
        </w:rPr>
        <w:t>By integrating empathy and integrity into my professional practice, I contribute to a fair, inclusive, and supportive workplace. Upholding these values aligns with the CIPD's ethical principles and enhances both employee wellbeing and organisational effectiveness.</w:t>
      </w:r>
    </w:p>
    <w:p w14:paraId="26F9270B" w14:textId="77777777" w:rsidR="004C6AA5" w:rsidRPr="003D52F1" w:rsidRDefault="004C6AA5" w:rsidP="004C6AA5">
      <w:pPr>
        <w:pStyle w:val="ListParagraph"/>
        <w:rPr>
          <w:rFonts w:ascii="Trebuchet MS" w:hAnsi="Trebuchet MS"/>
          <w:b/>
          <w:color w:val="000000" w:themeColor="text1"/>
        </w:rPr>
      </w:pPr>
    </w:p>
    <w:p w14:paraId="6EDF0CF4" w14:textId="77777777" w:rsidR="00F30ED6" w:rsidRDefault="00F30ED6" w:rsidP="004C6AA5">
      <w:pPr>
        <w:pStyle w:val="Nornal"/>
        <w:spacing w:after="0" w:line="240" w:lineRule="auto"/>
        <w:ind w:left="720"/>
        <w:rPr>
          <w:rFonts w:ascii="Trebuchet MS" w:hAnsi="Trebuchet MS"/>
          <w:color w:val="000000" w:themeColor="text1"/>
        </w:rPr>
      </w:pPr>
    </w:p>
    <w:p w14:paraId="462A8C73" w14:textId="226CDC23" w:rsidR="00F30ED6" w:rsidRDefault="00F30ED6" w:rsidP="00F30ED6">
      <w:pPr>
        <w:pStyle w:val="Nornal"/>
        <w:spacing w:after="0"/>
        <w:rPr>
          <w:rFonts w:ascii="Trebuchet MS" w:hAnsi="Trebuchet MS"/>
          <w:b/>
          <w:bCs/>
          <w:color w:val="00616A" w:themeColor="accent2" w:themeShade="BF"/>
        </w:rPr>
      </w:pPr>
      <w:r w:rsidRPr="00F30ED6">
        <w:rPr>
          <w:rFonts w:ascii="Trebuchet MS" w:hAnsi="Trebuchet MS"/>
          <w:b/>
          <w:bCs/>
          <w:color w:val="00616A" w:themeColor="accent2" w:themeShade="BF"/>
        </w:rPr>
        <w:t>The Importance of People Professionals Influencing Others (AC 1.3)</w:t>
      </w:r>
    </w:p>
    <w:p w14:paraId="2D53F021" w14:textId="77777777" w:rsidR="00F30ED6" w:rsidRPr="00F30ED6" w:rsidRDefault="00F30ED6" w:rsidP="00F30ED6">
      <w:pPr>
        <w:pStyle w:val="Nornal"/>
        <w:spacing w:after="0"/>
        <w:rPr>
          <w:rFonts w:ascii="Trebuchet MS" w:hAnsi="Trebuchet MS"/>
          <w:color w:val="00616A" w:themeColor="accent2" w:themeShade="BF"/>
        </w:rPr>
      </w:pPr>
    </w:p>
    <w:p w14:paraId="695AF9DB" w14:textId="77777777" w:rsidR="00F30ED6" w:rsidRPr="00F849AF" w:rsidRDefault="00F30ED6" w:rsidP="00F30ED6">
      <w:pPr>
        <w:pStyle w:val="Nornal"/>
        <w:spacing w:after="0"/>
        <w:rPr>
          <w:rFonts w:ascii="Trebuchet MS" w:hAnsi="Trebuchet MS"/>
        </w:rPr>
      </w:pPr>
      <w:r w:rsidRPr="00F30ED6">
        <w:rPr>
          <w:rFonts w:ascii="Trebuchet MS" w:hAnsi="Trebuchet MS"/>
        </w:rPr>
        <w:t>People professionals play a critical role in shaping workplace culture, policies, and strategic decisions. To be effective, they must contribute to discussions in an informed, clear, and confident manner to influence others positively. The ability to communicate and persuade stakeholders ensures that people practices align with organisational goals and foster a high-performance culture (CIPD, 2021).</w:t>
      </w:r>
    </w:p>
    <w:p w14:paraId="4BC3EBBF" w14:textId="77777777" w:rsidR="00F30ED6" w:rsidRPr="00E7076E" w:rsidRDefault="00F30ED6" w:rsidP="00F30ED6">
      <w:pPr>
        <w:pStyle w:val="Nornal"/>
        <w:spacing w:after="0"/>
        <w:rPr>
          <w:rFonts w:ascii="Trebuchet MS" w:hAnsi="Trebuchet MS"/>
          <w:color w:val="C00000"/>
        </w:rPr>
      </w:pPr>
    </w:p>
    <w:p w14:paraId="0B902055" w14:textId="3A633C0C" w:rsidR="00F30ED6" w:rsidRPr="00500FB8" w:rsidRDefault="00F30ED6" w:rsidP="00F30ED6">
      <w:pPr>
        <w:pStyle w:val="Nornal"/>
        <w:spacing w:after="0"/>
        <w:rPr>
          <w:rFonts w:ascii="Trebuchet MS" w:hAnsi="Trebuchet MS"/>
        </w:rPr>
      </w:pPr>
      <w:r w:rsidRPr="00F30ED6">
        <w:rPr>
          <w:rFonts w:ascii="Trebuchet MS" w:hAnsi="Trebuchet MS"/>
        </w:rPr>
        <w:t xml:space="preserve">One key reason why people professionals must influence others is to drive positive organisational change. HR professionals often advocate for initiatives such as diversity and inclusion, employee </w:t>
      </w:r>
      <w:r w:rsidR="00BB3CFA" w:rsidRPr="00500FB8">
        <w:rPr>
          <w:rFonts w:ascii="Trebuchet MS" w:hAnsi="Trebuchet MS"/>
        </w:rPr>
        <w:t>wellbeing</w:t>
      </w:r>
      <w:r w:rsidRPr="00F30ED6">
        <w:rPr>
          <w:rFonts w:ascii="Trebuchet MS" w:hAnsi="Trebuchet MS"/>
        </w:rPr>
        <w:t xml:space="preserve">, and talent development. Research suggests that effective communication and influencing skills enable </w:t>
      </w:r>
      <w:r w:rsidR="00500FB8" w:rsidRPr="00500FB8">
        <w:rPr>
          <w:rFonts w:ascii="Trebuchet MS" w:hAnsi="Trebuchet MS"/>
        </w:rPr>
        <w:t>people</w:t>
      </w:r>
      <w:r w:rsidRPr="00F30ED6">
        <w:rPr>
          <w:rFonts w:ascii="Trebuchet MS" w:hAnsi="Trebuchet MS"/>
        </w:rPr>
        <w:t xml:space="preserve"> practitioners to gain leadership buy-in for these initiatives, ensuring their successful implementation (Marchington et al., 2016). For example, when presenting a case for flexible working arrangements, </w:t>
      </w:r>
      <w:r w:rsidR="00500FB8" w:rsidRPr="00500FB8">
        <w:rPr>
          <w:rFonts w:ascii="Trebuchet MS" w:hAnsi="Trebuchet MS"/>
        </w:rPr>
        <w:t>people practitioners</w:t>
      </w:r>
      <w:r w:rsidRPr="00F30ED6">
        <w:rPr>
          <w:rFonts w:ascii="Trebuchet MS" w:hAnsi="Trebuchet MS"/>
        </w:rPr>
        <w:t xml:space="preserve"> must use data-driven arguments and clear communication to demonstrate the benefits, such as increased employee engagement and retention (Boxall &amp; Purcell, 2022).</w:t>
      </w:r>
    </w:p>
    <w:p w14:paraId="16D26F71" w14:textId="77777777" w:rsidR="00F30ED6" w:rsidRPr="00E7076E" w:rsidRDefault="00F30ED6" w:rsidP="00F30ED6">
      <w:pPr>
        <w:pStyle w:val="Nornal"/>
        <w:spacing w:after="0"/>
        <w:rPr>
          <w:rFonts w:ascii="Trebuchet MS" w:hAnsi="Trebuchet MS"/>
          <w:color w:val="C00000"/>
        </w:rPr>
      </w:pPr>
    </w:p>
    <w:p w14:paraId="03B0DE95" w14:textId="77777777" w:rsidR="00F30ED6" w:rsidRPr="00FC6AC4" w:rsidRDefault="00F30ED6" w:rsidP="00F30ED6">
      <w:pPr>
        <w:pStyle w:val="Nornal"/>
        <w:spacing w:after="0"/>
        <w:rPr>
          <w:rFonts w:ascii="Trebuchet MS" w:hAnsi="Trebuchet MS"/>
        </w:rPr>
      </w:pPr>
      <w:r w:rsidRPr="00F30ED6">
        <w:rPr>
          <w:rFonts w:ascii="Trebuchet MS" w:hAnsi="Trebuchet MS"/>
        </w:rPr>
        <w:t>Another critical aspect of influence is ensuring ethical and fair people practices. The CIPD Profession Map highlights ethical practice and professional courage as key competencies (CIPD, 2021). HR professionals must confidently challenge discriminatory behaviours or unethical decisions to uphold fairness and compliance. Without this ability, organisations risk legal consequences and reputational damage (Redman &amp; Wilkinson, 2021).</w:t>
      </w:r>
    </w:p>
    <w:p w14:paraId="42C64659" w14:textId="77777777" w:rsidR="00F30ED6" w:rsidRPr="00E7076E" w:rsidRDefault="00F30ED6" w:rsidP="00F30ED6">
      <w:pPr>
        <w:pStyle w:val="Nornal"/>
        <w:spacing w:after="0"/>
        <w:rPr>
          <w:rFonts w:ascii="Trebuchet MS" w:hAnsi="Trebuchet MS"/>
          <w:color w:val="C00000"/>
        </w:rPr>
      </w:pPr>
    </w:p>
    <w:p w14:paraId="170E4489" w14:textId="2B0FA042" w:rsidR="00F30ED6" w:rsidRPr="00050A27" w:rsidRDefault="00F30ED6" w:rsidP="00F30ED6">
      <w:pPr>
        <w:pStyle w:val="Nornal"/>
        <w:spacing w:after="0"/>
        <w:rPr>
          <w:rFonts w:ascii="Trebuchet MS" w:hAnsi="Trebuchet MS"/>
        </w:rPr>
      </w:pPr>
      <w:r w:rsidRPr="00F30ED6">
        <w:rPr>
          <w:rFonts w:ascii="Trebuchet MS" w:hAnsi="Trebuchet MS"/>
        </w:rPr>
        <w:t xml:space="preserve">If people professionals lack the confidence or willingness to influence others, there are significant consequences. Poor communication can lead to disengagement, resistance to change, and ineffective HR policies. Additionally, a lack of influence may result in HR being perceived as a transactional function rather than a strategic partner (Torrington et al., 2020). This can weaken employee trust and reduce </w:t>
      </w:r>
      <w:r w:rsidR="000669D1" w:rsidRPr="00050A27">
        <w:rPr>
          <w:rFonts w:ascii="Trebuchet MS" w:hAnsi="Trebuchet MS"/>
        </w:rPr>
        <w:t>people practitioners’</w:t>
      </w:r>
      <w:r w:rsidRPr="00F30ED6">
        <w:rPr>
          <w:rFonts w:ascii="Trebuchet MS" w:hAnsi="Trebuchet MS"/>
        </w:rPr>
        <w:t xml:space="preserve"> ability to contribute to organisational success.</w:t>
      </w:r>
    </w:p>
    <w:p w14:paraId="44ED2311" w14:textId="77777777" w:rsidR="00F30ED6" w:rsidRPr="00E7076E" w:rsidRDefault="00F30ED6" w:rsidP="00F30ED6">
      <w:pPr>
        <w:pStyle w:val="Nornal"/>
        <w:spacing w:after="0"/>
        <w:rPr>
          <w:rFonts w:ascii="Trebuchet MS" w:hAnsi="Trebuchet MS"/>
          <w:color w:val="C00000"/>
        </w:rPr>
      </w:pPr>
    </w:p>
    <w:p w14:paraId="66A6AD6D" w14:textId="1967F9F6" w:rsidR="00F30ED6" w:rsidRPr="00F30ED6" w:rsidRDefault="00F30ED6" w:rsidP="00F30ED6">
      <w:pPr>
        <w:pStyle w:val="Nornal"/>
        <w:spacing w:after="0"/>
        <w:rPr>
          <w:rFonts w:ascii="Trebuchet MS" w:hAnsi="Trebuchet MS"/>
        </w:rPr>
      </w:pPr>
      <w:r w:rsidRPr="00F30ED6">
        <w:rPr>
          <w:rFonts w:ascii="Trebuchet MS" w:hAnsi="Trebuchet MS"/>
        </w:rPr>
        <w:t>In conclusion, influencing others through informed, clear, and confident communication is essential for people professionals. It drives positive change, ensures ethical practices, and enhances HR’s strategic impact within organisations.</w:t>
      </w:r>
    </w:p>
    <w:p w14:paraId="011E33BD" w14:textId="77777777" w:rsidR="00F30ED6" w:rsidRPr="003D52F1" w:rsidRDefault="00F30ED6" w:rsidP="004C6AA5">
      <w:pPr>
        <w:pStyle w:val="Nornal"/>
        <w:spacing w:after="0" w:line="240" w:lineRule="auto"/>
        <w:ind w:left="720"/>
        <w:rPr>
          <w:rFonts w:ascii="Trebuchet MS" w:hAnsi="Trebuchet MS"/>
          <w:color w:val="000000"/>
        </w:rPr>
      </w:pPr>
    </w:p>
    <w:p w14:paraId="2D1996DF" w14:textId="77777777" w:rsidR="004C6AA5" w:rsidRPr="003D52F1" w:rsidRDefault="004C6AA5" w:rsidP="004C6AA5">
      <w:pPr>
        <w:pStyle w:val="ListParagraph"/>
        <w:rPr>
          <w:rFonts w:ascii="Trebuchet MS" w:hAnsi="Trebuchet MS"/>
          <w:b/>
          <w:color w:val="000000" w:themeColor="text1"/>
        </w:rPr>
      </w:pPr>
    </w:p>
    <w:p w14:paraId="0CF21903" w14:textId="76FF01FB" w:rsidR="004C6AA5" w:rsidRDefault="0085744B" w:rsidP="00EC16E6">
      <w:pPr>
        <w:pStyle w:val="Nornal"/>
        <w:spacing w:after="0" w:line="240" w:lineRule="auto"/>
        <w:rPr>
          <w:rFonts w:ascii="Trebuchet MS" w:hAnsi="Trebuchet MS"/>
          <w:b/>
          <w:color w:val="004147" w:themeColor="accent2" w:themeShade="80"/>
        </w:rPr>
      </w:pPr>
      <w:bookmarkStart w:id="1" w:name="_Hlk133927075"/>
      <w:r w:rsidRPr="00EC16E6">
        <w:rPr>
          <w:rFonts w:ascii="Trebuchet MS" w:hAnsi="Trebuchet MS"/>
          <w:b/>
          <w:color w:val="004147" w:themeColor="accent2" w:themeShade="80"/>
        </w:rPr>
        <w:t>R</w:t>
      </w:r>
      <w:r w:rsidR="004C6AA5" w:rsidRPr="00EC16E6">
        <w:rPr>
          <w:rFonts w:ascii="Trebuchet MS" w:hAnsi="Trebuchet MS"/>
          <w:b/>
          <w:color w:val="004147" w:themeColor="accent2" w:themeShade="80"/>
        </w:rPr>
        <w:t>ais</w:t>
      </w:r>
      <w:r w:rsidRPr="00EC16E6">
        <w:rPr>
          <w:rFonts w:ascii="Trebuchet MS" w:hAnsi="Trebuchet MS"/>
          <w:b/>
          <w:color w:val="004147" w:themeColor="accent2" w:themeShade="80"/>
        </w:rPr>
        <w:t>ing</w:t>
      </w:r>
      <w:r w:rsidR="004C6AA5" w:rsidRPr="00EC16E6">
        <w:rPr>
          <w:rFonts w:ascii="Trebuchet MS" w:hAnsi="Trebuchet MS"/>
          <w:b/>
          <w:color w:val="004147" w:themeColor="accent2" w:themeShade="80"/>
        </w:rPr>
        <w:t xml:space="preserve"> matters that might be unethical or illegal</w:t>
      </w:r>
      <w:bookmarkEnd w:id="1"/>
      <w:r w:rsidR="00EC16E6" w:rsidRPr="00EC16E6">
        <w:rPr>
          <w:rFonts w:ascii="Trebuchet MS" w:hAnsi="Trebuchet MS"/>
          <w:b/>
          <w:color w:val="004147" w:themeColor="accent2" w:themeShade="80"/>
        </w:rPr>
        <w:t xml:space="preserve"> </w:t>
      </w:r>
      <w:r w:rsidR="004C6AA5" w:rsidRPr="00EC16E6">
        <w:rPr>
          <w:rFonts w:ascii="Trebuchet MS" w:hAnsi="Trebuchet MS"/>
          <w:b/>
          <w:color w:val="004147" w:themeColor="accent2" w:themeShade="80"/>
        </w:rPr>
        <w:t>(AC</w:t>
      </w:r>
      <w:r w:rsidR="00284294" w:rsidRPr="00EC16E6">
        <w:rPr>
          <w:rFonts w:ascii="Trebuchet MS" w:hAnsi="Trebuchet MS"/>
          <w:b/>
          <w:color w:val="004147" w:themeColor="accent2" w:themeShade="80"/>
        </w:rPr>
        <w:t xml:space="preserve"> </w:t>
      </w:r>
      <w:r w:rsidR="004C6AA5" w:rsidRPr="00EC16E6">
        <w:rPr>
          <w:rFonts w:ascii="Trebuchet MS" w:hAnsi="Trebuchet MS"/>
          <w:b/>
          <w:color w:val="004147" w:themeColor="accent2" w:themeShade="80"/>
        </w:rPr>
        <w:t>1.4)</w:t>
      </w:r>
    </w:p>
    <w:p w14:paraId="5971D95D" w14:textId="77777777" w:rsidR="00EC16E6" w:rsidRDefault="00EC16E6" w:rsidP="00EC16E6">
      <w:pPr>
        <w:pStyle w:val="Nornal"/>
        <w:spacing w:after="0" w:line="240" w:lineRule="auto"/>
        <w:rPr>
          <w:rFonts w:ascii="Trebuchet MS" w:hAnsi="Trebuchet MS"/>
          <w:b/>
          <w:color w:val="004147" w:themeColor="accent2" w:themeShade="80"/>
        </w:rPr>
      </w:pPr>
    </w:p>
    <w:p w14:paraId="5971049F" w14:textId="77777777" w:rsidR="000945E0" w:rsidRPr="003D3D05" w:rsidRDefault="000945E0" w:rsidP="000945E0">
      <w:pPr>
        <w:pStyle w:val="Nornal"/>
        <w:spacing w:after="0"/>
        <w:rPr>
          <w:rFonts w:ascii="Trebuchet MS" w:hAnsi="Trebuchet MS"/>
          <w:bCs/>
        </w:rPr>
      </w:pPr>
      <w:r w:rsidRPr="000945E0">
        <w:rPr>
          <w:rFonts w:ascii="Trebuchet MS" w:hAnsi="Trebuchet MS"/>
          <w:bCs/>
        </w:rPr>
        <w:t xml:space="preserve">As a people professional, responding to both unethical and illegal matters is crucial in upholding fairness, integrity, and compliance within an organisation. Ethical HR practice requires addressing </w:t>
      </w:r>
      <w:r w:rsidRPr="000945E0">
        <w:rPr>
          <w:rFonts w:ascii="Trebuchet MS" w:hAnsi="Trebuchet MS"/>
          <w:bCs/>
        </w:rPr>
        <w:lastRenderedPageBreak/>
        <w:t>these issues decisively to maintain trust and safeguard both employees and the organisation (CIPD, 2021).</w:t>
      </w:r>
    </w:p>
    <w:p w14:paraId="5CF53E40" w14:textId="77777777" w:rsidR="000945E0" w:rsidRPr="000945E0" w:rsidRDefault="000945E0" w:rsidP="000945E0">
      <w:pPr>
        <w:pStyle w:val="Nornal"/>
        <w:spacing w:after="0"/>
        <w:rPr>
          <w:rFonts w:ascii="Trebuchet MS" w:hAnsi="Trebuchet MS"/>
          <w:bCs/>
          <w:color w:val="C00000"/>
        </w:rPr>
      </w:pPr>
    </w:p>
    <w:p w14:paraId="10395296" w14:textId="77777777" w:rsidR="000945E0" w:rsidRPr="00CA5831" w:rsidRDefault="000945E0" w:rsidP="000945E0">
      <w:pPr>
        <w:pStyle w:val="Nornal"/>
        <w:spacing w:after="0"/>
        <w:rPr>
          <w:rFonts w:ascii="Trebuchet MS" w:hAnsi="Trebuchet MS"/>
          <w:bCs/>
        </w:rPr>
      </w:pPr>
      <w:r w:rsidRPr="000945E0">
        <w:rPr>
          <w:rFonts w:ascii="Trebuchet MS" w:hAnsi="Trebuchet MS"/>
          <w:bCs/>
        </w:rPr>
        <w:t>One example of an unethical issue is favouritism in promotions, where certain employees receive preferential treatment based on personal relationships rather than merit. Such practices damage morale, reduce trust, and may lead to disengagement (Bratton &amp; Gold, 2022). If I encountered this, I would take an evidence-based approach by gathering data on promotion decisions, performance reviews, and employee feedback. I would then raise the issue with senior leaders, advocating for a transparent and structured promotion process. Implementing objective criteria for advancement, such as competency-based assessments, ensures fairness and mitigates biases (Noe et al., 2021). Addressing this issue aligns with the CIPD's professional values, which emphasise fairness and inclusivity (CIPD, 2021).</w:t>
      </w:r>
    </w:p>
    <w:p w14:paraId="43218242" w14:textId="77777777" w:rsidR="000945E0" w:rsidRPr="000945E0" w:rsidRDefault="000945E0" w:rsidP="000945E0">
      <w:pPr>
        <w:pStyle w:val="Nornal"/>
        <w:spacing w:after="0"/>
        <w:rPr>
          <w:rFonts w:ascii="Trebuchet MS" w:hAnsi="Trebuchet MS"/>
          <w:bCs/>
          <w:color w:val="C00000"/>
        </w:rPr>
      </w:pPr>
    </w:p>
    <w:p w14:paraId="6A4A0CC0" w14:textId="77777777" w:rsidR="000945E0" w:rsidRPr="00EC3655" w:rsidRDefault="000945E0" w:rsidP="000945E0">
      <w:pPr>
        <w:pStyle w:val="Nornal"/>
        <w:spacing w:after="0"/>
        <w:rPr>
          <w:rFonts w:ascii="Trebuchet MS" w:hAnsi="Trebuchet MS"/>
          <w:bCs/>
        </w:rPr>
      </w:pPr>
      <w:r w:rsidRPr="000945E0">
        <w:rPr>
          <w:rFonts w:ascii="Trebuchet MS" w:hAnsi="Trebuchet MS"/>
          <w:bCs/>
        </w:rPr>
        <w:t>An example of an illegal issue is wage discrimination, where employees performing similar roles receive different pay based on gender or other protected characteristics. The Equality Act 2010 in the UK mandates equal pay for equal work, making such discrimination unlawful (Bach &amp; Bordogna, 2023). If I became aware of wage disparities, I would conduct a pay audit to assess discrepancies. If unjustified differences were found, I would escalate the matter to senior leadership and recommend corrective actions, such as pay adjustments and policy revisions. If internal resolution was not possible, I would advise affected employees on their rights and facilitate legal compliance to prevent reputational and financial risks to the organisation (Brewster et al., 2020).</w:t>
      </w:r>
    </w:p>
    <w:p w14:paraId="48A08894" w14:textId="77777777" w:rsidR="000945E0" w:rsidRPr="000945E0" w:rsidRDefault="000945E0" w:rsidP="000945E0">
      <w:pPr>
        <w:pStyle w:val="Nornal"/>
        <w:spacing w:after="0"/>
        <w:rPr>
          <w:rFonts w:ascii="Trebuchet MS" w:hAnsi="Trebuchet MS"/>
          <w:bCs/>
          <w:color w:val="C00000"/>
        </w:rPr>
      </w:pPr>
    </w:p>
    <w:p w14:paraId="35D8052F" w14:textId="77777777" w:rsidR="000945E0" w:rsidRPr="000945E0" w:rsidRDefault="000945E0" w:rsidP="000945E0">
      <w:pPr>
        <w:pStyle w:val="Nornal"/>
        <w:spacing w:after="0"/>
        <w:rPr>
          <w:rFonts w:ascii="Trebuchet MS" w:hAnsi="Trebuchet MS"/>
          <w:bCs/>
        </w:rPr>
      </w:pPr>
      <w:r w:rsidRPr="000945E0">
        <w:rPr>
          <w:rFonts w:ascii="Trebuchet MS" w:hAnsi="Trebuchet MS"/>
          <w:bCs/>
        </w:rPr>
        <w:t>In conclusion, responding effectively to unethical and illegal matters reinforces trust and compliance within the workplace. Upholding ethical standards ensures a fair, inclusive, and legally compliant working environment.</w:t>
      </w:r>
    </w:p>
    <w:p w14:paraId="16910D9A" w14:textId="77777777" w:rsidR="000945E0" w:rsidRPr="00EC16E6" w:rsidRDefault="000945E0" w:rsidP="00EC16E6">
      <w:pPr>
        <w:pStyle w:val="Nornal"/>
        <w:spacing w:after="0" w:line="240" w:lineRule="auto"/>
        <w:rPr>
          <w:rFonts w:ascii="Trebuchet MS" w:hAnsi="Trebuchet MS"/>
          <w:b/>
          <w:color w:val="004147" w:themeColor="accent2" w:themeShade="80"/>
        </w:rPr>
      </w:pPr>
    </w:p>
    <w:p w14:paraId="3EB648E7" w14:textId="77777777" w:rsidR="004C6AA5" w:rsidRPr="003D52F1" w:rsidRDefault="004C6AA5" w:rsidP="004C6AA5">
      <w:pPr>
        <w:pStyle w:val="ListParagraph"/>
        <w:rPr>
          <w:rFonts w:ascii="Trebuchet MS" w:hAnsi="Trebuchet MS"/>
          <w:b/>
          <w:color w:val="000000"/>
        </w:rPr>
      </w:pPr>
    </w:p>
    <w:p w14:paraId="7217A453" w14:textId="34660D67" w:rsidR="004C6AA5" w:rsidRPr="00782678" w:rsidRDefault="00782678" w:rsidP="00782678">
      <w:pPr>
        <w:pStyle w:val="Nornal"/>
        <w:spacing w:after="0" w:line="240" w:lineRule="auto"/>
        <w:rPr>
          <w:rFonts w:ascii="Trebuchet MS" w:hAnsi="Trebuchet MS"/>
          <w:color w:val="00616A" w:themeColor="accent2" w:themeShade="BF"/>
        </w:rPr>
      </w:pPr>
      <w:r w:rsidRPr="00782678">
        <w:rPr>
          <w:rFonts w:ascii="Trebuchet MS" w:hAnsi="Trebuchet MS"/>
          <w:b/>
          <w:color w:val="00616A" w:themeColor="accent2" w:themeShade="BF"/>
        </w:rPr>
        <w:t xml:space="preserve">The </w:t>
      </w:r>
      <w:r w:rsidR="004C6AA5" w:rsidRPr="00782678">
        <w:rPr>
          <w:rFonts w:ascii="Trebuchet MS" w:hAnsi="Trebuchet MS"/>
          <w:b/>
          <w:color w:val="00616A" w:themeColor="accent2" w:themeShade="BF"/>
        </w:rPr>
        <w:t>human and business benefits of people feeling included, valued, and fairly treated at work</w:t>
      </w:r>
      <w:r w:rsidRPr="00782678">
        <w:rPr>
          <w:rFonts w:ascii="Trebuchet MS" w:hAnsi="Trebuchet MS"/>
          <w:b/>
          <w:color w:val="00616A" w:themeColor="accent2" w:themeShade="BF"/>
        </w:rPr>
        <w:t xml:space="preserve"> (AC 2.1)</w:t>
      </w:r>
    </w:p>
    <w:p w14:paraId="28080FD4" w14:textId="77777777" w:rsidR="00EA3F4F" w:rsidRDefault="00EA3F4F" w:rsidP="004C6AA5">
      <w:pPr>
        <w:pStyle w:val="Nornal"/>
        <w:spacing w:after="0" w:line="240" w:lineRule="auto"/>
        <w:ind w:left="720"/>
        <w:rPr>
          <w:rFonts w:ascii="Trebuchet MS" w:hAnsi="Trebuchet MS"/>
          <w:color w:val="000000"/>
        </w:rPr>
      </w:pPr>
    </w:p>
    <w:p w14:paraId="76AF2C33" w14:textId="2B77B809"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In today’s evolving work environment, creating an inclusive culture where employees feel valued and fairly treated is crucial to both human wellbeing and business success. The theoretical foundation for this assertion draws from several established psychological and organi</w:t>
      </w:r>
      <w:r w:rsidR="00CA5884">
        <w:rPr>
          <w:rFonts w:ascii="Trebuchet MS" w:hAnsi="Trebuchet MS"/>
          <w:color w:val="000000"/>
        </w:rPr>
        <w:t>s</w:t>
      </w:r>
      <w:r w:rsidRPr="00DF0A34">
        <w:rPr>
          <w:rFonts w:ascii="Trebuchet MS" w:hAnsi="Trebuchet MS"/>
          <w:color w:val="000000"/>
        </w:rPr>
        <w:t>ational frameworks, as well as my own perspective on workplace dynamics.</w:t>
      </w:r>
    </w:p>
    <w:p w14:paraId="371C4D59" w14:textId="77777777" w:rsidR="00DF0A34" w:rsidRDefault="00DF0A34" w:rsidP="00DF0A34">
      <w:pPr>
        <w:pStyle w:val="Nornal"/>
        <w:spacing w:after="0"/>
        <w:rPr>
          <w:rFonts w:ascii="Trebuchet MS" w:hAnsi="Trebuchet MS"/>
          <w:color w:val="000000"/>
        </w:rPr>
      </w:pPr>
    </w:p>
    <w:p w14:paraId="393F9F62" w14:textId="6DBF36DB"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Maslow’s Hierarchy of Needs (1943) provides a critical lens for understanding the importance of inclusion. At the core of this theory, esteem and self-actuali</w:t>
      </w:r>
      <w:r w:rsidR="001A64F7">
        <w:rPr>
          <w:rFonts w:ascii="Trebuchet MS" w:hAnsi="Trebuchet MS"/>
          <w:color w:val="000000"/>
        </w:rPr>
        <w:t>s</w:t>
      </w:r>
      <w:r w:rsidRPr="00DF0A34">
        <w:rPr>
          <w:rFonts w:ascii="Trebuchet MS" w:hAnsi="Trebuchet MS"/>
          <w:color w:val="000000"/>
        </w:rPr>
        <w:t>ation needs are met when individuals feel recogni</w:t>
      </w:r>
      <w:r w:rsidR="001A64F7">
        <w:rPr>
          <w:rFonts w:ascii="Trebuchet MS" w:hAnsi="Trebuchet MS"/>
          <w:color w:val="000000"/>
        </w:rPr>
        <w:t>s</w:t>
      </w:r>
      <w:r w:rsidRPr="00DF0A34">
        <w:rPr>
          <w:rFonts w:ascii="Trebuchet MS" w:hAnsi="Trebuchet MS"/>
          <w:color w:val="000000"/>
        </w:rPr>
        <w:t>ed and valued within an organi</w:t>
      </w:r>
      <w:r w:rsidR="001A64F7">
        <w:rPr>
          <w:rFonts w:ascii="Trebuchet MS" w:hAnsi="Trebuchet MS"/>
          <w:color w:val="000000"/>
        </w:rPr>
        <w:t>s</w:t>
      </w:r>
      <w:r w:rsidRPr="00DF0A34">
        <w:rPr>
          <w:rFonts w:ascii="Trebuchet MS" w:hAnsi="Trebuchet MS"/>
          <w:color w:val="000000"/>
        </w:rPr>
        <w:t xml:space="preserve">ation. I argue that beyond just the basic needs, employees seek to feel </w:t>
      </w:r>
      <w:r w:rsidRPr="00DF0A34">
        <w:rPr>
          <w:rFonts w:ascii="Trebuchet MS" w:hAnsi="Trebuchet MS"/>
          <w:i/>
          <w:iCs/>
          <w:color w:val="000000"/>
        </w:rPr>
        <w:t>connected</w:t>
      </w:r>
      <w:r w:rsidRPr="00DF0A34">
        <w:rPr>
          <w:rFonts w:ascii="Trebuchet MS" w:hAnsi="Trebuchet MS"/>
          <w:color w:val="000000"/>
        </w:rPr>
        <w:t xml:space="preserve"> to their organi</w:t>
      </w:r>
      <w:r w:rsidR="00DE112A">
        <w:rPr>
          <w:rFonts w:ascii="Trebuchet MS" w:hAnsi="Trebuchet MS"/>
          <w:color w:val="000000"/>
        </w:rPr>
        <w:t>s</w:t>
      </w:r>
      <w:r w:rsidRPr="00DF0A34">
        <w:rPr>
          <w:rFonts w:ascii="Trebuchet MS" w:hAnsi="Trebuchet MS"/>
          <w:color w:val="000000"/>
        </w:rPr>
        <w:t>ation, which fosters a sense of belonging. This connection strengthens their motivation to contribute more fully, as people derive meaning from being part of something larger than themselves. When inclusion and fairness are prioriti</w:t>
      </w:r>
      <w:r w:rsidR="00DE112A">
        <w:rPr>
          <w:rFonts w:ascii="Trebuchet MS" w:hAnsi="Trebuchet MS"/>
          <w:color w:val="000000"/>
        </w:rPr>
        <w:t>s</w:t>
      </w:r>
      <w:r w:rsidRPr="00DF0A34">
        <w:rPr>
          <w:rFonts w:ascii="Trebuchet MS" w:hAnsi="Trebuchet MS"/>
          <w:color w:val="000000"/>
        </w:rPr>
        <w:t>ed, individuals experience greater satisfaction in their roles, as their self-worth is affirmed within the organi</w:t>
      </w:r>
      <w:r w:rsidR="00040844">
        <w:rPr>
          <w:rFonts w:ascii="Trebuchet MS" w:hAnsi="Trebuchet MS"/>
          <w:color w:val="000000"/>
        </w:rPr>
        <w:t>s</w:t>
      </w:r>
      <w:r w:rsidRPr="00DF0A34">
        <w:rPr>
          <w:rFonts w:ascii="Trebuchet MS" w:hAnsi="Trebuchet MS"/>
          <w:color w:val="000000"/>
        </w:rPr>
        <w:t>ational context.</w:t>
      </w:r>
    </w:p>
    <w:p w14:paraId="7483263F" w14:textId="77777777" w:rsidR="00DF0A34" w:rsidRDefault="00DF0A34" w:rsidP="00DF0A34">
      <w:pPr>
        <w:pStyle w:val="Nornal"/>
        <w:spacing w:after="0"/>
        <w:rPr>
          <w:rFonts w:ascii="Trebuchet MS" w:hAnsi="Trebuchet MS"/>
          <w:color w:val="000000"/>
        </w:rPr>
      </w:pPr>
    </w:p>
    <w:p w14:paraId="58D23A02" w14:textId="4324C6FD"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From a business perspective, the concept of organi</w:t>
      </w:r>
      <w:r w:rsidR="00040844">
        <w:rPr>
          <w:rFonts w:ascii="Trebuchet MS" w:hAnsi="Trebuchet MS"/>
          <w:color w:val="000000"/>
        </w:rPr>
        <w:t>s</w:t>
      </w:r>
      <w:r w:rsidRPr="00DF0A34">
        <w:rPr>
          <w:rFonts w:ascii="Trebuchet MS" w:hAnsi="Trebuchet MS"/>
          <w:color w:val="000000"/>
        </w:rPr>
        <w:t>ational justice is central. Greenberg’s (1990) framework of distributive and procedural justice emphasi</w:t>
      </w:r>
      <w:r w:rsidR="00040844">
        <w:rPr>
          <w:rFonts w:ascii="Trebuchet MS" w:hAnsi="Trebuchet MS"/>
          <w:color w:val="000000"/>
        </w:rPr>
        <w:t>s</w:t>
      </w:r>
      <w:r w:rsidRPr="00DF0A34">
        <w:rPr>
          <w:rFonts w:ascii="Trebuchet MS" w:hAnsi="Trebuchet MS"/>
          <w:color w:val="000000"/>
        </w:rPr>
        <w:t>es that fairness in decision-making processes impacts both employee satisfaction and performance. However, I extend this idea to include a cultural dimension of fairness—where the collective organi</w:t>
      </w:r>
      <w:r w:rsidR="00040844">
        <w:rPr>
          <w:rFonts w:ascii="Trebuchet MS" w:hAnsi="Trebuchet MS"/>
          <w:color w:val="000000"/>
        </w:rPr>
        <w:t>s</w:t>
      </w:r>
      <w:r w:rsidRPr="00DF0A34">
        <w:rPr>
          <w:rFonts w:ascii="Trebuchet MS" w:hAnsi="Trebuchet MS"/>
          <w:color w:val="000000"/>
        </w:rPr>
        <w:t>ational ethos plays a significant role. If organi</w:t>
      </w:r>
      <w:r w:rsidR="00040844">
        <w:rPr>
          <w:rFonts w:ascii="Trebuchet MS" w:hAnsi="Trebuchet MS"/>
          <w:color w:val="000000"/>
        </w:rPr>
        <w:t>s</w:t>
      </w:r>
      <w:r w:rsidRPr="00DF0A34">
        <w:rPr>
          <w:rFonts w:ascii="Trebuchet MS" w:hAnsi="Trebuchet MS"/>
          <w:color w:val="000000"/>
        </w:rPr>
        <w:t xml:space="preserve">ations intentionally embed fairness, transparency, and inclusivity in their values, it can build a sustainable environment that attracts diverse talent and supports employee </w:t>
      </w:r>
      <w:r w:rsidRPr="00DF0A34">
        <w:rPr>
          <w:rFonts w:ascii="Trebuchet MS" w:hAnsi="Trebuchet MS"/>
          <w:color w:val="000000"/>
        </w:rPr>
        <w:lastRenderedPageBreak/>
        <w:t>retention. Fair treatment extends beyond just pay and promotion decisions to how individuals interact with one another within teams, ultimately influencing collaboration and trust.</w:t>
      </w:r>
    </w:p>
    <w:p w14:paraId="6F0CC6C9" w14:textId="77777777" w:rsidR="00DF0A34" w:rsidRDefault="00DF0A34" w:rsidP="00DF0A34">
      <w:pPr>
        <w:pStyle w:val="Nornal"/>
        <w:spacing w:after="0"/>
        <w:rPr>
          <w:rFonts w:ascii="Trebuchet MS" w:hAnsi="Trebuchet MS"/>
          <w:color w:val="000000"/>
        </w:rPr>
      </w:pPr>
    </w:p>
    <w:p w14:paraId="14083C8A" w14:textId="3290BE9A"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Drawing from my own perspective, I contend that an inclusive workplace is one where fairness is not just theoretical but actively practiced, and where diversity is celebrated, not just tolerated. This inclusivity contributes to psychological safety, as outlined by Edmondson (1999), which enables employees to express themselves without fear of retribution. By embedding these principles, organi</w:t>
      </w:r>
      <w:r w:rsidR="00B014C8">
        <w:rPr>
          <w:rFonts w:ascii="Trebuchet MS" w:hAnsi="Trebuchet MS"/>
          <w:color w:val="000000"/>
        </w:rPr>
        <w:t>s</w:t>
      </w:r>
      <w:r w:rsidRPr="00DF0A34">
        <w:rPr>
          <w:rFonts w:ascii="Trebuchet MS" w:hAnsi="Trebuchet MS"/>
          <w:color w:val="000000"/>
        </w:rPr>
        <w:t>ations not only prevent alienation and stress but actively nurture employee wellbeing, leading to higher engagement and reduced absenteeism.</w:t>
      </w:r>
    </w:p>
    <w:p w14:paraId="39BA3397" w14:textId="77777777" w:rsidR="00DF0A34" w:rsidRDefault="00DF0A34" w:rsidP="00DF0A34">
      <w:pPr>
        <w:pStyle w:val="Nornal"/>
        <w:spacing w:after="0"/>
        <w:rPr>
          <w:rFonts w:ascii="Trebuchet MS" w:hAnsi="Trebuchet MS"/>
          <w:color w:val="000000"/>
        </w:rPr>
      </w:pPr>
    </w:p>
    <w:p w14:paraId="1B073D7F" w14:textId="58330E58"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Furthermore, research by McKinsey (2020) reveals a direct link between diversity, inclusion, and improved financial performance. However, I argue that the true business advantage lies in how inclusion impacts decision-making. Diverse teams are more likely to explore a broader range of solutions, leading to innovative approaches that drive competitive advantage in the marketplace. The business benefits, therefore, are not just about financial outcomes but about cultivating an environment where employees feel both valued and empowered to contribute their best ideas.</w:t>
      </w:r>
    </w:p>
    <w:p w14:paraId="11818C8A" w14:textId="77777777" w:rsidR="00DF0A34" w:rsidRDefault="00DF0A34" w:rsidP="00DF0A34">
      <w:pPr>
        <w:pStyle w:val="Nornal"/>
        <w:spacing w:after="0"/>
        <w:rPr>
          <w:rFonts w:ascii="Trebuchet MS" w:hAnsi="Trebuchet MS"/>
          <w:color w:val="000000"/>
        </w:rPr>
      </w:pPr>
    </w:p>
    <w:p w14:paraId="7FCEEFEC" w14:textId="19FB0786" w:rsidR="00DF0A34" w:rsidRPr="00DF0A34" w:rsidRDefault="00DF0A34" w:rsidP="00DF0A34">
      <w:pPr>
        <w:pStyle w:val="Nornal"/>
        <w:spacing w:after="0"/>
        <w:rPr>
          <w:rFonts w:ascii="Trebuchet MS" w:hAnsi="Trebuchet MS"/>
          <w:color w:val="000000"/>
        </w:rPr>
      </w:pPr>
      <w:r w:rsidRPr="00DF0A34">
        <w:rPr>
          <w:rFonts w:ascii="Trebuchet MS" w:hAnsi="Trebuchet MS"/>
          <w:color w:val="000000"/>
        </w:rPr>
        <w:t>In conclusion, the human and business benefits of inclusion, fairness, and value at work are deeply intertwined. These principles drive greater employee satisfaction, foster innovation, and enhance organi</w:t>
      </w:r>
      <w:r w:rsidR="00B014C8">
        <w:rPr>
          <w:rFonts w:ascii="Trebuchet MS" w:hAnsi="Trebuchet MS"/>
          <w:color w:val="000000"/>
        </w:rPr>
        <w:t>s</w:t>
      </w:r>
      <w:r w:rsidRPr="00DF0A34">
        <w:rPr>
          <w:rFonts w:ascii="Trebuchet MS" w:hAnsi="Trebuchet MS"/>
          <w:color w:val="000000"/>
        </w:rPr>
        <w:t>ational success. From both theoretical and practical perspectives, prioriti</w:t>
      </w:r>
      <w:r w:rsidR="00B014C8">
        <w:rPr>
          <w:rFonts w:ascii="Trebuchet MS" w:hAnsi="Trebuchet MS"/>
          <w:color w:val="000000"/>
        </w:rPr>
        <w:t>s</w:t>
      </w:r>
      <w:r w:rsidRPr="00DF0A34">
        <w:rPr>
          <w:rFonts w:ascii="Trebuchet MS" w:hAnsi="Trebuchet MS"/>
          <w:color w:val="000000"/>
        </w:rPr>
        <w:t>ing inclusivity is not only a moral imperative but a strategic business decision.</w:t>
      </w:r>
    </w:p>
    <w:p w14:paraId="27A904FF" w14:textId="77777777" w:rsidR="00EA3F4F" w:rsidRDefault="00EA3F4F" w:rsidP="004C6AA5">
      <w:pPr>
        <w:pStyle w:val="Nornal"/>
        <w:spacing w:after="0" w:line="240" w:lineRule="auto"/>
        <w:ind w:left="720"/>
        <w:rPr>
          <w:rFonts w:ascii="Trebuchet MS" w:hAnsi="Trebuchet MS"/>
          <w:color w:val="000000"/>
        </w:rPr>
      </w:pPr>
    </w:p>
    <w:p w14:paraId="2D484103" w14:textId="77777777" w:rsidR="00894195" w:rsidRDefault="00894195" w:rsidP="004C6AA5">
      <w:pPr>
        <w:pStyle w:val="Nornal"/>
        <w:spacing w:after="0" w:line="240" w:lineRule="auto"/>
        <w:ind w:left="720"/>
        <w:rPr>
          <w:rFonts w:ascii="Trebuchet MS" w:hAnsi="Trebuchet MS"/>
          <w:color w:val="000000"/>
        </w:rPr>
      </w:pPr>
    </w:p>
    <w:p w14:paraId="52BE857B" w14:textId="47196A35" w:rsidR="004C6AA5" w:rsidRPr="0037760E" w:rsidRDefault="00E00041" w:rsidP="00D36637">
      <w:pPr>
        <w:pStyle w:val="Nornal"/>
        <w:spacing w:after="0" w:line="240" w:lineRule="auto"/>
        <w:rPr>
          <w:rFonts w:ascii="Trebuchet MS" w:hAnsi="Trebuchet MS"/>
          <w:color w:val="00616A" w:themeColor="accent2" w:themeShade="BF"/>
        </w:rPr>
      </w:pPr>
      <w:r w:rsidRPr="0037760E">
        <w:rPr>
          <w:rFonts w:ascii="Trebuchet MS" w:hAnsi="Trebuchet MS"/>
          <w:b/>
          <w:color w:val="00616A" w:themeColor="accent2" w:themeShade="BF"/>
        </w:rPr>
        <w:t>D</w:t>
      </w:r>
      <w:r w:rsidR="004C6AA5" w:rsidRPr="0037760E">
        <w:rPr>
          <w:rFonts w:ascii="Trebuchet MS" w:hAnsi="Trebuchet MS"/>
          <w:b/>
          <w:color w:val="00616A" w:themeColor="accent2" w:themeShade="BF"/>
        </w:rPr>
        <w:t>esign</w:t>
      </w:r>
      <w:r w:rsidRPr="0037760E">
        <w:rPr>
          <w:rFonts w:ascii="Trebuchet MS" w:hAnsi="Trebuchet MS"/>
          <w:b/>
          <w:color w:val="00616A" w:themeColor="accent2" w:themeShade="BF"/>
        </w:rPr>
        <w:t>ing</w:t>
      </w:r>
      <w:r w:rsidR="0037760E" w:rsidRPr="0037760E">
        <w:rPr>
          <w:rFonts w:ascii="Trebuchet MS" w:hAnsi="Trebuchet MS"/>
          <w:b/>
          <w:color w:val="00616A" w:themeColor="accent2" w:themeShade="BF"/>
        </w:rPr>
        <w:t xml:space="preserve"> and testing inclusive</w:t>
      </w:r>
      <w:r w:rsidR="004C6AA5" w:rsidRPr="0037760E">
        <w:rPr>
          <w:rFonts w:ascii="Trebuchet MS" w:hAnsi="Trebuchet MS"/>
          <w:b/>
          <w:color w:val="00616A" w:themeColor="accent2" w:themeShade="BF"/>
        </w:rPr>
        <w:t xml:space="preserve"> people practice initiatives</w:t>
      </w:r>
      <w:r w:rsidR="004C6AA5" w:rsidRPr="0037760E">
        <w:rPr>
          <w:rFonts w:ascii="Trebuchet MS" w:hAnsi="Trebuchet MS"/>
          <w:color w:val="00616A" w:themeColor="accent2" w:themeShade="BF"/>
        </w:rPr>
        <w:t xml:space="preserve"> </w:t>
      </w:r>
      <w:bookmarkStart w:id="2" w:name="_Hlk159579697"/>
      <w:r w:rsidR="0037760E" w:rsidRPr="0037760E">
        <w:rPr>
          <w:rFonts w:ascii="Trebuchet MS" w:hAnsi="Trebuchet MS"/>
          <w:b/>
          <w:bCs/>
          <w:color w:val="00616A" w:themeColor="accent2" w:themeShade="BF"/>
        </w:rPr>
        <w:t>(AC 2.2)</w:t>
      </w:r>
    </w:p>
    <w:p w14:paraId="13AE15EB" w14:textId="77777777" w:rsidR="0037760E" w:rsidRPr="003D52F1" w:rsidRDefault="0037760E" w:rsidP="00D36637">
      <w:pPr>
        <w:pStyle w:val="Nornal"/>
        <w:spacing w:after="0" w:line="240" w:lineRule="auto"/>
        <w:rPr>
          <w:rFonts w:ascii="Trebuchet MS" w:hAnsi="Trebuchet MS"/>
          <w:color w:val="000000"/>
        </w:rPr>
      </w:pPr>
    </w:p>
    <w:bookmarkEnd w:id="2"/>
    <w:p w14:paraId="24D3DF0F" w14:textId="2486B7FB" w:rsidR="00C02E6A" w:rsidRPr="00C02E6A" w:rsidRDefault="00C02E6A" w:rsidP="00C02E6A">
      <w:pPr>
        <w:pStyle w:val="Nornal"/>
        <w:spacing w:after="0"/>
        <w:rPr>
          <w:rFonts w:ascii="Trebuchet MS" w:hAnsi="Trebuchet MS"/>
          <w:color w:val="000000"/>
        </w:rPr>
      </w:pPr>
      <w:r w:rsidRPr="00C02E6A">
        <w:rPr>
          <w:rFonts w:ascii="Trebuchet MS" w:hAnsi="Trebuchet MS"/>
          <w:color w:val="000000"/>
        </w:rPr>
        <w:t>Designing people practice initiatives that promote inclusivity requires a strategic approach that integrates fairness, transparency, and a commitment to diverse needs. To ensure these initiatives are effective, it's essential to align them with organi</w:t>
      </w:r>
      <w:r>
        <w:rPr>
          <w:rFonts w:ascii="Trebuchet MS" w:hAnsi="Trebuchet MS"/>
          <w:color w:val="000000"/>
        </w:rPr>
        <w:t>s</w:t>
      </w:r>
      <w:r w:rsidRPr="00C02E6A">
        <w:rPr>
          <w:rFonts w:ascii="Trebuchet MS" w:hAnsi="Trebuchet MS"/>
          <w:color w:val="000000"/>
        </w:rPr>
        <w:t>ational values and incorporate frameworks from established people practice literature.</w:t>
      </w:r>
    </w:p>
    <w:p w14:paraId="2A578942" w14:textId="77777777" w:rsidR="007A6374" w:rsidRDefault="00C02E6A" w:rsidP="007A6374">
      <w:pPr>
        <w:pStyle w:val="Nornal"/>
        <w:spacing w:after="0"/>
        <w:rPr>
          <w:rFonts w:ascii="Trebuchet MS" w:hAnsi="Trebuchet MS"/>
          <w:color w:val="000000"/>
        </w:rPr>
      </w:pPr>
      <w:r w:rsidRPr="00C02E6A">
        <w:rPr>
          <w:rFonts w:ascii="Trebuchet MS" w:hAnsi="Trebuchet MS"/>
          <w:color w:val="000000"/>
        </w:rPr>
        <w:t>One of the first steps in designing an inclusive initiative is to conduct an organi</w:t>
      </w:r>
      <w:r w:rsidR="007A6374">
        <w:rPr>
          <w:rFonts w:ascii="Trebuchet MS" w:hAnsi="Trebuchet MS"/>
          <w:color w:val="000000"/>
        </w:rPr>
        <w:t>s</w:t>
      </w:r>
      <w:r w:rsidRPr="00C02E6A">
        <w:rPr>
          <w:rFonts w:ascii="Trebuchet MS" w:hAnsi="Trebuchet MS"/>
          <w:color w:val="000000"/>
        </w:rPr>
        <w:t>ational audit to understand the existing culture and identify potential areas of exclusion. According to Shore et al. (2011), an inclusive workplace environment is characteri</w:t>
      </w:r>
      <w:r w:rsidR="007A6374">
        <w:rPr>
          <w:rFonts w:ascii="Trebuchet MS" w:hAnsi="Trebuchet MS"/>
          <w:color w:val="000000"/>
        </w:rPr>
        <w:t>s</w:t>
      </w:r>
      <w:r w:rsidRPr="00C02E6A">
        <w:rPr>
          <w:rFonts w:ascii="Trebuchet MS" w:hAnsi="Trebuchet MS"/>
          <w:color w:val="000000"/>
        </w:rPr>
        <w:t>ed by fairness in treatment, belonging, and value. Based on this, I would design initiatives that prioriti</w:t>
      </w:r>
      <w:r w:rsidR="007A6374">
        <w:rPr>
          <w:rFonts w:ascii="Trebuchet MS" w:hAnsi="Trebuchet MS"/>
          <w:color w:val="000000"/>
        </w:rPr>
        <w:t>s</w:t>
      </w:r>
      <w:r w:rsidRPr="00C02E6A">
        <w:rPr>
          <w:rFonts w:ascii="Trebuchet MS" w:hAnsi="Trebuchet MS"/>
          <w:color w:val="000000"/>
        </w:rPr>
        <w:t>e diversity in recruitment and retention, create leadership pathways for underrepresented groups, and foster a supportive work environment that values diverse perspectives.</w:t>
      </w:r>
    </w:p>
    <w:p w14:paraId="63A513EA" w14:textId="77777777" w:rsidR="007A6374" w:rsidRDefault="007A6374" w:rsidP="007A6374">
      <w:pPr>
        <w:pStyle w:val="Nornal"/>
        <w:spacing w:after="0"/>
        <w:rPr>
          <w:rFonts w:ascii="Trebuchet MS" w:hAnsi="Trebuchet MS"/>
          <w:color w:val="000000"/>
        </w:rPr>
      </w:pPr>
    </w:p>
    <w:p w14:paraId="640D9724" w14:textId="678C6831" w:rsidR="00C02E6A" w:rsidRPr="00C02E6A" w:rsidRDefault="00C02E6A" w:rsidP="007A6374">
      <w:pPr>
        <w:pStyle w:val="Nornal"/>
        <w:spacing w:after="0"/>
        <w:rPr>
          <w:rFonts w:ascii="Trebuchet MS" w:hAnsi="Trebuchet MS"/>
          <w:color w:val="000000"/>
        </w:rPr>
      </w:pPr>
      <w:r w:rsidRPr="00C02E6A">
        <w:rPr>
          <w:rFonts w:ascii="Trebuchet MS" w:hAnsi="Trebuchet MS"/>
          <w:color w:val="000000"/>
        </w:rPr>
        <w:t>For example, an inclusive recruitment initiative might focus on sourcing candidates from diverse educational and cultural backgrounds. This can be achieved by partnering with organi</w:t>
      </w:r>
      <w:r w:rsidR="007A6374">
        <w:rPr>
          <w:rFonts w:ascii="Trebuchet MS" w:hAnsi="Trebuchet MS"/>
          <w:color w:val="000000"/>
        </w:rPr>
        <w:t>s</w:t>
      </w:r>
      <w:r w:rsidRPr="00C02E6A">
        <w:rPr>
          <w:rFonts w:ascii="Trebuchet MS" w:hAnsi="Trebuchet MS"/>
          <w:color w:val="000000"/>
        </w:rPr>
        <w:t>ations or educational institutions that serve marginali</w:t>
      </w:r>
      <w:r w:rsidR="007A6374">
        <w:rPr>
          <w:rFonts w:ascii="Trebuchet MS" w:hAnsi="Trebuchet MS"/>
          <w:color w:val="000000"/>
        </w:rPr>
        <w:t>s</w:t>
      </w:r>
      <w:r w:rsidRPr="00C02E6A">
        <w:rPr>
          <w:rFonts w:ascii="Trebuchet MS" w:hAnsi="Trebuchet MS"/>
          <w:color w:val="000000"/>
        </w:rPr>
        <w:t>ed communities, as well as revising job descriptions to use inclusive language and avoid bias (Bendick et al., 2010). To ensure the inclusivity of promotion opportunities, mentorship programs can be introduced, particularly for women and people from minority groups, ensuring they have the same access to career development resources as their peers.</w:t>
      </w:r>
    </w:p>
    <w:p w14:paraId="6F6512BF" w14:textId="77777777" w:rsidR="003E79F9" w:rsidRDefault="003E79F9" w:rsidP="003E79F9">
      <w:pPr>
        <w:pStyle w:val="Nornal"/>
        <w:spacing w:after="0"/>
        <w:rPr>
          <w:rFonts w:ascii="Trebuchet MS" w:hAnsi="Trebuchet MS"/>
          <w:color w:val="000000"/>
        </w:rPr>
      </w:pPr>
    </w:p>
    <w:p w14:paraId="786C1F4F" w14:textId="0651137B" w:rsidR="00C02E6A" w:rsidRPr="00C02E6A" w:rsidRDefault="00C02E6A" w:rsidP="003E79F9">
      <w:pPr>
        <w:pStyle w:val="Nornal"/>
        <w:spacing w:after="0"/>
        <w:rPr>
          <w:rFonts w:ascii="Trebuchet MS" w:hAnsi="Trebuchet MS"/>
          <w:color w:val="000000"/>
        </w:rPr>
      </w:pPr>
      <w:r w:rsidRPr="00C02E6A">
        <w:rPr>
          <w:rFonts w:ascii="Trebuchet MS" w:hAnsi="Trebuchet MS"/>
          <w:color w:val="000000"/>
        </w:rPr>
        <w:t>Once an initiative is implemented, it's crucial to measure its effectiveness in fostering inclusion. One effective approach is to use feedback mechanisms such as employee surveys and focus groups, which can provide insights into employees' experiences of the initiative (Edmondson, 1999). Additionally, key performance indicators (KPIs) such as employee retention rates, promotion rates of underrepresented groups, and overall job satisfaction can serve as objective measures of inclusivity. I would also recommend conducting regular diversity audits and tracking data on hiring, pay equity, and promotions to identify any patterns of exclusion.</w:t>
      </w:r>
    </w:p>
    <w:p w14:paraId="29B7F539" w14:textId="77777777" w:rsidR="003E79F9" w:rsidRDefault="003E79F9" w:rsidP="003E79F9">
      <w:pPr>
        <w:pStyle w:val="Nornal"/>
        <w:spacing w:after="0"/>
        <w:rPr>
          <w:rFonts w:ascii="Trebuchet MS" w:hAnsi="Trebuchet MS"/>
          <w:color w:val="000000"/>
        </w:rPr>
      </w:pPr>
    </w:p>
    <w:p w14:paraId="66FA14BB" w14:textId="7718CB2E" w:rsidR="00C02E6A" w:rsidRPr="00C02E6A" w:rsidRDefault="00C02E6A" w:rsidP="003E79F9">
      <w:pPr>
        <w:pStyle w:val="Nornal"/>
        <w:spacing w:after="0"/>
        <w:rPr>
          <w:rFonts w:ascii="Trebuchet MS" w:hAnsi="Trebuchet MS"/>
          <w:color w:val="000000"/>
        </w:rPr>
      </w:pPr>
      <w:r w:rsidRPr="00C02E6A">
        <w:rPr>
          <w:rFonts w:ascii="Trebuchet MS" w:hAnsi="Trebuchet MS"/>
          <w:color w:val="000000"/>
        </w:rPr>
        <w:lastRenderedPageBreak/>
        <w:t>In conclusion, designing inclusive people practice initiatives requires a holistic, data-driven approach. By embedding inclusivity in recruitment, leadership development, and employee support, and regularly evaluating the outcomes, organi</w:t>
      </w:r>
      <w:r w:rsidR="003E79F9">
        <w:rPr>
          <w:rFonts w:ascii="Trebuchet MS" w:hAnsi="Trebuchet MS"/>
          <w:color w:val="000000"/>
        </w:rPr>
        <w:t>s</w:t>
      </w:r>
      <w:r w:rsidRPr="00C02E6A">
        <w:rPr>
          <w:rFonts w:ascii="Trebuchet MS" w:hAnsi="Trebuchet MS"/>
          <w:color w:val="000000"/>
        </w:rPr>
        <w:t>ations can create a workplace where all employees feel valued and included.</w:t>
      </w:r>
    </w:p>
    <w:p w14:paraId="1929F6E1" w14:textId="77777777" w:rsidR="0037760E" w:rsidRPr="003E79F9" w:rsidRDefault="0037760E" w:rsidP="003E79F9">
      <w:pPr>
        <w:rPr>
          <w:rFonts w:ascii="Trebuchet MS" w:hAnsi="Trebuchet MS"/>
          <w:b/>
          <w:color w:val="000000"/>
        </w:rPr>
      </w:pPr>
    </w:p>
    <w:p w14:paraId="271BE0DE" w14:textId="77777777" w:rsidR="0037760E" w:rsidRPr="003D52F1" w:rsidRDefault="0037760E" w:rsidP="004C6AA5">
      <w:pPr>
        <w:pStyle w:val="ListParagraph"/>
        <w:rPr>
          <w:rFonts w:ascii="Trebuchet MS" w:hAnsi="Trebuchet MS"/>
          <w:b/>
          <w:color w:val="000000"/>
        </w:rPr>
      </w:pPr>
    </w:p>
    <w:p w14:paraId="6F5E4F32" w14:textId="782A1D63" w:rsidR="004C6AA5" w:rsidRPr="00E44043" w:rsidRDefault="00E44043" w:rsidP="00E44043">
      <w:pPr>
        <w:pStyle w:val="Nornal"/>
        <w:spacing w:after="0" w:line="240" w:lineRule="auto"/>
        <w:rPr>
          <w:rFonts w:ascii="Trebuchet MS" w:hAnsi="Trebuchet MS"/>
          <w:b/>
          <w:bCs/>
          <w:color w:val="004147" w:themeColor="accent2" w:themeShade="80"/>
        </w:rPr>
      </w:pPr>
      <w:r w:rsidRPr="00E44043">
        <w:rPr>
          <w:rFonts w:ascii="Trebuchet MS" w:hAnsi="Trebuchet MS"/>
          <w:b/>
          <w:bCs/>
          <w:color w:val="004147" w:themeColor="accent2" w:themeShade="80"/>
        </w:rPr>
        <w:t>Reflection on Inclusive and Positive Working Practices as a People Professional</w:t>
      </w:r>
      <w:r w:rsidR="004C6AA5" w:rsidRPr="00E44043">
        <w:rPr>
          <w:rFonts w:ascii="Trebuchet MS" w:hAnsi="Trebuchet MS"/>
          <w:b/>
          <w:bCs/>
          <w:color w:val="004147" w:themeColor="accent2" w:themeShade="80"/>
        </w:rPr>
        <w:t xml:space="preserve"> (AC 2.3)</w:t>
      </w:r>
    </w:p>
    <w:p w14:paraId="10194E93" w14:textId="77777777" w:rsidR="00FF32AD" w:rsidRDefault="00FF32AD" w:rsidP="00E44043">
      <w:pPr>
        <w:pStyle w:val="Nornal"/>
        <w:spacing w:after="0" w:line="240" w:lineRule="auto"/>
        <w:rPr>
          <w:rFonts w:ascii="Trebuchet MS" w:hAnsi="Trebuchet MS"/>
          <w:i/>
          <w:iCs/>
          <w:color w:val="000000"/>
        </w:rPr>
      </w:pPr>
      <w:bookmarkStart w:id="3" w:name="_Hlk165445609"/>
    </w:p>
    <w:p w14:paraId="76739D70" w14:textId="77777777" w:rsidR="00FF32AD" w:rsidRPr="00EC3655" w:rsidRDefault="00FF32AD" w:rsidP="00E44043">
      <w:pPr>
        <w:pStyle w:val="Nornal"/>
        <w:spacing w:after="0"/>
        <w:rPr>
          <w:rFonts w:ascii="Trebuchet MS" w:hAnsi="Trebuchet MS"/>
        </w:rPr>
      </w:pPr>
      <w:r w:rsidRPr="00FF32AD">
        <w:rPr>
          <w:rFonts w:ascii="Trebuchet MS" w:hAnsi="Trebuchet MS"/>
        </w:rPr>
        <w:t>In my role as a people professional, I strive to foster an inclusive and positive work environment by actively listening, being open to diverse perspectives, and ensuring that all voices are valued. Inclusion goes beyond representation—it’s about creating spaces where individuals feel psychologically safe to express themselves and contribute meaningfully.</w:t>
      </w:r>
    </w:p>
    <w:p w14:paraId="53288048" w14:textId="77777777" w:rsidR="00FF32AD" w:rsidRPr="00FF32AD" w:rsidRDefault="00FF32AD" w:rsidP="00FF32AD">
      <w:pPr>
        <w:pStyle w:val="Nornal"/>
        <w:spacing w:after="0"/>
        <w:ind w:left="720"/>
        <w:rPr>
          <w:rFonts w:ascii="Trebuchet MS" w:hAnsi="Trebuchet MS"/>
        </w:rPr>
      </w:pPr>
    </w:p>
    <w:p w14:paraId="4C6BBEA2" w14:textId="27A3E4AB" w:rsidR="00FF32AD" w:rsidRPr="00EC3655" w:rsidRDefault="00FF32AD" w:rsidP="00E44043">
      <w:pPr>
        <w:pStyle w:val="Nornal"/>
        <w:spacing w:after="0"/>
        <w:rPr>
          <w:rFonts w:ascii="Trebuchet MS" w:hAnsi="Trebuchet MS"/>
        </w:rPr>
      </w:pPr>
      <w:r w:rsidRPr="00FF32AD">
        <w:rPr>
          <w:rFonts w:ascii="Trebuchet MS" w:hAnsi="Trebuchet MS"/>
        </w:rPr>
        <w:t>One key aspect of my approach is self-awareness. I continuously reflect on my biases and seek feedback to improve my interactions. For example, a colleague once pointed out that while I was good at advocating for inclusive policies, I sometimes unintentionally dominated conversations in meetings. This feedback helped me adjust my approach by prioriti</w:t>
      </w:r>
      <w:r w:rsidR="00EC3655" w:rsidRPr="00EC3655">
        <w:rPr>
          <w:rFonts w:ascii="Trebuchet MS" w:hAnsi="Trebuchet MS"/>
        </w:rPr>
        <w:t>s</w:t>
      </w:r>
      <w:r w:rsidRPr="00FF32AD">
        <w:rPr>
          <w:rFonts w:ascii="Trebuchet MS" w:hAnsi="Trebuchet MS"/>
        </w:rPr>
        <w:t>ing active listening and making room for quieter voices.</w:t>
      </w:r>
    </w:p>
    <w:p w14:paraId="2710F642" w14:textId="77777777" w:rsidR="00FF32AD" w:rsidRPr="00FF32AD" w:rsidRDefault="00FF32AD" w:rsidP="00FF32AD">
      <w:pPr>
        <w:pStyle w:val="Nornal"/>
        <w:spacing w:after="0"/>
        <w:ind w:left="720"/>
        <w:rPr>
          <w:rFonts w:ascii="Trebuchet MS" w:hAnsi="Trebuchet MS"/>
          <w:color w:val="C00000"/>
        </w:rPr>
      </w:pPr>
    </w:p>
    <w:p w14:paraId="5C7D2AE3" w14:textId="48CD71DB" w:rsidR="00FF32AD" w:rsidRPr="004733A6" w:rsidRDefault="00FF32AD" w:rsidP="00E44043">
      <w:pPr>
        <w:pStyle w:val="Nornal"/>
        <w:spacing w:after="0"/>
        <w:rPr>
          <w:rFonts w:ascii="Trebuchet MS" w:hAnsi="Trebuchet MS"/>
        </w:rPr>
      </w:pPr>
      <w:r w:rsidRPr="00FF32AD">
        <w:rPr>
          <w:rFonts w:ascii="Trebuchet MS" w:hAnsi="Trebuchet MS"/>
        </w:rPr>
        <w:t xml:space="preserve">Collaboration is another strength I bring to inclusive working. A team member recently commended my ability to mediate discussions and create a space where different viewpoints are acknowledged and integrated into decision-making. They noted that I help diffuse tension in challenging conversations, ensuring that every team member feels heard and respected. This reinforced my belief that inclusion is not just about policies but about everyday </w:t>
      </w:r>
      <w:r w:rsidRPr="004733A6">
        <w:rPr>
          <w:rFonts w:ascii="Trebuchet MS" w:hAnsi="Trebuchet MS"/>
        </w:rPr>
        <w:t>behaviours</w:t>
      </w:r>
      <w:r w:rsidRPr="00FF32AD">
        <w:rPr>
          <w:rFonts w:ascii="Trebuchet MS" w:hAnsi="Trebuchet MS"/>
        </w:rPr>
        <w:t xml:space="preserve"> and interactions.</w:t>
      </w:r>
    </w:p>
    <w:p w14:paraId="0B5E15C7" w14:textId="77777777" w:rsidR="00FF32AD" w:rsidRPr="00FF32AD" w:rsidRDefault="00FF32AD" w:rsidP="00FF32AD">
      <w:pPr>
        <w:pStyle w:val="Nornal"/>
        <w:spacing w:after="0"/>
        <w:ind w:left="720"/>
        <w:rPr>
          <w:rFonts w:ascii="Trebuchet MS" w:hAnsi="Trebuchet MS"/>
          <w:color w:val="C00000"/>
        </w:rPr>
      </w:pPr>
    </w:p>
    <w:p w14:paraId="48E31EBB" w14:textId="537A44B6" w:rsidR="00FF32AD" w:rsidRPr="00804840" w:rsidRDefault="00FF32AD" w:rsidP="00E44043">
      <w:pPr>
        <w:pStyle w:val="Nornal"/>
        <w:spacing w:after="0"/>
        <w:rPr>
          <w:rFonts w:ascii="Trebuchet MS" w:hAnsi="Trebuchet MS"/>
        </w:rPr>
      </w:pPr>
      <w:r w:rsidRPr="00FF32AD">
        <w:rPr>
          <w:rFonts w:ascii="Trebuchet MS" w:hAnsi="Trebuchet MS"/>
        </w:rPr>
        <w:t>Moreover, I understand that inclusion requires continuous learning. In August 2025, I attended Inclusion and Diversity training, which helped me deepen my understanding of unconscious biases and intersectionality in the workplace. It also reinforced the importance of creating a culture where everyone feels safe and supported. As an active Wellbeing and Inclusion Champion for my company, I have the opportunity to put these principles into practice, whether through organi</w:t>
      </w:r>
      <w:r w:rsidR="00804840" w:rsidRPr="00804840">
        <w:rPr>
          <w:rFonts w:ascii="Trebuchet MS" w:hAnsi="Trebuchet MS"/>
        </w:rPr>
        <w:t>s</w:t>
      </w:r>
      <w:r w:rsidRPr="00FF32AD">
        <w:rPr>
          <w:rFonts w:ascii="Trebuchet MS" w:hAnsi="Trebuchet MS"/>
        </w:rPr>
        <w:t>ing events or creating initiatives that celebrate diverse perspectives.</w:t>
      </w:r>
    </w:p>
    <w:p w14:paraId="57EAD787" w14:textId="77777777" w:rsidR="00FF32AD" w:rsidRPr="00FF32AD" w:rsidRDefault="00FF32AD" w:rsidP="00FF32AD">
      <w:pPr>
        <w:pStyle w:val="Nornal"/>
        <w:spacing w:after="0"/>
        <w:ind w:left="720"/>
        <w:rPr>
          <w:rFonts w:ascii="Trebuchet MS" w:hAnsi="Trebuchet MS"/>
          <w:color w:val="C00000"/>
        </w:rPr>
      </w:pPr>
    </w:p>
    <w:p w14:paraId="4C1EC4B9" w14:textId="77777777" w:rsidR="00FF32AD" w:rsidRPr="00804840" w:rsidRDefault="00FF32AD" w:rsidP="00E44043">
      <w:pPr>
        <w:pStyle w:val="Nornal"/>
        <w:spacing w:after="0"/>
        <w:rPr>
          <w:rFonts w:ascii="Trebuchet MS" w:hAnsi="Trebuchet MS"/>
        </w:rPr>
      </w:pPr>
      <w:r w:rsidRPr="00FF32AD">
        <w:rPr>
          <w:rFonts w:ascii="Trebuchet MS" w:hAnsi="Trebuchet MS"/>
        </w:rPr>
        <w:t>Recently, in our Wellbeing and Inclusion working group, I facilitated a discussion on neurodiversity. A colleague later shared that the session helped them feel more comfortable discussing their own neurodivergence, which underscored the impact of fostering open, supportive conversations.</w:t>
      </w:r>
    </w:p>
    <w:p w14:paraId="33BE1AF1" w14:textId="77777777" w:rsidR="00FF32AD" w:rsidRPr="00FF32AD" w:rsidRDefault="00FF32AD" w:rsidP="00FF32AD">
      <w:pPr>
        <w:pStyle w:val="Nornal"/>
        <w:spacing w:after="0"/>
        <w:ind w:left="720"/>
        <w:rPr>
          <w:rFonts w:ascii="Trebuchet MS" w:hAnsi="Trebuchet MS"/>
          <w:color w:val="C00000"/>
        </w:rPr>
      </w:pPr>
    </w:p>
    <w:p w14:paraId="536DD069" w14:textId="78BA6DDD" w:rsidR="00FF32AD" w:rsidRPr="00FF32AD" w:rsidRDefault="00FF32AD" w:rsidP="00E44043">
      <w:pPr>
        <w:pStyle w:val="Nornal"/>
        <w:spacing w:after="0"/>
        <w:rPr>
          <w:rFonts w:ascii="Trebuchet MS" w:hAnsi="Trebuchet MS"/>
        </w:rPr>
      </w:pPr>
      <w:r w:rsidRPr="00FF32AD">
        <w:rPr>
          <w:rFonts w:ascii="Trebuchet MS" w:hAnsi="Trebuchet MS"/>
        </w:rPr>
        <w:t>Overall, my ability to work inclusively is rooted in active listening, adaptability, and a commitment to growth. While I recogni</w:t>
      </w:r>
      <w:r w:rsidR="00804840" w:rsidRPr="00804840">
        <w:rPr>
          <w:rFonts w:ascii="Trebuchet MS" w:hAnsi="Trebuchet MS"/>
        </w:rPr>
        <w:t>s</w:t>
      </w:r>
      <w:r w:rsidRPr="00FF32AD">
        <w:rPr>
          <w:rFonts w:ascii="Trebuchet MS" w:hAnsi="Trebuchet MS"/>
        </w:rPr>
        <w:t>e there is always room for improvement, I am dedicated to ensuring that my professional interactions contribute to a workplace where everyone feels valued and empowered.</w:t>
      </w:r>
    </w:p>
    <w:p w14:paraId="725C4F9F" w14:textId="77777777" w:rsidR="00FF32AD" w:rsidRPr="00FF32AD" w:rsidRDefault="00FF32AD" w:rsidP="004C6AA5">
      <w:pPr>
        <w:pStyle w:val="Nornal"/>
        <w:spacing w:after="0" w:line="240" w:lineRule="auto"/>
        <w:ind w:left="720"/>
        <w:rPr>
          <w:rFonts w:ascii="Trebuchet MS" w:hAnsi="Trebuchet MS"/>
          <w:color w:val="000000"/>
        </w:rPr>
      </w:pPr>
    </w:p>
    <w:bookmarkEnd w:id="3"/>
    <w:p w14:paraId="10113617" w14:textId="77777777" w:rsidR="004C6AA5" w:rsidRPr="003D52F1" w:rsidRDefault="004C6AA5" w:rsidP="004C6AA5">
      <w:pPr>
        <w:pStyle w:val="ListParagraph"/>
        <w:rPr>
          <w:rFonts w:ascii="Trebuchet MS" w:hAnsi="Trebuchet MS"/>
          <w:b/>
          <w:color w:val="000000"/>
        </w:rPr>
      </w:pPr>
    </w:p>
    <w:p w14:paraId="73428487" w14:textId="5C9059C3" w:rsidR="004C6AA5" w:rsidRPr="00090182" w:rsidRDefault="00090182" w:rsidP="00090182">
      <w:pPr>
        <w:pStyle w:val="Nornal"/>
        <w:spacing w:after="0" w:line="240" w:lineRule="auto"/>
        <w:rPr>
          <w:rFonts w:ascii="Trebuchet MS" w:hAnsi="Trebuchet MS"/>
          <w:color w:val="00616A" w:themeColor="accent2" w:themeShade="BF"/>
        </w:rPr>
      </w:pPr>
      <w:r w:rsidRPr="00090182">
        <w:rPr>
          <w:rFonts w:ascii="Trebuchet MS" w:hAnsi="Trebuchet MS"/>
          <w:b/>
          <w:color w:val="00616A" w:themeColor="accent2" w:themeShade="BF"/>
        </w:rPr>
        <w:t xml:space="preserve">Evolution of the </w:t>
      </w:r>
      <w:r w:rsidR="004C6AA5" w:rsidRPr="00090182">
        <w:rPr>
          <w:rFonts w:ascii="Trebuchet MS" w:hAnsi="Trebuchet MS"/>
          <w:b/>
          <w:color w:val="00616A" w:themeColor="accent2" w:themeShade="BF"/>
        </w:rPr>
        <w:t xml:space="preserve">people practitioner role </w:t>
      </w:r>
      <w:r w:rsidRPr="00090182">
        <w:rPr>
          <w:rFonts w:ascii="Trebuchet MS" w:hAnsi="Trebuchet MS"/>
          <w:b/>
          <w:color w:val="00616A" w:themeColor="accent2" w:themeShade="BF"/>
        </w:rPr>
        <w:t>(</w:t>
      </w:r>
      <w:r w:rsidR="004C6AA5" w:rsidRPr="00090182">
        <w:rPr>
          <w:rFonts w:ascii="Trebuchet MS" w:hAnsi="Trebuchet MS"/>
          <w:b/>
          <w:bCs/>
          <w:color w:val="00616A" w:themeColor="accent2" w:themeShade="BF"/>
        </w:rPr>
        <w:t>AC</w:t>
      </w:r>
      <w:r w:rsidR="00DC2991" w:rsidRPr="00090182">
        <w:rPr>
          <w:rFonts w:ascii="Trebuchet MS" w:hAnsi="Trebuchet MS"/>
          <w:b/>
          <w:bCs/>
          <w:color w:val="00616A" w:themeColor="accent2" w:themeShade="BF"/>
        </w:rPr>
        <w:t xml:space="preserve"> </w:t>
      </w:r>
      <w:r w:rsidR="004C6AA5" w:rsidRPr="00090182">
        <w:rPr>
          <w:rFonts w:ascii="Trebuchet MS" w:hAnsi="Trebuchet MS"/>
          <w:b/>
          <w:bCs/>
          <w:color w:val="00616A" w:themeColor="accent2" w:themeShade="BF"/>
        </w:rPr>
        <w:t>3.1)</w:t>
      </w:r>
    </w:p>
    <w:p w14:paraId="2308271B" w14:textId="77777777" w:rsidR="00D379E7" w:rsidRDefault="00D379E7" w:rsidP="004C6AA5">
      <w:pPr>
        <w:pStyle w:val="Nornal"/>
        <w:spacing w:after="0" w:line="240" w:lineRule="auto"/>
        <w:ind w:left="720"/>
        <w:rPr>
          <w:rFonts w:ascii="Trebuchet MS" w:hAnsi="Trebuchet MS"/>
          <w:color w:val="000000" w:themeColor="text1"/>
        </w:rPr>
      </w:pPr>
    </w:p>
    <w:p w14:paraId="2037C3EF" w14:textId="77777777" w:rsidR="00C26772" w:rsidRDefault="00C26772" w:rsidP="00C26772">
      <w:pPr>
        <w:pStyle w:val="Nornal"/>
        <w:spacing w:after="0"/>
        <w:rPr>
          <w:rFonts w:ascii="Trebuchet MS" w:hAnsi="Trebuchet MS"/>
          <w:color w:val="000000"/>
        </w:rPr>
      </w:pPr>
      <w:r w:rsidRPr="00C26772">
        <w:rPr>
          <w:rFonts w:ascii="Trebuchet MS" w:hAnsi="Trebuchet MS"/>
          <w:color w:val="000000"/>
        </w:rPr>
        <w:t>The role of the people practitioner is undergoing significant transformation, driven by rapid changes in technology, the evolving expectations of the workforce, and an increased focus on diversity, equity, and inclusion (DEI). Traditionally viewed as administrative or compliance-focused, people practitioners are now expected to act as strategic enablers, aligning people strategies with business goals and contributing to organisational performance (CIPD, 2021).</w:t>
      </w:r>
    </w:p>
    <w:p w14:paraId="03AFD11C" w14:textId="77777777" w:rsidR="00477179" w:rsidRPr="00C26772" w:rsidRDefault="00477179" w:rsidP="00C26772">
      <w:pPr>
        <w:pStyle w:val="Nornal"/>
        <w:spacing w:after="0"/>
        <w:rPr>
          <w:rFonts w:ascii="Trebuchet MS" w:hAnsi="Trebuchet MS"/>
          <w:color w:val="000000"/>
        </w:rPr>
      </w:pPr>
    </w:p>
    <w:p w14:paraId="166460D9" w14:textId="77777777" w:rsidR="00C26772" w:rsidRDefault="00C26772" w:rsidP="00C26772">
      <w:pPr>
        <w:pStyle w:val="Nornal"/>
        <w:spacing w:after="0"/>
        <w:rPr>
          <w:rFonts w:ascii="Trebuchet MS" w:hAnsi="Trebuchet MS"/>
          <w:color w:val="000000"/>
        </w:rPr>
      </w:pPr>
      <w:r w:rsidRPr="00C26772">
        <w:rPr>
          <w:rFonts w:ascii="Trebuchet MS" w:hAnsi="Trebuchet MS"/>
          <w:color w:val="000000"/>
        </w:rPr>
        <w:lastRenderedPageBreak/>
        <w:t>One of the most prominent changes is the increasing reliance on data analytics. People professionals must now use people data to inform decisions, forecast workforce trends, and measure the impact of HR initiatives (Ulrich et al., 2017). This shift necessitates not only technical proficiency but also the ability to translate data insights into actionable strategies that support business objectives.</w:t>
      </w:r>
    </w:p>
    <w:p w14:paraId="122F0C89" w14:textId="77777777" w:rsidR="00477179" w:rsidRPr="00C26772" w:rsidRDefault="00477179" w:rsidP="00C26772">
      <w:pPr>
        <w:pStyle w:val="Nornal"/>
        <w:spacing w:after="0"/>
        <w:rPr>
          <w:rFonts w:ascii="Trebuchet MS" w:hAnsi="Trebuchet MS"/>
          <w:color w:val="000000"/>
        </w:rPr>
      </w:pPr>
    </w:p>
    <w:p w14:paraId="23E42114" w14:textId="77777777" w:rsidR="00C26772" w:rsidRDefault="00C26772" w:rsidP="00C26772">
      <w:pPr>
        <w:pStyle w:val="Nornal"/>
        <w:spacing w:after="0"/>
        <w:rPr>
          <w:rFonts w:ascii="Trebuchet MS" w:hAnsi="Trebuchet MS"/>
          <w:color w:val="000000"/>
        </w:rPr>
      </w:pPr>
      <w:r w:rsidRPr="00C26772">
        <w:rPr>
          <w:rFonts w:ascii="Trebuchet MS" w:hAnsi="Trebuchet MS"/>
          <w:color w:val="000000"/>
        </w:rPr>
        <w:t>Moreover, the rise of hybrid and flexible working models has reshaped expectations around employee experience and wellbeing. People practitioners are required to champion a culture of trust, inclusivity, and continuous learning while supporting employee resilience and engagement in increasingly diverse workplaces (CIPD, 2022).</w:t>
      </w:r>
    </w:p>
    <w:p w14:paraId="5A35EEE3" w14:textId="77777777" w:rsidR="00477179" w:rsidRPr="00C26772" w:rsidRDefault="00477179" w:rsidP="00C26772">
      <w:pPr>
        <w:pStyle w:val="Nornal"/>
        <w:spacing w:after="0"/>
        <w:rPr>
          <w:rFonts w:ascii="Trebuchet MS" w:hAnsi="Trebuchet MS"/>
          <w:color w:val="000000"/>
        </w:rPr>
      </w:pPr>
    </w:p>
    <w:p w14:paraId="01D5B13E" w14:textId="77777777" w:rsidR="00C26772" w:rsidRDefault="00C26772" w:rsidP="00C26772">
      <w:pPr>
        <w:pStyle w:val="Nornal"/>
        <w:spacing w:after="0"/>
        <w:rPr>
          <w:rFonts w:ascii="Trebuchet MS" w:hAnsi="Trebuchet MS"/>
          <w:color w:val="000000"/>
        </w:rPr>
      </w:pPr>
      <w:r w:rsidRPr="00C26772">
        <w:rPr>
          <w:rFonts w:ascii="Trebuchet MS" w:hAnsi="Trebuchet MS"/>
          <w:color w:val="000000"/>
        </w:rPr>
        <w:t>These changes have direct implications for my ongoing professional development. Firstly, I must adopt a mindset of continuous learning to remain agile and responsive to new challenges. Building capability in areas such as people analytics, digital HR systems, and organisational development is essential. Equally, enhancing soft skills like emotional intelligence, stakeholder management, and ethical decision-making is vital to influencing change and building credibility (Chartered Management Institute, 2023).</w:t>
      </w:r>
    </w:p>
    <w:p w14:paraId="5D9430F7" w14:textId="77777777" w:rsidR="0057443C" w:rsidRPr="00C26772" w:rsidRDefault="0057443C" w:rsidP="00C26772">
      <w:pPr>
        <w:pStyle w:val="Nornal"/>
        <w:spacing w:after="0"/>
        <w:rPr>
          <w:rFonts w:ascii="Trebuchet MS" w:hAnsi="Trebuchet MS"/>
          <w:color w:val="000000"/>
        </w:rPr>
      </w:pPr>
    </w:p>
    <w:p w14:paraId="7DFD5B1B" w14:textId="77777777" w:rsidR="00C26772" w:rsidRDefault="00C26772" w:rsidP="00C26772">
      <w:pPr>
        <w:pStyle w:val="Nornal"/>
        <w:spacing w:after="0"/>
        <w:rPr>
          <w:rFonts w:ascii="Trebuchet MS" w:hAnsi="Trebuchet MS"/>
          <w:color w:val="000000"/>
        </w:rPr>
      </w:pPr>
      <w:r w:rsidRPr="00C26772">
        <w:rPr>
          <w:rFonts w:ascii="Trebuchet MS" w:hAnsi="Trebuchet MS"/>
          <w:color w:val="000000"/>
        </w:rPr>
        <w:t>Professional development frameworks, such as the CIPD Profession Map, offer guidance on the behaviours and knowledge areas required at different career stages. By using this as a benchmark, I can identify gaps in my current capabilities and plan targeted learning interventions. Remaining actively engaged in professional networks and reflective practice will also support my growth and adaptability as a modern people practitioner.</w:t>
      </w:r>
    </w:p>
    <w:p w14:paraId="15AF1681" w14:textId="77777777" w:rsidR="0057443C" w:rsidRPr="00C26772" w:rsidRDefault="0057443C" w:rsidP="00C26772">
      <w:pPr>
        <w:pStyle w:val="Nornal"/>
        <w:spacing w:after="0"/>
        <w:rPr>
          <w:rFonts w:ascii="Trebuchet MS" w:hAnsi="Trebuchet MS"/>
          <w:color w:val="000000"/>
        </w:rPr>
      </w:pPr>
    </w:p>
    <w:p w14:paraId="7B9D14DE" w14:textId="77777777" w:rsidR="00C26772" w:rsidRPr="00C26772" w:rsidRDefault="00C26772" w:rsidP="00C26772">
      <w:pPr>
        <w:pStyle w:val="Nornal"/>
        <w:spacing w:after="0"/>
        <w:rPr>
          <w:rFonts w:ascii="Trebuchet MS" w:hAnsi="Trebuchet MS"/>
          <w:color w:val="000000"/>
        </w:rPr>
      </w:pPr>
      <w:r w:rsidRPr="00C26772">
        <w:rPr>
          <w:rFonts w:ascii="Trebuchet MS" w:hAnsi="Trebuchet MS"/>
          <w:color w:val="000000"/>
        </w:rPr>
        <w:t>In conclusion, the evolving role of the people practitioner calls for a strategic, data-informed, and people-centred approach. Embracing lifelong learning and aligning with professional standards will be crucial to thriving in this dynamic and impactful field.</w:t>
      </w:r>
    </w:p>
    <w:p w14:paraId="4DAC25B8" w14:textId="77777777" w:rsidR="00D379E7" w:rsidRPr="003D52F1" w:rsidRDefault="00D379E7" w:rsidP="00C26772">
      <w:pPr>
        <w:pStyle w:val="Nornal"/>
        <w:spacing w:after="0" w:line="240" w:lineRule="auto"/>
        <w:rPr>
          <w:rFonts w:ascii="Trebuchet MS" w:hAnsi="Trebuchet MS"/>
          <w:color w:val="000000"/>
        </w:rPr>
      </w:pPr>
    </w:p>
    <w:p w14:paraId="59E33324" w14:textId="77777777" w:rsidR="004C6AA5" w:rsidRPr="003D52F1" w:rsidRDefault="004C6AA5" w:rsidP="004C6AA5">
      <w:pPr>
        <w:pStyle w:val="ListParagraph"/>
        <w:rPr>
          <w:rFonts w:ascii="Trebuchet MS" w:hAnsi="Trebuchet MS"/>
          <w:b/>
          <w:color w:val="000000"/>
        </w:rPr>
      </w:pPr>
    </w:p>
    <w:p w14:paraId="133A146B" w14:textId="7F3B5F91" w:rsidR="004C6AA5" w:rsidRPr="006000C3" w:rsidRDefault="0025481D" w:rsidP="00511BBE">
      <w:pPr>
        <w:rPr>
          <w:rFonts w:ascii="Trebuchet MS" w:hAnsi="Trebuchet MS"/>
          <w:b/>
          <w:bCs/>
          <w:color w:val="00616A" w:themeColor="accent2" w:themeShade="BF"/>
        </w:rPr>
      </w:pPr>
      <w:r w:rsidRPr="006000C3">
        <w:rPr>
          <w:rFonts w:ascii="Trebuchet MS" w:hAnsi="Trebuchet MS"/>
          <w:b/>
          <w:bCs/>
          <w:color w:val="00616A" w:themeColor="accent2" w:themeShade="BF"/>
        </w:rPr>
        <w:t>Self-assessment</w:t>
      </w:r>
      <w:r w:rsidR="009D0F4D" w:rsidRPr="006000C3">
        <w:rPr>
          <w:rFonts w:ascii="Trebuchet MS" w:hAnsi="Trebuchet MS"/>
          <w:b/>
          <w:bCs/>
          <w:color w:val="00616A" w:themeColor="accent2" w:themeShade="BF"/>
        </w:rPr>
        <w:t xml:space="preserve"> and colleague feedback (AC</w:t>
      </w:r>
      <w:r w:rsidR="006000C3" w:rsidRPr="006000C3">
        <w:rPr>
          <w:rFonts w:ascii="Trebuchet MS" w:hAnsi="Trebuchet MS"/>
          <w:b/>
          <w:bCs/>
          <w:color w:val="00616A" w:themeColor="accent2" w:themeShade="BF"/>
        </w:rPr>
        <w:t xml:space="preserve"> 3.2)</w:t>
      </w:r>
    </w:p>
    <w:p w14:paraId="02CD69CC" w14:textId="77777777" w:rsidR="006000C3" w:rsidRDefault="006000C3" w:rsidP="00511BBE">
      <w:pPr>
        <w:rPr>
          <w:rFonts w:ascii="Trebuchet MS" w:hAnsi="Trebuchet MS"/>
          <w:color w:val="000000"/>
        </w:rPr>
      </w:pPr>
    </w:p>
    <w:p w14:paraId="62F486B2" w14:textId="77777777" w:rsidR="00095E5D" w:rsidRDefault="00095E5D" w:rsidP="00095E5D">
      <w:pPr>
        <w:rPr>
          <w:rFonts w:ascii="Trebuchet MS" w:hAnsi="Trebuchet MS"/>
          <w:color w:val="000000"/>
        </w:rPr>
      </w:pPr>
      <w:r w:rsidRPr="00095E5D">
        <w:rPr>
          <w:rFonts w:ascii="Trebuchet MS" w:hAnsi="Trebuchet MS"/>
          <w:color w:val="000000"/>
        </w:rPr>
        <w:t xml:space="preserve">To assess my capability as a people practitioner, I have reflected on two core behaviours from the CIPD Profession Map at associate level: </w:t>
      </w:r>
      <w:r w:rsidRPr="00095E5D">
        <w:rPr>
          <w:rFonts w:ascii="Trebuchet MS" w:hAnsi="Trebuchet MS"/>
          <w:b/>
          <w:bCs/>
          <w:color w:val="000000"/>
        </w:rPr>
        <w:t>Personally Credible</w:t>
      </w:r>
      <w:r w:rsidRPr="00095E5D">
        <w:rPr>
          <w:rFonts w:ascii="Trebuchet MS" w:hAnsi="Trebuchet MS"/>
          <w:color w:val="000000"/>
        </w:rPr>
        <w:t xml:space="preserve"> and </w:t>
      </w:r>
      <w:r w:rsidRPr="00095E5D">
        <w:rPr>
          <w:rFonts w:ascii="Trebuchet MS" w:hAnsi="Trebuchet MS"/>
          <w:b/>
          <w:bCs/>
          <w:color w:val="000000"/>
        </w:rPr>
        <w:t>Valuing People</w:t>
      </w:r>
      <w:r w:rsidRPr="00095E5D">
        <w:rPr>
          <w:rFonts w:ascii="Trebuchet MS" w:hAnsi="Trebuchet MS"/>
          <w:color w:val="000000"/>
        </w:rPr>
        <w:t>. My self-assessment is based on reflective practice, workplace experiences, and feedback from my line manager during a recent development review.</w:t>
      </w:r>
    </w:p>
    <w:p w14:paraId="16C90F76" w14:textId="77777777" w:rsidR="006000C3" w:rsidRPr="00095E5D" w:rsidRDefault="006000C3" w:rsidP="00095E5D">
      <w:pPr>
        <w:rPr>
          <w:rFonts w:ascii="Trebuchet MS" w:hAnsi="Trebuchet MS"/>
          <w:color w:val="000000"/>
        </w:rPr>
      </w:pPr>
    </w:p>
    <w:p w14:paraId="59E040DD" w14:textId="77777777" w:rsidR="00095E5D" w:rsidRDefault="00095E5D" w:rsidP="00095E5D">
      <w:pPr>
        <w:rPr>
          <w:rFonts w:ascii="Trebuchet MS" w:hAnsi="Trebuchet MS"/>
          <w:color w:val="000000"/>
        </w:rPr>
      </w:pPr>
      <w:r w:rsidRPr="00095E5D">
        <w:rPr>
          <w:rFonts w:ascii="Trebuchet MS" w:hAnsi="Trebuchet MS"/>
          <w:b/>
          <w:bCs/>
          <w:color w:val="000000"/>
        </w:rPr>
        <w:t>Personally Credible</w:t>
      </w:r>
      <w:r w:rsidRPr="00095E5D">
        <w:rPr>
          <w:rFonts w:ascii="Trebuchet MS" w:hAnsi="Trebuchet MS"/>
          <w:color w:val="000000"/>
        </w:rPr>
        <w:br/>
        <w:t>This behaviour focuses on building trust by combining expertise with sound judgement. I believe this is one of my strengths. I consistently deliver accurate, evidence-based advice and am trusted to handle sensitive employee matters. My manager highlighted in our one-to-one that colleagues often seek my input on policy interpretation and that I demonstrate professionalism in both written and verbal communication. However, we also discussed a development area: my confidence in challenging more senior stakeholders. While I understand people practices well, I sometimes hesitate to speak up in high-pressure meetings. To address this, I plan to engage in mentoring and observe how senior HR colleagues manage these interactions to build confidence and assertiveness.</w:t>
      </w:r>
    </w:p>
    <w:p w14:paraId="006DD6CE" w14:textId="77777777" w:rsidR="006000C3" w:rsidRPr="00095E5D" w:rsidRDefault="006000C3" w:rsidP="00095E5D">
      <w:pPr>
        <w:rPr>
          <w:rFonts w:ascii="Trebuchet MS" w:hAnsi="Trebuchet MS"/>
          <w:color w:val="000000"/>
        </w:rPr>
      </w:pPr>
    </w:p>
    <w:p w14:paraId="34ECDC81" w14:textId="77777777" w:rsidR="006000C3" w:rsidRDefault="00095E5D" w:rsidP="00095E5D">
      <w:pPr>
        <w:rPr>
          <w:rFonts w:ascii="Trebuchet MS" w:hAnsi="Trebuchet MS"/>
          <w:color w:val="000000"/>
        </w:rPr>
      </w:pPr>
      <w:r w:rsidRPr="00095E5D">
        <w:rPr>
          <w:rFonts w:ascii="Trebuchet MS" w:hAnsi="Trebuchet MS"/>
          <w:b/>
          <w:bCs/>
          <w:color w:val="000000"/>
        </w:rPr>
        <w:t>Valuing People</w:t>
      </w:r>
      <w:r w:rsidRPr="00095E5D">
        <w:rPr>
          <w:rFonts w:ascii="Trebuchet MS" w:hAnsi="Trebuchet MS"/>
          <w:color w:val="000000"/>
        </w:rPr>
        <w:br/>
        <w:t xml:space="preserve">This behaviour reflects how effectively I support an inclusive, fair, and respectful working environment. I am actively involved in my organisation’s Wellbeing and Inclusion Working Group, which has deepened my awareness of DEI issues. My participation in running events and campaigns has received positive feedback, particularly on how I make others feel heard and included. A </w:t>
      </w:r>
      <w:r w:rsidRPr="00095E5D">
        <w:rPr>
          <w:rFonts w:ascii="Trebuchet MS" w:hAnsi="Trebuchet MS"/>
          <w:color w:val="000000"/>
        </w:rPr>
        <w:lastRenderedPageBreak/>
        <w:t>colleague noted that I create a safe space in team discussions and am mindful of different communication styles. However, I recognise that I could improve in how I influence wider organisational culture beyond our working group. Sometimes, I struggle to bring inclusion considerations into operational decisions or project planning early enough. I intend to explore CIPD resources on inclusive leadership and apply these principles more proactively across my daily work.</w:t>
      </w:r>
    </w:p>
    <w:p w14:paraId="3242431F" w14:textId="5A60215D" w:rsidR="00095E5D" w:rsidRPr="00095E5D" w:rsidRDefault="00095E5D" w:rsidP="00095E5D">
      <w:pPr>
        <w:rPr>
          <w:rFonts w:ascii="Trebuchet MS" w:hAnsi="Trebuchet MS"/>
          <w:color w:val="000000"/>
        </w:rPr>
      </w:pPr>
      <w:r w:rsidRPr="00095E5D">
        <w:rPr>
          <w:rFonts w:ascii="Trebuchet MS" w:hAnsi="Trebuchet MS"/>
          <w:color w:val="000000"/>
        </w:rPr>
        <w:br/>
        <w:t>Overall, the assessment highlighted that I am seen as reliable, ethical, and collaborative—key indicators of strength in both areas. However, to progress further, I need to build my confidence in influencing upwards and embed inclusive thinking more consistently across all aspects of my role. These insights, drawn from personal reflection and feedback, have shaped my current development plan and will support my continued growth as a people practitioner.</w:t>
      </w:r>
    </w:p>
    <w:p w14:paraId="2DF76FDD" w14:textId="77777777" w:rsidR="00095E5D" w:rsidRDefault="00095E5D" w:rsidP="00511BBE">
      <w:pPr>
        <w:rPr>
          <w:rFonts w:ascii="Trebuchet MS" w:hAnsi="Trebuchet MS"/>
          <w:color w:val="000000"/>
        </w:rPr>
      </w:pPr>
    </w:p>
    <w:p w14:paraId="73630E07" w14:textId="77777777" w:rsidR="00095E5D" w:rsidRPr="00511BBE" w:rsidRDefault="00095E5D" w:rsidP="00511BBE">
      <w:pPr>
        <w:rPr>
          <w:rFonts w:ascii="Trebuchet MS" w:hAnsi="Trebuchet MS"/>
          <w:color w:val="000000"/>
        </w:rPr>
      </w:pPr>
    </w:p>
    <w:p w14:paraId="362E0944" w14:textId="09F64AF6" w:rsidR="004C6AA5" w:rsidRDefault="004C6AA5" w:rsidP="00722FEA">
      <w:pPr>
        <w:pStyle w:val="Nornal"/>
        <w:spacing w:after="0" w:line="240" w:lineRule="auto"/>
        <w:rPr>
          <w:rFonts w:ascii="Trebuchet MS" w:hAnsi="Trebuchet MS"/>
          <w:color w:val="000000"/>
        </w:rPr>
      </w:pPr>
      <w:r w:rsidRPr="0010084D">
        <w:rPr>
          <w:rFonts w:ascii="Trebuchet MS" w:hAnsi="Trebuchet MS"/>
          <w:b/>
          <w:color w:val="00616A" w:themeColor="accent2" w:themeShade="BF"/>
        </w:rPr>
        <w:t>CPD options to support ongoing learning</w:t>
      </w:r>
      <w:r w:rsidR="0010084D">
        <w:rPr>
          <w:rFonts w:ascii="Trebuchet MS" w:hAnsi="Trebuchet MS"/>
          <w:b/>
          <w:color w:val="00616A" w:themeColor="accent2" w:themeShade="BF"/>
        </w:rPr>
        <w:t xml:space="preserve"> (</w:t>
      </w:r>
      <w:r w:rsidR="00F17BFC">
        <w:rPr>
          <w:rFonts w:ascii="Trebuchet MS" w:hAnsi="Trebuchet MS"/>
          <w:b/>
          <w:color w:val="00616A" w:themeColor="accent2" w:themeShade="BF"/>
        </w:rPr>
        <w:t>AC 3.3)</w:t>
      </w:r>
    </w:p>
    <w:p w14:paraId="02D38A10" w14:textId="77777777" w:rsidR="00722FEA" w:rsidRPr="003D52F1" w:rsidRDefault="00722FEA" w:rsidP="00722FEA">
      <w:pPr>
        <w:pStyle w:val="Nornal"/>
        <w:spacing w:after="0" w:line="240" w:lineRule="auto"/>
        <w:rPr>
          <w:rFonts w:ascii="Trebuchet MS" w:hAnsi="Trebuchet MS"/>
          <w:color w:val="000000"/>
        </w:rPr>
      </w:pPr>
    </w:p>
    <w:p w14:paraId="27D05F88" w14:textId="77777777" w:rsidR="00722FEA" w:rsidRDefault="00722FEA" w:rsidP="00722FEA">
      <w:pPr>
        <w:rPr>
          <w:rFonts w:ascii="Trebuchet MS" w:hAnsi="Trebuchet MS"/>
          <w:color w:val="000000"/>
        </w:rPr>
      </w:pPr>
      <w:r w:rsidRPr="00722FEA">
        <w:rPr>
          <w:rFonts w:ascii="Trebuchet MS" w:hAnsi="Trebuchet MS"/>
          <w:color w:val="000000"/>
        </w:rPr>
        <w:t>Continuous professional development is essential for staying current, building capability, and growing confidence as a people practitioner. To support my ongoing learning, I have identified a range of formal and informal CPD activities that align with both my current role and future aspirations.</w:t>
      </w:r>
    </w:p>
    <w:p w14:paraId="4AEC4D37" w14:textId="77777777" w:rsidR="00DD2134" w:rsidRPr="00722FEA" w:rsidRDefault="00DD2134" w:rsidP="00722FEA">
      <w:pPr>
        <w:rPr>
          <w:rFonts w:ascii="Trebuchet MS" w:hAnsi="Trebuchet MS"/>
          <w:color w:val="000000"/>
        </w:rPr>
      </w:pPr>
    </w:p>
    <w:p w14:paraId="7FEDA883" w14:textId="77777777" w:rsidR="00722FEA" w:rsidRDefault="00722FEA" w:rsidP="00722FEA">
      <w:pPr>
        <w:rPr>
          <w:rFonts w:ascii="Trebuchet MS" w:hAnsi="Trebuchet MS"/>
          <w:color w:val="000000"/>
        </w:rPr>
      </w:pPr>
      <w:r w:rsidRPr="00722FEA">
        <w:rPr>
          <w:rFonts w:ascii="Trebuchet MS" w:hAnsi="Trebuchet MS"/>
          <w:color w:val="000000"/>
        </w:rPr>
        <w:t>Formal CPD activities include structured learning opportunities such as:</w:t>
      </w:r>
    </w:p>
    <w:p w14:paraId="51197D82" w14:textId="77777777" w:rsidR="00DD2134" w:rsidRPr="00722FEA" w:rsidRDefault="00DD2134" w:rsidP="00722FEA">
      <w:pPr>
        <w:rPr>
          <w:rFonts w:ascii="Trebuchet MS" w:hAnsi="Trebuchet MS"/>
          <w:color w:val="000000"/>
        </w:rPr>
      </w:pPr>
    </w:p>
    <w:p w14:paraId="5B66AE10" w14:textId="5FBCBAD3" w:rsidR="00722FEA" w:rsidRDefault="00722FEA" w:rsidP="00722FEA">
      <w:pPr>
        <w:numPr>
          <w:ilvl w:val="0"/>
          <w:numId w:val="47"/>
        </w:numPr>
        <w:rPr>
          <w:rFonts w:ascii="Trebuchet MS" w:hAnsi="Trebuchet MS"/>
          <w:color w:val="000000"/>
        </w:rPr>
      </w:pPr>
      <w:r w:rsidRPr="00722FEA">
        <w:rPr>
          <w:rFonts w:ascii="Trebuchet MS" w:hAnsi="Trebuchet MS"/>
          <w:b/>
          <w:bCs/>
          <w:color w:val="000000"/>
        </w:rPr>
        <w:t>CIPD short courses and webinars</w:t>
      </w:r>
      <w:r w:rsidRPr="00722FEA">
        <w:rPr>
          <w:rFonts w:ascii="Trebuchet MS" w:hAnsi="Trebuchet MS"/>
          <w:color w:val="000000"/>
        </w:rPr>
        <w:t>: These provide targeted, expert-led learning on areas such as employee engagement, people analytics, and inclusive practices. I have chosen these to build knowledge that’s directly applicable to my current work and supports professional standards.</w:t>
      </w:r>
      <w:r w:rsidR="002365F1">
        <w:rPr>
          <w:rFonts w:ascii="Trebuchet MS" w:hAnsi="Trebuchet MS"/>
          <w:color w:val="000000"/>
        </w:rPr>
        <w:t xml:space="preserve"> I have recently signed on to a </w:t>
      </w:r>
    </w:p>
    <w:p w14:paraId="7C52BC6A" w14:textId="77777777" w:rsidR="00B20508" w:rsidRDefault="00B20508" w:rsidP="00B20508">
      <w:pPr>
        <w:rPr>
          <w:rFonts w:ascii="Trebuchet MS" w:hAnsi="Trebuchet MS"/>
          <w:color w:val="000000"/>
        </w:rPr>
      </w:pPr>
    </w:p>
    <w:p w14:paraId="322AC25A" w14:textId="77777777" w:rsidR="00B20508" w:rsidRPr="00722FEA" w:rsidRDefault="00B20508" w:rsidP="00B20508">
      <w:pPr>
        <w:rPr>
          <w:rFonts w:ascii="Trebuchet MS" w:hAnsi="Trebuchet MS"/>
          <w:color w:val="000000"/>
        </w:rPr>
      </w:pPr>
    </w:p>
    <w:p w14:paraId="0D307B0D" w14:textId="32D21532" w:rsidR="00722FEA" w:rsidRDefault="00722FEA" w:rsidP="00722FEA">
      <w:pPr>
        <w:numPr>
          <w:ilvl w:val="0"/>
          <w:numId w:val="47"/>
        </w:numPr>
        <w:rPr>
          <w:rFonts w:ascii="Trebuchet MS" w:hAnsi="Trebuchet MS"/>
          <w:color w:val="000000"/>
        </w:rPr>
      </w:pPr>
      <w:r w:rsidRPr="00722FEA">
        <w:rPr>
          <w:rFonts w:ascii="Trebuchet MS" w:hAnsi="Trebuchet MS"/>
          <w:b/>
          <w:bCs/>
          <w:color w:val="000000"/>
        </w:rPr>
        <w:t>Enrolling in a Level 5 CIPD qualification</w:t>
      </w:r>
      <w:r w:rsidRPr="00722FEA">
        <w:rPr>
          <w:rFonts w:ascii="Trebuchet MS" w:hAnsi="Trebuchet MS"/>
          <w:color w:val="000000"/>
        </w:rPr>
        <w:t xml:space="preserve">: </w:t>
      </w:r>
      <w:r w:rsidR="004D3C53">
        <w:rPr>
          <w:rFonts w:ascii="Trebuchet MS" w:hAnsi="Trebuchet MS"/>
          <w:color w:val="000000"/>
        </w:rPr>
        <w:t>I have enrolled on a Level 5 CIPD course with Coleg Sir Gar and University</w:t>
      </w:r>
      <w:r w:rsidR="00B20508">
        <w:rPr>
          <w:rFonts w:ascii="Trebuchet MS" w:hAnsi="Trebuchet MS"/>
          <w:color w:val="000000"/>
        </w:rPr>
        <w:t xml:space="preserve"> of Wales Trinit</w:t>
      </w:r>
      <w:r w:rsidR="002B0854">
        <w:rPr>
          <w:rFonts w:ascii="Trebuchet MS" w:hAnsi="Trebuchet MS"/>
          <w:color w:val="000000"/>
        </w:rPr>
        <w:t>y Saint David</w:t>
      </w:r>
      <w:r w:rsidR="004D3C53">
        <w:rPr>
          <w:rFonts w:ascii="Trebuchet MS" w:hAnsi="Trebuchet MS"/>
          <w:color w:val="000000"/>
        </w:rPr>
        <w:t xml:space="preserve"> </w:t>
      </w:r>
      <w:r w:rsidR="00741113">
        <w:rPr>
          <w:rFonts w:ascii="Trebuchet MS" w:hAnsi="Trebuchet MS"/>
          <w:color w:val="000000"/>
        </w:rPr>
        <w:t>to support my learning and</w:t>
      </w:r>
      <w:r w:rsidRPr="00722FEA">
        <w:rPr>
          <w:rFonts w:ascii="Trebuchet MS" w:hAnsi="Trebuchet MS"/>
          <w:color w:val="000000"/>
        </w:rPr>
        <w:t xml:space="preserve"> deepen my theoretical understanding of people practice and help bridge gaps in areas like talent management and organisational development. It also contributes to formal career progression.</w:t>
      </w:r>
    </w:p>
    <w:p w14:paraId="20A2138F" w14:textId="77777777" w:rsidR="001A4A06" w:rsidRDefault="001A4A06" w:rsidP="00722FEA">
      <w:pPr>
        <w:rPr>
          <w:rFonts w:ascii="Trebuchet MS" w:hAnsi="Trebuchet MS"/>
          <w:b/>
          <w:bCs/>
          <w:color w:val="000000"/>
        </w:rPr>
      </w:pPr>
    </w:p>
    <w:p w14:paraId="06240020" w14:textId="06C3CD27" w:rsidR="00722FEA" w:rsidRDefault="00722FEA" w:rsidP="00722FEA">
      <w:pPr>
        <w:rPr>
          <w:rFonts w:ascii="Trebuchet MS" w:hAnsi="Trebuchet MS"/>
          <w:color w:val="000000"/>
        </w:rPr>
      </w:pPr>
      <w:r w:rsidRPr="00722FEA">
        <w:rPr>
          <w:rFonts w:ascii="Trebuchet MS" w:hAnsi="Trebuchet MS"/>
          <w:color w:val="000000"/>
        </w:rPr>
        <w:t>Informal CPD activities are equally valuable and include:</w:t>
      </w:r>
    </w:p>
    <w:p w14:paraId="68426BBE" w14:textId="77777777" w:rsidR="005A0850" w:rsidRPr="00722FEA" w:rsidRDefault="005A0850" w:rsidP="00722FEA">
      <w:pPr>
        <w:rPr>
          <w:rFonts w:ascii="Trebuchet MS" w:hAnsi="Trebuchet MS"/>
          <w:color w:val="000000"/>
        </w:rPr>
      </w:pPr>
    </w:p>
    <w:p w14:paraId="2E258E76" w14:textId="77777777" w:rsidR="00722FEA" w:rsidRDefault="00722FEA" w:rsidP="00722FEA">
      <w:pPr>
        <w:numPr>
          <w:ilvl w:val="0"/>
          <w:numId w:val="48"/>
        </w:numPr>
        <w:rPr>
          <w:rFonts w:ascii="Trebuchet MS" w:hAnsi="Trebuchet MS"/>
          <w:color w:val="000000"/>
        </w:rPr>
      </w:pPr>
      <w:r w:rsidRPr="00722FEA">
        <w:rPr>
          <w:rFonts w:ascii="Trebuchet MS" w:hAnsi="Trebuchet MS"/>
          <w:b/>
          <w:bCs/>
          <w:color w:val="000000"/>
        </w:rPr>
        <w:t>Peer learning and mentoring</w:t>
      </w:r>
      <w:r w:rsidRPr="00722FEA">
        <w:rPr>
          <w:rFonts w:ascii="Trebuchet MS" w:hAnsi="Trebuchet MS"/>
          <w:color w:val="000000"/>
        </w:rPr>
        <w:t>: Regularly connecting with more experienced colleagues and participating in cross-functional projects helps me learn from others’ experiences. I’ve selected this because it also builds my confidence in stakeholder interactions.</w:t>
      </w:r>
    </w:p>
    <w:p w14:paraId="2B7A557C" w14:textId="77777777" w:rsidR="001C76CE" w:rsidRPr="00722FEA" w:rsidRDefault="001C76CE" w:rsidP="001C76CE">
      <w:pPr>
        <w:ind w:left="720"/>
        <w:rPr>
          <w:rFonts w:ascii="Trebuchet MS" w:hAnsi="Trebuchet MS"/>
          <w:color w:val="000000"/>
        </w:rPr>
      </w:pPr>
    </w:p>
    <w:p w14:paraId="71D71F9A" w14:textId="28EAE718" w:rsidR="00722FEA" w:rsidRDefault="00722FEA" w:rsidP="00722FEA">
      <w:pPr>
        <w:numPr>
          <w:ilvl w:val="0"/>
          <w:numId w:val="48"/>
        </w:numPr>
        <w:rPr>
          <w:rFonts w:ascii="Trebuchet MS" w:hAnsi="Trebuchet MS"/>
          <w:color w:val="000000"/>
        </w:rPr>
      </w:pPr>
      <w:r w:rsidRPr="00722FEA">
        <w:rPr>
          <w:rFonts w:ascii="Trebuchet MS" w:hAnsi="Trebuchet MS"/>
          <w:b/>
          <w:bCs/>
          <w:color w:val="000000"/>
        </w:rPr>
        <w:t>Reflective practice</w:t>
      </w:r>
      <w:r w:rsidRPr="00722FEA">
        <w:rPr>
          <w:rFonts w:ascii="Trebuchet MS" w:hAnsi="Trebuchet MS"/>
          <w:color w:val="000000"/>
        </w:rPr>
        <w:t xml:space="preserve">: </w:t>
      </w:r>
      <w:r w:rsidR="00CA14DC" w:rsidRPr="00CA14DC">
        <w:rPr>
          <w:rFonts w:ascii="Trebuchet MS" w:hAnsi="Trebuchet MS"/>
          <w:color w:val="000000"/>
        </w:rPr>
        <w:t>Keeping a continuous professional development (CPD) report helps track and reflect on learning progress over time.</w:t>
      </w:r>
      <w:r w:rsidR="00CA14DC">
        <w:rPr>
          <w:rFonts w:ascii="Trebuchet MS" w:hAnsi="Trebuchet MS"/>
          <w:color w:val="000000"/>
        </w:rPr>
        <w:t xml:space="preserve"> </w:t>
      </w:r>
      <w:r w:rsidR="00CA14DC" w:rsidRPr="00CA14DC">
        <w:rPr>
          <w:rFonts w:ascii="Trebuchet MS" w:hAnsi="Trebuchet MS"/>
          <w:color w:val="000000"/>
        </w:rPr>
        <w:t>It also supports identifying skill gaps and evidences professional growth for career advancement</w:t>
      </w:r>
      <w:r w:rsidR="008958C1" w:rsidRPr="008958C1">
        <w:rPr>
          <w:rFonts w:ascii="Trebuchet MS" w:hAnsi="Trebuchet MS"/>
          <w:color w:val="000000"/>
        </w:rPr>
        <w:t>.</w:t>
      </w:r>
    </w:p>
    <w:p w14:paraId="01CF55C4" w14:textId="77777777" w:rsidR="001C76CE" w:rsidRPr="00722FEA" w:rsidRDefault="001C76CE" w:rsidP="001C76CE">
      <w:pPr>
        <w:rPr>
          <w:rFonts w:ascii="Trebuchet MS" w:hAnsi="Trebuchet MS"/>
          <w:color w:val="000000"/>
        </w:rPr>
      </w:pPr>
    </w:p>
    <w:p w14:paraId="5ADBC4D8" w14:textId="684A4A46" w:rsidR="001C76CE" w:rsidRPr="00994FE4" w:rsidRDefault="00722FEA" w:rsidP="00994FE4">
      <w:pPr>
        <w:numPr>
          <w:ilvl w:val="0"/>
          <w:numId w:val="48"/>
        </w:numPr>
        <w:rPr>
          <w:rFonts w:ascii="Trebuchet MS" w:hAnsi="Trebuchet MS"/>
          <w:color w:val="000000"/>
        </w:rPr>
      </w:pPr>
      <w:r w:rsidRPr="00722FEA">
        <w:rPr>
          <w:rFonts w:ascii="Trebuchet MS" w:hAnsi="Trebuchet MS"/>
          <w:b/>
          <w:bCs/>
          <w:color w:val="000000"/>
        </w:rPr>
        <w:t>Listening to HR podcasts and reading industry articles</w:t>
      </w:r>
      <w:r w:rsidRPr="00722FEA">
        <w:rPr>
          <w:rFonts w:ascii="Trebuchet MS" w:hAnsi="Trebuchet MS"/>
          <w:color w:val="000000"/>
        </w:rPr>
        <w:t xml:space="preserve">: Resources such as CIPD’s </w:t>
      </w:r>
      <w:r w:rsidRPr="00722FEA">
        <w:rPr>
          <w:rFonts w:ascii="Trebuchet MS" w:hAnsi="Trebuchet MS"/>
          <w:i/>
          <w:iCs/>
          <w:color w:val="000000"/>
        </w:rPr>
        <w:t>Work</w:t>
      </w:r>
      <w:r w:rsidRPr="00722FEA">
        <w:rPr>
          <w:rFonts w:ascii="Trebuchet MS" w:hAnsi="Trebuchet MS"/>
          <w:color w:val="000000"/>
        </w:rPr>
        <w:t xml:space="preserve"> podcast or </w:t>
      </w:r>
      <w:r w:rsidRPr="00722FEA">
        <w:rPr>
          <w:rFonts w:ascii="Trebuchet MS" w:hAnsi="Trebuchet MS"/>
          <w:i/>
          <w:iCs/>
          <w:color w:val="000000"/>
        </w:rPr>
        <w:t>People Management</w:t>
      </w:r>
      <w:r w:rsidRPr="00722FEA">
        <w:rPr>
          <w:rFonts w:ascii="Trebuchet MS" w:hAnsi="Trebuchet MS"/>
          <w:color w:val="000000"/>
        </w:rPr>
        <w:t xml:space="preserve"> magazine keep me informed about current trends and challenges in people practice in a time-efficient way.</w:t>
      </w:r>
    </w:p>
    <w:p w14:paraId="7493882B" w14:textId="77777777" w:rsidR="001C76CE" w:rsidRPr="00722FEA" w:rsidRDefault="001C76CE" w:rsidP="001C76CE">
      <w:pPr>
        <w:rPr>
          <w:rFonts w:ascii="Trebuchet MS" w:hAnsi="Trebuchet MS"/>
          <w:color w:val="000000"/>
        </w:rPr>
      </w:pPr>
    </w:p>
    <w:p w14:paraId="2DA91409" w14:textId="77777777" w:rsidR="00AC3F7D" w:rsidRDefault="00722FEA" w:rsidP="00722FEA">
      <w:pPr>
        <w:rPr>
          <w:rFonts w:ascii="Trebuchet MS" w:hAnsi="Trebuchet MS"/>
          <w:color w:val="000000"/>
        </w:rPr>
        <w:sectPr w:rsidR="00AC3F7D" w:rsidSect="00A53D2E">
          <w:headerReference w:type="default" r:id="rId11"/>
          <w:pgSz w:w="11900" w:h="16840"/>
          <w:pgMar w:top="1077" w:right="964" w:bottom="1077" w:left="1134" w:header="720" w:footer="720" w:gutter="0"/>
          <w:cols w:space="720"/>
          <w:docGrid w:linePitch="360"/>
        </w:sectPr>
      </w:pPr>
      <w:r w:rsidRPr="00722FEA">
        <w:rPr>
          <w:rFonts w:ascii="Trebuchet MS" w:hAnsi="Trebuchet MS"/>
          <w:color w:val="000000"/>
        </w:rPr>
        <w:t>I’ve selected these activities to ensure a balance between practical application and theoretical learning. By combining formal study with everyday reflective habits, I can maintain momentum in my development, adapt to changing demands, and continue to grow as an effective, ethical, and inclusive people professional.</w:t>
      </w:r>
    </w:p>
    <w:p w14:paraId="2168E0E7" w14:textId="042631C1" w:rsidR="00A370F4" w:rsidRPr="00CD7073" w:rsidRDefault="00CD7073" w:rsidP="008050A2">
      <w:pPr>
        <w:pStyle w:val="Listparag"/>
        <w:spacing w:after="0"/>
        <w:rPr>
          <w:rFonts w:ascii="Trebuchet MS" w:hAnsi="Trebuchet MS"/>
          <w:b/>
          <w:bCs/>
          <w:color w:val="00616A" w:themeColor="accent2" w:themeShade="BF"/>
        </w:rPr>
      </w:pPr>
      <w:r w:rsidRPr="00CD7073">
        <w:rPr>
          <w:rFonts w:ascii="Trebuchet MS" w:hAnsi="Trebuchet MS"/>
          <w:b/>
          <w:bCs/>
          <w:color w:val="00616A" w:themeColor="accent2" w:themeShade="BF"/>
        </w:rPr>
        <w:lastRenderedPageBreak/>
        <w:t>CPD Record</w:t>
      </w:r>
      <w:r w:rsidR="00571BD7">
        <w:rPr>
          <w:rFonts w:ascii="Trebuchet MS" w:hAnsi="Trebuchet MS"/>
          <w:b/>
          <w:bCs/>
          <w:color w:val="00616A" w:themeColor="accent2" w:themeShade="BF"/>
        </w:rPr>
        <w:t xml:space="preserve"> (AC 3.4)</w:t>
      </w:r>
    </w:p>
    <w:p w14:paraId="4B04561D" w14:textId="77777777" w:rsidR="00A370F4" w:rsidRDefault="00A370F4" w:rsidP="004C6AA5">
      <w:pPr>
        <w:pStyle w:val="Listparag"/>
        <w:spacing w:after="0"/>
        <w:ind w:left="720"/>
        <w:rPr>
          <w:rFonts w:ascii="Trebuchet MS" w:hAnsi="Trebuchet MS"/>
          <w:color w:val="auto"/>
        </w:rPr>
      </w:pPr>
    </w:p>
    <w:tbl>
      <w:tblPr>
        <w:tblStyle w:val="TableGrid"/>
        <w:tblW w:w="14745" w:type="dxa"/>
        <w:tblLayout w:type="fixed"/>
        <w:tblLook w:val="04A0" w:firstRow="1" w:lastRow="0" w:firstColumn="1" w:lastColumn="0" w:noHBand="0" w:noVBand="1"/>
      </w:tblPr>
      <w:tblGrid>
        <w:gridCol w:w="1247"/>
        <w:gridCol w:w="3373"/>
        <w:gridCol w:w="3374"/>
        <w:gridCol w:w="3374"/>
        <w:gridCol w:w="3377"/>
      </w:tblGrid>
      <w:tr w:rsidR="00270044" w14:paraId="4F02B519" w14:textId="77777777" w:rsidTr="00316B8C">
        <w:trPr>
          <w:trHeight w:val="1394"/>
        </w:trPr>
        <w:tc>
          <w:tcPr>
            <w:tcW w:w="1247" w:type="dxa"/>
            <w:tcBorders>
              <w:right w:val="single" w:sz="4" w:space="0" w:color="auto"/>
            </w:tcBorders>
            <w:shd w:val="clear" w:color="auto" w:fill="00838E" w:themeFill="accent2"/>
            <w:vAlign w:val="center"/>
          </w:tcPr>
          <w:p w14:paraId="5E1E9478" w14:textId="77777777" w:rsidR="00270044" w:rsidRPr="00316B8C" w:rsidRDefault="00270044" w:rsidP="003177A4">
            <w:pPr>
              <w:jc w:val="center"/>
              <w:rPr>
                <w:color w:val="FFFFFF" w:themeColor="background1"/>
                <w:sz w:val="28"/>
                <w:szCs w:val="28"/>
              </w:rPr>
            </w:pPr>
            <w:r w:rsidRPr="00316B8C">
              <w:rPr>
                <w:color w:val="FFFFFF" w:themeColor="background1"/>
                <w:sz w:val="28"/>
                <w:szCs w:val="28"/>
              </w:rPr>
              <w:t>Date of CPD Activity</w:t>
            </w:r>
          </w:p>
        </w:tc>
        <w:tc>
          <w:tcPr>
            <w:tcW w:w="3373" w:type="dxa"/>
            <w:tcBorders>
              <w:left w:val="single" w:sz="4" w:space="0" w:color="auto"/>
            </w:tcBorders>
            <w:shd w:val="clear" w:color="auto" w:fill="00838E" w:themeFill="accent2"/>
            <w:vAlign w:val="center"/>
          </w:tcPr>
          <w:p w14:paraId="5632B11C" w14:textId="77777777" w:rsidR="00270044" w:rsidRPr="00316B8C" w:rsidRDefault="00270044" w:rsidP="003177A4">
            <w:pPr>
              <w:jc w:val="center"/>
              <w:rPr>
                <w:color w:val="FFFFFF" w:themeColor="background1"/>
                <w:sz w:val="28"/>
                <w:szCs w:val="28"/>
              </w:rPr>
            </w:pPr>
            <w:r w:rsidRPr="00316B8C">
              <w:rPr>
                <w:color w:val="FFFFFF" w:themeColor="background1"/>
                <w:sz w:val="28"/>
                <w:szCs w:val="28"/>
              </w:rPr>
              <w:t>CPD activity undertaken</w:t>
            </w:r>
          </w:p>
        </w:tc>
        <w:tc>
          <w:tcPr>
            <w:tcW w:w="3374" w:type="dxa"/>
            <w:shd w:val="clear" w:color="auto" w:fill="00838E" w:themeFill="accent2"/>
            <w:vAlign w:val="center"/>
          </w:tcPr>
          <w:p w14:paraId="71C16020" w14:textId="77777777" w:rsidR="00270044" w:rsidRPr="00316B8C" w:rsidRDefault="00270044" w:rsidP="003177A4">
            <w:pPr>
              <w:jc w:val="center"/>
              <w:rPr>
                <w:color w:val="FFFFFF" w:themeColor="background1"/>
                <w:sz w:val="28"/>
                <w:szCs w:val="28"/>
              </w:rPr>
            </w:pPr>
            <w:r w:rsidRPr="00316B8C">
              <w:rPr>
                <w:color w:val="FFFFFF" w:themeColor="background1"/>
                <w:sz w:val="28"/>
                <w:szCs w:val="28"/>
              </w:rPr>
              <w:t>What did you learn?</w:t>
            </w:r>
          </w:p>
        </w:tc>
        <w:tc>
          <w:tcPr>
            <w:tcW w:w="3374" w:type="dxa"/>
            <w:shd w:val="clear" w:color="auto" w:fill="00838E" w:themeFill="accent2"/>
            <w:vAlign w:val="center"/>
          </w:tcPr>
          <w:p w14:paraId="2291AD7A" w14:textId="77777777" w:rsidR="00270044" w:rsidRPr="00316B8C" w:rsidRDefault="00270044" w:rsidP="003177A4">
            <w:pPr>
              <w:jc w:val="center"/>
              <w:rPr>
                <w:color w:val="FFFFFF" w:themeColor="background1"/>
                <w:sz w:val="28"/>
                <w:szCs w:val="28"/>
              </w:rPr>
            </w:pPr>
            <w:r w:rsidRPr="00316B8C">
              <w:rPr>
                <w:color w:val="FFFFFF" w:themeColor="background1"/>
                <w:sz w:val="28"/>
                <w:szCs w:val="28"/>
              </w:rPr>
              <w:t>How will you use what you learnt?</w:t>
            </w:r>
          </w:p>
        </w:tc>
        <w:tc>
          <w:tcPr>
            <w:tcW w:w="3377" w:type="dxa"/>
            <w:shd w:val="clear" w:color="auto" w:fill="00838E" w:themeFill="accent2"/>
            <w:vAlign w:val="center"/>
          </w:tcPr>
          <w:p w14:paraId="49B8F2EB" w14:textId="77777777" w:rsidR="00270044" w:rsidRPr="00316B8C" w:rsidRDefault="00270044" w:rsidP="003177A4">
            <w:pPr>
              <w:jc w:val="center"/>
              <w:rPr>
                <w:color w:val="FFFFFF" w:themeColor="background1"/>
                <w:sz w:val="28"/>
                <w:szCs w:val="28"/>
              </w:rPr>
            </w:pPr>
            <w:r w:rsidRPr="00316B8C">
              <w:rPr>
                <w:color w:val="FFFFFF" w:themeColor="background1"/>
                <w:sz w:val="28"/>
                <w:szCs w:val="28"/>
              </w:rPr>
              <w:t xml:space="preserve">Further CPD required on this area of development </w:t>
            </w:r>
          </w:p>
        </w:tc>
      </w:tr>
      <w:tr w:rsidR="00270044" w14:paraId="6D6351F2" w14:textId="77777777" w:rsidTr="00270044">
        <w:trPr>
          <w:trHeight w:val="947"/>
        </w:trPr>
        <w:tc>
          <w:tcPr>
            <w:tcW w:w="1247" w:type="dxa"/>
            <w:tcBorders>
              <w:right w:val="single" w:sz="4" w:space="0" w:color="auto"/>
            </w:tcBorders>
          </w:tcPr>
          <w:p w14:paraId="35EA4F95" w14:textId="5BBB1973" w:rsidR="00270044" w:rsidRDefault="00AD4C9A" w:rsidP="003177A4">
            <w:r>
              <w:t>07/08/2025</w:t>
            </w:r>
          </w:p>
        </w:tc>
        <w:tc>
          <w:tcPr>
            <w:tcW w:w="3373" w:type="dxa"/>
            <w:tcBorders>
              <w:left w:val="single" w:sz="4" w:space="0" w:color="auto"/>
            </w:tcBorders>
          </w:tcPr>
          <w:p w14:paraId="78FBD640" w14:textId="2F3AB9EF" w:rsidR="00270044" w:rsidRDefault="00E56D3B" w:rsidP="003177A4">
            <w:r>
              <w:t>Inclusion &amp; Diversity training with Green Park training provider</w:t>
            </w:r>
          </w:p>
        </w:tc>
        <w:tc>
          <w:tcPr>
            <w:tcW w:w="3374" w:type="dxa"/>
          </w:tcPr>
          <w:p w14:paraId="70574E42" w14:textId="7CA536D3" w:rsidR="00270044" w:rsidRDefault="00D47BAF" w:rsidP="003177A4">
            <w:r>
              <w:t>T</w:t>
            </w:r>
            <w:r w:rsidRPr="00D47BAF">
              <w:t>o recogni</w:t>
            </w:r>
            <w:r>
              <w:t>s</w:t>
            </w:r>
            <w:r w:rsidRPr="00D47BAF">
              <w:t>e and challenge bias</w:t>
            </w:r>
            <w:r w:rsidR="00486B91">
              <w:t xml:space="preserve">, </w:t>
            </w:r>
            <w:r w:rsidRPr="00D47BAF">
              <w:t>foster inclusive behavio</w:t>
            </w:r>
            <w:r w:rsidR="00486B91">
              <w:t>u</w:t>
            </w:r>
            <w:r w:rsidRPr="00D47BAF">
              <w:t>rs, and create equitable environments. It buil</w:t>
            </w:r>
            <w:r w:rsidR="00486B91">
              <w:t xml:space="preserve">t my </w:t>
            </w:r>
            <w:r w:rsidRPr="00D47BAF">
              <w:t>awareness of diverse perspectives to support respectful and collaborative workplaces.</w:t>
            </w:r>
          </w:p>
        </w:tc>
        <w:tc>
          <w:tcPr>
            <w:tcW w:w="3374" w:type="dxa"/>
          </w:tcPr>
          <w:p w14:paraId="6062214D" w14:textId="2D4D23F1" w:rsidR="00270044" w:rsidRDefault="00146F0C" w:rsidP="003177A4">
            <w:r w:rsidRPr="00146F0C">
              <w:t>As a people practitioner, I'll apply my I&amp;D training to promote fair policies, inclusive hiring, and equitable development opportunities. I'll also champion a culture where all employees feel valued, heard, and supported.</w:t>
            </w:r>
          </w:p>
        </w:tc>
        <w:tc>
          <w:tcPr>
            <w:tcW w:w="3377" w:type="dxa"/>
          </w:tcPr>
          <w:p w14:paraId="2FA47365" w14:textId="1F72D46C" w:rsidR="00270044" w:rsidRDefault="00487436" w:rsidP="003177A4">
            <w:r>
              <w:t xml:space="preserve">As part of my employment, I complete a ‘Be an Original’ mandatory learning module </w:t>
            </w:r>
            <w:r w:rsidR="00557A3A">
              <w:t>annually to ensure I remain aware of I&amp;D in the workplace.</w:t>
            </w:r>
          </w:p>
        </w:tc>
      </w:tr>
      <w:tr w:rsidR="00270044" w14:paraId="7EFA76FC" w14:textId="77777777" w:rsidTr="00270044">
        <w:trPr>
          <w:trHeight w:val="947"/>
        </w:trPr>
        <w:tc>
          <w:tcPr>
            <w:tcW w:w="1247" w:type="dxa"/>
            <w:tcBorders>
              <w:right w:val="single" w:sz="4" w:space="0" w:color="auto"/>
            </w:tcBorders>
          </w:tcPr>
          <w:p w14:paraId="164BAC06" w14:textId="75DF91FD" w:rsidR="00270044" w:rsidRDefault="00120584" w:rsidP="003177A4">
            <w:r>
              <w:t>05/12/2024</w:t>
            </w:r>
          </w:p>
        </w:tc>
        <w:tc>
          <w:tcPr>
            <w:tcW w:w="3373" w:type="dxa"/>
            <w:tcBorders>
              <w:left w:val="single" w:sz="4" w:space="0" w:color="auto"/>
            </w:tcBorders>
          </w:tcPr>
          <w:p w14:paraId="70132670" w14:textId="43A5A504" w:rsidR="00270044" w:rsidRDefault="00E81C36" w:rsidP="003177A4">
            <w:r>
              <w:t>British Airways ‘Demystifying TUPE’ Employment Law Webinar</w:t>
            </w:r>
          </w:p>
        </w:tc>
        <w:tc>
          <w:tcPr>
            <w:tcW w:w="3374" w:type="dxa"/>
          </w:tcPr>
          <w:p w14:paraId="29B682BC" w14:textId="49426751" w:rsidR="00C73912" w:rsidRDefault="00EF7613" w:rsidP="003177A4">
            <w:r>
              <w:t>Current TUPE laws and foundations of TUPE.</w:t>
            </w:r>
          </w:p>
        </w:tc>
        <w:tc>
          <w:tcPr>
            <w:tcW w:w="3374" w:type="dxa"/>
          </w:tcPr>
          <w:p w14:paraId="59C23D70" w14:textId="341FD087" w:rsidR="00270044" w:rsidRDefault="005F738F" w:rsidP="003177A4">
            <w:r>
              <w:t xml:space="preserve">The TUPE webinar has proven useful as I have been heavily involved in a </w:t>
            </w:r>
            <w:r w:rsidR="00116001">
              <w:t xml:space="preserve">consolidation project involving </w:t>
            </w:r>
            <w:r w:rsidR="00EF7613">
              <w:t>the transfer of 2 legal entities to another</w:t>
            </w:r>
            <w:r w:rsidR="00116001">
              <w:t xml:space="preserve">. </w:t>
            </w:r>
          </w:p>
        </w:tc>
        <w:tc>
          <w:tcPr>
            <w:tcW w:w="3377" w:type="dxa"/>
          </w:tcPr>
          <w:p w14:paraId="0BBBD50C" w14:textId="5B0D7CA3" w:rsidR="00270044" w:rsidRDefault="00B0756C" w:rsidP="003177A4">
            <w:r>
              <w:t>The law is constantly changing, and so it is important to attend regular employment updates to remain up-to-date and to ensure that our company remains compliant.</w:t>
            </w:r>
          </w:p>
        </w:tc>
      </w:tr>
      <w:tr w:rsidR="00270044" w14:paraId="74E0B3E4" w14:textId="77777777" w:rsidTr="00270044">
        <w:trPr>
          <w:trHeight w:val="947"/>
        </w:trPr>
        <w:tc>
          <w:tcPr>
            <w:tcW w:w="1247" w:type="dxa"/>
            <w:tcBorders>
              <w:bottom w:val="single" w:sz="4" w:space="0" w:color="auto"/>
              <w:right w:val="single" w:sz="4" w:space="0" w:color="auto"/>
            </w:tcBorders>
          </w:tcPr>
          <w:p w14:paraId="3BEB968A" w14:textId="0E85A8FF" w:rsidR="00270044" w:rsidRDefault="00A360BD" w:rsidP="003177A4">
            <w:r>
              <w:t>07/04/202</w:t>
            </w:r>
            <w:r w:rsidR="00AD4C9A">
              <w:t>5</w:t>
            </w:r>
          </w:p>
        </w:tc>
        <w:tc>
          <w:tcPr>
            <w:tcW w:w="3373" w:type="dxa"/>
            <w:tcBorders>
              <w:left w:val="single" w:sz="4" w:space="0" w:color="auto"/>
            </w:tcBorders>
          </w:tcPr>
          <w:p w14:paraId="57FB090B" w14:textId="4B5404C8" w:rsidR="00270044" w:rsidRDefault="00A360BD" w:rsidP="003177A4">
            <w:r>
              <w:t xml:space="preserve">CIPD </w:t>
            </w:r>
            <w:r w:rsidR="00776CC2">
              <w:t>HR-</w:t>
            </w:r>
            <w:r>
              <w:t>Inform: Employment Law Update</w:t>
            </w:r>
          </w:p>
        </w:tc>
        <w:tc>
          <w:tcPr>
            <w:tcW w:w="3374" w:type="dxa"/>
          </w:tcPr>
          <w:p w14:paraId="5496CDD3" w14:textId="0B502991" w:rsidR="00270044" w:rsidRDefault="00EF7613" w:rsidP="003177A4">
            <w:r>
              <w:t xml:space="preserve">Changes to Employment Rights Bill to be implemented in 25/26. </w:t>
            </w:r>
          </w:p>
        </w:tc>
        <w:tc>
          <w:tcPr>
            <w:tcW w:w="3374" w:type="dxa"/>
          </w:tcPr>
          <w:p w14:paraId="386307E5" w14:textId="4C81D278" w:rsidR="00270044" w:rsidRDefault="00EF7613" w:rsidP="003177A4">
            <w:r>
              <w:t>Will be used to update</w:t>
            </w:r>
            <w:r w:rsidR="00745C91">
              <w:t xml:space="preserve"> and adapt company policies and procedures to ensure compliance to new employment law changes. </w:t>
            </w:r>
          </w:p>
        </w:tc>
        <w:tc>
          <w:tcPr>
            <w:tcW w:w="3377" w:type="dxa"/>
          </w:tcPr>
          <w:p w14:paraId="4A32B9C7" w14:textId="63010B33" w:rsidR="00270044" w:rsidRDefault="00A42ED1" w:rsidP="003177A4">
            <w:r>
              <w:t>The law is constantly changing, and so it is important to attend regular employment updates to remain up-to-date and to ensure that our company remains compliant.</w:t>
            </w:r>
          </w:p>
        </w:tc>
      </w:tr>
      <w:tr w:rsidR="00270044" w14:paraId="67890952" w14:textId="77777777" w:rsidTr="00270044">
        <w:trPr>
          <w:trHeight w:val="947"/>
        </w:trPr>
        <w:tc>
          <w:tcPr>
            <w:tcW w:w="1247" w:type="dxa"/>
            <w:tcBorders>
              <w:right w:val="single" w:sz="4" w:space="0" w:color="auto"/>
            </w:tcBorders>
          </w:tcPr>
          <w:p w14:paraId="6B6233AD" w14:textId="5CC1D274" w:rsidR="00270044" w:rsidRDefault="00012F32" w:rsidP="003177A4">
            <w:r>
              <w:t>April 2025</w:t>
            </w:r>
          </w:p>
        </w:tc>
        <w:tc>
          <w:tcPr>
            <w:tcW w:w="3373" w:type="dxa"/>
            <w:tcBorders>
              <w:left w:val="single" w:sz="4" w:space="0" w:color="auto"/>
            </w:tcBorders>
          </w:tcPr>
          <w:p w14:paraId="78808B58" w14:textId="349F3ECC" w:rsidR="00012F32" w:rsidRPr="00012F32" w:rsidRDefault="00012F32" w:rsidP="00012F32">
            <w:r w:rsidRPr="00012F32">
              <w:t xml:space="preserve">ACAS </w:t>
            </w:r>
            <w:r>
              <w:t>‘</w:t>
            </w:r>
            <w:r w:rsidRPr="00012F32">
              <w:t>Neonatal care leave and pay: the law explained</w:t>
            </w:r>
            <w:r>
              <w:t>’ webinar</w:t>
            </w:r>
          </w:p>
          <w:p w14:paraId="31656BCF" w14:textId="766E9984" w:rsidR="00270044" w:rsidRPr="00012F32" w:rsidRDefault="00270044" w:rsidP="003177A4"/>
        </w:tc>
        <w:tc>
          <w:tcPr>
            <w:tcW w:w="3374" w:type="dxa"/>
          </w:tcPr>
          <w:p w14:paraId="1AE5B6B3" w14:textId="22F15DCF" w:rsidR="00270044" w:rsidRDefault="00012F32" w:rsidP="003177A4">
            <w:r>
              <w:t>To be attended</w:t>
            </w:r>
          </w:p>
        </w:tc>
        <w:tc>
          <w:tcPr>
            <w:tcW w:w="3374" w:type="dxa"/>
          </w:tcPr>
          <w:p w14:paraId="26B20401" w14:textId="523D3B4E" w:rsidR="00012F32" w:rsidRPr="00012F32" w:rsidRDefault="00012F32" w:rsidP="00012F32">
            <w:r>
              <w:t>A</w:t>
            </w:r>
            <w:r w:rsidRPr="00012F32">
              <w:t xml:space="preserve"> new statutory right to take neonatal care leave and pay. </w:t>
            </w:r>
          </w:p>
          <w:p w14:paraId="165062AC" w14:textId="77777777" w:rsidR="00012F32" w:rsidRPr="00012F32" w:rsidRDefault="00012F32" w:rsidP="00012F32">
            <w:r w:rsidRPr="00012F32">
              <w:t>The webinar includes:</w:t>
            </w:r>
          </w:p>
          <w:p w14:paraId="24E61ED4" w14:textId="4A31E98F" w:rsidR="00012F32" w:rsidRPr="00012F32" w:rsidRDefault="00012F32" w:rsidP="00012F32">
            <w:pPr>
              <w:numPr>
                <w:ilvl w:val="0"/>
                <w:numId w:val="49"/>
              </w:numPr>
            </w:pPr>
            <w:r w:rsidRPr="00012F32">
              <w:t>introduction</w:t>
            </w:r>
          </w:p>
          <w:p w14:paraId="2B39634A" w14:textId="12190145" w:rsidR="00012F32" w:rsidRPr="00012F32" w:rsidRDefault="00012F32" w:rsidP="00012F32">
            <w:pPr>
              <w:numPr>
                <w:ilvl w:val="0"/>
                <w:numId w:val="49"/>
              </w:numPr>
            </w:pPr>
            <w:r w:rsidRPr="00012F32">
              <w:t xml:space="preserve">eligibility requirements </w:t>
            </w:r>
          </w:p>
          <w:p w14:paraId="53A2D12B" w14:textId="6452770D" w:rsidR="00012F32" w:rsidRPr="00012F32" w:rsidRDefault="00012F32" w:rsidP="00012F32">
            <w:pPr>
              <w:numPr>
                <w:ilvl w:val="0"/>
                <w:numId w:val="49"/>
              </w:numPr>
            </w:pPr>
            <w:r w:rsidRPr="00012F32">
              <w:t>the new two-tiered approach</w:t>
            </w:r>
          </w:p>
          <w:p w14:paraId="799EA3FA" w14:textId="567E3563" w:rsidR="00270044" w:rsidRPr="00012F32" w:rsidRDefault="00012F32" w:rsidP="003177A4">
            <w:pPr>
              <w:numPr>
                <w:ilvl w:val="0"/>
                <w:numId w:val="49"/>
              </w:numPr>
            </w:pPr>
            <w:r w:rsidRPr="00012F32">
              <w:t>neonatal care pay</w:t>
            </w:r>
          </w:p>
        </w:tc>
        <w:tc>
          <w:tcPr>
            <w:tcW w:w="3377" w:type="dxa"/>
          </w:tcPr>
          <w:p w14:paraId="56059B70" w14:textId="6515EA3A" w:rsidR="00270044" w:rsidRDefault="00C82099" w:rsidP="003177A4">
            <w:r>
              <w:t>Potential upskilling from associate people partners or my line manager to support my development as a people practitioner.</w:t>
            </w:r>
          </w:p>
        </w:tc>
      </w:tr>
      <w:tr w:rsidR="00270044" w14:paraId="175DEEBF" w14:textId="77777777" w:rsidTr="00270044">
        <w:trPr>
          <w:trHeight w:val="947"/>
        </w:trPr>
        <w:tc>
          <w:tcPr>
            <w:tcW w:w="1247" w:type="dxa"/>
            <w:tcBorders>
              <w:right w:val="single" w:sz="4" w:space="0" w:color="auto"/>
            </w:tcBorders>
          </w:tcPr>
          <w:p w14:paraId="0F37784B" w14:textId="34F48ACA" w:rsidR="00270044" w:rsidRDefault="005D1317" w:rsidP="003177A4">
            <w:r>
              <w:lastRenderedPageBreak/>
              <w:t>May 2025</w:t>
            </w:r>
          </w:p>
        </w:tc>
        <w:tc>
          <w:tcPr>
            <w:tcW w:w="3373" w:type="dxa"/>
            <w:tcBorders>
              <w:left w:val="single" w:sz="4" w:space="0" w:color="auto"/>
            </w:tcBorders>
          </w:tcPr>
          <w:p w14:paraId="24BFD5A6" w14:textId="311ACDBC" w:rsidR="005D1317" w:rsidRPr="005D1317" w:rsidRDefault="005D1317" w:rsidP="005D1317">
            <w:pPr>
              <w:rPr>
                <w:b/>
                <w:bCs/>
              </w:rPr>
            </w:pPr>
            <w:r>
              <w:t>ACAS ‘</w:t>
            </w:r>
            <w:r w:rsidRPr="005D1317">
              <w:t>Flexible working requests: a case study and the law</w:t>
            </w:r>
            <w:r>
              <w:t>’</w:t>
            </w:r>
          </w:p>
          <w:p w14:paraId="5E0E7F21" w14:textId="6E7418AB" w:rsidR="00270044" w:rsidRDefault="00270044" w:rsidP="003177A4"/>
        </w:tc>
        <w:tc>
          <w:tcPr>
            <w:tcW w:w="3374" w:type="dxa"/>
          </w:tcPr>
          <w:p w14:paraId="6D30036E" w14:textId="358CC81E" w:rsidR="00270044" w:rsidRDefault="00C7761E" w:rsidP="003177A4">
            <w:r>
              <w:t>To be attended</w:t>
            </w:r>
          </w:p>
        </w:tc>
        <w:tc>
          <w:tcPr>
            <w:tcW w:w="3374" w:type="dxa"/>
          </w:tcPr>
          <w:p w14:paraId="6600891F" w14:textId="723A7DF5" w:rsidR="00270044" w:rsidRDefault="005E2A47" w:rsidP="003177A4">
            <w:r>
              <w:t>C</w:t>
            </w:r>
            <w:r w:rsidRPr="005E2A47">
              <w:t>overs flexible working requests, examples of flexible working and the Acas Code of Practice</w:t>
            </w:r>
          </w:p>
        </w:tc>
        <w:tc>
          <w:tcPr>
            <w:tcW w:w="3377" w:type="dxa"/>
          </w:tcPr>
          <w:p w14:paraId="3D995556" w14:textId="2A7A0DF5" w:rsidR="00270044" w:rsidRDefault="005E2A47" w:rsidP="003177A4">
            <w:r>
              <w:t xml:space="preserve">My personal experience with employment law is very limited, and so more exposure is necessary to continue my professional development. </w:t>
            </w:r>
          </w:p>
        </w:tc>
      </w:tr>
      <w:tr w:rsidR="00270044" w14:paraId="19B15872" w14:textId="77777777" w:rsidTr="00270044">
        <w:trPr>
          <w:trHeight w:val="947"/>
        </w:trPr>
        <w:tc>
          <w:tcPr>
            <w:tcW w:w="1247" w:type="dxa"/>
            <w:tcBorders>
              <w:bottom w:val="single" w:sz="4" w:space="0" w:color="auto"/>
              <w:right w:val="single" w:sz="4" w:space="0" w:color="auto"/>
            </w:tcBorders>
          </w:tcPr>
          <w:p w14:paraId="2B7B55A3" w14:textId="2E29D0F0" w:rsidR="00270044" w:rsidRDefault="00270044" w:rsidP="003177A4"/>
        </w:tc>
        <w:tc>
          <w:tcPr>
            <w:tcW w:w="3373" w:type="dxa"/>
            <w:tcBorders>
              <w:left w:val="single" w:sz="4" w:space="0" w:color="auto"/>
            </w:tcBorders>
          </w:tcPr>
          <w:p w14:paraId="3591170C" w14:textId="2CFDF84E" w:rsidR="00270044" w:rsidRDefault="00BF4622" w:rsidP="003177A4">
            <w:r>
              <w:t xml:space="preserve">CIPD </w:t>
            </w:r>
            <w:r w:rsidR="00477F33">
              <w:t>Associate Diploma in People Management (Level 5)</w:t>
            </w:r>
          </w:p>
        </w:tc>
        <w:tc>
          <w:tcPr>
            <w:tcW w:w="3374" w:type="dxa"/>
          </w:tcPr>
          <w:p w14:paraId="1A2DF01E" w14:textId="2B82D847" w:rsidR="00270044" w:rsidRDefault="00477F33" w:rsidP="003177A4">
            <w:r>
              <w:t>In progress</w:t>
            </w:r>
          </w:p>
        </w:tc>
        <w:tc>
          <w:tcPr>
            <w:tcW w:w="3374" w:type="dxa"/>
          </w:tcPr>
          <w:p w14:paraId="6F6170AF" w14:textId="242CC52C" w:rsidR="00270044" w:rsidRDefault="00913CA5" w:rsidP="003177A4">
            <w:r>
              <w:t>Completion of this diploma will allow me to progress to the next stage of my career as a people practitioner</w:t>
            </w:r>
            <w:r w:rsidR="00E47F7F">
              <w:t>.</w:t>
            </w:r>
          </w:p>
        </w:tc>
        <w:tc>
          <w:tcPr>
            <w:tcW w:w="3377" w:type="dxa"/>
          </w:tcPr>
          <w:p w14:paraId="082CD5D9" w14:textId="6108A848" w:rsidR="00270044" w:rsidRDefault="006C24DC" w:rsidP="003177A4">
            <w:r>
              <w:t xml:space="preserve">Specialist Employment Law, Employee Relationship Management, </w:t>
            </w:r>
            <w:r w:rsidR="00DB3089">
              <w:t>Talent Management and Workforce Planning and Reward for Performance and Contribution modules still to b</w:t>
            </w:r>
            <w:r w:rsidR="00E47F7F">
              <w:t>e completed.</w:t>
            </w:r>
          </w:p>
        </w:tc>
      </w:tr>
    </w:tbl>
    <w:p w14:paraId="484F68FE" w14:textId="77777777" w:rsidR="00571BD7" w:rsidRDefault="00571BD7" w:rsidP="00C23A0A">
      <w:pPr>
        <w:pStyle w:val="Listparag"/>
        <w:spacing w:after="0"/>
        <w:rPr>
          <w:rFonts w:ascii="Trebuchet MS" w:hAnsi="Trebuchet MS"/>
          <w:color w:val="auto"/>
        </w:rPr>
        <w:sectPr w:rsidR="00571BD7" w:rsidSect="006C18A1">
          <w:pgSz w:w="16840" w:h="11900" w:orient="landscape"/>
          <w:pgMar w:top="1134" w:right="1077" w:bottom="964" w:left="1077" w:header="720" w:footer="720" w:gutter="0"/>
          <w:cols w:space="720"/>
          <w:docGrid w:linePitch="360"/>
        </w:sectPr>
      </w:pPr>
    </w:p>
    <w:p w14:paraId="251C22B1" w14:textId="77777777" w:rsidR="00571BD7" w:rsidRDefault="00571BD7" w:rsidP="00CD7073">
      <w:pPr>
        <w:pStyle w:val="Listparag"/>
        <w:spacing w:after="0"/>
        <w:rPr>
          <w:rFonts w:ascii="Trebuchet MS" w:hAnsi="Trebuchet MS"/>
          <w:color w:val="auto"/>
        </w:rPr>
      </w:pPr>
    </w:p>
    <w:p w14:paraId="339526C2" w14:textId="66960A75" w:rsidR="00A370F4" w:rsidRPr="00406143" w:rsidRDefault="00A370F4" w:rsidP="00CD7073">
      <w:pPr>
        <w:pStyle w:val="Listparag"/>
        <w:spacing w:after="0"/>
        <w:rPr>
          <w:rFonts w:ascii="Trebuchet MS" w:hAnsi="Trebuchet MS"/>
          <w:b/>
          <w:bCs/>
          <w:color w:val="00616A" w:themeColor="accent2" w:themeShade="BF"/>
        </w:rPr>
      </w:pPr>
      <w:r w:rsidRPr="00406143">
        <w:rPr>
          <w:rFonts w:ascii="Trebuchet MS" w:hAnsi="Trebuchet MS"/>
          <w:b/>
          <w:bCs/>
          <w:color w:val="00616A" w:themeColor="accent2" w:themeShade="BF"/>
        </w:rPr>
        <w:t>References (to be edited)</w:t>
      </w:r>
    </w:p>
    <w:p w14:paraId="25EA23FD" w14:textId="77777777" w:rsidR="00A370F4" w:rsidRDefault="00A370F4" w:rsidP="00CD7073">
      <w:pPr>
        <w:pStyle w:val="Listparag"/>
        <w:spacing w:after="0"/>
        <w:rPr>
          <w:rFonts w:ascii="Trebuchet MS" w:hAnsi="Trebuchet MS"/>
          <w:color w:val="auto"/>
        </w:rPr>
      </w:pPr>
    </w:p>
    <w:p w14:paraId="56B05946" w14:textId="77777777" w:rsidR="00406143" w:rsidRDefault="00406143" w:rsidP="00CD7073">
      <w:pPr>
        <w:pStyle w:val="Listparag"/>
        <w:spacing w:after="0"/>
        <w:rPr>
          <w:rFonts w:ascii="Trebuchet MS" w:hAnsi="Trebuchet MS"/>
        </w:rPr>
      </w:pPr>
      <w:r w:rsidRPr="00406143">
        <w:rPr>
          <w:rFonts w:ascii="Trebuchet MS" w:hAnsi="Trebuchet MS"/>
        </w:rPr>
        <w:t xml:space="preserve">Armstrong, M. &amp; Taylor, S. (2020). </w:t>
      </w:r>
      <w:r w:rsidRPr="00406143">
        <w:rPr>
          <w:rFonts w:ascii="Trebuchet MS" w:hAnsi="Trebuchet MS"/>
          <w:i/>
          <w:iCs/>
        </w:rPr>
        <w:t>Armstrong's Handbook of Human Resource Management Practice</w:t>
      </w:r>
      <w:r w:rsidRPr="00406143">
        <w:rPr>
          <w:rFonts w:ascii="Trebuchet MS" w:hAnsi="Trebuchet MS"/>
        </w:rPr>
        <w:t>. 15th edn. London: Kogan Page.</w:t>
      </w:r>
    </w:p>
    <w:p w14:paraId="10663969" w14:textId="77777777" w:rsidR="008A000B" w:rsidRDefault="008A000B" w:rsidP="00406143">
      <w:pPr>
        <w:pStyle w:val="Listparag"/>
        <w:spacing w:after="0"/>
        <w:ind w:left="720"/>
        <w:rPr>
          <w:rFonts w:ascii="Trebuchet MS" w:hAnsi="Trebuchet MS"/>
        </w:rPr>
      </w:pPr>
    </w:p>
    <w:p w14:paraId="0E97FEED" w14:textId="6D82D622" w:rsidR="008A000B" w:rsidRDefault="008A000B" w:rsidP="00CD7073">
      <w:pPr>
        <w:pStyle w:val="Listparag"/>
        <w:spacing w:after="0"/>
        <w:rPr>
          <w:rFonts w:ascii="Trebuchet MS" w:hAnsi="Trebuchet MS"/>
        </w:rPr>
      </w:pPr>
      <w:r w:rsidRPr="008A000B">
        <w:rPr>
          <w:rFonts w:ascii="Trebuchet MS" w:hAnsi="Trebuchet MS"/>
        </w:rPr>
        <w:t xml:space="preserve">Bach, S. &amp; Bordogna, L. (2023). </w:t>
      </w:r>
      <w:r w:rsidRPr="008A000B">
        <w:rPr>
          <w:rFonts w:ascii="Trebuchet MS" w:hAnsi="Trebuchet MS"/>
          <w:i/>
          <w:iCs/>
        </w:rPr>
        <w:t>Public Service Employment Relations in Europe: Crisis and Continuity</w:t>
      </w:r>
      <w:r w:rsidRPr="008A000B">
        <w:rPr>
          <w:rFonts w:ascii="Trebuchet MS" w:hAnsi="Trebuchet MS"/>
        </w:rPr>
        <w:t>. London: Routledge.</w:t>
      </w:r>
    </w:p>
    <w:p w14:paraId="4FE0E9B4" w14:textId="77777777" w:rsidR="00B37D55" w:rsidRDefault="00B37D55" w:rsidP="00CD7073">
      <w:pPr>
        <w:pStyle w:val="Listparag"/>
        <w:spacing w:after="0"/>
        <w:rPr>
          <w:rFonts w:ascii="Trebuchet MS" w:hAnsi="Trebuchet MS"/>
        </w:rPr>
      </w:pPr>
    </w:p>
    <w:p w14:paraId="7E052663" w14:textId="41493290" w:rsidR="00B37D55" w:rsidRDefault="00B37D55" w:rsidP="00CD7073">
      <w:pPr>
        <w:pStyle w:val="Listparag"/>
        <w:spacing w:after="0"/>
        <w:rPr>
          <w:rFonts w:ascii="Trebuchet MS" w:hAnsi="Trebuchet MS"/>
        </w:rPr>
      </w:pPr>
      <w:r w:rsidRPr="00B37D55">
        <w:rPr>
          <w:rFonts w:ascii="Trebuchet MS" w:hAnsi="Trebuchet MS"/>
        </w:rPr>
        <w:t xml:space="preserve">Bendick, M., Egan, M. L., &amp; Lanfranconi, M. (2010) 'Systemic discrimination in hiring: The role of employers’ racial attitudes,' </w:t>
      </w:r>
      <w:r w:rsidRPr="00B37D55">
        <w:rPr>
          <w:rFonts w:ascii="Trebuchet MS" w:hAnsi="Trebuchet MS"/>
          <w:i/>
          <w:iCs/>
        </w:rPr>
        <w:t>Industrial Relations Research Association</w:t>
      </w:r>
      <w:r w:rsidRPr="00B37D55">
        <w:rPr>
          <w:rFonts w:ascii="Trebuchet MS" w:hAnsi="Trebuchet MS"/>
        </w:rPr>
        <w:t>, pp. 249-258.</w:t>
      </w:r>
    </w:p>
    <w:p w14:paraId="32951F8E" w14:textId="77777777" w:rsidR="00406143" w:rsidRDefault="00406143" w:rsidP="00406143">
      <w:pPr>
        <w:pStyle w:val="Listparag"/>
        <w:spacing w:after="0"/>
        <w:ind w:left="720"/>
        <w:rPr>
          <w:rFonts w:ascii="Trebuchet MS" w:hAnsi="Trebuchet MS"/>
        </w:rPr>
      </w:pPr>
    </w:p>
    <w:p w14:paraId="15A2F50F" w14:textId="2BBBFB23" w:rsidR="00F54E52" w:rsidRDefault="00F54E52" w:rsidP="00CD7073">
      <w:pPr>
        <w:pStyle w:val="Listparag"/>
        <w:spacing w:after="0"/>
        <w:rPr>
          <w:rFonts w:ascii="Trebuchet MS" w:hAnsi="Trebuchet MS"/>
        </w:rPr>
      </w:pPr>
      <w:r w:rsidRPr="00F54E52">
        <w:rPr>
          <w:rFonts w:ascii="Trebuchet MS" w:hAnsi="Trebuchet MS"/>
        </w:rPr>
        <w:t xml:space="preserve">Boxall, P. &amp; Purcell, J. (2022). </w:t>
      </w:r>
      <w:r w:rsidRPr="00F54E52">
        <w:rPr>
          <w:rFonts w:ascii="Trebuchet MS" w:hAnsi="Trebuchet MS"/>
          <w:i/>
          <w:iCs/>
        </w:rPr>
        <w:t>Strategy and Human Resource Management</w:t>
      </w:r>
      <w:r w:rsidRPr="00F54E52">
        <w:rPr>
          <w:rFonts w:ascii="Trebuchet MS" w:hAnsi="Trebuchet MS"/>
        </w:rPr>
        <w:t>. 5th edn. London: Palgrave Macmillan.</w:t>
      </w:r>
    </w:p>
    <w:p w14:paraId="3E01A0E9" w14:textId="77777777" w:rsidR="00F54E52" w:rsidRDefault="00F54E52" w:rsidP="00406143">
      <w:pPr>
        <w:pStyle w:val="Listparag"/>
        <w:spacing w:after="0"/>
        <w:ind w:left="720"/>
        <w:rPr>
          <w:rFonts w:ascii="Trebuchet MS" w:hAnsi="Trebuchet MS"/>
        </w:rPr>
      </w:pPr>
    </w:p>
    <w:p w14:paraId="6CCB3849" w14:textId="27D1EB01" w:rsidR="007A3EFD" w:rsidRDefault="007A3EFD" w:rsidP="00CD7073">
      <w:pPr>
        <w:pStyle w:val="Listparag"/>
        <w:spacing w:after="0"/>
        <w:rPr>
          <w:rFonts w:ascii="Trebuchet MS" w:hAnsi="Trebuchet MS"/>
        </w:rPr>
      </w:pPr>
      <w:r w:rsidRPr="007A3EFD">
        <w:rPr>
          <w:rFonts w:ascii="Trebuchet MS" w:hAnsi="Trebuchet MS"/>
        </w:rPr>
        <w:t xml:space="preserve">Bratton, J. &amp; Gold, J. (2022). </w:t>
      </w:r>
      <w:r w:rsidRPr="007A3EFD">
        <w:rPr>
          <w:rFonts w:ascii="Trebuchet MS" w:hAnsi="Trebuchet MS"/>
          <w:i/>
          <w:iCs/>
        </w:rPr>
        <w:t>Human Resource Management: Theory and Practice</w:t>
      </w:r>
      <w:r w:rsidRPr="007A3EFD">
        <w:rPr>
          <w:rFonts w:ascii="Trebuchet MS" w:hAnsi="Trebuchet MS"/>
        </w:rPr>
        <w:t>. 7th edn. London: Palgrave Macmillan.</w:t>
      </w:r>
    </w:p>
    <w:p w14:paraId="390359C1" w14:textId="77777777" w:rsidR="007A3EFD" w:rsidRPr="00406143" w:rsidRDefault="007A3EFD" w:rsidP="00406143">
      <w:pPr>
        <w:pStyle w:val="Listparag"/>
        <w:spacing w:after="0"/>
        <w:ind w:left="720"/>
        <w:rPr>
          <w:rFonts w:ascii="Trebuchet MS" w:hAnsi="Trebuchet MS"/>
        </w:rPr>
      </w:pPr>
    </w:p>
    <w:p w14:paraId="465DB7F5" w14:textId="77777777" w:rsidR="00406143" w:rsidRDefault="00406143" w:rsidP="00CD7073">
      <w:pPr>
        <w:pStyle w:val="Listparag"/>
        <w:spacing w:after="0"/>
        <w:rPr>
          <w:rFonts w:ascii="Trebuchet MS" w:hAnsi="Trebuchet MS"/>
        </w:rPr>
      </w:pPr>
      <w:r w:rsidRPr="00406143">
        <w:rPr>
          <w:rFonts w:ascii="Trebuchet MS" w:hAnsi="Trebuchet MS"/>
        </w:rPr>
        <w:t xml:space="preserve">Brewster, C., Chung, C. &amp; Sparrow, P. (2016). </w:t>
      </w:r>
      <w:r w:rsidRPr="00406143">
        <w:rPr>
          <w:rFonts w:ascii="Trebuchet MS" w:hAnsi="Trebuchet MS"/>
          <w:i/>
          <w:iCs/>
        </w:rPr>
        <w:t>Globalizing Human Resource Management</w:t>
      </w:r>
      <w:r w:rsidRPr="00406143">
        <w:rPr>
          <w:rFonts w:ascii="Trebuchet MS" w:hAnsi="Trebuchet MS"/>
        </w:rPr>
        <w:t>. 2nd edn. London: Routledge.</w:t>
      </w:r>
    </w:p>
    <w:p w14:paraId="78784EB9" w14:textId="77777777" w:rsidR="00406143" w:rsidRDefault="00406143" w:rsidP="00406143">
      <w:pPr>
        <w:pStyle w:val="Listparag"/>
        <w:spacing w:after="0"/>
        <w:ind w:left="720"/>
        <w:rPr>
          <w:rFonts w:ascii="Trebuchet MS" w:hAnsi="Trebuchet MS"/>
        </w:rPr>
      </w:pPr>
    </w:p>
    <w:p w14:paraId="1665F9E7" w14:textId="686FAC1F" w:rsidR="00115403" w:rsidRDefault="00115403" w:rsidP="00CD7073">
      <w:pPr>
        <w:pStyle w:val="Listparag"/>
        <w:spacing w:after="0"/>
        <w:rPr>
          <w:rFonts w:ascii="Trebuchet MS" w:hAnsi="Trebuchet MS"/>
        </w:rPr>
      </w:pPr>
      <w:r w:rsidRPr="00115403">
        <w:rPr>
          <w:rFonts w:ascii="Trebuchet MS" w:hAnsi="Trebuchet MS"/>
        </w:rPr>
        <w:t xml:space="preserve">Chartered Management Institute (2023) </w:t>
      </w:r>
      <w:r w:rsidRPr="00115403">
        <w:rPr>
          <w:rFonts w:ascii="Trebuchet MS" w:hAnsi="Trebuchet MS"/>
          <w:i/>
          <w:iCs/>
        </w:rPr>
        <w:t>Professional development in a changing world of work</w:t>
      </w:r>
      <w:r w:rsidRPr="00115403">
        <w:rPr>
          <w:rFonts w:ascii="Trebuchet MS" w:hAnsi="Trebuchet MS"/>
        </w:rPr>
        <w:t>. CMI.</w:t>
      </w:r>
    </w:p>
    <w:p w14:paraId="288B131B" w14:textId="77777777" w:rsidR="00115403" w:rsidRDefault="00115403" w:rsidP="00406143">
      <w:pPr>
        <w:pStyle w:val="Listparag"/>
        <w:spacing w:after="0"/>
        <w:ind w:left="720"/>
        <w:rPr>
          <w:rFonts w:ascii="Trebuchet MS" w:hAnsi="Trebuchet MS"/>
        </w:rPr>
      </w:pPr>
    </w:p>
    <w:p w14:paraId="0E79DF14" w14:textId="0F2F4BAB" w:rsidR="008001B5" w:rsidRDefault="008001B5" w:rsidP="00CD7073">
      <w:pPr>
        <w:pStyle w:val="Listparag"/>
        <w:spacing w:after="0"/>
        <w:rPr>
          <w:rFonts w:ascii="Trebuchet MS" w:hAnsi="Trebuchet MS"/>
        </w:rPr>
      </w:pPr>
      <w:r w:rsidRPr="008001B5">
        <w:rPr>
          <w:rFonts w:ascii="Trebuchet MS" w:hAnsi="Trebuchet MS"/>
        </w:rPr>
        <w:t xml:space="preserve">CIPD (2021) </w:t>
      </w:r>
      <w:r w:rsidRPr="008001B5">
        <w:rPr>
          <w:rFonts w:ascii="Trebuchet MS" w:hAnsi="Trebuchet MS"/>
          <w:i/>
          <w:iCs/>
        </w:rPr>
        <w:t>People Profession 2030: A collective view of future trends</w:t>
      </w:r>
      <w:r w:rsidRPr="008001B5">
        <w:rPr>
          <w:rFonts w:ascii="Trebuchet MS" w:hAnsi="Trebuchet MS"/>
        </w:rPr>
        <w:t>. CIPD.</w:t>
      </w:r>
    </w:p>
    <w:p w14:paraId="7EB59382" w14:textId="77777777" w:rsidR="008001B5" w:rsidRPr="00406143" w:rsidRDefault="008001B5" w:rsidP="00406143">
      <w:pPr>
        <w:pStyle w:val="Listparag"/>
        <w:spacing w:after="0"/>
        <w:ind w:left="720"/>
        <w:rPr>
          <w:rFonts w:ascii="Trebuchet MS" w:hAnsi="Trebuchet MS"/>
        </w:rPr>
      </w:pPr>
    </w:p>
    <w:p w14:paraId="6C3C73CE" w14:textId="2A46EB59" w:rsidR="00420AC6" w:rsidRDefault="00406143" w:rsidP="00CD7073">
      <w:pPr>
        <w:pStyle w:val="Listparag"/>
        <w:spacing w:after="0"/>
        <w:rPr>
          <w:rFonts w:ascii="Trebuchet MS" w:hAnsi="Trebuchet MS"/>
        </w:rPr>
      </w:pPr>
      <w:r w:rsidRPr="00406143">
        <w:rPr>
          <w:rFonts w:ascii="Trebuchet MS" w:hAnsi="Trebuchet MS"/>
        </w:rPr>
        <w:t xml:space="preserve">CIPD (2021). </w:t>
      </w:r>
      <w:r w:rsidRPr="00406143">
        <w:rPr>
          <w:rFonts w:ascii="Trebuchet MS" w:hAnsi="Trebuchet MS"/>
          <w:i/>
          <w:iCs/>
        </w:rPr>
        <w:t>The Profession Map</w:t>
      </w:r>
      <w:r w:rsidRPr="00406143">
        <w:rPr>
          <w:rFonts w:ascii="Trebuchet MS" w:hAnsi="Trebuchet MS"/>
        </w:rPr>
        <w:t>. Chartered Institute of Personnel and Development. Available at: [www.cipd.org] (Accessed: 29 March 2025).</w:t>
      </w:r>
    </w:p>
    <w:p w14:paraId="359FE24A" w14:textId="77777777" w:rsidR="008001B5" w:rsidRDefault="008001B5" w:rsidP="00406143">
      <w:pPr>
        <w:pStyle w:val="Listparag"/>
        <w:spacing w:after="0"/>
        <w:ind w:left="720"/>
        <w:rPr>
          <w:rFonts w:ascii="Trebuchet MS" w:hAnsi="Trebuchet MS"/>
        </w:rPr>
      </w:pPr>
    </w:p>
    <w:p w14:paraId="27CE132B" w14:textId="6CE88591" w:rsidR="008001B5" w:rsidRDefault="008001B5" w:rsidP="00CD7073">
      <w:pPr>
        <w:pStyle w:val="Listparag"/>
        <w:spacing w:after="0"/>
        <w:rPr>
          <w:rFonts w:ascii="Trebuchet MS" w:hAnsi="Trebuchet MS"/>
        </w:rPr>
      </w:pPr>
      <w:r w:rsidRPr="008001B5">
        <w:rPr>
          <w:rFonts w:ascii="Trebuchet MS" w:hAnsi="Trebuchet MS"/>
        </w:rPr>
        <w:t xml:space="preserve">CIPD (2022) </w:t>
      </w:r>
      <w:r w:rsidRPr="008001B5">
        <w:rPr>
          <w:rFonts w:ascii="Trebuchet MS" w:hAnsi="Trebuchet MS"/>
          <w:i/>
          <w:iCs/>
        </w:rPr>
        <w:t>Embedding new ways of working: implications for the people profession</w:t>
      </w:r>
      <w:r w:rsidRPr="008001B5">
        <w:rPr>
          <w:rFonts w:ascii="Trebuchet MS" w:hAnsi="Trebuchet MS"/>
        </w:rPr>
        <w:t>. CIPD.</w:t>
      </w:r>
    </w:p>
    <w:p w14:paraId="444D1C53" w14:textId="77777777" w:rsidR="008001B5" w:rsidRDefault="008001B5" w:rsidP="00406143">
      <w:pPr>
        <w:pStyle w:val="Listparag"/>
        <w:spacing w:after="0"/>
        <w:ind w:left="720"/>
        <w:rPr>
          <w:rFonts w:ascii="Trebuchet MS" w:hAnsi="Trebuchet MS"/>
        </w:rPr>
      </w:pPr>
    </w:p>
    <w:p w14:paraId="647036A8" w14:textId="1400B4BB" w:rsidR="00420AC6" w:rsidRDefault="00420AC6" w:rsidP="00CD7073">
      <w:pPr>
        <w:pStyle w:val="Listparag"/>
        <w:spacing w:after="0"/>
        <w:rPr>
          <w:rFonts w:ascii="Trebuchet MS" w:hAnsi="Trebuchet MS"/>
        </w:rPr>
      </w:pPr>
      <w:r w:rsidRPr="00420AC6">
        <w:rPr>
          <w:rFonts w:ascii="Trebuchet MS" w:hAnsi="Trebuchet MS"/>
        </w:rPr>
        <w:t xml:space="preserve">Edmondson, A. (1999) ‘Psychological safety and learning behavior in work teams,’ </w:t>
      </w:r>
      <w:r w:rsidRPr="00420AC6">
        <w:rPr>
          <w:rFonts w:ascii="Trebuchet MS" w:hAnsi="Trebuchet MS"/>
          <w:i/>
          <w:iCs/>
        </w:rPr>
        <w:t>Administrative Science Quarterly</w:t>
      </w:r>
      <w:r w:rsidRPr="00420AC6">
        <w:rPr>
          <w:rFonts w:ascii="Trebuchet MS" w:hAnsi="Trebuchet MS"/>
        </w:rPr>
        <w:t>, 44(2), pp. 350-383.</w:t>
      </w:r>
    </w:p>
    <w:p w14:paraId="15AF915B" w14:textId="77777777" w:rsidR="00762B33" w:rsidRDefault="00762B33" w:rsidP="00406143">
      <w:pPr>
        <w:pStyle w:val="Listparag"/>
        <w:spacing w:after="0"/>
        <w:ind w:left="720"/>
        <w:rPr>
          <w:rFonts w:ascii="Trebuchet MS" w:hAnsi="Trebuchet MS"/>
        </w:rPr>
      </w:pPr>
    </w:p>
    <w:p w14:paraId="3017738C" w14:textId="63FE6C21" w:rsidR="00762B33" w:rsidRDefault="00762B33" w:rsidP="00CD7073">
      <w:pPr>
        <w:pStyle w:val="Listparag"/>
        <w:spacing w:after="0"/>
        <w:rPr>
          <w:rFonts w:ascii="Trebuchet MS" w:hAnsi="Trebuchet MS"/>
        </w:rPr>
      </w:pPr>
      <w:r w:rsidRPr="00762B33">
        <w:rPr>
          <w:rFonts w:ascii="Trebuchet MS" w:hAnsi="Trebuchet MS"/>
        </w:rPr>
        <w:t xml:space="preserve">Greenberg, J. (1990) ‘Organizational justice: Yesterday, today, and tomorrow,’ </w:t>
      </w:r>
      <w:r w:rsidRPr="00762B33">
        <w:rPr>
          <w:rFonts w:ascii="Trebuchet MS" w:hAnsi="Trebuchet MS"/>
          <w:i/>
          <w:iCs/>
        </w:rPr>
        <w:t>Journal of Management</w:t>
      </w:r>
      <w:r w:rsidRPr="00762B33">
        <w:rPr>
          <w:rFonts w:ascii="Trebuchet MS" w:hAnsi="Trebuchet MS"/>
        </w:rPr>
        <w:t>, 16(2), pp. 399-432.</w:t>
      </w:r>
    </w:p>
    <w:p w14:paraId="415624B0" w14:textId="77777777" w:rsidR="00034F80" w:rsidRDefault="00034F80" w:rsidP="00406143">
      <w:pPr>
        <w:pStyle w:val="Listparag"/>
        <w:spacing w:after="0"/>
        <w:ind w:left="720"/>
        <w:rPr>
          <w:rFonts w:ascii="Trebuchet MS" w:hAnsi="Trebuchet MS"/>
        </w:rPr>
      </w:pPr>
    </w:p>
    <w:p w14:paraId="0CC03557" w14:textId="3F12948C" w:rsidR="00034F80" w:rsidRDefault="00034F80" w:rsidP="00CD7073">
      <w:pPr>
        <w:pStyle w:val="Listparag"/>
        <w:spacing w:after="0"/>
        <w:rPr>
          <w:rFonts w:ascii="Trebuchet MS" w:hAnsi="Trebuchet MS"/>
        </w:rPr>
      </w:pPr>
      <w:r w:rsidRPr="00034F80">
        <w:rPr>
          <w:rFonts w:ascii="Trebuchet MS" w:hAnsi="Trebuchet MS"/>
        </w:rPr>
        <w:t xml:space="preserve">Guest, D. E. (2017). ‘Human resource management and employee </w:t>
      </w:r>
      <w:r w:rsidR="00BB3CFA">
        <w:rPr>
          <w:rFonts w:ascii="Trebuchet MS" w:hAnsi="Trebuchet MS"/>
        </w:rPr>
        <w:t>wellbeing</w:t>
      </w:r>
      <w:r w:rsidRPr="00034F80">
        <w:rPr>
          <w:rFonts w:ascii="Trebuchet MS" w:hAnsi="Trebuchet MS"/>
        </w:rPr>
        <w:t xml:space="preserve">: Towards a new analytic framework’. </w:t>
      </w:r>
      <w:r w:rsidRPr="00034F80">
        <w:rPr>
          <w:rFonts w:ascii="Trebuchet MS" w:hAnsi="Trebuchet MS"/>
          <w:i/>
          <w:iCs/>
        </w:rPr>
        <w:t>Human Resource Management Journal</w:t>
      </w:r>
      <w:r w:rsidRPr="00034F80">
        <w:rPr>
          <w:rFonts w:ascii="Trebuchet MS" w:hAnsi="Trebuchet MS"/>
        </w:rPr>
        <w:t>, 27(1), pp. 22–38.</w:t>
      </w:r>
    </w:p>
    <w:p w14:paraId="10BF8266" w14:textId="77777777" w:rsidR="00B25AE4" w:rsidRDefault="00B25AE4" w:rsidP="00034F80">
      <w:pPr>
        <w:pStyle w:val="Listparag"/>
        <w:spacing w:after="0"/>
        <w:ind w:left="720"/>
        <w:rPr>
          <w:rFonts w:ascii="Trebuchet MS" w:hAnsi="Trebuchet MS"/>
        </w:rPr>
      </w:pPr>
    </w:p>
    <w:p w14:paraId="3B68C29D" w14:textId="5F95B87D" w:rsidR="00B25AE4" w:rsidRDefault="00B25AE4" w:rsidP="00CD7073">
      <w:pPr>
        <w:pStyle w:val="Listparag"/>
        <w:spacing w:after="0"/>
        <w:rPr>
          <w:rFonts w:ascii="Trebuchet MS" w:hAnsi="Trebuchet MS"/>
        </w:rPr>
      </w:pPr>
      <w:r w:rsidRPr="00B25AE4">
        <w:rPr>
          <w:rFonts w:ascii="Trebuchet MS" w:hAnsi="Trebuchet MS"/>
        </w:rPr>
        <w:t xml:space="preserve">Marchington, M., Wilkinson, A., Donnelly, R. &amp; Kynighou, A. (2016). </w:t>
      </w:r>
      <w:r w:rsidRPr="00B25AE4">
        <w:rPr>
          <w:rFonts w:ascii="Trebuchet MS" w:hAnsi="Trebuchet MS"/>
          <w:i/>
          <w:iCs/>
        </w:rPr>
        <w:t>Human Resource Management at Work: People Management and Development</w:t>
      </w:r>
      <w:r w:rsidRPr="00B25AE4">
        <w:rPr>
          <w:rFonts w:ascii="Trebuchet MS" w:hAnsi="Trebuchet MS"/>
        </w:rPr>
        <w:t>. 6th edn. London: Kogan Page.</w:t>
      </w:r>
    </w:p>
    <w:p w14:paraId="10646A3C" w14:textId="77777777" w:rsidR="00762B33" w:rsidRDefault="00762B33" w:rsidP="008A000B">
      <w:pPr>
        <w:pStyle w:val="Listparag"/>
        <w:spacing w:after="0"/>
        <w:ind w:left="720"/>
        <w:rPr>
          <w:rFonts w:ascii="Trebuchet MS" w:hAnsi="Trebuchet MS"/>
        </w:rPr>
      </w:pPr>
    </w:p>
    <w:p w14:paraId="4406D731" w14:textId="7DCC2675" w:rsidR="00762B33" w:rsidRDefault="00762B33" w:rsidP="00CD7073">
      <w:pPr>
        <w:pStyle w:val="Listparag"/>
        <w:spacing w:after="0"/>
        <w:rPr>
          <w:rFonts w:ascii="Trebuchet MS" w:hAnsi="Trebuchet MS"/>
        </w:rPr>
      </w:pPr>
      <w:r w:rsidRPr="00762B33">
        <w:rPr>
          <w:rFonts w:ascii="Trebuchet MS" w:hAnsi="Trebuchet MS"/>
        </w:rPr>
        <w:t xml:space="preserve">Maslow, A. H. (1943) ‘A theory of human motivation,’ </w:t>
      </w:r>
      <w:r w:rsidRPr="00762B33">
        <w:rPr>
          <w:rFonts w:ascii="Trebuchet MS" w:hAnsi="Trebuchet MS"/>
          <w:i/>
          <w:iCs/>
        </w:rPr>
        <w:t>Psychological Review</w:t>
      </w:r>
      <w:r w:rsidRPr="00762B33">
        <w:rPr>
          <w:rFonts w:ascii="Trebuchet MS" w:hAnsi="Trebuchet MS"/>
        </w:rPr>
        <w:t>, 50(4), pp. 370-396.</w:t>
      </w:r>
    </w:p>
    <w:p w14:paraId="5BF72845" w14:textId="77777777" w:rsidR="00762B33" w:rsidRDefault="00762B33" w:rsidP="008A000B">
      <w:pPr>
        <w:pStyle w:val="Listparag"/>
        <w:spacing w:after="0"/>
        <w:ind w:left="720"/>
        <w:rPr>
          <w:rFonts w:ascii="Trebuchet MS" w:hAnsi="Trebuchet MS"/>
        </w:rPr>
      </w:pPr>
    </w:p>
    <w:p w14:paraId="6CCD85DC" w14:textId="616DB4E7" w:rsidR="00762B33" w:rsidRDefault="00762B33" w:rsidP="00CD7073">
      <w:pPr>
        <w:pStyle w:val="Listparag"/>
        <w:spacing w:after="0"/>
        <w:rPr>
          <w:rFonts w:ascii="Trebuchet MS" w:hAnsi="Trebuchet MS"/>
        </w:rPr>
      </w:pPr>
      <w:r w:rsidRPr="00762B33">
        <w:rPr>
          <w:rFonts w:ascii="Trebuchet MS" w:hAnsi="Trebuchet MS"/>
        </w:rPr>
        <w:t xml:space="preserve">McKinsey &amp; Company (2020) </w:t>
      </w:r>
      <w:r w:rsidRPr="00762B33">
        <w:rPr>
          <w:rFonts w:ascii="Trebuchet MS" w:hAnsi="Trebuchet MS"/>
          <w:i/>
          <w:iCs/>
        </w:rPr>
        <w:t>Diversity wins: How inclusion matters</w:t>
      </w:r>
      <w:r w:rsidRPr="00762B33">
        <w:rPr>
          <w:rFonts w:ascii="Trebuchet MS" w:hAnsi="Trebuchet MS"/>
        </w:rPr>
        <w:t xml:space="preserve">. Available at: </w:t>
      </w:r>
      <w:hyperlink r:id="rId12" w:tgtFrame="_new" w:history="1">
        <w:r w:rsidRPr="00762B33">
          <w:rPr>
            <w:rStyle w:val="Hyperlink"/>
            <w:rFonts w:ascii="Trebuchet MS" w:hAnsi="Trebuchet MS"/>
          </w:rPr>
          <w:t>https://www.mckinsey.com</w:t>
        </w:r>
      </w:hyperlink>
      <w:r w:rsidRPr="00762B33">
        <w:rPr>
          <w:rFonts w:ascii="Trebuchet MS" w:hAnsi="Trebuchet MS"/>
        </w:rPr>
        <w:t xml:space="preserve"> (Accessed: 7 April 2025).</w:t>
      </w:r>
    </w:p>
    <w:p w14:paraId="2CAAC587" w14:textId="77777777" w:rsidR="004637E2" w:rsidRDefault="004637E2" w:rsidP="008A000B">
      <w:pPr>
        <w:pStyle w:val="Listparag"/>
        <w:spacing w:after="0"/>
        <w:ind w:left="720"/>
        <w:rPr>
          <w:rFonts w:ascii="Trebuchet MS" w:hAnsi="Trebuchet MS"/>
        </w:rPr>
      </w:pPr>
    </w:p>
    <w:p w14:paraId="7DE79555" w14:textId="0A53D51C" w:rsidR="004637E2" w:rsidRPr="00406143" w:rsidRDefault="004637E2" w:rsidP="00CD7073">
      <w:pPr>
        <w:pStyle w:val="Listparag"/>
        <w:spacing w:after="0"/>
        <w:rPr>
          <w:rFonts w:ascii="Trebuchet MS" w:hAnsi="Trebuchet MS"/>
        </w:rPr>
      </w:pPr>
      <w:r w:rsidRPr="004637E2">
        <w:rPr>
          <w:rFonts w:ascii="Trebuchet MS" w:hAnsi="Trebuchet MS"/>
        </w:rPr>
        <w:t xml:space="preserve">Noe, R. A., Hollenbeck, J. R., Gerhart, B. &amp; Wright, P. M. (2021). </w:t>
      </w:r>
      <w:r w:rsidRPr="004637E2">
        <w:rPr>
          <w:rFonts w:ascii="Trebuchet MS" w:hAnsi="Trebuchet MS"/>
          <w:i/>
          <w:iCs/>
        </w:rPr>
        <w:t>Fundamentals of Human Resource Management</w:t>
      </w:r>
      <w:r w:rsidRPr="004637E2">
        <w:rPr>
          <w:rFonts w:ascii="Trebuchet MS" w:hAnsi="Trebuchet MS"/>
        </w:rPr>
        <w:t>. 8th edn. New York: McGraw-Hill.</w:t>
      </w:r>
    </w:p>
    <w:p w14:paraId="5CA5FF86" w14:textId="77777777" w:rsidR="00B25AE4" w:rsidRDefault="00B25AE4" w:rsidP="008A000B">
      <w:pPr>
        <w:pStyle w:val="Listparag"/>
        <w:spacing w:after="0"/>
        <w:rPr>
          <w:rFonts w:ascii="Trebuchet MS" w:hAnsi="Trebuchet MS"/>
        </w:rPr>
      </w:pPr>
    </w:p>
    <w:p w14:paraId="65EF4DE4" w14:textId="092F31C0" w:rsidR="00B25AE4" w:rsidRDefault="00B25AE4" w:rsidP="00CD7073">
      <w:pPr>
        <w:pStyle w:val="Listparag"/>
        <w:spacing w:after="0"/>
        <w:rPr>
          <w:rFonts w:ascii="Trebuchet MS" w:hAnsi="Trebuchet MS"/>
        </w:rPr>
      </w:pPr>
      <w:r w:rsidRPr="00B25AE4">
        <w:rPr>
          <w:rFonts w:ascii="Trebuchet MS" w:hAnsi="Trebuchet MS"/>
        </w:rPr>
        <w:lastRenderedPageBreak/>
        <w:t xml:space="preserve">Redman, T. &amp; Wilkinson, A. (2021). </w:t>
      </w:r>
      <w:r w:rsidRPr="00B25AE4">
        <w:rPr>
          <w:rFonts w:ascii="Trebuchet MS" w:hAnsi="Trebuchet MS"/>
          <w:i/>
          <w:iCs/>
        </w:rPr>
        <w:t>Contemporary Human Resource Management: Text and Cases</w:t>
      </w:r>
      <w:r w:rsidRPr="00B25AE4">
        <w:rPr>
          <w:rFonts w:ascii="Trebuchet MS" w:hAnsi="Trebuchet MS"/>
        </w:rPr>
        <w:t>. 6th edn. Harlow: Pearson.</w:t>
      </w:r>
    </w:p>
    <w:p w14:paraId="21D0C9C8" w14:textId="77777777" w:rsidR="00B25AE4" w:rsidRDefault="00B25AE4" w:rsidP="00406143">
      <w:pPr>
        <w:pStyle w:val="Listparag"/>
        <w:spacing w:after="0"/>
        <w:ind w:left="720"/>
        <w:rPr>
          <w:rFonts w:ascii="Trebuchet MS" w:hAnsi="Trebuchet MS"/>
        </w:rPr>
      </w:pPr>
    </w:p>
    <w:p w14:paraId="50F346FE" w14:textId="288C1A11" w:rsidR="00406143" w:rsidRDefault="00406143" w:rsidP="00CD7073">
      <w:pPr>
        <w:pStyle w:val="Listparag"/>
        <w:spacing w:after="0"/>
        <w:rPr>
          <w:rFonts w:ascii="Trebuchet MS" w:hAnsi="Trebuchet MS"/>
        </w:rPr>
      </w:pPr>
      <w:r w:rsidRPr="00406143">
        <w:rPr>
          <w:rFonts w:ascii="Trebuchet MS" w:hAnsi="Trebuchet MS"/>
        </w:rPr>
        <w:t xml:space="preserve">Shen, J., Chanda, A., D’Netto, B. &amp; Monga, M. (2009). ‘Managing diversity through human resource management: An international perspective and conceptual framework’. </w:t>
      </w:r>
      <w:r w:rsidRPr="00406143">
        <w:rPr>
          <w:rFonts w:ascii="Trebuchet MS" w:hAnsi="Trebuchet MS"/>
          <w:i/>
          <w:iCs/>
        </w:rPr>
        <w:t>The International Journal of Human Resource Management</w:t>
      </w:r>
      <w:r w:rsidRPr="00406143">
        <w:rPr>
          <w:rFonts w:ascii="Trebuchet MS" w:hAnsi="Trebuchet MS"/>
        </w:rPr>
        <w:t>, 20(2), pp. 235–251.</w:t>
      </w:r>
    </w:p>
    <w:p w14:paraId="26216D8A" w14:textId="77777777" w:rsidR="00B37D55" w:rsidRDefault="00B37D55" w:rsidP="00406143">
      <w:pPr>
        <w:pStyle w:val="Listparag"/>
        <w:spacing w:after="0"/>
        <w:ind w:left="720"/>
        <w:rPr>
          <w:rFonts w:ascii="Trebuchet MS" w:hAnsi="Trebuchet MS"/>
        </w:rPr>
      </w:pPr>
    </w:p>
    <w:p w14:paraId="5E67418E" w14:textId="49495F6B" w:rsidR="00B37D55" w:rsidRDefault="00B37D55" w:rsidP="00CD7073">
      <w:pPr>
        <w:pStyle w:val="Listparag"/>
        <w:spacing w:after="0"/>
        <w:rPr>
          <w:rFonts w:ascii="Trebuchet MS" w:hAnsi="Trebuchet MS"/>
        </w:rPr>
      </w:pPr>
      <w:r w:rsidRPr="00B37D55">
        <w:rPr>
          <w:rFonts w:ascii="Trebuchet MS" w:hAnsi="Trebuchet MS"/>
        </w:rPr>
        <w:t xml:space="preserve">Shore, L. M., Cleveland, J. N., &amp; Sanchez, D. (2011) 'Inclusive workplaces: A review and model,' </w:t>
      </w:r>
      <w:r w:rsidRPr="00B37D55">
        <w:rPr>
          <w:rFonts w:ascii="Trebuchet MS" w:hAnsi="Trebuchet MS"/>
          <w:i/>
          <w:iCs/>
        </w:rPr>
        <w:t>Human Resource Management Review</w:t>
      </w:r>
      <w:r w:rsidRPr="00B37D55">
        <w:rPr>
          <w:rFonts w:ascii="Trebuchet MS" w:hAnsi="Trebuchet MS"/>
        </w:rPr>
        <w:t>, 21(4), pp. 300-314.</w:t>
      </w:r>
    </w:p>
    <w:p w14:paraId="4967D49E" w14:textId="77777777" w:rsidR="000C4643" w:rsidRDefault="000C4643" w:rsidP="00406143">
      <w:pPr>
        <w:pStyle w:val="Listparag"/>
        <w:spacing w:after="0"/>
        <w:ind w:left="720"/>
        <w:rPr>
          <w:rFonts w:ascii="Trebuchet MS" w:hAnsi="Trebuchet MS"/>
        </w:rPr>
      </w:pPr>
    </w:p>
    <w:p w14:paraId="5B823CE8" w14:textId="157A24C8" w:rsidR="000C4643" w:rsidRDefault="000C4643" w:rsidP="00CD7073">
      <w:pPr>
        <w:pStyle w:val="Listparag"/>
        <w:spacing w:after="0"/>
        <w:rPr>
          <w:rFonts w:ascii="Trebuchet MS" w:hAnsi="Trebuchet MS"/>
        </w:rPr>
      </w:pPr>
      <w:r w:rsidRPr="000C4643">
        <w:rPr>
          <w:rFonts w:ascii="Trebuchet MS" w:hAnsi="Trebuchet MS"/>
        </w:rPr>
        <w:t xml:space="preserve">Torrington, D., Hall, L., Taylor, S. &amp; Atkinson, C. (2020). </w:t>
      </w:r>
      <w:r w:rsidRPr="000C4643">
        <w:rPr>
          <w:rFonts w:ascii="Trebuchet MS" w:hAnsi="Trebuchet MS"/>
          <w:i/>
          <w:iCs/>
        </w:rPr>
        <w:t>Human Resource Management</w:t>
      </w:r>
      <w:r w:rsidRPr="000C4643">
        <w:rPr>
          <w:rFonts w:ascii="Trebuchet MS" w:hAnsi="Trebuchet MS"/>
        </w:rPr>
        <w:t>. 11th edn. Harlow: Pearson.</w:t>
      </w:r>
    </w:p>
    <w:p w14:paraId="71A3279E" w14:textId="77777777" w:rsidR="00406143" w:rsidRPr="00406143" w:rsidRDefault="00406143" w:rsidP="00406143">
      <w:pPr>
        <w:pStyle w:val="Listparag"/>
        <w:spacing w:after="0"/>
        <w:ind w:left="720"/>
        <w:rPr>
          <w:rFonts w:ascii="Trebuchet MS" w:hAnsi="Trebuchet MS"/>
        </w:rPr>
      </w:pPr>
    </w:p>
    <w:p w14:paraId="1FF76095" w14:textId="77777777" w:rsidR="00406143" w:rsidRPr="00406143" w:rsidRDefault="00406143" w:rsidP="00CD7073">
      <w:pPr>
        <w:pStyle w:val="Listparag"/>
        <w:spacing w:after="0"/>
        <w:rPr>
          <w:rFonts w:ascii="Trebuchet MS" w:hAnsi="Trebuchet MS"/>
        </w:rPr>
      </w:pPr>
      <w:r w:rsidRPr="00406143">
        <w:rPr>
          <w:rFonts w:ascii="Trebuchet MS" w:hAnsi="Trebuchet MS"/>
        </w:rPr>
        <w:t xml:space="preserve">Ulrich, D., Younger, J., Brockbank, W. &amp; Ulrich, M. (2017). </w:t>
      </w:r>
      <w:r w:rsidRPr="00406143">
        <w:rPr>
          <w:rFonts w:ascii="Trebuchet MS" w:hAnsi="Trebuchet MS"/>
          <w:i/>
          <w:iCs/>
        </w:rPr>
        <w:t>HR from the Outside In: Six Competencies for the Future of Human Resources</w:t>
      </w:r>
      <w:r w:rsidRPr="00406143">
        <w:rPr>
          <w:rFonts w:ascii="Trebuchet MS" w:hAnsi="Trebuchet MS"/>
        </w:rPr>
        <w:t>. New York: McGraw-Hill.</w:t>
      </w:r>
    </w:p>
    <w:p w14:paraId="5D8A5EF9" w14:textId="77777777" w:rsidR="00406143" w:rsidRDefault="00406143" w:rsidP="004C6AA5">
      <w:pPr>
        <w:pStyle w:val="Listparag"/>
        <w:spacing w:after="0"/>
        <w:ind w:left="720"/>
        <w:rPr>
          <w:rFonts w:ascii="Trebuchet MS" w:hAnsi="Trebuchet MS"/>
          <w:color w:val="auto"/>
        </w:rPr>
      </w:pPr>
    </w:p>
    <w:p w14:paraId="468CC226" w14:textId="77777777" w:rsidR="00034F80" w:rsidRDefault="00034F80" w:rsidP="004C6AA5">
      <w:pPr>
        <w:pStyle w:val="Listparag"/>
        <w:spacing w:after="0"/>
        <w:ind w:left="720"/>
        <w:rPr>
          <w:rFonts w:ascii="Trebuchet MS" w:hAnsi="Trebuchet MS"/>
          <w:color w:val="auto"/>
        </w:rPr>
      </w:pPr>
    </w:p>
    <w:p w14:paraId="677CFD76" w14:textId="77777777" w:rsidR="00A220B5" w:rsidRDefault="00A220B5" w:rsidP="004C6AA5">
      <w:pPr>
        <w:pStyle w:val="Listparag"/>
        <w:spacing w:after="0"/>
        <w:ind w:left="720"/>
        <w:rPr>
          <w:rFonts w:ascii="Trebuchet MS" w:hAnsi="Trebuchet MS"/>
          <w:color w:val="auto"/>
        </w:rPr>
      </w:pPr>
    </w:p>
    <w:p w14:paraId="4BE7558F" w14:textId="77777777" w:rsidR="00A220B5" w:rsidRDefault="00A220B5" w:rsidP="004C6AA5">
      <w:pPr>
        <w:pStyle w:val="Listparag"/>
        <w:spacing w:after="0"/>
        <w:ind w:left="720"/>
        <w:rPr>
          <w:rFonts w:ascii="Trebuchet MS" w:hAnsi="Trebuchet MS"/>
          <w:color w:val="auto"/>
        </w:rPr>
      </w:pPr>
    </w:p>
    <w:p w14:paraId="5ACADC35" w14:textId="77777777" w:rsidR="00A220B5" w:rsidRDefault="00A220B5" w:rsidP="004C6AA5">
      <w:pPr>
        <w:pStyle w:val="Listparag"/>
        <w:spacing w:after="0"/>
        <w:ind w:left="720"/>
        <w:rPr>
          <w:rFonts w:ascii="Trebuchet MS" w:hAnsi="Trebuchet MS"/>
          <w:color w:val="auto"/>
        </w:rPr>
      </w:pPr>
    </w:p>
    <w:p w14:paraId="3D0ABC02" w14:textId="77777777" w:rsidR="00A220B5" w:rsidRDefault="00A220B5" w:rsidP="004C6AA5">
      <w:pPr>
        <w:pStyle w:val="Listparag"/>
        <w:spacing w:after="0"/>
        <w:ind w:left="720"/>
        <w:rPr>
          <w:rFonts w:ascii="Trebuchet MS" w:hAnsi="Trebuchet MS"/>
          <w:color w:val="auto"/>
        </w:rPr>
      </w:pPr>
    </w:p>
    <w:p w14:paraId="7E8DCFF3" w14:textId="77777777" w:rsidR="00A220B5" w:rsidRDefault="00A220B5" w:rsidP="004C6AA5">
      <w:pPr>
        <w:pStyle w:val="Listparag"/>
        <w:spacing w:after="0"/>
        <w:ind w:left="720"/>
        <w:rPr>
          <w:rFonts w:ascii="Trebuchet MS" w:hAnsi="Trebuchet MS"/>
          <w:color w:val="auto"/>
        </w:rPr>
      </w:pPr>
    </w:p>
    <w:p w14:paraId="5374B85C" w14:textId="77777777" w:rsidR="00A220B5" w:rsidRDefault="00A220B5" w:rsidP="004C6AA5">
      <w:pPr>
        <w:pStyle w:val="Listparag"/>
        <w:spacing w:after="0"/>
        <w:ind w:left="720"/>
        <w:rPr>
          <w:rFonts w:ascii="Trebuchet MS" w:hAnsi="Trebuchet MS"/>
          <w:color w:val="auto"/>
        </w:rPr>
      </w:pPr>
    </w:p>
    <w:p w14:paraId="62642BA8" w14:textId="77777777" w:rsidR="00A220B5" w:rsidRDefault="00A220B5" w:rsidP="004C6AA5">
      <w:pPr>
        <w:pStyle w:val="Listparag"/>
        <w:spacing w:after="0"/>
        <w:ind w:left="720"/>
        <w:rPr>
          <w:rFonts w:ascii="Trebuchet MS" w:hAnsi="Trebuchet MS"/>
          <w:color w:val="auto"/>
        </w:rPr>
      </w:pPr>
    </w:p>
    <w:p w14:paraId="694C6AE5" w14:textId="77777777" w:rsidR="00A220B5" w:rsidRDefault="00A220B5" w:rsidP="004C6AA5">
      <w:pPr>
        <w:pStyle w:val="Listparag"/>
        <w:spacing w:after="0"/>
        <w:ind w:left="720"/>
        <w:rPr>
          <w:rFonts w:ascii="Trebuchet MS" w:hAnsi="Trebuchet MS"/>
          <w:color w:val="auto"/>
        </w:rPr>
      </w:pPr>
    </w:p>
    <w:p w14:paraId="295AF780" w14:textId="77777777" w:rsidR="00A220B5" w:rsidRDefault="00A220B5" w:rsidP="004C6AA5">
      <w:pPr>
        <w:pStyle w:val="Listparag"/>
        <w:spacing w:after="0"/>
        <w:ind w:left="720"/>
        <w:rPr>
          <w:rFonts w:ascii="Trebuchet MS" w:hAnsi="Trebuchet MS"/>
          <w:color w:val="auto"/>
        </w:rPr>
      </w:pPr>
    </w:p>
    <w:p w14:paraId="205A964A" w14:textId="77777777" w:rsidR="00A220B5" w:rsidRDefault="00A220B5" w:rsidP="004C6AA5">
      <w:pPr>
        <w:pStyle w:val="Listparag"/>
        <w:spacing w:after="0"/>
        <w:ind w:left="720"/>
        <w:rPr>
          <w:rFonts w:ascii="Trebuchet MS" w:hAnsi="Trebuchet MS"/>
          <w:color w:val="auto"/>
        </w:rPr>
      </w:pPr>
    </w:p>
    <w:p w14:paraId="2E6D4E04" w14:textId="77777777" w:rsidR="00A220B5" w:rsidRDefault="00A220B5" w:rsidP="004C6AA5">
      <w:pPr>
        <w:pStyle w:val="Listparag"/>
        <w:spacing w:after="0"/>
        <w:ind w:left="720"/>
        <w:rPr>
          <w:rFonts w:ascii="Trebuchet MS" w:hAnsi="Trebuchet MS"/>
          <w:color w:val="auto"/>
        </w:rPr>
      </w:pPr>
    </w:p>
    <w:p w14:paraId="43759673" w14:textId="77777777" w:rsidR="00A220B5" w:rsidRDefault="00A220B5" w:rsidP="004C6AA5">
      <w:pPr>
        <w:pStyle w:val="Listparag"/>
        <w:spacing w:after="0"/>
        <w:ind w:left="720"/>
        <w:rPr>
          <w:rFonts w:ascii="Trebuchet MS" w:hAnsi="Trebuchet MS"/>
          <w:color w:val="auto"/>
        </w:rPr>
      </w:pPr>
    </w:p>
    <w:p w14:paraId="1B5B1BEE" w14:textId="77777777" w:rsidR="00A220B5" w:rsidRDefault="00A220B5" w:rsidP="004C6AA5">
      <w:pPr>
        <w:pStyle w:val="Listparag"/>
        <w:spacing w:after="0"/>
        <w:ind w:left="720"/>
        <w:rPr>
          <w:rFonts w:ascii="Trebuchet MS" w:hAnsi="Trebuchet MS"/>
          <w:color w:val="auto"/>
        </w:rPr>
      </w:pPr>
    </w:p>
    <w:p w14:paraId="0CD99B6C" w14:textId="77777777" w:rsidR="00A220B5" w:rsidRDefault="00A220B5" w:rsidP="004C6AA5">
      <w:pPr>
        <w:pStyle w:val="Listparag"/>
        <w:spacing w:after="0"/>
        <w:ind w:left="720"/>
        <w:rPr>
          <w:rFonts w:ascii="Trebuchet MS" w:hAnsi="Trebuchet MS"/>
          <w:color w:val="auto"/>
        </w:rPr>
      </w:pPr>
    </w:p>
    <w:p w14:paraId="22537B17" w14:textId="77777777" w:rsidR="00A220B5" w:rsidRDefault="00A220B5" w:rsidP="004C6AA5">
      <w:pPr>
        <w:pStyle w:val="Listparag"/>
        <w:spacing w:after="0"/>
        <w:ind w:left="720"/>
        <w:rPr>
          <w:rFonts w:ascii="Trebuchet MS" w:hAnsi="Trebuchet MS"/>
          <w:color w:val="auto"/>
        </w:rPr>
      </w:pPr>
    </w:p>
    <w:p w14:paraId="353DE35D" w14:textId="77777777" w:rsidR="00A220B5" w:rsidRDefault="00A220B5" w:rsidP="004C6AA5">
      <w:pPr>
        <w:pStyle w:val="Listparag"/>
        <w:spacing w:after="0"/>
        <w:ind w:left="720"/>
        <w:rPr>
          <w:rFonts w:ascii="Trebuchet MS" w:hAnsi="Trebuchet MS"/>
          <w:color w:val="auto"/>
        </w:rPr>
      </w:pPr>
    </w:p>
    <w:p w14:paraId="47741C5A" w14:textId="77777777" w:rsidR="00A220B5" w:rsidRDefault="00A220B5" w:rsidP="004C6AA5">
      <w:pPr>
        <w:pStyle w:val="Listparag"/>
        <w:spacing w:after="0"/>
        <w:ind w:left="720"/>
        <w:rPr>
          <w:rFonts w:ascii="Trebuchet MS" w:hAnsi="Trebuchet MS"/>
          <w:color w:val="auto"/>
        </w:rPr>
      </w:pPr>
    </w:p>
    <w:p w14:paraId="11CB64C6" w14:textId="77777777" w:rsidR="00A220B5" w:rsidRDefault="00A220B5" w:rsidP="004C6AA5">
      <w:pPr>
        <w:pStyle w:val="Listparag"/>
        <w:spacing w:after="0"/>
        <w:ind w:left="720"/>
        <w:rPr>
          <w:rFonts w:ascii="Trebuchet MS" w:hAnsi="Trebuchet MS"/>
          <w:color w:val="auto"/>
        </w:rPr>
      </w:pPr>
    </w:p>
    <w:p w14:paraId="0353D51C" w14:textId="77777777" w:rsidR="00A220B5" w:rsidRDefault="00A220B5" w:rsidP="004C6AA5">
      <w:pPr>
        <w:pStyle w:val="Listparag"/>
        <w:spacing w:after="0"/>
        <w:ind w:left="720"/>
        <w:rPr>
          <w:rFonts w:ascii="Trebuchet MS" w:hAnsi="Trebuchet MS"/>
          <w:color w:val="auto"/>
        </w:rPr>
      </w:pPr>
    </w:p>
    <w:p w14:paraId="5DF86460" w14:textId="77777777" w:rsidR="00A220B5" w:rsidRDefault="00A220B5" w:rsidP="004C6AA5">
      <w:pPr>
        <w:pStyle w:val="Listparag"/>
        <w:spacing w:after="0"/>
        <w:ind w:left="720"/>
        <w:rPr>
          <w:rFonts w:ascii="Trebuchet MS" w:hAnsi="Trebuchet MS"/>
          <w:color w:val="auto"/>
        </w:rPr>
      </w:pPr>
    </w:p>
    <w:p w14:paraId="46311E3F" w14:textId="77777777" w:rsidR="00A220B5" w:rsidRDefault="00A220B5" w:rsidP="004C6AA5">
      <w:pPr>
        <w:pStyle w:val="Listparag"/>
        <w:spacing w:after="0"/>
        <w:ind w:left="720"/>
        <w:rPr>
          <w:rFonts w:ascii="Trebuchet MS" w:hAnsi="Trebuchet MS"/>
          <w:color w:val="auto"/>
        </w:rPr>
      </w:pPr>
    </w:p>
    <w:p w14:paraId="397E9744" w14:textId="436BA144" w:rsidR="00A220B5" w:rsidRPr="003D52F1" w:rsidRDefault="00A220B5" w:rsidP="00A53D2E">
      <w:pPr>
        <w:spacing w:line="240" w:lineRule="auto"/>
        <w:rPr>
          <w:rFonts w:ascii="Trebuchet MS" w:hAnsi="Trebuchet MS"/>
        </w:rPr>
      </w:pPr>
    </w:p>
    <w:sectPr w:rsidR="00A220B5" w:rsidRPr="003D52F1" w:rsidSect="00571BD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E067F" w14:textId="77777777" w:rsidR="00A040A1" w:rsidRDefault="00A040A1" w:rsidP="00CB3ADD">
      <w:pPr>
        <w:spacing w:line="240" w:lineRule="auto"/>
      </w:pPr>
      <w:r>
        <w:separator/>
      </w:r>
    </w:p>
  </w:endnote>
  <w:endnote w:type="continuationSeparator" w:id="0">
    <w:p w14:paraId="7920CD05" w14:textId="77777777" w:rsidR="00A040A1" w:rsidRDefault="00A040A1" w:rsidP="00CB3ADD">
      <w:pPr>
        <w:spacing w:line="240" w:lineRule="auto"/>
      </w:pPr>
      <w:r>
        <w:continuationSeparator/>
      </w:r>
    </w:p>
  </w:endnote>
  <w:endnote w:type="continuationNotice" w:id="1">
    <w:p w14:paraId="3F66DDF9" w14:textId="77777777" w:rsidR="00A040A1" w:rsidRDefault="00A040A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C72D7" w14:textId="77777777" w:rsidR="00A040A1" w:rsidRDefault="00A040A1" w:rsidP="00CB3ADD">
      <w:pPr>
        <w:spacing w:line="240" w:lineRule="auto"/>
      </w:pPr>
      <w:bookmarkStart w:id="0" w:name="_Hlk131004625"/>
      <w:bookmarkEnd w:id="0"/>
      <w:r>
        <w:separator/>
      </w:r>
    </w:p>
  </w:footnote>
  <w:footnote w:type="continuationSeparator" w:id="0">
    <w:p w14:paraId="4B0371A6" w14:textId="77777777" w:rsidR="00A040A1" w:rsidRDefault="00A040A1" w:rsidP="00CB3ADD">
      <w:pPr>
        <w:spacing w:line="240" w:lineRule="auto"/>
      </w:pPr>
      <w:r>
        <w:continuationSeparator/>
      </w:r>
    </w:p>
  </w:footnote>
  <w:footnote w:type="continuationNotice" w:id="1">
    <w:p w14:paraId="4F9512D9" w14:textId="77777777" w:rsidR="00A040A1" w:rsidRDefault="00A040A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52954CE1" w:rsidR="00CA001E" w:rsidRPr="004E54DE" w:rsidRDefault="007A59CF" w:rsidP="00F65E38">
    <w:pPr>
      <w:pStyle w:val="Header"/>
      <w:tabs>
        <w:tab w:val="clear" w:pos="4513"/>
        <w:tab w:val="clear" w:pos="9026"/>
        <w:tab w:val="center" w:pos="3544"/>
        <w:tab w:val="right" w:pos="14601"/>
      </w:tabs>
      <w:rPr>
        <w:rFonts w:ascii="Trebuchet MS" w:hAnsi="Trebuchet MS"/>
        <w:color w:val="004146"/>
      </w:rPr>
    </w:pPr>
    <w:r w:rsidRPr="007A59CF">
      <w:rPr>
        <w:color w:val="00616A" w:themeColor="accent2" w:themeShade="BF"/>
      </w:rPr>
      <w:t>Kelsea Peterson</w:t>
    </w:r>
    <w:r w:rsidR="00CA001E" w:rsidRPr="007A59CF">
      <w:rPr>
        <w:color w:val="00616A" w:themeColor="accent2" w:themeShade="BF"/>
      </w:rPr>
      <w:t xml:space="preserve"> </w:t>
    </w:r>
    <w:r w:rsidR="00CA001E">
      <w:rPr>
        <w:color w:val="808080" w:themeColor="background1" w:themeShade="80"/>
      </w:rPr>
      <w:tab/>
    </w:r>
    <w:r w:rsidR="00CA001E">
      <w:rPr>
        <w:color w:val="808080" w:themeColor="background1" w:themeShade="80"/>
      </w:rPr>
      <w:tab/>
    </w:r>
    <w:r w:rsidR="00CA001E"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9DA68B6"/>
    <w:multiLevelType w:val="multilevel"/>
    <w:tmpl w:val="D600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3C6370A"/>
    <w:multiLevelType w:val="multilevel"/>
    <w:tmpl w:val="8EA0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1"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AF499F"/>
    <w:multiLevelType w:val="multilevel"/>
    <w:tmpl w:val="56460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6"/>
  </w:num>
  <w:num w:numId="3" w16cid:durableId="1180318192">
    <w:abstractNumId w:val="47"/>
  </w:num>
  <w:num w:numId="4" w16cid:durableId="1752462682">
    <w:abstractNumId w:val="39"/>
  </w:num>
  <w:num w:numId="5" w16cid:durableId="787548438">
    <w:abstractNumId w:val="24"/>
  </w:num>
  <w:num w:numId="6" w16cid:durableId="2144038405">
    <w:abstractNumId w:val="8"/>
  </w:num>
  <w:num w:numId="7" w16cid:durableId="1425150280">
    <w:abstractNumId w:val="40"/>
  </w:num>
  <w:num w:numId="8" w16cid:durableId="564144731">
    <w:abstractNumId w:val="11"/>
  </w:num>
  <w:num w:numId="9" w16cid:durableId="1516773130">
    <w:abstractNumId w:val="17"/>
  </w:num>
  <w:num w:numId="10" w16cid:durableId="456529161">
    <w:abstractNumId w:val="27"/>
  </w:num>
  <w:num w:numId="11" w16cid:durableId="975523019">
    <w:abstractNumId w:val="10"/>
  </w:num>
  <w:num w:numId="12" w16cid:durableId="119963056">
    <w:abstractNumId w:val="23"/>
  </w:num>
  <w:num w:numId="13" w16cid:durableId="1672952962">
    <w:abstractNumId w:val="48"/>
  </w:num>
  <w:num w:numId="14" w16cid:durableId="1631017189">
    <w:abstractNumId w:val="21"/>
  </w:num>
  <w:num w:numId="15" w16cid:durableId="1128746348">
    <w:abstractNumId w:val="33"/>
  </w:num>
  <w:num w:numId="16" w16cid:durableId="1160120634">
    <w:abstractNumId w:val="46"/>
  </w:num>
  <w:num w:numId="17" w16cid:durableId="224529928">
    <w:abstractNumId w:val="45"/>
  </w:num>
  <w:num w:numId="18" w16cid:durableId="141849482">
    <w:abstractNumId w:val="35"/>
  </w:num>
  <w:num w:numId="19" w16cid:durableId="1399204697">
    <w:abstractNumId w:val="28"/>
  </w:num>
  <w:num w:numId="20" w16cid:durableId="282006079">
    <w:abstractNumId w:val="12"/>
  </w:num>
  <w:num w:numId="21" w16cid:durableId="1120151729">
    <w:abstractNumId w:val="25"/>
  </w:num>
  <w:num w:numId="22" w16cid:durableId="643047392">
    <w:abstractNumId w:val="31"/>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41"/>
  </w:num>
  <w:num w:numId="28" w16cid:durableId="916403152">
    <w:abstractNumId w:val="34"/>
  </w:num>
  <w:num w:numId="29" w16cid:durableId="574977100">
    <w:abstractNumId w:val="36"/>
  </w:num>
  <w:num w:numId="30" w16cid:durableId="398022126">
    <w:abstractNumId w:val="32"/>
  </w:num>
  <w:num w:numId="31" w16cid:durableId="957181747">
    <w:abstractNumId w:val="20"/>
  </w:num>
  <w:num w:numId="32" w16cid:durableId="920715700">
    <w:abstractNumId w:val="3"/>
  </w:num>
  <w:num w:numId="33" w16cid:durableId="1467090961">
    <w:abstractNumId w:val="22"/>
  </w:num>
  <w:num w:numId="34" w16cid:durableId="1586914932">
    <w:abstractNumId w:val="44"/>
  </w:num>
  <w:num w:numId="35" w16cid:durableId="2120681843">
    <w:abstractNumId w:val="16"/>
  </w:num>
  <w:num w:numId="36" w16cid:durableId="605697534">
    <w:abstractNumId w:val="15"/>
  </w:num>
  <w:num w:numId="37" w16cid:durableId="414862764">
    <w:abstractNumId w:val="42"/>
  </w:num>
  <w:num w:numId="38" w16cid:durableId="721639185">
    <w:abstractNumId w:val="2"/>
  </w:num>
  <w:num w:numId="39" w16cid:durableId="661660613">
    <w:abstractNumId w:val="18"/>
  </w:num>
  <w:num w:numId="40" w16cid:durableId="1930576973">
    <w:abstractNumId w:val="14"/>
  </w:num>
  <w:num w:numId="41" w16cid:durableId="2086368248">
    <w:abstractNumId w:val="1"/>
  </w:num>
  <w:num w:numId="42" w16cid:durableId="1234585827">
    <w:abstractNumId w:val="19"/>
  </w:num>
  <w:num w:numId="43" w16cid:durableId="1843159052">
    <w:abstractNumId w:val="43"/>
  </w:num>
  <w:num w:numId="44" w16cid:durableId="1054544770">
    <w:abstractNumId w:val="37"/>
  </w:num>
  <w:num w:numId="45" w16cid:durableId="1398437228">
    <w:abstractNumId w:val="7"/>
  </w:num>
  <w:num w:numId="46" w16cid:durableId="88645351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643781462">
    <w:abstractNumId w:val="13"/>
  </w:num>
  <w:num w:numId="48" w16cid:durableId="1825245252">
    <w:abstractNumId w:val="29"/>
  </w:num>
  <w:num w:numId="49" w16cid:durableId="1187063442">
    <w:abstractNumId w:val="3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DateAndTime/>
  <w:hideSpellingErrors/>
  <w:hideGrammaticalError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2F32"/>
    <w:rsid w:val="000133BF"/>
    <w:rsid w:val="00013722"/>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4F80"/>
    <w:rsid w:val="000356BA"/>
    <w:rsid w:val="00037280"/>
    <w:rsid w:val="000404AC"/>
    <w:rsid w:val="00040844"/>
    <w:rsid w:val="00040B3A"/>
    <w:rsid w:val="0004421E"/>
    <w:rsid w:val="00044F03"/>
    <w:rsid w:val="00050A27"/>
    <w:rsid w:val="00051028"/>
    <w:rsid w:val="00051DE3"/>
    <w:rsid w:val="00053915"/>
    <w:rsid w:val="00055DAA"/>
    <w:rsid w:val="000603EC"/>
    <w:rsid w:val="00061834"/>
    <w:rsid w:val="00064386"/>
    <w:rsid w:val="00066666"/>
    <w:rsid w:val="000669D1"/>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182"/>
    <w:rsid w:val="00090A7B"/>
    <w:rsid w:val="00091C84"/>
    <w:rsid w:val="0009260A"/>
    <w:rsid w:val="000945E0"/>
    <w:rsid w:val="00094991"/>
    <w:rsid w:val="00095932"/>
    <w:rsid w:val="00095E5D"/>
    <w:rsid w:val="0009614F"/>
    <w:rsid w:val="000A042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4643"/>
    <w:rsid w:val="000C6447"/>
    <w:rsid w:val="000C65F4"/>
    <w:rsid w:val="000C69F8"/>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084D"/>
    <w:rsid w:val="00101429"/>
    <w:rsid w:val="001064DF"/>
    <w:rsid w:val="00106959"/>
    <w:rsid w:val="001108BC"/>
    <w:rsid w:val="00110C94"/>
    <w:rsid w:val="001122BB"/>
    <w:rsid w:val="00112539"/>
    <w:rsid w:val="00113D81"/>
    <w:rsid w:val="00115403"/>
    <w:rsid w:val="001156C4"/>
    <w:rsid w:val="00116001"/>
    <w:rsid w:val="001160A9"/>
    <w:rsid w:val="00117A1D"/>
    <w:rsid w:val="00117E38"/>
    <w:rsid w:val="00120584"/>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17BA"/>
    <w:rsid w:val="00145BA2"/>
    <w:rsid w:val="00146F0C"/>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4A06"/>
    <w:rsid w:val="001A584D"/>
    <w:rsid w:val="001A6206"/>
    <w:rsid w:val="001A64F7"/>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C76CE"/>
    <w:rsid w:val="001D022A"/>
    <w:rsid w:val="001D0AB2"/>
    <w:rsid w:val="001D36E1"/>
    <w:rsid w:val="001D400D"/>
    <w:rsid w:val="001D46B6"/>
    <w:rsid w:val="001D541A"/>
    <w:rsid w:val="001D68D2"/>
    <w:rsid w:val="001D6B95"/>
    <w:rsid w:val="001D7DE5"/>
    <w:rsid w:val="001D7FF8"/>
    <w:rsid w:val="001E01B5"/>
    <w:rsid w:val="001E2ECD"/>
    <w:rsid w:val="001E3972"/>
    <w:rsid w:val="001E40BB"/>
    <w:rsid w:val="001E7041"/>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07D12"/>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5F1"/>
    <w:rsid w:val="002369E6"/>
    <w:rsid w:val="00237A04"/>
    <w:rsid w:val="00240833"/>
    <w:rsid w:val="00242706"/>
    <w:rsid w:val="002444AB"/>
    <w:rsid w:val="00244D14"/>
    <w:rsid w:val="0024695A"/>
    <w:rsid w:val="002511E8"/>
    <w:rsid w:val="002513BD"/>
    <w:rsid w:val="00251CFC"/>
    <w:rsid w:val="0025218B"/>
    <w:rsid w:val="00253B78"/>
    <w:rsid w:val="00254016"/>
    <w:rsid w:val="0025481D"/>
    <w:rsid w:val="0025486E"/>
    <w:rsid w:val="0025510B"/>
    <w:rsid w:val="00255EDC"/>
    <w:rsid w:val="00256FAA"/>
    <w:rsid w:val="00257491"/>
    <w:rsid w:val="002609B4"/>
    <w:rsid w:val="00260E73"/>
    <w:rsid w:val="00263E66"/>
    <w:rsid w:val="0026547D"/>
    <w:rsid w:val="00265811"/>
    <w:rsid w:val="00265C2F"/>
    <w:rsid w:val="002662E7"/>
    <w:rsid w:val="00266D41"/>
    <w:rsid w:val="00267105"/>
    <w:rsid w:val="002672B1"/>
    <w:rsid w:val="00267553"/>
    <w:rsid w:val="0026777D"/>
    <w:rsid w:val="00270044"/>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854"/>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C7E2C"/>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3DC"/>
    <w:rsid w:val="002F69BB"/>
    <w:rsid w:val="002F6AB9"/>
    <w:rsid w:val="002F6BBA"/>
    <w:rsid w:val="003013AE"/>
    <w:rsid w:val="00302132"/>
    <w:rsid w:val="0030394A"/>
    <w:rsid w:val="003043B1"/>
    <w:rsid w:val="003049AA"/>
    <w:rsid w:val="0030597B"/>
    <w:rsid w:val="00310552"/>
    <w:rsid w:val="00314E20"/>
    <w:rsid w:val="00316B8C"/>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80B"/>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5EA6"/>
    <w:rsid w:val="00376023"/>
    <w:rsid w:val="0037760E"/>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E19"/>
    <w:rsid w:val="00397F95"/>
    <w:rsid w:val="003A0E02"/>
    <w:rsid w:val="003A147A"/>
    <w:rsid w:val="003A2B75"/>
    <w:rsid w:val="003A328A"/>
    <w:rsid w:val="003A33B4"/>
    <w:rsid w:val="003A630E"/>
    <w:rsid w:val="003A640D"/>
    <w:rsid w:val="003B1571"/>
    <w:rsid w:val="003B165A"/>
    <w:rsid w:val="003B2FFA"/>
    <w:rsid w:val="003B43A2"/>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3D05"/>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E79F9"/>
    <w:rsid w:val="003F1C15"/>
    <w:rsid w:val="003F1EC4"/>
    <w:rsid w:val="003F2A58"/>
    <w:rsid w:val="003F2C88"/>
    <w:rsid w:val="003F589B"/>
    <w:rsid w:val="003F6A7E"/>
    <w:rsid w:val="00401DC5"/>
    <w:rsid w:val="0040208A"/>
    <w:rsid w:val="00402975"/>
    <w:rsid w:val="00406143"/>
    <w:rsid w:val="00411CF3"/>
    <w:rsid w:val="00411D6E"/>
    <w:rsid w:val="00411F5B"/>
    <w:rsid w:val="0041277B"/>
    <w:rsid w:val="00413100"/>
    <w:rsid w:val="004131E2"/>
    <w:rsid w:val="0041444F"/>
    <w:rsid w:val="00414E55"/>
    <w:rsid w:val="00415FA4"/>
    <w:rsid w:val="00420079"/>
    <w:rsid w:val="00420AC6"/>
    <w:rsid w:val="00421F36"/>
    <w:rsid w:val="004248F9"/>
    <w:rsid w:val="0042683F"/>
    <w:rsid w:val="00426B85"/>
    <w:rsid w:val="0043258B"/>
    <w:rsid w:val="0043260B"/>
    <w:rsid w:val="00433FB0"/>
    <w:rsid w:val="0043436C"/>
    <w:rsid w:val="00435498"/>
    <w:rsid w:val="00435FE2"/>
    <w:rsid w:val="004362CE"/>
    <w:rsid w:val="00437C2F"/>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7E2"/>
    <w:rsid w:val="004638C8"/>
    <w:rsid w:val="00464179"/>
    <w:rsid w:val="00466CA7"/>
    <w:rsid w:val="00466CE9"/>
    <w:rsid w:val="00471371"/>
    <w:rsid w:val="004723DF"/>
    <w:rsid w:val="004733A6"/>
    <w:rsid w:val="00473885"/>
    <w:rsid w:val="00474724"/>
    <w:rsid w:val="00477179"/>
    <w:rsid w:val="00477AF1"/>
    <w:rsid w:val="00477F33"/>
    <w:rsid w:val="0048076B"/>
    <w:rsid w:val="004815AF"/>
    <w:rsid w:val="00481A83"/>
    <w:rsid w:val="00482CA3"/>
    <w:rsid w:val="00483E7B"/>
    <w:rsid w:val="00485119"/>
    <w:rsid w:val="00485D59"/>
    <w:rsid w:val="00486B91"/>
    <w:rsid w:val="00487436"/>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3C53"/>
    <w:rsid w:val="004D4F12"/>
    <w:rsid w:val="004D5517"/>
    <w:rsid w:val="004D5970"/>
    <w:rsid w:val="004D6E20"/>
    <w:rsid w:val="004D7B44"/>
    <w:rsid w:val="004E0695"/>
    <w:rsid w:val="004E07BB"/>
    <w:rsid w:val="004E0A23"/>
    <w:rsid w:val="004E178B"/>
    <w:rsid w:val="004E3E2A"/>
    <w:rsid w:val="004E54DE"/>
    <w:rsid w:val="004E5FCD"/>
    <w:rsid w:val="004E6BD1"/>
    <w:rsid w:val="004F1146"/>
    <w:rsid w:val="004F35E3"/>
    <w:rsid w:val="004F5268"/>
    <w:rsid w:val="004F54D4"/>
    <w:rsid w:val="004F61BD"/>
    <w:rsid w:val="004F6A8B"/>
    <w:rsid w:val="004F7BB9"/>
    <w:rsid w:val="004F7E33"/>
    <w:rsid w:val="00500FB8"/>
    <w:rsid w:val="00501D48"/>
    <w:rsid w:val="00502352"/>
    <w:rsid w:val="00503D3D"/>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57037"/>
    <w:rsid w:val="00557A3A"/>
    <w:rsid w:val="005625CE"/>
    <w:rsid w:val="00562A6C"/>
    <w:rsid w:val="00562CB9"/>
    <w:rsid w:val="0056311B"/>
    <w:rsid w:val="00563BF6"/>
    <w:rsid w:val="00563DC4"/>
    <w:rsid w:val="005670A3"/>
    <w:rsid w:val="00571BD7"/>
    <w:rsid w:val="00573D64"/>
    <w:rsid w:val="0057443C"/>
    <w:rsid w:val="005766D9"/>
    <w:rsid w:val="00584410"/>
    <w:rsid w:val="00587AEA"/>
    <w:rsid w:val="00590DC5"/>
    <w:rsid w:val="00590DE8"/>
    <w:rsid w:val="00594BC3"/>
    <w:rsid w:val="00594CAE"/>
    <w:rsid w:val="00595FE9"/>
    <w:rsid w:val="00597209"/>
    <w:rsid w:val="005A0850"/>
    <w:rsid w:val="005A0DA4"/>
    <w:rsid w:val="005A1937"/>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1317"/>
    <w:rsid w:val="005D23A9"/>
    <w:rsid w:val="005D326C"/>
    <w:rsid w:val="005D4E59"/>
    <w:rsid w:val="005D57FC"/>
    <w:rsid w:val="005D6359"/>
    <w:rsid w:val="005D68E1"/>
    <w:rsid w:val="005D6971"/>
    <w:rsid w:val="005D6E2F"/>
    <w:rsid w:val="005E0644"/>
    <w:rsid w:val="005E2A47"/>
    <w:rsid w:val="005E497C"/>
    <w:rsid w:val="005E5699"/>
    <w:rsid w:val="005F2A22"/>
    <w:rsid w:val="005F50FF"/>
    <w:rsid w:val="005F738F"/>
    <w:rsid w:val="005F771B"/>
    <w:rsid w:val="006000C3"/>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26998"/>
    <w:rsid w:val="00630481"/>
    <w:rsid w:val="00631AA4"/>
    <w:rsid w:val="00632AB7"/>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37E"/>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15B"/>
    <w:rsid w:val="006A722E"/>
    <w:rsid w:val="006B24E2"/>
    <w:rsid w:val="006B2C7C"/>
    <w:rsid w:val="006B36DB"/>
    <w:rsid w:val="006B3D98"/>
    <w:rsid w:val="006B496C"/>
    <w:rsid w:val="006B5D40"/>
    <w:rsid w:val="006B63F2"/>
    <w:rsid w:val="006B6670"/>
    <w:rsid w:val="006B7744"/>
    <w:rsid w:val="006C18A1"/>
    <w:rsid w:val="006C24DC"/>
    <w:rsid w:val="006C4458"/>
    <w:rsid w:val="006C4809"/>
    <w:rsid w:val="006C528B"/>
    <w:rsid w:val="006C5638"/>
    <w:rsid w:val="006C6636"/>
    <w:rsid w:val="006C7D5C"/>
    <w:rsid w:val="006D2200"/>
    <w:rsid w:val="006D3512"/>
    <w:rsid w:val="006D36B3"/>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2FEA"/>
    <w:rsid w:val="00723A6F"/>
    <w:rsid w:val="0072444B"/>
    <w:rsid w:val="00725029"/>
    <w:rsid w:val="0072619F"/>
    <w:rsid w:val="007269B9"/>
    <w:rsid w:val="00730BBF"/>
    <w:rsid w:val="00730C85"/>
    <w:rsid w:val="007319F3"/>
    <w:rsid w:val="00734C83"/>
    <w:rsid w:val="00736579"/>
    <w:rsid w:val="00737043"/>
    <w:rsid w:val="007379E5"/>
    <w:rsid w:val="007406B7"/>
    <w:rsid w:val="00740853"/>
    <w:rsid w:val="00740BFE"/>
    <w:rsid w:val="00740D87"/>
    <w:rsid w:val="00741113"/>
    <w:rsid w:val="00741F2C"/>
    <w:rsid w:val="00743C23"/>
    <w:rsid w:val="007453B8"/>
    <w:rsid w:val="00745C91"/>
    <w:rsid w:val="00753D34"/>
    <w:rsid w:val="007548C7"/>
    <w:rsid w:val="00755E9D"/>
    <w:rsid w:val="00762B33"/>
    <w:rsid w:val="00763200"/>
    <w:rsid w:val="00765F88"/>
    <w:rsid w:val="00766525"/>
    <w:rsid w:val="007703E6"/>
    <w:rsid w:val="00770AAE"/>
    <w:rsid w:val="00770D87"/>
    <w:rsid w:val="007711D7"/>
    <w:rsid w:val="00772901"/>
    <w:rsid w:val="00772A1C"/>
    <w:rsid w:val="007733AB"/>
    <w:rsid w:val="00773FE5"/>
    <w:rsid w:val="007756B1"/>
    <w:rsid w:val="0077679A"/>
    <w:rsid w:val="00776CC2"/>
    <w:rsid w:val="00777F39"/>
    <w:rsid w:val="00782678"/>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3EFD"/>
    <w:rsid w:val="007A59CF"/>
    <w:rsid w:val="007A6374"/>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A37"/>
    <w:rsid w:val="007E3D70"/>
    <w:rsid w:val="007E4AEA"/>
    <w:rsid w:val="007E69EB"/>
    <w:rsid w:val="007F1E5B"/>
    <w:rsid w:val="007F1F6F"/>
    <w:rsid w:val="007F53DA"/>
    <w:rsid w:val="007F70AA"/>
    <w:rsid w:val="008001B5"/>
    <w:rsid w:val="008002E2"/>
    <w:rsid w:val="00800A61"/>
    <w:rsid w:val="00801784"/>
    <w:rsid w:val="00802693"/>
    <w:rsid w:val="008028E2"/>
    <w:rsid w:val="00802F7D"/>
    <w:rsid w:val="008033DD"/>
    <w:rsid w:val="008039AB"/>
    <w:rsid w:val="008042D4"/>
    <w:rsid w:val="008047E6"/>
    <w:rsid w:val="00804840"/>
    <w:rsid w:val="008050A2"/>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44B"/>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58C1"/>
    <w:rsid w:val="008971B0"/>
    <w:rsid w:val="008A000B"/>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3CA5"/>
    <w:rsid w:val="00915129"/>
    <w:rsid w:val="009152A6"/>
    <w:rsid w:val="00915D9F"/>
    <w:rsid w:val="0092036B"/>
    <w:rsid w:val="0092062F"/>
    <w:rsid w:val="009208E7"/>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6D70"/>
    <w:rsid w:val="00987126"/>
    <w:rsid w:val="00987329"/>
    <w:rsid w:val="009925CB"/>
    <w:rsid w:val="009934B3"/>
    <w:rsid w:val="009945E8"/>
    <w:rsid w:val="00994FE4"/>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0F4D"/>
    <w:rsid w:val="009D28B6"/>
    <w:rsid w:val="009D50B1"/>
    <w:rsid w:val="009D5135"/>
    <w:rsid w:val="009D5C02"/>
    <w:rsid w:val="009D6CA1"/>
    <w:rsid w:val="009D7AD6"/>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40A1"/>
    <w:rsid w:val="00A053E4"/>
    <w:rsid w:val="00A06F8E"/>
    <w:rsid w:val="00A07CDD"/>
    <w:rsid w:val="00A10346"/>
    <w:rsid w:val="00A1133C"/>
    <w:rsid w:val="00A124DB"/>
    <w:rsid w:val="00A12E3E"/>
    <w:rsid w:val="00A15ADE"/>
    <w:rsid w:val="00A179EA"/>
    <w:rsid w:val="00A220B5"/>
    <w:rsid w:val="00A247AD"/>
    <w:rsid w:val="00A24DF7"/>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60BD"/>
    <w:rsid w:val="00A370F4"/>
    <w:rsid w:val="00A37228"/>
    <w:rsid w:val="00A372D9"/>
    <w:rsid w:val="00A3781C"/>
    <w:rsid w:val="00A37EBF"/>
    <w:rsid w:val="00A41BF7"/>
    <w:rsid w:val="00A42ED1"/>
    <w:rsid w:val="00A438EC"/>
    <w:rsid w:val="00A43FDD"/>
    <w:rsid w:val="00A4569E"/>
    <w:rsid w:val="00A45FB5"/>
    <w:rsid w:val="00A47682"/>
    <w:rsid w:val="00A47CD3"/>
    <w:rsid w:val="00A51546"/>
    <w:rsid w:val="00A53D2E"/>
    <w:rsid w:val="00A56D04"/>
    <w:rsid w:val="00A57E1D"/>
    <w:rsid w:val="00A603DE"/>
    <w:rsid w:val="00A610B3"/>
    <w:rsid w:val="00A654A3"/>
    <w:rsid w:val="00A7103C"/>
    <w:rsid w:val="00A7250F"/>
    <w:rsid w:val="00A728F5"/>
    <w:rsid w:val="00A72C4F"/>
    <w:rsid w:val="00A73959"/>
    <w:rsid w:val="00A7401F"/>
    <w:rsid w:val="00A75077"/>
    <w:rsid w:val="00A7516E"/>
    <w:rsid w:val="00A75E7A"/>
    <w:rsid w:val="00A765B6"/>
    <w:rsid w:val="00A76BC2"/>
    <w:rsid w:val="00A76E51"/>
    <w:rsid w:val="00A77BE8"/>
    <w:rsid w:val="00A81F90"/>
    <w:rsid w:val="00A822A1"/>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3F7D"/>
    <w:rsid w:val="00AC6429"/>
    <w:rsid w:val="00AC672F"/>
    <w:rsid w:val="00AD07CC"/>
    <w:rsid w:val="00AD156D"/>
    <w:rsid w:val="00AD4861"/>
    <w:rsid w:val="00AD4C9A"/>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14C8"/>
    <w:rsid w:val="00B037EB"/>
    <w:rsid w:val="00B04C09"/>
    <w:rsid w:val="00B05265"/>
    <w:rsid w:val="00B05587"/>
    <w:rsid w:val="00B05E1B"/>
    <w:rsid w:val="00B0655D"/>
    <w:rsid w:val="00B065F1"/>
    <w:rsid w:val="00B0737C"/>
    <w:rsid w:val="00B0756C"/>
    <w:rsid w:val="00B0792B"/>
    <w:rsid w:val="00B10083"/>
    <w:rsid w:val="00B11397"/>
    <w:rsid w:val="00B12922"/>
    <w:rsid w:val="00B131C6"/>
    <w:rsid w:val="00B1354B"/>
    <w:rsid w:val="00B15774"/>
    <w:rsid w:val="00B15FD6"/>
    <w:rsid w:val="00B17D82"/>
    <w:rsid w:val="00B204D7"/>
    <w:rsid w:val="00B20508"/>
    <w:rsid w:val="00B2057D"/>
    <w:rsid w:val="00B217FB"/>
    <w:rsid w:val="00B21A9D"/>
    <w:rsid w:val="00B231D9"/>
    <w:rsid w:val="00B23230"/>
    <w:rsid w:val="00B23CE2"/>
    <w:rsid w:val="00B24ADA"/>
    <w:rsid w:val="00B25AE4"/>
    <w:rsid w:val="00B26152"/>
    <w:rsid w:val="00B26DED"/>
    <w:rsid w:val="00B3193A"/>
    <w:rsid w:val="00B31A86"/>
    <w:rsid w:val="00B3350A"/>
    <w:rsid w:val="00B33DA8"/>
    <w:rsid w:val="00B33E32"/>
    <w:rsid w:val="00B34523"/>
    <w:rsid w:val="00B34D31"/>
    <w:rsid w:val="00B353E0"/>
    <w:rsid w:val="00B36BC5"/>
    <w:rsid w:val="00B36EB0"/>
    <w:rsid w:val="00B37D55"/>
    <w:rsid w:val="00B4334A"/>
    <w:rsid w:val="00B433A8"/>
    <w:rsid w:val="00B43B77"/>
    <w:rsid w:val="00B451B1"/>
    <w:rsid w:val="00B45C20"/>
    <w:rsid w:val="00B46121"/>
    <w:rsid w:val="00B507AB"/>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5291"/>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CFA"/>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4622"/>
    <w:rsid w:val="00BF56A9"/>
    <w:rsid w:val="00BF6F1A"/>
    <w:rsid w:val="00BF7592"/>
    <w:rsid w:val="00BF79BD"/>
    <w:rsid w:val="00C0038F"/>
    <w:rsid w:val="00C00F21"/>
    <w:rsid w:val="00C01FBA"/>
    <w:rsid w:val="00C02E6A"/>
    <w:rsid w:val="00C02FB1"/>
    <w:rsid w:val="00C03279"/>
    <w:rsid w:val="00C032FA"/>
    <w:rsid w:val="00C063BC"/>
    <w:rsid w:val="00C16045"/>
    <w:rsid w:val="00C1612F"/>
    <w:rsid w:val="00C20158"/>
    <w:rsid w:val="00C222A0"/>
    <w:rsid w:val="00C233AA"/>
    <w:rsid w:val="00C23A0A"/>
    <w:rsid w:val="00C23B1C"/>
    <w:rsid w:val="00C24B61"/>
    <w:rsid w:val="00C26025"/>
    <w:rsid w:val="00C26772"/>
    <w:rsid w:val="00C272EA"/>
    <w:rsid w:val="00C2773F"/>
    <w:rsid w:val="00C30125"/>
    <w:rsid w:val="00C30F81"/>
    <w:rsid w:val="00C35429"/>
    <w:rsid w:val="00C35828"/>
    <w:rsid w:val="00C37F8D"/>
    <w:rsid w:val="00C40D5F"/>
    <w:rsid w:val="00C417F3"/>
    <w:rsid w:val="00C41964"/>
    <w:rsid w:val="00C439D9"/>
    <w:rsid w:val="00C4505F"/>
    <w:rsid w:val="00C457D4"/>
    <w:rsid w:val="00C45AA4"/>
    <w:rsid w:val="00C475BB"/>
    <w:rsid w:val="00C5110F"/>
    <w:rsid w:val="00C5395B"/>
    <w:rsid w:val="00C55112"/>
    <w:rsid w:val="00C5549D"/>
    <w:rsid w:val="00C55D7D"/>
    <w:rsid w:val="00C61065"/>
    <w:rsid w:val="00C61A2D"/>
    <w:rsid w:val="00C6256F"/>
    <w:rsid w:val="00C629D0"/>
    <w:rsid w:val="00C63A95"/>
    <w:rsid w:val="00C63AEB"/>
    <w:rsid w:val="00C63F69"/>
    <w:rsid w:val="00C6524B"/>
    <w:rsid w:val="00C6576E"/>
    <w:rsid w:val="00C718A5"/>
    <w:rsid w:val="00C73912"/>
    <w:rsid w:val="00C7534C"/>
    <w:rsid w:val="00C76786"/>
    <w:rsid w:val="00C7761E"/>
    <w:rsid w:val="00C77BAC"/>
    <w:rsid w:val="00C77E6B"/>
    <w:rsid w:val="00C80ACA"/>
    <w:rsid w:val="00C81E1D"/>
    <w:rsid w:val="00C82099"/>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4DC"/>
    <w:rsid w:val="00CA1613"/>
    <w:rsid w:val="00CA1942"/>
    <w:rsid w:val="00CA2FEB"/>
    <w:rsid w:val="00CA49A9"/>
    <w:rsid w:val="00CA5831"/>
    <w:rsid w:val="00CA5884"/>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073"/>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637"/>
    <w:rsid w:val="00D36E43"/>
    <w:rsid w:val="00D379E7"/>
    <w:rsid w:val="00D40558"/>
    <w:rsid w:val="00D40E56"/>
    <w:rsid w:val="00D411C6"/>
    <w:rsid w:val="00D41562"/>
    <w:rsid w:val="00D416DB"/>
    <w:rsid w:val="00D4195B"/>
    <w:rsid w:val="00D4203F"/>
    <w:rsid w:val="00D42131"/>
    <w:rsid w:val="00D42378"/>
    <w:rsid w:val="00D442E0"/>
    <w:rsid w:val="00D44369"/>
    <w:rsid w:val="00D47BAF"/>
    <w:rsid w:val="00D512CB"/>
    <w:rsid w:val="00D51E87"/>
    <w:rsid w:val="00D53D10"/>
    <w:rsid w:val="00D54D65"/>
    <w:rsid w:val="00D56E22"/>
    <w:rsid w:val="00D57799"/>
    <w:rsid w:val="00D633A3"/>
    <w:rsid w:val="00D6344A"/>
    <w:rsid w:val="00D63ADB"/>
    <w:rsid w:val="00D64809"/>
    <w:rsid w:val="00D64BEB"/>
    <w:rsid w:val="00D65459"/>
    <w:rsid w:val="00D65950"/>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1F8A"/>
    <w:rsid w:val="00D929C3"/>
    <w:rsid w:val="00D93665"/>
    <w:rsid w:val="00D939AF"/>
    <w:rsid w:val="00D9721F"/>
    <w:rsid w:val="00D9795C"/>
    <w:rsid w:val="00DA5CD9"/>
    <w:rsid w:val="00DA630C"/>
    <w:rsid w:val="00DA6841"/>
    <w:rsid w:val="00DA6B29"/>
    <w:rsid w:val="00DA7A89"/>
    <w:rsid w:val="00DB058C"/>
    <w:rsid w:val="00DB0750"/>
    <w:rsid w:val="00DB1489"/>
    <w:rsid w:val="00DB30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134"/>
    <w:rsid w:val="00DD2D17"/>
    <w:rsid w:val="00DD32A6"/>
    <w:rsid w:val="00DD32E0"/>
    <w:rsid w:val="00DD5B23"/>
    <w:rsid w:val="00DD7A57"/>
    <w:rsid w:val="00DD7B5B"/>
    <w:rsid w:val="00DE111F"/>
    <w:rsid w:val="00DE112A"/>
    <w:rsid w:val="00DE1461"/>
    <w:rsid w:val="00DE313B"/>
    <w:rsid w:val="00DE3768"/>
    <w:rsid w:val="00DE4F8A"/>
    <w:rsid w:val="00DE5328"/>
    <w:rsid w:val="00DE5A35"/>
    <w:rsid w:val="00DE5D76"/>
    <w:rsid w:val="00DE5F46"/>
    <w:rsid w:val="00DE6006"/>
    <w:rsid w:val="00DE688D"/>
    <w:rsid w:val="00DF0A34"/>
    <w:rsid w:val="00DF13FE"/>
    <w:rsid w:val="00DF1AE8"/>
    <w:rsid w:val="00DF226A"/>
    <w:rsid w:val="00DF457C"/>
    <w:rsid w:val="00DF6471"/>
    <w:rsid w:val="00DF69D4"/>
    <w:rsid w:val="00DF7246"/>
    <w:rsid w:val="00DF7C47"/>
    <w:rsid w:val="00DF7EBA"/>
    <w:rsid w:val="00E00041"/>
    <w:rsid w:val="00E01773"/>
    <w:rsid w:val="00E01D85"/>
    <w:rsid w:val="00E0679F"/>
    <w:rsid w:val="00E06BA8"/>
    <w:rsid w:val="00E072E8"/>
    <w:rsid w:val="00E10FFC"/>
    <w:rsid w:val="00E11E11"/>
    <w:rsid w:val="00E12B0F"/>
    <w:rsid w:val="00E13E42"/>
    <w:rsid w:val="00E13FBC"/>
    <w:rsid w:val="00E1643F"/>
    <w:rsid w:val="00E20247"/>
    <w:rsid w:val="00E21601"/>
    <w:rsid w:val="00E2177B"/>
    <w:rsid w:val="00E21CBF"/>
    <w:rsid w:val="00E228EB"/>
    <w:rsid w:val="00E23883"/>
    <w:rsid w:val="00E24317"/>
    <w:rsid w:val="00E248B4"/>
    <w:rsid w:val="00E24D5B"/>
    <w:rsid w:val="00E276A6"/>
    <w:rsid w:val="00E307D6"/>
    <w:rsid w:val="00E31345"/>
    <w:rsid w:val="00E31BC6"/>
    <w:rsid w:val="00E3205D"/>
    <w:rsid w:val="00E33A88"/>
    <w:rsid w:val="00E33E36"/>
    <w:rsid w:val="00E33F9D"/>
    <w:rsid w:val="00E3482C"/>
    <w:rsid w:val="00E34D21"/>
    <w:rsid w:val="00E373D0"/>
    <w:rsid w:val="00E379DD"/>
    <w:rsid w:val="00E40AF1"/>
    <w:rsid w:val="00E4288D"/>
    <w:rsid w:val="00E42A33"/>
    <w:rsid w:val="00E42B4B"/>
    <w:rsid w:val="00E42E6E"/>
    <w:rsid w:val="00E44043"/>
    <w:rsid w:val="00E44316"/>
    <w:rsid w:val="00E44E56"/>
    <w:rsid w:val="00E463CC"/>
    <w:rsid w:val="00E47F7F"/>
    <w:rsid w:val="00E507F6"/>
    <w:rsid w:val="00E513A9"/>
    <w:rsid w:val="00E52D93"/>
    <w:rsid w:val="00E5310D"/>
    <w:rsid w:val="00E53F78"/>
    <w:rsid w:val="00E5535F"/>
    <w:rsid w:val="00E56D3B"/>
    <w:rsid w:val="00E57429"/>
    <w:rsid w:val="00E61CD9"/>
    <w:rsid w:val="00E622B7"/>
    <w:rsid w:val="00E62A7E"/>
    <w:rsid w:val="00E62E35"/>
    <w:rsid w:val="00E6437E"/>
    <w:rsid w:val="00E6710C"/>
    <w:rsid w:val="00E67B82"/>
    <w:rsid w:val="00E7076E"/>
    <w:rsid w:val="00E71863"/>
    <w:rsid w:val="00E7209E"/>
    <w:rsid w:val="00E743E4"/>
    <w:rsid w:val="00E758DA"/>
    <w:rsid w:val="00E75D32"/>
    <w:rsid w:val="00E764B6"/>
    <w:rsid w:val="00E81C36"/>
    <w:rsid w:val="00E8297C"/>
    <w:rsid w:val="00E82AE8"/>
    <w:rsid w:val="00E843DE"/>
    <w:rsid w:val="00E86C53"/>
    <w:rsid w:val="00E90D7F"/>
    <w:rsid w:val="00E90DF6"/>
    <w:rsid w:val="00E916B3"/>
    <w:rsid w:val="00E93785"/>
    <w:rsid w:val="00E95AA4"/>
    <w:rsid w:val="00E9682C"/>
    <w:rsid w:val="00E97028"/>
    <w:rsid w:val="00E977F1"/>
    <w:rsid w:val="00E97D46"/>
    <w:rsid w:val="00EA0A9C"/>
    <w:rsid w:val="00EA1EE8"/>
    <w:rsid w:val="00EA3402"/>
    <w:rsid w:val="00EA3F4F"/>
    <w:rsid w:val="00EA56A1"/>
    <w:rsid w:val="00EA5BB3"/>
    <w:rsid w:val="00EA639F"/>
    <w:rsid w:val="00EA7D58"/>
    <w:rsid w:val="00EB0E6B"/>
    <w:rsid w:val="00EB25B2"/>
    <w:rsid w:val="00EB2631"/>
    <w:rsid w:val="00EB3FBC"/>
    <w:rsid w:val="00EB5928"/>
    <w:rsid w:val="00EB7119"/>
    <w:rsid w:val="00EB7CE3"/>
    <w:rsid w:val="00EC091E"/>
    <w:rsid w:val="00EC16E6"/>
    <w:rsid w:val="00EC1E69"/>
    <w:rsid w:val="00EC30A9"/>
    <w:rsid w:val="00EC3655"/>
    <w:rsid w:val="00EC3D88"/>
    <w:rsid w:val="00EC4030"/>
    <w:rsid w:val="00EC4A0C"/>
    <w:rsid w:val="00EC4FE4"/>
    <w:rsid w:val="00EC575C"/>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EF7613"/>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17BFC"/>
    <w:rsid w:val="00F20CAE"/>
    <w:rsid w:val="00F212A5"/>
    <w:rsid w:val="00F21C0A"/>
    <w:rsid w:val="00F24000"/>
    <w:rsid w:val="00F24E1B"/>
    <w:rsid w:val="00F26624"/>
    <w:rsid w:val="00F300A8"/>
    <w:rsid w:val="00F30179"/>
    <w:rsid w:val="00F30565"/>
    <w:rsid w:val="00F30ED6"/>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4E52"/>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9AF"/>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2C6E"/>
    <w:rsid w:val="00FC32CD"/>
    <w:rsid w:val="00FC3EC9"/>
    <w:rsid w:val="00FC4CF2"/>
    <w:rsid w:val="00FC4D7F"/>
    <w:rsid w:val="00FC5E2E"/>
    <w:rsid w:val="00FC5EBD"/>
    <w:rsid w:val="00FC60D4"/>
    <w:rsid w:val="00FC6AC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E7FDF"/>
    <w:rsid w:val="00FF0CBA"/>
    <w:rsid w:val="00FF20CA"/>
    <w:rsid w:val="00FF32AD"/>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5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8156">
      <w:bodyDiv w:val="1"/>
      <w:marLeft w:val="0"/>
      <w:marRight w:val="0"/>
      <w:marTop w:val="0"/>
      <w:marBottom w:val="0"/>
      <w:divBdr>
        <w:top w:val="none" w:sz="0" w:space="0" w:color="auto"/>
        <w:left w:val="none" w:sz="0" w:space="0" w:color="auto"/>
        <w:bottom w:val="none" w:sz="0" w:space="0" w:color="auto"/>
        <w:right w:val="none" w:sz="0" w:space="0" w:color="auto"/>
      </w:divBdr>
    </w:div>
    <w:div w:id="81488583">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68120634">
      <w:bodyDiv w:val="1"/>
      <w:marLeft w:val="0"/>
      <w:marRight w:val="0"/>
      <w:marTop w:val="0"/>
      <w:marBottom w:val="0"/>
      <w:divBdr>
        <w:top w:val="none" w:sz="0" w:space="0" w:color="auto"/>
        <w:left w:val="none" w:sz="0" w:space="0" w:color="auto"/>
        <w:bottom w:val="none" w:sz="0" w:space="0" w:color="auto"/>
        <w:right w:val="none" w:sz="0" w:space="0" w:color="auto"/>
      </w:divBdr>
    </w:div>
    <w:div w:id="313416472">
      <w:bodyDiv w:val="1"/>
      <w:marLeft w:val="0"/>
      <w:marRight w:val="0"/>
      <w:marTop w:val="0"/>
      <w:marBottom w:val="0"/>
      <w:divBdr>
        <w:top w:val="none" w:sz="0" w:space="0" w:color="auto"/>
        <w:left w:val="none" w:sz="0" w:space="0" w:color="auto"/>
        <w:bottom w:val="none" w:sz="0" w:space="0" w:color="auto"/>
        <w:right w:val="none" w:sz="0" w:space="0" w:color="auto"/>
      </w:divBdr>
    </w:div>
    <w:div w:id="340593929">
      <w:bodyDiv w:val="1"/>
      <w:marLeft w:val="0"/>
      <w:marRight w:val="0"/>
      <w:marTop w:val="0"/>
      <w:marBottom w:val="0"/>
      <w:divBdr>
        <w:top w:val="none" w:sz="0" w:space="0" w:color="auto"/>
        <w:left w:val="none" w:sz="0" w:space="0" w:color="auto"/>
        <w:bottom w:val="none" w:sz="0" w:space="0" w:color="auto"/>
        <w:right w:val="none" w:sz="0" w:space="0" w:color="auto"/>
      </w:divBdr>
    </w:div>
    <w:div w:id="350028807">
      <w:bodyDiv w:val="1"/>
      <w:marLeft w:val="0"/>
      <w:marRight w:val="0"/>
      <w:marTop w:val="0"/>
      <w:marBottom w:val="0"/>
      <w:divBdr>
        <w:top w:val="none" w:sz="0" w:space="0" w:color="auto"/>
        <w:left w:val="none" w:sz="0" w:space="0" w:color="auto"/>
        <w:bottom w:val="none" w:sz="0" w:space="0" w:color="auto"/>
        <w:right w:val="none" w:sz="0" w:space="0" w:color="auto"/>
      </w:divBdr>
    </w:div>
    <w:div w:id="372923799">
      <w:bodyDiv w:val="1"/>
      <w:marLeft w:val="0"/>
      <w:marRight w:val="0"/>
      <w:marTop w:val="0"/>
      <w:marBottom w:val="0"/>
      <w:divBdr>
        <w:top w:val="none" w:sz="0" w:space="0" w:color="auto"/>
        <w:left w:val="none" w:sz="0" w:space="0" w:color="auto"/>
        <w:bottom w:val="none" w:sz="0" w:space="0" w:color="auto"/>
        <w:right w:val="none" w:sz="0" w:space="0" w:color="auto"/>
      </w:divBdr>
    </w:div>
    <w:div w:id="387580170">
      <w:bodyDiv w:val="1"/>
      <w:marLeft w:val="0"/>
      <w:marRight w:val="0"/>
      <w:marTop w:val="0"/>
      <w:marBottom w:val="0"/>
      <w:divBdr>
        <w:top w:val="none" w:sz="0" w:space="0" w:color="auto"/>
        <w:left w:val="none" w:sz="0" w:space="0" w:color="auto"/>
        <w:bottom w:val="none" w:sz="0" w:space="0" w:color="auto"/>
        <w:right w:val="none" w:sz="0" w:space="0" w:color="auto"/>
      </w:divBdr>
    </w:div>
    <w:div w:id="426267682">
      <w:bodyDiv w:val="1"/>
      <w:marLeft w:val="0"/>
      <w:marRight w:val="0"/>
      <w:marTop w:val="0"/>
      <w:marBottom w:val="0"/>
      <w:divBdr>
        <w:top w:val="none" w:sz="0" w:space="0" w:color="auto"/>
        <w:left w:val="none" w:sz="0" w:space="0" w:color="auto"/>
        <w:bottom w:val="none" w:sz="0" w:space="0" w:color="auto"/>
        <w:right w:val="none" w:sz="0" w:space="0" w:color="auto"/>
      </w:divBdr>
    </w:div>
    <w:div w:id="46720632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2065581">
      <w:bodyDiv w:val="1"/>
      <w:marLeft w:val="0"/>
      <w:marRight w:val="0"/>
      <w:marTop w:val="0"/>
      <w:marBottom w:val="0"/>
      <w:divBdr>
        <w:top w:val="none" w:sz="0" w:space="0" w:color="auto"/>
        <w:left w:val="none" w:sz="0" w:space="0" w:color="auto"/>
        <w:bottom w:val="none" w:sz="0" w:space="0" w:color="auto"/>
        <w:right w:val="none" w:sz="0" w:space="0" w:color="auto"/>
      </w:divBdr>
    </w:div>
    <w:div w:id="620111815">
      <w:bodyDiv w:val="1"/>
      <w:marLeft w:val="0"/>
      <w:marRight w:val="0"/>
      <w:marTop w:val="0"/>
      <w:marBottom w:val="0"/>
      <w:divBdr>
        <w:top w:val="none" w:sz="0" w:space="0" w:color="auto"/>
        <w:left w:val="none" w:sz="0" w:space="0" w:color="auto"/>
        <w:bottom w:val="none" w:sz="0" w:space="0" w:color="auto"/>
        <w:right w:val="none" w:sz="0" w:space="0" w:color="auto"/>
      </w:divBdr>
    </w:div>
    <w:div w:id="714937829">
      <w:bodyDiv w:val="1"/>
      <w:marLeft w:val="0"/>
      <w:marRight w:val="0"/>
      <w:marTop w:val="0"/>
      <w:marBottom w:val="0"/>
      <w:divBdr>
        <w:top w:val="none" w:sz="0" w:space="0" w:color="auto"/>
        <w:left w:val="none" w:sz="0" w:space="0" w:color="auto"/>
        <w:bottom w:val="none" w:sz="0" w:space="0" w:color="auto"/>
        <w:right w:val="none" w:sz="0" w:space="0" w:color="auto"/>
      </w:divBdr>
    </w:div>
    <w:div w:id="740250860">
      <w:bodyDiv w:val="1"/>
      <w:marLeft w:val="0"/>
      <w:marRight w:val="0"/>
      <w:marTop w:val="0"/>
      <w:marBottom w:val="0"/>
      <w:divBdr>
        <w:top w:val="none" w:sz="0" w:space="0" w:color="auto"/>
        <w:left w:val="none" w:sz="0" w:space="0" w:color="auto"/>
        <w:bottom w:val="none" w:sz="0" w:space="0" w:color="auto"/>
        <w:right w:val="none" w:sz="0" w:space="0" w:color="auto"/>
      </w:divBdr>
    </w:div>
    <w:div w:id="756248288">
      <w:bodyDiv w:val="1"/>
      <w:marLeft w:val="0"/>
      <w:marRight w:val="0"/>
      <w:marTop w:val="0"/>
      <w:marBottom w:val="0"/>
      <w:divBdr>
        <w:top w:val="none" w:sz="0" w:space="0" w:color="auto"/>
        <w:left w:val="none" w:sz="0" w:space="0" w:color="auto"/>
        <w:bottom w:val="none" w:sz="0" w:space="0" w:color="auto"/>
        <w:right w:val="none" w:sz="0" w:space="0" w:color="auto"/>
      </w:divBdr>
    </w:div>
    <w:div w:id="802428335">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865409710">
      <w:bodyDiv w:val="1"/>
      <w:marLeft w:val="0"/>
      <w:marRight w:val="0"/>
      <w:marTop w:val="0"/>
      <w:marBottom w:val="0"/>
      <w:divBdr>
        <w:top w:val="none" w:sz="0" w:space="0" w:color="auto"/>
        <w:left w:val="none" w:sz="0" w:space="0" w:color="auto"/>
        <w:bottom w:val="none" w:sz="0" w:space="0" w:color="auto"/>
        <w:right w:val="none" w:sz="0" w:space="0" w:color="auto"/>
      </w:divBdr>
    </w:div>
    <w:div w:id="88279178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010915363">
      <w:bodyDiv w:val="1"/>
      <w:marLeft w:val="0"/>
      <w:marRight w:val="0"/>
      <w:marTop w:val="0"/>
      <w:marBottom w:val="0"/>
      <w:divBdr>
        <w:top w:val="none" w:sz="0" w:space="0" w:color="auto"/>
        <w:left w:val="none" w:sz="0" w:space="0" w:color="auto"/>
        <w:bottom w:val="none" w:sz="0" w:space="0" w:color="auto"/>
        <w:right w:val="none" w:sz="0" w:space="0" w:color="auto"/>
      </w:divBdr>
    </w:div>
    <w:div w:id="1046756242">
      <w:bodyDiv w:val="1"/>
      <w:marLeft w:val="0"/>
      <w:marRight w:val="0"/>
      <w:marTop w:val="0"/>
      <w:marBottom w:val="0"/>
      <w:divBdr>
        <w:top w:val="none" w:sz="0" w:space="0" w:color="auto"/>
        <w:left w:val="none" w:sz="0" w:space="0" w:color="auto"/>
        <w:bottom w:val="none" w:sz="0" w:space="0" w:color="auto"/>
        <w:right w:val="none" w:sz="0" w:space="0" w:color="auto"/>
      </w:divBdr>
    </w:div>
    <w:div w:id="1047603340">
      <w:bodyDiv w:val="1"/>
      <w:marLeft w:val="0"/>
      <w:marRight w:val="0"/>
      <w:marTop w:val="0"/>
      <w:marBottom w:val="0"/>
      <w:divBdr>
        <w:top w:val="none" w:sz="0" w:space="0" w:color="auto"/>
        <w:left w:val="none" w:sz="0" w:space="0" w:color="auto"/>
        <w:bottom w:val="none" w:sz="0" w:space="0" w:color="auto"/>
        <w:right w:val="none" w:sz="0" w:space="0" w:color="auto"/>
      </w:divBdr>
    </w:div>
    <w:div w:id="1048797872">
      <w:bodyDiv w:val="1"/>
      <w:marLeft w:val="0"/>
      <w:marRight w:val="0"/>
      <w:marTop w:val="0"/>
      <w:marBottom w:val="0"/>
      <w:divBdr>
        <w:top w:val="none" w:sz="0" w:space="0" w:color="auto"/>
        <w:left w:val="none" w:sz="0" w:space="0" w:color="auto"/>
        <w:bottom w:val="none" w:sz="0" w:space="0" w:color="auto"/>
        <w:right w:val="none" w:sz="0" w:space="0" w:color="auto"/>
      </w:divBdr>
    </w:div>
    <w:div w:id="1080492946">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99514309">
      <w:bodyDiv w:val="1"/>
      <w:marLeft w:val="0"/>
      <w:marRight w:val="0"/>
      <w:marTop w:val="0"/>
      <w:marBottom w:val="0"/>
      <w:divBdr>
        <w:top w:val="none" w:sz="0" w:space="0" w:color="auto"/>
        <w:left w:val="none" w:sz="0" w:space="0" w:color="auto"/>
        <w:bottom w:val="none" w:sz="0" w:space="0" w:color="auto"/>
        <w:right w:val="none" w:sz="0" w:space="0" w:color="auto"/>
      </w:divBdr>
    </w:div>
    <w:div w:id="121742930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263031730">
      <w:bodyDiv w:val="1"/>
      <w:marLeft w:val="0"/>
      <w:marRight w:val="0"/>
      <w:marTop w:val="0"/>
      <w:marBottom w:val="0"/>
      <w:divBdr>
        <w:top w:val="none" w:sz="0" w:space="0" w:color="auto"/>
        <w:left w:val="none" w:sz="0" w:space="0" w:color="auto"/>
        <w:bottom w:val="none" w:sz="0" w:space="0" w:color="auto"/>
        <w:right w:val="none" w:sz="0" w:space="0" w:color="auto"/>
      </w:divBdr>
    </w:div>
    <w:div w:id="1284074194">
      <w:bodyDiv w:val="1"/>
      <w:marLeft w:val="0"/>
      <w:marRight w:val="0"/>
      <w:marTop w:val="0"/>
      <w:marBottom w:val="0"/>
      <w:divBdr>
        <w:top w:val="none" w:sz="0" w:space="0" w:color="auto"/>
        <w:left w:val="none" w:sz="0" w:space="0" w:color="auto"/>
        <w:bottom w:val="none" w:sz="0" w:space="0" w:color="auto"/>
        <w:right w:val="none" w:sz="0" w:space="0" w:color="auto"/>
      </w:divBdr>
    </w:div>
    <w:div w:id="1287347089">
      <w:bodyDiv w:val="1"/>
      <w:marLeft w:val="0"/>
      <w:marRight w:val="0"/>
      <w:marTop w:val="0"/>
      <w:marBottom w:val="0"/>
      <w:divBdr>
        <w:top w:val="none" w:sz="0" w:space="0" w:color="auto"/>
        <w:left w:val="none" w:sz="0" w:space="0" w:color="auto"/>
        <w:bottom w:val="none" w:sz="0" w:space="0" w:color="auto"/>
        <w:right w:val="none" w:sz="0" w:space="0" w:color="auto"/>
      </w:divBdr>
    </w:div>
    <w:div w:id="1294559402">
      <w:bodyDiv w:val="1"/>
      <w:marLeft w:val="0"/>
      <w:marRight w:val="0"/>
      <w:marTop w:val="0"/>
      <w:marBottom w:val="0"/>
      <w:divBdr>
        <w:top w:val="none" w:sz="0" w:space="0" w:color="auto"/>
        <w:left w:val="none" w:sz="0" w:space="0" w:color="auto"/>
        <w:bottom w:val="none" w:sz="0" w:space="0" w:color="auto"/>
        <w:right w:val="none" w:sz="0" w:space="0" w:color="auto"/>
      </w:divBdr>
    </w:div>
    <w:div w:id="1354381118">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369603012">
      <w:bodyDiv w:val="1"/>
      <w:marLeft w:val="0"/>
      <w:marRight w:val="0"/>
      <w:marTop w:val="0"/>
      <w:marBottom w:val="0"/>
      <w:divBdr>
        <w:top w:val="none" w:sz="0" w:space="0" w:color="auto"/>
        <w:left w:val="none" w:sz="0" w:space="0" w:color="auto"/>
        <w:bottom w:val="none" w:sz="0" w:space="0" w:color="auto"/>
        <w:right w:val="none" w:sz="0" w:space="0" w:color="auto"/>
      </w:divBdr>
    </w:div>
    <w:div w:id="1441952111">
      <w:bodyDiv w:val="1"/>
      <w:marLeft w:val="0"/>
      <w:marRight w:val="0"/>
      <w:marTop w:val="0"/>
      <w:marBottom w:val="0"/>
      <w:divBdr>
        <w:top w:val="none" w:sz="0" w:space="0" w:color="auto"/>
        <w:left w:val="none" w:sz="0" w:space="0" w:color="auto"/>
        <w:bottom w:val="none" w:sz="0" w:space="0" w:color="auto"/>
        <w:right w:val="none" w:sz="0" w:space="0" w:color="auto"/>
      </w:divBdr>
    </w:div>
    <w:div w:id="1466579990">
      <w:bodyDiv w:val="1"/>
      <w:marLeft w:val="0"/>
      <w:marRight w:val="0"/>
      <w:marTop w:val="0"/>
      <w:marBottom w:val="0"/>
      <w:divBdr>
        <w:top w:val="none" w:sz="0" w:space="0" w:color="auto"/>
        <w:left w:val="none" w:sz="0" w:space="0" w:color="auto"/>
        <w:bottom w:val="none" w:sz="0" w:space="0" w:color="auto"/>
        <w:right w:val="none" w:sz="0" w:space="0" w:color="auto"/>
      </w:divBdr>
    </w:div>
    <w:div w:id="1497185332">
      <w:bodyDiv w:val="1"/>
      <w:marLeft w:val="0"/>
      <w:marRight w:val="0"/>
      <w:marTop w:val="0"/>
      <w:marBottom w:val="0"/>
      <w:divBdr>
        <w:top w:val="none" w:sz="0" w:space="0" w:color="auto"/>
        <w:left w:val="none" w:sz="0" w:space="0" w:color="auto"/>
        <w:bottom w:val="none" w:sz="0" w:space="0" w:color="auto"/>
        <w:right w:val="none" w:sz="0" w:space="0" w:color="auto"/>
      </w:divBdr>
    </w:div>
    <w:div w:id="1547907558">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74645">
      <w:bodyDiv w:val="1"/>
      <w:marLeft w:val="0"/>
      <w:marRight w:val="0"/>
      <w:marTop w:val="0"/>
      <w:marBottom w:val="0"/>
      <w:divBdr>
        <w:top w:val="none" w:sz="0" w:space="0" w:color="auto"/>
        <w:left w:val="none" w:sz="0" w:space="0" w:color="auto"/>
        <w:bottom w:val="none" w:sz="0" w:space="0" w:color="auto"/>
        <w:right w:val="none" w:sz="0" w:space="0" w:color="auto"/>
      </w:divBdr>
    </w:div>
    <w:div w:id="1576017204">
      <w:bodyDiv w:val="1"/>
      <w:marLeft w:val="0"/>
      <w:marRight w:val="0"/>
      <w:marTop w:val="0"/>
      <w:marBottom w:val="0"/>
      <w:divBdr>
        <w:top w:val="none" w:sz="0" w:space="0" w:color="auto"/>
        <w:left w:val="none" w:sz="0" w:space="0" w:color="auto"/>
        <w:bottom w:val="none" w:sz="0" w:space="0" w:color="auto"/>
        <w:right w:val="none" w:sz="0" w:space="0" w:color="auto"/>
      </w:divBdr>
    </w:div>
    <w:div w:id="1804695324">
      <w:bodyDiv w:val="1"/>
      <w:marLeft w:val="0"/>
      <w:marRight w:val="0"/>
      <w:marTop w:val="0"/>
      <w:marBottom w:val="0"/>
      <w:divBdr>
        <w:top w:val="none" w:sz="0" w:space="0" w:color="auto"/>
        <w:left w:val="none" w:sz="0" w:space="0" w:color="auto"/>
        <w:bottom w:val="none" w:sz="0" w:space="0" w:color="auto"/>
        <w:right w:val="none" w:sz="0" w:space="0" w:color="auto"/>
      </w:divBdr>
    </w:div>
    <w:div w:id="1886134831">
      <w:bodyDiv w:val="1"/>
      <w:marLeft w:val="0"/>
      <w:marRight w:val="0"/>
      <w:marTop w:val="0"/>
      <w:marBottom w:val="0"/>
      <w:divBdr>
        <w:top w:val="none" w:sz="0" w:space="0" w:color="auto"/>
        <w:left w:val="none" w:sz="0" w:space="0" w:color="auto"/>
        <w:bottom w:val="none" w:sz="0" w:space="0" w:color="auto"/>
        <w:right w:val="none" w:sz="0" w:space="0" w:color="auto"/>
      </w:divBdr>
    </w:div>
    <w:div w:id="1890189714">
      <w:bodyDiv w:val="1"/>
      <w:marLeft w:val="0"/>
      <w:marRight w:val="0"/>
      <w:marTop w:val="0"/>
      <w:marBottom w:val="0"/>
      <w:divBdr>
        <w:top w:val="none" w:sz="0" w:space="0" w:color="auto"/>
        <w:left w:val="none" w:sz="0" w:space="0" w:color="auto"/>
        <w:bottom w:val="none" w:sz="0" w:space="0" w:color="auto"/>
        <w:right w:val="none" w:sz="0" w:space="0" w:color="auto"/>
      </w:divBdr>
    </w:div>
    <w:div w:id="1890335198">
      <w:bodyDiv w:val="1"/>
      <w:marLeft w:val="0"/>
      <w:marRight w:val="0"/>
      <w:marTop w:val="0"/>
      <w:marBottom w:val="0"/>
      <w:divBdr>
        <w:top w:val="none" w:sz="0" w:space="0" w:color="auto"/>
        <w:left w:val="none" w:sz="0" w:space="0" w:color="auto"/>
        <w:bottom w:val="none" w:sz="0" w:space="0" w:color="auto"/>
        <w:right w:val="none" w:sz="0" w:space="0" w:color="auto"/>
      </w:divBdr>
    </w:div>
    <w:div w:id="1900898137">
      <w:bodyDiv w:val="1"/>
      <w:marLeft w:val="0"/>
      <w:marRight w:val="0"/>
      <w:marTop w:val="0"/>
      <w:marBottom w:val="0"/>
      <w:divBdr>
        <w:top w:val="none" w:sz="0" w:space="0" w:color="auto"/>
        <w:left w:val="none" w:sz="0" w:space="0" w:color="auto"/>
        <w:bottom w:val="none" w:sz="0" w:space="0" w:color="auto"/>
        <w:right w:val="none" w:sz="0" w:space="0" w:color="auto"/>
      </w:divBdr>
    </w:div>
    <w:div w:id="1905485904">
      <w:bodyDiv w:val="1"/>
      <w:marLeft w:val="0"/>
      <w:marRight w:val="0"/>
      <w:marTop w:val="0"/>
      <w:marBottom w:val="0"/>
      <w:divBdr>
        <w:top w:val="none" w:sz="0" w:space="0" w:color="auto"/>
        <w:left w:val="none" w:sz="0" w:space="0" w:color="auto"/>
        <w:bottom w:val="none" w:sz="0" w:space="0" w:color="auto"/>
        <w:right w:val="none" w:sz="0" w:space="0" w:color="auto"/>
      </w:divBdr>
    </w:div>
    <w:div w:id="1913084210">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1993899695">
      <w:bodyDiv w:val="1"/>
      <w:marLeft w:val="0"/>
      <w:marRight w:val="0"/>
      <w:marTop w:val="0"/>
      <w:marBottom w:val="0"/>
      <w:divBdr>
        <w:top w:val="none" w:sz="0" w:space="0" w:color="auto"/>
        <w:left w:val="none" w:sz="0" w:space="0" w:color="auto"/>
        <w:bottom w:val="none" w:sz="0" w:space="0" w:color="auto"/>
        <w:right w:val="none" w:sz="0" w:space="0" w:color="auto"/>
      </w:divBdr>
    </w:div>
    <w:div w:id="2036029953">
      <w:bodyDiv w:val="1"/>
      <w:marLeft w:val="0"/>
      <w:marRight w:val="0"/>
      <w:marTop w:val="0"/>
      <w:marBottom w:val="0"/>
      <w:divBdr>
        <w:top w:val="none" w:sz="0" w:space="0" w:color="auto"/>
        <w:left w:val="none" w:sz="0" w:space="0" w:color="auto"/>
        <w:bottom w:val="none" w:sz="0" w:space="0" w:color="auto"/>
        <w:right w:val="none" w:sz="0" w:space="0" w:color="auto"/>
      </w:divBdr>
    </w:div>
    <w:div w:id="2051761382">
      <w:bodyDiv w:val="1"/>
      <w:marLeft w:val="0"/>
      <w:marRight w:val="0"/>
      <w:marTop w:val="0"/>
      <w:marBottom w:val="0"/>
      <w:divBdr>
        <w:top w:val="none" w:sz="0" w:space="0" w:color="auto"/>
        <w:left w:val="none" w:sz="0" w:space="0" w:color="auto"/>
        <w:bottom w:val="none" w:sz="0" w:space="0" w:color="auto"/>
        <w:right w:val="none" w:sz="0" w:space="0" w:color="auto"/>
      </w:divBdr>
    </w:div>
    <w:div w:id="2066030279">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ckinsey.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11</Pages>
  <Words>4506</Words>
  <Characters>25686</Characters>
  <Application>Microsoft Office Word</Application>
  <DocSecurity>4</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James Moore</cp:lastModifiedBy>
  <cp:revision>2</cp:revision>
  <dcterms:created xsi:type="dcterms:W3CDTF">2025-04-08T19:41:00Z</dcterms:created>
  <dcterms:modified xsi:type="dcterms:W3CDTF">2025-04-08T19:41:00Z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