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CE993" w14:textId="3BCA4376" w:rsidR="00D537A3" w:rsidRDefault="00CF5525" w:rsidP="004A6EAB">
      <w:pPr>
        <w:suppressAutoHyphens w:val="0"/>
        <w:autoSpaceDE w:val="0"/>
        <w:adjustRightInd w:val="0"/>
        <w:ind w:left="709"/>
        <w:textAlignment w:val="auto"/>
        <w:rPr>
          <w:rFonts w:ascii="Adobe Clean DC" w:hAnsi="Adobe Clean DC" w:cs="Adobe Clean DC"/>
          <w:kern w:val="0"/>
          <w:sz w:val="21"/>
          <w:szCs w:val="21"/>
          <w:lang w:val="en-US" w:bidi="ar-SA"/>
        </w:rPr>
      </w:pPr>
      <w:proofErr w:type="gramStart"/>
      <w:r>
        <w:rPr>
          <w:sz w:val="26"/>
          <w:szCs w:val="26"/>
        </w:rPr>
        <w:t xml:space="preserve">Reaction to_ </w:t>
      </w:r>
      <w:r w:rsidRPr="00CF5525">
        <w:rPr>
          <w:sz w:val="26"/>
          <w:szCs w:val="26"/>
        </w:rPr>
        <w:t xml:space="preserve">Shaikh, </w:t>
      </w:r>
      <w:r w:rsidR="005D0593" w:rsidRPr="005D0593">
        <w:rPr>
          <w:sz w:val="26"/>
          <w:szCs w:val="26"/>
        </w:rPr>
        <w:t>"</w:t>
      </w:r>
      <w:r w:rsidRPr="00CF5525">
        <w:rPr>
          <w:sz w:val="26"/>
          <w:szCs w:val="26"/>
        </w:rPr>
        <w:t>In Search of al-</w:t>
      </w:r>
      <w:proofErr w:type="spellStart"/>
      <w:r w:rsidRPr="00CF5525">
        <w:rPr>
          <w:sz w:val="26"/>
          <w:szCs w:val="26"/>
        </w:rPr>
        <w:t>Insān</w:t>
      </w:r>
      <w:proofErr w:type="spellEnd"/>
      <w:r w:rsidRPr="00CF5525">
        <w:rPr>
          <w:sz w:val="26"/>
          <w:szCs w:val="26"/>
        </w:rPr>
        <w:t xml:space="preserve"> </w:t>
      </w:r>
      <w:r w:rsidR="005D0593">
        <w:rPr>
          <w:sz w:val="26"/>
          <w:szCs w:val="26"/>
        </w:rPr>
        <w:t>Sufism, Islamic Law, and Gender</w:t>
      </w:r>
      <w:r w:rsidR="005D0593" w:rsidRPr="005D0593">
        <w:rPr>
          <w:sz w:val="26"/>
          <w:szCs w:val="26"/>
        </w:rPr>
        <w:t>".</w:t>
      </w:r>
      <w:proofErr w:type="gramEnd"/>
      <w:r w:rsidRPr="00CF5525">
        <w:rPr>
          <w:sz w:val="26"/>
          <w:szCs w:val="26"/>
        </w:rPr>
        <w:t xml:space="preserve"> </w:t>
      </w:r>
      <w:proofErr w:type="gramStart"/>
      <w:r w:rsidRPr="00CF5525">
        <w:rPr>
          <w:sz w:val="26"/>
          <w:szCs w:val="26"/>
        </w:rPr>
        <w:t>Journal of the American Academy of Religion.</w:t>
      </w:r>
      <w:proofErr w:type="gramEnd"/>
      <w:r w:rsidRPr="00CF5525">
        <w:rPr>
          <w:sz w:val="26"/>
          <w:szCs w:val="26"/>
        </w:rPr>
        <w:t xml:space="preserve"> 77. 4 (2009)</w:t>
      </w:r>
    </w:p>
    <w:p w14:paraId="670D744C" w14:textId="7588C7D0" w:rsidR="0090451F" w:rsidRDefault="0090451F">
      <w:pPr>
        <w:pStyle w:val="Standard"/>
        <w:ind w:left="709"/>
        <w:rPr>
          <w:rFonts w:hint="eastAsia"/>
          <w:sz w:val="26"/>
          <w:szCs w:val="26"/>
        </w:rPr>
      </w:pPr>
    </w:p>
    <w:p w14:paraId="7C663C51" w14:textId="5994FB6E" w:rsidR="002A54D9" w:rsidRDefault="002A54D9" w:rsidP="002A54D9">
      <w:pPr>
        <w:suppressAutoHyphens w:val="0"/>
        <w:autoSpaceDN/>
        <w:spacing w:before="100" w:beforeAutospacing="1" w:after="100" w:afterAutospacing="1"/>
        <w:textAlignment w:val="auto"/>
        <w:rPr>
          <w:rFonts w:hint="eastAsia"/>
        </w:rPr>
      </w:pPr>
      <w:r>
        <w:t xml:space="preserve">In her article, Shaikh (ibid) presents a compelling argument in favour of equality and tolerance within the framework of the Sufi </w:t>
      </w:r>
      <w:r w:rsidRPr="00D07A47">
        <w:t>worldview</w:t>
      </w:r>
      <w:r w:rsidR="000A4BCA" w:rsidRPr="00D07A47">
        <w:t xml:space="preserve"> from historic and theoretical perspectives</w:t>
      </w:r>
      <w:r w:rsidRPr="00D07A47">
        <w:t>. Drawing</w:t>
      </w:r>
      <w:r>
        <w:t xml:space="preserve"> extensively from historical material, she emphasizes the importance of individual understanding. This is highlighted by the example of the elitist Ibn Al-‘</w:t>
      </w:r>
      <w:proofErr w:type="spellStart"/>
      <w:r>
        <w:t>Arabi</w:t>
      </w:r>
      <w:proofErr w:type="spellEnd"/>
      <w:r>
        <w:t>, who, despite his clear views on feminism and the universal and utmost importance of the feminine principle (</w:t>
      </w:r>
      <w:proofErr w:type="spellStart"/>
      <w:r w:rsidRPr="002A54D9">
        <w:rPr>
          <w:i/>
        </w:rPr>
        <w:t>jamal</w:t>
      </w:r>
      <w:proofErr w:type="spellEnd"/>
      <w:r>
        <w:t>), which also e</w:t>
      </w:r>
      <w:r>
        <w:t>x</w:t>
      </w:r>
      <w:r>
        <w:t xml:space="preserve">tends beyond the female gender, confronted prevalent </w:t>
      </w:r>
      <w:r w:rsidR="00CC779F">
        <w:t>prejudice</w:t>
      </w:r>
      <w:r>
        <w:t>s.</w:t>
      </w:r>
    </w:p>
    <w:p w14:paraId="139706B1" w14:textId="34EFB1D6" w:rsidR="00D274F4" w:rsidRPr="002A54D9" w:rsidRDefault="002A54D9" w:rsidP="002A54D9">
      <w:pPr>
        <w:suppressAutoHyphens w:val="0"/>
        <w:autoSpaceDN/>
        <w:spacing w:before="100" w:beforeAutospacing="1" w:after="100" w:afterAutospacing="1"/>
        <w:textAlignment w:val="auto"/>
        <w:rPr>
          <w:rFonts w:ascii="Times New Roman" w:eastAsia="Times New Roman" w:hAnsi="Times New Roman" w:cs="Times New Roman"/>
          <w:kern w:val="0"/>
          <w:lang w:val="et-EE" w:eastAsia="et-EE" w:bidi="ar-SA"/>
        </w:rPr>
      </w:pPr>
      <w:r w:rsidRPr="002A54D9">
        <w:rPr>
          <w:rFonts w:ascii="Times New Roman" w:eastAsia="Times New Roman" w:hAnsi="Times New Roman" w:cs="Times New Roman"/>
          <w:kern w:val="0"/>
          <w:lang w:val="et-EE" w:eastAsia="et-EE" w:bidi="ar-SA"/>
        </w:rPr>
        <w:t xml:space="preserve">Shaikh's article is based on the premise of the existence of the same spiritual imperatives for all human beings, </w:t>
      </w:r>
      <w:r w:rsidR="005D0593">
        <w:t>"</w:t>
      </w:r>
      <w:r w:rsidRPr="002A54D9">
        <w:rPr>
          <w:rFonts w:ascii="Times New Roman" w:eastAsia="Times New Roman" w:hAnsi="Times New Roman" w:cs="Times New Roman"/>
          <w:kern w:val="0"/>
          <w:lang w:val="et-EE" w:eastAsia="et-EE" w:bidi="ar-SA"/>
        </w:rPr>
        <w:t>irrespective of whether one occupies a male or female body</w:t>
      </w:r>
      <w:r w:rsidR="005D0593">
        <w:t>"</w:t>
      </w:r>
      <w:r w:rsidRPr="002A54D9">
        <w:rPr>
          <w:rFonts w:ascii="Times New Roman" w:eastAsia="Times New Roman" w:hAnsi="Times New Roman" w:cs="Times New Roman"/>
          <w:kern w:val="0"/>
          <w:lang w:val="et-EE" w:eastAsia="et-EE" w:bidi="ar-SA"/>
        </w:rPr>
        <w:t xml:space="preserve"> (ibid:10).</w:t>
      </w:r>
      <w:r>
        <w:rPr>
          <w:rFonts w:ascii="Times New Roman" w:eastAsia="Times New Roman" w:hAnsi="Times New Roman" w:cs="Times New Roman"/>
          <w:kern w:val="0"/>
          <w:lang w:val="et-EE" w:eastAsia="et-EE" w:bidi="ar-SA"/>
        </w:rPr>
        <w:t xml:space="preserve"> </w:t>
      </w:r>
      <w:r w:rsidR="00EF16CC">
        <w:t>The task of this paper is to investigate whether the concept</w:t>
      </w:r>
      <w:r w:rsidR="008558E6">
        <w:t xml:space="preserve"> of</w:t>
      </w:r>
      <w:r w:rsidR="008E37BF">
        <w:t xml:space="preserve"> binary</w:t>
      </w:r>
      <w:r w:rsidR="008558E6">
        <w:t xml:space="preserve"> gender used by Shaikh</w:t>
      </w:r>
      <w:r w:rsidR="00EF16CC">
        <w:t xml:space="preserve"> can be replaced by an extended version.</w:t>
      </w:r>
      <w:r w:rsidR="00B94027">
        <w:t xml:space="preserve"> </w:t>
      </w:r>
    </w:p>
    <w:p w14:paraId="23E87ABC" w14:textId="77777777" w:rsidR="00D274F4" w:rsidRPr="00D274F4" w:rsidRDefault="00D274F4" w:rsidP="00D274F4">
      <w:pPr>
        <w:pStyle w:val="ListParagraph"/>
        <w:numPr>
          <w:ilvl w:val="0"/>
          <w:numId w:val="6"/>
        </w:numPr>
        <w:suppressAutoHyphens w:val="0"/>
        <w:autoSpaceDE w:val="0"/>
        <w:adjustRightInd w:val="0"/>
        <w:textAlignment w:val="auto"/>
        <w:rPr>
          <w:rFonts w:ascii="AdvTTa5a07f74" w:hAnsi="AdvTTa5a07f74" w:cs="AdvTTa5a07f74"/>
          <w:color w:val="231F20"/>
          <w:kern w:val="0"/>
          <w:sz w:val="22"/>
          <w:szCs w:val="22"/>
          <w:lang w:val="et-EE" w:bidi="ar-SA"/>
        </w:rPr>
      </w:pPr>
    </w:p>
    <w:p w14:paraId="7C4F687C" w14:textId="77777777" w:rsidR="0090451F" w:rsidRDefault="0090451F">
      <w:pPr>
        <w:pStyle w:val="Standard"/>
        <w:rPr>
          <w:rFonts w:hint="eastAsia"/>
        </w:rPr>
      </w:pPr>
    </w:p>
    <w:p w14:paraId="15663E07" w14:textId="37D7E1C7" w:rsidR="00A957DE" w:rsidRPr="00D274F4" w:rsidRDefault="00AD7398" w:rsidP="00D274F4">
      <w:pPr>
        <w:pStyle w:val="Standard"/>
        <w:rPr>
          <w:rFonts w:hint="eastAsia"/>
        </w:rPr>
      </w:pPr>
      <w:r>
        <w:t>The CDC Adolescent and School Department defines gender as societal expectations regarding sociocultural roles, behavio</w:t>
      </w:r>
      <w:r w:rsidR="00670568">
        <w:t>u</w:t>
      </w:r>
      <w:r>
        <w:t xml:space="preserve">rs, and other attributes based on objective sex. At the same time, it defines gender identity as entirely separate from biological reality. Therefore, in addressing this topic, I aim to remain on the boundaries of the presumed definitions used by Shaikh, while preferably steering clear of the realm that could be considered as surrendering to the </w:t>
      </w:r>
      <w:r w:rsidRPr="00AD7398">
        <w:rPr>
          <w:rFonts w:ascii="Times New Roman" w:hAnsi="Times New Roman" w:cs="Times New Roman"/>
          <w:i/>
          <w:kern w:val="0"/>
          <w:lang w:val="et-EE" w:bidi="ar-SA"/>
        </w:rPr>
        <w:t xml:space="preserve">nafs al-ammara biʾs suʾ </w:t>
      </w:r>
      <w:r w:rsidRPr="00AD7398">
        <w:rPr>
          <w:rFonts w:ascii="Times New Roman" w:hAnsi="Times New Roman" w:cs="Times New Roman"/>
          <w:kern w:val="0"/>
          <w:lang w:val="et-EE" w:bidi="ar-SA"/>
        </w:rPr>
        <w:t>or</w:t>
      </w:r>
      <w:r w:rsidR="005D0593">
        <w:t xml:space="preserve"> "soul that incites to evil</w:t>
      </w:r>
      <w:r>
        <w:t>"</w:t>
      </w:r>
      <w:r w:rsidR="005D0593">
        <w:t>,</w:t>
      </w:r>
      <w:r>
        <w:t xml:space="preserve"> as translated by Shaikh (ibid:10). </w:t>
      </w:r>
      <w:r w:rsidR="00D274F4">
        <w:t>Mainly</w:t>
      </w:r>
      <w:r>
        <w:t xml:space="preserve"> for this reason, but also due to volumetric constraints, this research paper does not delve into psychosocial settings that shape gender identity and sexual behavio</w:t>
      </w:r>
      <w:r w:rsidR="00D274F4">
        <w:t>u</w:t>
      </w:r>
      <w:r>
        <w:t>r.</w:t>
      </w:r>
    </w:p>
    <w:p w14:paraId="4D801FD2" w14:textId="77777777" w:rsidR="00C66713" w:rsidRPr="00A957DE" w:rsidRDefault="00C66713">
      <w:pPr>
        <w:pStyle w:val="Standard"/>
        <w:rPr>
          <w:rFonts w:hint="eastAsia"/>
        </w:rPr>
      </w:pPr>
    </w:p>
    <w:p w14:paraId="13CF5519" w14:textId="6941119E" w:rsidR="0090451F" w:rsidRDefault="00AD7398">
      <w:pPr>
        <w:pStyle w:val="Standard"/>
        <w:rPr>
          <w:rFonts w:hint="eastAsia"/>
        </w:rPr>
      </w:pPr>
      <w:r>
        <w:t xml:space="preserve">The superiority of faith in attaining inner peace is undoubtedly evident. Even in light of today's scientific advancements, the procedural phenomenon of faith, akin to </w:t>
      </w:r>
      <w:r w:rsidRPr="00AD7398">
        <w:rPr>
          <w:i/>
        </w:rPr>
        <w:t>predictive coding,</w:t>
      </w:r>
      <w:r>
        <w:t xml:space="preserve"> remains as fundamental as it was centuries and millennia ago. From this perspective, one must concur with Sheikh's standpoint regarding the potentially greater influence of Sufi revelatory discourses, which may offer "more faithful readings of the </w:t>
      </w:r>
      <w:r w:rsidRPr="00AD7398">
        <w:rPr>
          <w:i/>
        </w:rPr>
        <w:t>sharia</w:t>
      </w:r>
      <w:r>
        <w:t xml:space="preserve"> and the related assumptions of human nature, as reflected in the Qur’an, than the dominant </w:t>
      </w:r>
      <w:proofErr w:type="spellStart"/>
      <w:r w:rsidRPr="00AD7398">
        <w:rPr>
          <w:i/>
        </w:rPr>
        <w:t>fiqh</w:t>
      </w:r>
      <w:proofErr w:type="spellEnd"/>
      <w:r>
        <w:t xml:space="preserve"> discourses</w:t>
      </w:r>
      <w:r w:rsidR="005D0593">
        <w:t>”</w:t>
      </w:r>
      <w:r w:rsidR="005D0593" w:rsidRPr="005D0593">
        <w:t xml:space="preserve"> </w:t>
      </w:r>
      <w:r w:rsidR="005D0593">
        <w:t>(ibid</w:t>
      </w:r>
      <w:proofErr w:type="gramStart"/>
      <w:r w:rsidR="005D0593">
        <w:t>:9</w:t>
      </w:r>
      <w:proofErr w:type="gramEnd"/>
      <w:r w:rsidR="005D0593">
        <w:t>)</w:t>
      </w:r>
      <w:r>
        <w:t>.</w:t>
      </w:r>
    </w:p>
    <w:p w14:paraId="18C4477A" w14:textId="77777777" w:rsidR="00AD7398" w:rsidRPr="00D42297" w:rsidRDefault="00AD7398">
      <w:pPr>
        <w:pStyle w:val="Standard"/>
        <w:rPr>
          <w:rFonts w:ascii="Times New Roman" w:hAnsi="Times New Roman" w:cs="Times New Roman"/>
        </w:rPr>
      </w:pPr>
    </w:p>
    <w:p w14:paraId="7F69AEBB" w14:textId="2AB8C0F2" w:rsidR="006341B0" w:rsidRPr="00947112" w:rsidRDefault="00EF16CC">
      <w:pPr>
        <w:pStyle w:val="Standard"/>
        <w:rPr>
          <w:rFonts w:ascii="Times New Roman" w:hAnsi="Times New Roman" w:cs="Times New Roman"/>
        </w:rPr>
      </w:pPr>
      <w:r w:rsidRPr="00D42297">
        <w:rPr>
          <w:rFonts w:ascii="Times New Roman" w:hAnsi="Times New Roman" w:cs="Times New Roman"/>
        </w:rPr>
        <w:t>The teaching of evolutionary theory varies across countries and within communities, ranging from accepting attitudes that define continuous (re-)creation as a process described through Divine laws, to partly politically motivated denial (Burton 2010). The Muslim world is no exception in this regard, and students from the Muslim world have been compared, for example, with domestic (US) religious teenagers (Barnes et al 2021).</w:t>
      </w:r>
      <w:r w:rsidR="001E43BB" w:rsidRPr="00D42297">
        <w:rPr>
          <w:rFonts w:ascii="Times New Roman" w:hAnsi="Times New Roman" w:cs="Times New Roman"/>
        </w:rPr>
        <w:t xml:space="preserve"> </w:t>
      </w:r>
      <w:r w:rsidRPr="00D42297">
        <w:rPr>
          <w:rFonts w:ascii="Times New Roman" w:hAnsi="Times New Roman" w:cs="Times New Roman"/>
        </w:rPr>
        <w:t>However, the topic can still be considered sensitive, which may require a more flexible appr</w:t>
      </w:r>
      <w:r w:rsidR="001E43BB" w:rsidRPr="00D42297">
        <w:rPr>
          <w:rFonts w:ascii="Times New Roman" w:hAnsi="Times New Roman" w:cs="Times New Roman"/>
        </w:rPr>
        <w:t>oach depending on the audience.</w:t>
      </w:r>
    </w:p>
    <w:p w14:paraId="05CD318F" w14:textId="64D1A3CA" w:rsidR="006341B0" w:rsidRDefault="00AD7398" w:rsidP="00AD7398">
      <w:pPr>
        <w:pStyle w:val="NormalWeb"/>
      </w:pPr>
      <w:r>
        <w:t>From the early childhood awareness that we all have a mother and a father, a conviction of the exclusive validity of a similar family model develops over the years. Deviations from this belief are often simplistically disregarded, sometimes even classified as false and reprehensible.</w:t>
      </w:r>
      <w:r w:rsidR="007758B0">
        <w:t xml:space="preserve"> </w:t>
      </w:r>
      <w:r>
        <w:t xml:space="preserve">However, the reality is that even with the corresponding psychosocial readiness, heterosexual couples cohabitating may not be able to conceive children. </w:t>
      </w:r>
      <w:r w:rsidR="006341B0">
        <w:t xml:space="preserve">According to Vander Borgh &amp; Wyns (2018), infertility is estimated to </w:t>
      </w:r>
      <w:r w:rsidR="006341B0" w:rsidRPr="007E430D">
        <w:t>affect between 8 and 12% of reproductive</w:t>
      </w:r>
      <w:r w:rsidR="006341B0">
        <w:t>-aged couples worldwide</w:t>
      </w:r>
      <w:r w:rsidR="00D07A47">
        <w:t>, but even</w:t>
      </w:r>
      <w:r w:rsidR="00FE496F">
        <w:t xml:space="preserve"> </w:t>
      </w:r>
      <w:r w:rsidR="00D07A47">
        <w:t>not</w:t>
      </w:r>
      <w:r w:rsidR="00FE496F">
        <w:t xml:space="preserve"> all individuals in reproductive age form </w:t>
      </w:r>
      <w:r w:rsidR="00D07A47">
        <w:t>couples</w:t>
      </w:r>
      <w:r w:rsidR="00FE496F">
        <w:t>.</w:t>
      </w:r>
    </w:p>
    <w:p w14:paraId="2EE9952F" w14:textId="5BE2175F" w:rsidR="006341B0" w:rsidRDefault="00A968D0">
      <w:pPr>
        <w:pStyle w:val="Standard"/>
        <w:rPr>
          <w:rFonts w:hint="eastAsia"/>
        </w:rPr>
      </w:pPr>
      <w:r>
        <w:t>O</w:t>
      </w:r>
      <w:r w:rsidR="00EF16CC">
        <w:t>ntogenesis</w:t>
      </w:r>
      <w:r w:rsidR="00AD7398">
        <w:t xml:space="preserve"> as the develo</w:t>
      </w:r>
      <w:r w:rsidR="00D274F4">
        <w:t>pment of an individual organism</w:t>
      </w:r>
      <w:r w:rsidR="00EF16CC">
        <w:t xml:space="preserve"> </w:t>
      </w:r>
      <w:r>
        <w:t>can be</w:t>
      </w:r>
      <w:r w:rsidR="00EF16CC">
        <w:t xml:space="preserve"> seen as a repetition of the previous phylogenetic background in miniature. Since von Baer's time, whom Darwin also considered one of his role models, it has been clear that the embryo of a child resembles in its </w:t>
      </w:r>
      <w:r w:rsidR="00EF16CC">
        <w:lastRenderedPageBreak/>
        <w:t xml:space="preserve">various developmental stages more closely to the embryo of a fish, amphibian, etc., than to its own later reduced copy of homo sapiens. Modern radiological advancements </w:t>
      </w:r>
      <w:r w:rsidR="005D0593">
        <w:t>naturally</w:t>
      </w:r>
      <w:r w:rsidR="00EF16CC">
        <w:t xml:space="preserve"> confirm this.</w:t>
      </w:r>
      <w:r w:rsidR="006341B0">
        <w:t xml:space="preserve"> </w:t>
      </w:r>
      <w:r w:rsidRPr="00A968D0">
        <w:t>T</w:t>
      </w:r>
      <w:r w:rsidR="00EF16CC" w:rsidRPr="00A968D0">
        <w:t>he original organism formed at the fertilization of the egg cell is unicellular, and its division is essentially the reproduction of a unicellular</w:t>
      </w:r>
      <w:r w:rsidRPr="00A968D0">
        <w:t xml:space="preserve"> organism</w:t>
      </w:r>
      <w:r w:rsidR="00EF16CC" w:rsidRPr="00A968D0">
        <w:t>.</w:t>
      </w:r>
      <w:r w:rsidRPr="00A968D0">
        <w:t xml:space="preserve"> </w:t>
      </w:r>
    </w:p>
    <w:p w14:paraId="55E8735D" w14:textId="77777777" w:rsidR="006341B0" w:rsidRDefault="006341B0">
      <w:pPr>
        <w:pStyle w:val="Standard"/>
        <w:rPr>
          <w:rFonts w:hint="eastAsia"/>
        </w:rPr>
      </w:pPr>
    </w:p>
    <w:p w14:paraId="1FD6B8AF" w14:textId="56ABC2BC" w:rsidR="0090451F" w:rsidRDefault="00EF16CC">
      <w:pPr>
        <w:pStyle w:val="Standard"/>
        <w:rPr>
          <w:rFonts w:hint="eastAsia"/>
        </w:rPr>
      </w:pPr>
      <w:r w:rsidRPr="00A968D0">
        <w:t xml:space="preserve">As a </w:t>
      </w:r>
      <w:r>
        <w:t xml:space="preserve">result of the development of internal differentiation within the cell colony, a situation arises where all emerging life can be characterized solely as female, with clearly identifiable female traits. </w:t>
      </w:r>
      <w:r w:rsidR="00D07A47">
        <w:t>Hence the importance and inseparability of this topic from a feminist perspective</w:t>
      </w:r>
      <w:r>
        <w:t>, as later developments may not necessarily lead to representatives of the opposite sex. Likewise, all male individuals retain the signs of the earlier female stage in their development of sexual differentiation.</w:t>
      </w:r>
      <w:r w:rsidR="00FA66FA">
        <w:t xml:space="preserve"> </w:t>
      </w:r>
    </w:p>
    <w:p w14:paraId="0B77E041" w14:textId="77777777" w:rsidR="0090451F" w:rsidRDefault="0090451F">
      <w:pPr>
        <w:pStyle w:val="Standard"/>
        <w:rPr>
          <w:rFonts w:hint="eastAsia"/>
        </w:rPr>
      </w:pPr>
    </w:p>
    <w:p w14:paraId="10E2C674" w14:textId="3B595414" w:rsidR="0090451F" w:rsidRDefault="00EF16CC">
      <w:pPr>
        <w:pStyle w:val="Standard"/>
        <w:rPr>
          <w:rFonts w:hint="eastAsia"/>
        </w:rPr>
      </w:pPr>
      <w:r>
        <w:t xml:space="preserve">The influences underlying the atypical developments, entrenched in the embryological phase observed at birth or later in life are far from clear. The popularized and seemingly sufficient genetic explanation referred to, is not the cause of the event, but rather its </w:t>
      </w:r>
      <w:proofErr w:type="spellStart"/>
      <w:r>
        <w:rPr>
          <w:i/>
          <w:iCs/>
        </w:rPr>
        <w:t>postfactum</w:t>
      </w:r>
      <w:proofErr w:type="spellEnd"/>
      <w:r>
        <w:t xml:space="preserve"> description or consequence. Besides the XX and XY chromosome combinations playing a role in determining biological sex, there are still over 10 different </w:t>
      </w:r>
      <w:r w:rsidR="005C0F6D">
        <w:t xml:space="preserve">known </w:t>
      </w:r>
      <w:r>
        <w:t>combinations</w:t>
      </w:r>
      <w:r w:rsidR="005C0F6D">
        <w:t xml:space="preserve"> </w:t>
      </w:r>
      <w:r>
        <w:t>resulting in atypical gender development.</w:t>
      </w:r>
    </w:p>
    <w:p w14:paraId="66E40364" w14:textId="77777777" w:rsidR="0090451F" w:rsidRDefault="0090451F">
      <w:pPr>
        <w:pStyle w:val="Standard"/>
        <w:rPr>
          <w:rFonts w:hint="eastAsia"/>
        </w:rPr>
      </w:pPr>
    </w:p>
    <w:p w14:paraId="5462F675" w14:textId="2E1061F8" w:rsidR="0090451F" w:rsidRPr="00F8631A" w:rsidRDefault="00EF16CC">
      <w:pPr>
        <w:pStyle w:val="Standard"/>
        <w:rPr>
          <w:rFonts w:hint="eastAsia"/>
        </w:rPr>
      </w:pPr>
      <w:r>
        <w:t>Intersex spectrum may include the presence of primary and secondary sexual characteristics in different combinations, metabolic peculiarities, etc. Similar developments are mostly recorded and account for approximately 1.75% of the total population (</w:t>
      </w:r>
      <w:proofErr w:type="spellStart"/>
      <w:r>
        <w:t>Blackless</w:t>
      </w:r>
      <w:proofErr w:type="spellEnd"/>
      <w:r>
        <w:t xml:space="preserve"> et al 2000). Similarly, all those individuals have the promise of salvation from the Prophet with no restriction to their biological constitution. Also consolation that some of them may even desire more than in case of typical couples.</w:t>
      </w:r>
      <w:r w:rsidR="00B07B1E">
        <w:t xml:space="preserve"> </w:t>
      </w:r>
    </w:p>
    <w:p w14:paraId="7395CC41" w14:textId="77777777" w:rsidR="0090451F" w:rsidRDefault="0090451F">
      <w:pPr>
        <w:pStyle w:val="Standard"/>
        <w:rPr>
          <w:rFonts w:hint="eastAsia"/>
        </w:rPr>
      </w:pPr>
    </w:p>
    <w:p w14:paraId="132FD9DF" w14:textId="54DD5072" w:rsidR="00AD7398" w:rsidRPr="00B847A9" w:rsidRDefault="00EF16CC">
      <w:pPr>
        <w:pStyle w:val="Standard"/>
        <w:rPr>
          <w:rFonts w:hint="eastAsia"/>
        </w:rPr>
      </w:pPr>
      <w:r>
        <w:t xml:space="preserve">Whether it is advisable to consider certain restrictions to the intersex scope (Sax 2002) serving a purpose of some undefined clinical specificity is not relevant for this discussion. It is clear that dividing the entire spectrum into </w:t>
      </w:r>
      <w:r>
        <w:rPr>
          <w:i/>
          <w:iCs/>
        </w:rPr>
        <w:t>intersex proper</w:t>
      </w:r>
      <w:r>
        <w:t xml:space="preserve"> and </w:t>
      </w:r>
      <w:r>
        <w:rPr>
          <w:i/>
          <w:iCs/>
        </w:rPr>
        <w:t>something-else-quite-similar</w:t>
      </w:r>
      <w:r>
        <w:t xml:space="preserve"> does not help understand the </w:t>
      </w:r>
      <w:r w:rsidR="001E43BB">
        <w:t>corresponding psycho-</w:t>
      </w:r>
      <w:r>
        <w:t>social significance of the phenomenon.</w:t>
      </w:r>
      <w:r w:rsidR="00946158">
        <w:t xml:space="preserve"> </w:t>
      </w:r>
      <w:r>
        <w:t xml:space="preserve">Later survey described by </w:t>
      </w:r>
      <w:proofErr w:type="spellStart"/>
      <w:r>
        <w:t>Rosenwohl</w:t>
      </w:r>
      <w:proofErr w:type="spellEnd"/>
      <w:r>
        <w:t>-Mack et al (2020) was launched at the Androgen Insensitivity Syndrome-Differences of Sex Development (AIS-DSD) Support Group thus contradicting restrictive approach of Sax (ibid) also brought out the fact that a part of the intersex spectrum probably remains undiagnosed today.</w:t>
      </w:r>
    </w:p>
    <w:p w14:paraId="45FE0C53" w14:textId="28C79202" w:rsidR="00AD7398" w:rsidRDefault="00AD7398" w:rsidP="00AD7398">
      <w:pPr>
        <w:pStyle w:val="NormalWeb"/>
      </w:pPr>
      <w:r>
        <w:t xml:space="preserve">In the case of the intersex spectrum, traditional binary gender definitions </w:t>
      </w:r>
      <w:r w:rsidR="004D3DE4">
        <w:t>may prove inherently inadequate</w:t>
      </w:r>
      <w:r>
        <w:t xml:space="preserve"> </w:t>
      </w:r>
      <w:r w:rsidR="004D3DE4">
        <w:t xml:space="preserve">since </w:t>
      </w:r>
      <w:r>
        <w:t>an individual's expected behavior, which forms the basis of social gender norms, may starkly differ from the conventional dimorphic worldview.</w:t>
      </w:r>
    </w:p>
    <w:p w14:paraId="75F95F86" w14:textId="30E7A335" w:rsidR="00B46A3D" w:rsidRPr="00B847A9" w:rsidRDefault="004D3DE4" w:rsidP="00B847A9">
      <w:pPr>
        <w:pStyle w:val="NormalWeb"/>
      </w:pPr>
      <w:r>
        <w:t>When considering</w:t>
      </w:r>
      <w:r w:rsidR="00B847A9">
        <w:t xml:space="preserve"> psychological models, which are not addressed within the scope of this paper, it must be acknowledged that they may intersect w</w:t>
      </w:r>
      <w:r>
        <w:t>ith certain physiological bases</w:t>
      </w:r>
      <w:r w:rsidR="00B847A9">
        <w:t xml:space="preserve">. For example, a correlation between brain sex and transsexuality has been identified (Kurth et al., 2022), which may </w:t>
      </w:r>
      <w:r>
        <w:t xml:space="preserve">further </w:t>
      </w:r>
      <w:r w:rsidR="00B847A9">
        <w:t>transcend the boundaries of dimorphic gender definitions. However, causal relationships are generally more complex than being solely based on one parameter</w:t>
      </w:r>
      <w:r>
        <w:t>.</w:t>
      </w:r>
      <w:r w:rsidR="00B847A9">
        <w:t xml:space="preserve"> </w:t>
      </w:r>
    </w:p>
    <w:p w14:paraId="63B71C64" w14:textId="7B66DB1E" w:rsidR="00AA0B9A" w:rsidRDefault="00EF16CC" w:rsidP="00F842C6">
      <w:pPr>
        <w:pStyle w:val="Standard"/>
        <w:rPr>
          <w:rFonts w:hint="eastAsia"/>
        </w:rPr>
      </w:pPr>
      <w:r>
        <w:t>Conclusion</w:t>
      </w:r>
    </w:p>
    <w:p w14:paraId="578E06F6" w14:textId="07D0BCB3" w:rsidR="00B847A9" w:rsidRDefault="00B847A9" w:rsidP="00B847A9">
      <w:pPr>
        <w:pStyle w:val="NormalWeb"/>
      </w:pPr>
      <w:r>
        <w:t>Shaikh indeed presents a plethora of material on Ibn Al-‘Arabi's views and interpretations, which truly allow him to be seen as one of the</w:t>
      </w:r>
      <w:r w:rsidR="00FA66FA">
        <w:t xml:space="preserve"> first dissidents to </w:t>
      </w:r>
      <w:r w:rsidR="00FA66FA" w:rsidRPr="00D07A47">
        <w:t xml:space="preserve">patriarchical </w:t>
      </w:r>
      <w:r w:rsidR="00D07A47" w:rsidRPr="00D07A47">
        <w:t>arrogant</w:t>
      </w:r>
      <w:r w:rsidR="00FA66FA" w:rsidRPr="00D07A47">
        <w:t xml:space="preserve"> ignorance</w:t>
      </w:r>
      <w:r w:rsidRPr="00D07A47">
        <w:t xml:space="preserve"> (</w:t>
      </w:r>
      <w:r>
        <w:t>ibid:19).</w:t>
      </w:r>
    </w:p>
    <w:p w14:paraId="6568076D" w14:textId="55E69457" w:rsidR="00FA66FA" w:rsidRDefault="00B847A9" w:rsidP="00B847A9">
      <w:pPr>
        <w:pStyle w:val="NormalWeb"/>
      </w:pPr>
      <w:r>
        <w:t>However, what is more pertinent for this topic, she also highlights Ibn Al-‘Arabi's general position that balance and representation between beauty (</w:t>
      </w:r>
      <w:r w:rsidRPr="00B847A9">
        <w:rPr>
          <w:i/>
        </w:rPr>
        <w:t>jamal</w:t>
      </w:r>
      <w:r>
        <w:t>) and majesty (</w:t>
      </w:r>
      <w:r w:rsidRPr="00B847A9">
        <w:rPr>
          <w:i/>
        </w:rPr>
        <w:t>jalal</w:t>
      </w:r>
      <w:r>
        <w:t xml:space="preserve">) are crucial to ensure </w:t>
      </w:r>
      <w:r>
        <w:lastRenderedPageBreak/>
        <w:t xml:space="preserve">humanity's ability to reflect divinity (ibid:30). </w:t>
      </w:r>
      <w:r w:rsidR="00D07A47">
        <w:t>The ontogenetic approach described above only reinforces the viewpoint expressed by Ibn Al-‘Arabi.</w:t>
      </w:r>
    </w:p>
    <w:p w14:paraId="7EADFDB4" w14:textId="59E5AE76" w:rsidR="00B847A9" w:rsidRDefault="00B847A9" w:rsidP="00FA66FA">
      <w:pPr>
        <w:pStyle w:val="NormalWeb"/>
      </w:pPr>
      <w:r>
        <w:t>Therefore, the diversity described above seems both understandable and commen</w:t>
      </w:r>
      <w:r w:rsidR="00FA66FA">
        <w:t>dable. B</w:t>
      </w:r>
      <w:r>
        <w:t xml:space="preserve">ringing parallels with other cultures </w:t>
      </w:r>
      <w:r w:rsidR="00FA66FA">
        <w:t xml:space="preserve">would prove this eternal truth, </w:t>
      </w:r>
      <w:r>
        <w:t xml:space="preserve">since the Truth is One; </w:t>
      </w:r>
      <w:r w:rsidRPr="00E86134">
        <w:rPr>
          <w:i/>
        </w:rPr>
        <w:t>yin</w:t>
      </w:r>
      <w:r>
        <w:t xml:space="preserve"> is always contained in </w:t>
      </w:r>
      <w:r w:rsidRPr="00E86134">
        <w:rPr>
          <w:i/>
        </w:rPr>
        <w:t>yang</w:t>
      </w:r>
      <w:r>
        <w:t xml:space="preserve"> and vice versa. The example of Umm ʿAlī Fatima (d.849) brought in Shaikh's article (ibid:15), which reflects unconventional gender expression by, among other things, initiating her marriage proposal, clearly demonstrates the growth of spiritual and social value through diversity.</w:t>
      </w:r>
    </w:p>
    <w:p w14:paraId="73EAE9A2" w14:textId="3B89B887" w:rsidR="00B847A9" w:rsidRDefault="00B847A9" w:rsidP="00B847A9">
      <w:pPr>
        <w:pStyle w:val="NormalWeb"/>
      </w:pPr>
      <w:r>
        <w:t>Overall, the</w:t>
      </w:r>
      <w:r w:rsidR="00FA66FA">
        <w:t xml:space="preserve"> tolerance </w:t>
      </w:r>
      <w:r w:rsidR="00FA66FA" w:rsidRPr="00D07A47">
        <w:t>based on the</w:t>
      </w:r>
      <w:r w:rsidRPr="00D07A47">
        <w:t xml:space="preserve"> willingness to understand can indeed be considered characteristic of Sufism. However, </w:t>
      </w:r>
      <w:r w:rsidR="00D07A47" w:rsidRPr="00D07A47">
        <w:t xml:space="preserve">Shaikh (ibid:30-32) </w:t>
      </w:r>
      <w:r w:rsidRPr="00D07A47">
        <w:t xml:space="preserve"> also</w:t>
      </w:r>
      <w:r>
        <w:t xml:space="preserve"> notes that Ibn Al-‘Arabi's views</w:t>
      </w:r>
      <w:r w:rsidR="00D07A47">
        <w:t xml:space="preserve"> presented a reasoned but still </w:t>
      </w:r>
      <w:r>
        <w:t>challenging perspective to the prevalent prejudice, according to which women were primarily intended to reflect attributes of beauty (</w:t>
      </w:r>
      <w:r w:rsidRPr="00E86134">
        <w:rPr>
          <w:i/>
        </w:rPr>
        <w:t>jamal</w:t>
      </w:r>
      <w:r>
        <w:t>) as opposed to majesty (</w:t>
      </w:r>
      <w:r w:rsidRPr="00E86134">
        <w:rPr>
          <w:i/>
        </w:rPr>
        <w:t>jalal</w:t>
      </w:r>
      <w:r>
        <w:t xml:space="preserve">), which were considered masculine. </w:t>
      </w:r>
    </w:p>
    <w:p w14:paraId="02C926A9" w14:textId="77777777" w:rsidR="00AA0B9A" w:rsidRDefault="00AA0B9A" w:rsidP="00F842C6">
      <w:pPr>
        <w:pStyle w:val="Standard"/>
        <w:rPr>
          <w:rFonts w:hint="eastAsia"/>
        </w:rPr>
      </w:pPr>
    </w:p>
    <w:p w14:paraId="79DCDE4F" w14:textId="77777777" w:rsidR="00AA0B9A" w:rsidRDefault="00AA0B9A" w:rsidP="00F842C6">
      <w:pPr>
        <w:pStyle w:val="Standard"/>
        <w:rPr>
          <w:rFonts w:hint="eastAsia"/>
        </w:rPr>
      </w:pPr>
    </w:p>
    <w:p w14:paraId="59E195D8" w14:textId="77777777" w:rsidR="004D78A0" w:rsidRDefault="004D78A0">
      <w:pPr>
        <w:pStyle w:val="Standard"/>
        <w:rPr>
          <w:rFonts w:hint="eastAsia"/>
        </w:rPr>
      </w:pPr>
    </w:p>
    <w:p w14:paraId="662A5A64" w14:textId="77777777" w:rsidR="00D73FF3" w:rsidRDefault="00D73FF3">
      <w:pPr>
        <w:pStyle w:val="Standard"/>
        <w:rPr>
          <w:rFonts w:hint="eastAsia"/>
        </w:rPr>
      </w:pPr>
    </w:p>
    <w:p w14:paraId="055D3EBC" w14:textId="77777777" w:rsidR="0090451F" w:rsidRDefault="0090451F">
      <w:pPr>
        <w:pStyle w:val="Standard"/>
        <w:rPr>
          <w:rFonts w:hint="eastAsia"/>
        </w:rPr>
      </w:pPr>
    </w:p>
    <w:p w14:paraId="653C5F7A" w14:textId="77777777" w:rsidR="0090451F" w:rsidRDefault="0090451F">
      <w:pPr>
        <w:pStyle w:val="Standard"/>
        <w:rPr>
          <w:rFonts w:hint="eastAsia"/>
        </w:rPr>
      </w:pPr>
    </w:p>
    <w:p w14:paraId="6B313701" w14:textId="77777777" w:rsidR="00D07A47" w:rsidRDefault="00D07A47">
      <w:pPr>
        <w:pStyle w:val="Standard"/>
        <w:rPr>
          <w:rFonts w:hint="eastAsia"/>
        </w:rPr>
      </w:pPr>
    </w:p>
    <w:p w14:paraId="5A18174D" w14:textId="77777777" w:rsidR="00D07A47" w:rsidRDefault="00D07A47">
      <w:pPr>
        <w:pStyle w:val="Standard"/>
        <w:rPr>
          <w:rFonts w:hint="eastAsia"/>
        </w:rPr>
      </w:pPr>
    </w:p>
    <w:p w14:paraId="6942BB37" w14:textId="77777777" w:rsidR="00D07A47" w:rsidRDefault="00D07A47">
      <w:pPr>
        <w:pStyle w:val="Standard"/>
        <w:rPr>
          <w:rFonts w:hint="eastAsia"/>
        </w:rPr>
      </w:pPr>
    </w:p>
    <w:p w14:paraId="40150971" w14:textId="77777777" w:rsidR="00D07A47" w:rsidRDefault="00D07A47">
      <w:pPr>
        <w:pStyle w:val="Standard"/>
        <w:rPr>
          <w:rFonts w:hint="eastAsia"/>
        </w:rPr>
      </w:pPr>
    </w:p>
    <w:p w14:paraId="02181370" w14:textId="77777777" w:rsidR="00D07A47" w:rsidRDefault="00D07A47">
      <w:pPr>
        <w:pStyle w:val="Standard"/>
        <w:rPr>
          <w:rFonts w:hint="eastAsia"/>
        </w:rPr>
      </w:pPr>
    </w:p>
    <w:p w14:paraId="70AE6BED" w14:textId="77777777" w:rsidR="00D07A47" w:rsidRDefault="00D07A47">
      <w:pPr>
        <w:pStyle w:val="Standard"/>
        <w:rPr>
          <w:rFonts w:hint="eastAsia"/>
        </w:rPr>
      </w:pPr>
    </w:p>
    <w:p w14:paraId="6E6F64CC" w14:textId="77777777" w:rsidR="00D07A47" w:rsidRDefault="00D07A47">
      <w:pPr>
        <w:pStyle w:val="Standard"/>
        <w:rPr>
          <w:rFonts w:hint="eastAsia"/>
        </w:rPr>
      </w:pPr>
    </w:p>
    <w:p w14:paraId="427AE710" w14:textId="77777777" w:rsidR="00D07A47" w:rsidRDefault="00D07A47">
      <w:pPr>
        <w:pStyle w:val="Standard"/>
        <w:rPr>
          <w:rFonts w:hint="eastAsia"/>
        </w:rPr>
      </w:pPr>
    </w:p>
    <w:p w14:paraId="7FFF1B83" w14:textId="77777777" w:rsidR="00D07A47" w:rsidRDefault="00D07A47">
      <w:pPr>
        <w:pStyle w:val="Standard"/>
        <w:rPr>
          <w:rFonts w:hint="eastAsia"/>
        </w:rPr>
      </w:pPr>
    </w:p>
    <w:p w14:paraId="78CF7476" w14:textId="77777777" w:rsidR="00D07A47" w:rsidRDefault="00D07A47">
      <w:pPr>
        <w:pStyle w:val="Standard"/>
        <w:rPr>
          <w:rFonts w:hint="eastAsia"/>
        </w:rPr>
      </w:pPr>
    </w:p>
    <w:p w14:paraId="49B3C715" w14:textId="77777777" w:rsidR="00D07A47" w:rsidRDefault="00D07A47">
      <w:pPr>
        <w:pStyle w:val="Standard"/>
        <w:rPr>
          <w:rFonts w:hint="eastAsia"/>
        </w:rPr>
      </w:pPr>
    </w:p>
    <w:p w14:paraId="10E93FFB" w14:textId="77777777" w:rsidR="00D07A47" w:rsidRDefault="00D07A47">
      <w:pPr>
        <w:pStyle w:val="Standard"/>
        <w:rPr>
          <w:rFonts w:hint="eastAsia"/>
        </w:rPr>
      </w:pPr>
    </w:p>
    <w:p w14:paraId="5F48415F" w14:textId="77777777" w:rsidR="00D07A47" w:rsidRDefault="00D07A47">
      <w:pPr>
        <w:pStyle w:val="Standard"/>
        <w:rPr>
          <w:rFonts w:hint="eastAsia"/>
        </w:rPr>
      </w:pPr>
    </w:p>
    <w:p w14:paraId="7200B466" w14:textId="77777777" w:rsidR="00D07A47" w:rsidRDefault="00D07A47">
      <w:pPr>
        <w:pStyle w:val="Standard"/>
        <w:rPr>
          <w:rFonts w:hint="eastAsia"/>
        </w:rPr>
      </w:pPr>
    </w:p>
    <w:p w14:paraId="2015938F" w14:textId="77777777" w:rsidR="00D07A47" w:rsidRDefault="00D07A47">
      <w:pPr>
        <w:pStyle w:val="Standard"/>
        <w:rPr>
          <w:rFonts w:hint="eastAsia"/>
        </w:rPr>
      </w:pPr>
    </w:p>
    <w:p w14:paraId="76CA9B01" w14:textId="77777777" w:rsidR="00D07A47" w:rsidRDefault="00D07A47">
      <w:pPr>
        <w:pStyle w:val="Standard"/>
        <w:rPr>
          <w:rFonts w:hint="eastAsia"/>
        </w:rPr>
      </w:pPr>
    </w:p>
    <w:p w14:paraId="55A96F32" w14:textId="77777777" w:rsidR="00D07A47" w:rsidRDefault="00D07A47">
      <w:pPr>
        <w:pStyle w:val="Standard"/>
        <w:rPr>
          <w:rFonts w:hint="eastAsia"/>
        </w:rPr>
      </w:pPr>
    </w:p>
    <w:p w14:paraId="601BB87D" w14:textId="77777777" w:rsidR="00D07A47" w:rsidRDefault="00D07A47">
      <w:pPr>
        <w:pStyle w:val="Standard"/>
        <w:rPr>
          <w:rFonts w:hint="eastAsia"/>
        </w:rPr>
      </w:pPr>
    </w:p>
    <w:p w14:paraId="22817FC2" w14:textId="77777777" w:rsidR="00D07A47" w:rsidRDefault="00D07A47">
      <w:pPr>
        <w:pStyle w:val="Standard"/>
        <w:rPr>
          <w:rFonts w:hint="eastAsia"/>
        </w:rPr>
      </w:pPr>
    </w:p>
    <w:p w14:paraId="5D0F01FA" w14:textId="77777777" w:rsidR="00D07A47" w:rsidRDefault="00D07A47">
      <w:pPr>
        <w:pStyle w:val="Standard"/>
        <w:rPr>
          <w:rFonts w:hint="eastAsia"/>
        </w:rPr>
      </w:pPr>
    </w:p>
    <w:p w14:paraId="23CBBF1F" w14:textId="77777777" w:rsidR="00D07A47" w:rsidRDefault="00D07A47">
      <w:pPr>
        <w:pStyle w:val="Standard"/>
        <w:rPr>
          <w:rFonts w:hint="eastAsia"/>
        </w:rPr>
      </w:pPr>
    </w:p>
    <w:p w14:paraId="5A6FBFEF" w14:textId="77777777" w:rsidR="00D07A47" w:rsidRDefault="00D07A47">
      <w:pPr>
        <w:pStyle w:val="Standard"/>
        <w:rPr>
          <w:rFonts w:hint="eastAsia"/>
        </w:rPr>
      </w:pPr>
    </w:p>
    <w:p w14:paraId="0C230C18" w14:textId="77777777" w:rsidR="00D07A47" w:rsidRDefault="00D07A47">
      <w:pPr>
        <w:pStyle w:val="Standard"/>
        <w:rPr>
          <w:rFonts w:hint="eastAsia"/>
        </w:rPr>
      </w:pPr>
    </w:p>
    <w:p w14:paraId="3793A725" w14:textId="77777777" w:rsidR="00D07A47" w:rsidRDefault="00D07A47">
      <w:pPr>
        <w:pStyle w:val="Standard"/>
        <w:rPr>
          <w:rFonts w:hint="eastAsia"/>
        </w:rPr>
      </w:pPr>
    </w:p>
    <w:p w14:paraId="368019A6" w14:textId="77777777" w:rsidR="00D07A47" w:rsidRDefault="00D07A47">
      <w:pPr>
        <w:pStyle w:val="Standard"/>
        <w:rPr>
          <w:rFonts w:hint="eastAsia"/>
        </w:rPr>
      </w:pPr>
    </w:p>
    <w:p w14:paraId="6B64BBA9" w14:textId="77777777" w:rsidR="00D07A47" w:rsidRDefault="00D07A47">
      <w:pPr>
        <w:pStyle w:val="Standard"/>
        <w:rPr>
          <w:rFonts w:hint="eastAsia"/>
        </w:rPr>
      </w:pPr>
    </w:p>
    <w:p w14:paraId="128031BE" w14:textId="77777777" w:rsidR="00D07A47" w:rsidRDefault="00D07A47">
      <w:pPr>
        <w:pStyle w:val="Standard"/>
        <w:rPr>
          <w:rFonts w:hint="eastAsia"/>
        </w:rPr>
      </w:pPr>
    </w:p>
    <w:p w14:paraId="5B00F680" w14:textId="77777777" w:rsidR="00D07A47" w:rsidRDefault="00D07A47">
      <w:pPr>
        <w:pStyle w:val="Standard"/>
        <w:rPr>
          <w:rFonts w:hint="eastAsia"/>
        </w:rPr>
      </w:pPr>
    </w:p>
    <w:p w14:paraId="45B9155F" w14:textId="77777777" w:rsidR="00D07A47" w:rsidRDefault="00D07A47" w:rsidP="00D07A47">
      <w:pPr>
        <w:pStyle w:val="Standard"/>
        <w:spacing w:after="283"/>
        <w:rPr>
          <w:rFonts w:hint="eastAsia"/>
        </w:rPr>
      </w:pPr>
    </w:p>
    <w:p w14:paraId="6875B374" w14:textId="7DAEC7C0" w:rsidR="00D07A47" w:rsidRPr="00F20F29" w:rsidRDefault="00CB2B4F" w:rsidP="00D07A47">
      <w:pPr>
        <w:pStyle w:val="Standard"/>
        <w:spacing w:after="283"/>
        <w:rPr>
          <w:rFonts w:hint="eastAsia"/>
          <w:b/>
        </w:rPr>
      </w:pPr>
      <w:r>
        <w:rPr>
          <w:b/>
        </w:rPr>
        <w:lastRenderedPageBreak/>
        <w:t>References</w:t>
      </w:r>
      <w:r w:rsidR="00D07A47" w:rsidRPr="00F20F29">
        <w:rPr>
          <w:b/>
        </w:rPr>
        <w:t>:</w:t>
      </w:r>
    </w:p>
    <w:p w14:paraId="06725019" w14:textId="77777777" w:rsidR="00D07A47" w:rsidRPr="00CB2B4F" w:rsidRDefault="00D07A47" w:rsidP="00D07A47">
      <w:pPr>
        <w:pStyle w:val="Standard"/>
        <w:spacing w:after="283"/>
        <w:rPr>
          <w:rFonts w:hint="eastAsia"/>
        </w:rPr>
      </w:pPr>
    </w:p>
    <w:p w14:paraId="6A777239" w14:textId="444AC204" w:rsidR="00D07A47" w:rsidRPr="00F20F29" w:rsidRDefault="00D07A47" w:rsidP="00D07A47">
      <w:pPr>
        <w:pStyle w:val="Textbody"/>
        <w:rPr>
          <w:rFonts w:hint="eastAsia"/>
        </w:rPr>
      </w:pPr>
      <w:r w:rsidRPr="00CB2B4F">
        <w:t xml:space="preserve">Barnes ME, Roberts JA, Maas SA, Brownell SE (2021) </w:t>
      </w:r>
      <w:r w:rsidR="005B6CB9" w:rsidRPr="00CB2B4F">
        <w:t>"</w:t>
      </w:r>
      <w:r w:rsidRPr="00CB2B4F">
        <w:t>Muslim undergraduate biology students’</w:t>
      </w:r>
      <w:r w:rsidRPr="004A6EAB">
        <w:rPr>
          <w:i/>
        </w:rPr>
        <w:t xml:space="preserve"> evolution acceptance in the United States</w:t>
      </w:r>
      <w:r w:rsidR="005B6CB9">
        <w:t>"</w:t>
      </w:r>
      <w:r>
        <w:t>,</w:t>
      </w:r>
      <w:r w:rsidRPr="00F20F29">
        <w:t xml:space="preserve"> </w:t>
      </w:r>
      <w:proofErr w:type="spellStart"/>
      <w:r w:rsidRPr="00F20F29">
        <w:t>PLoS</w:t>
      </w:r>
      <w:proofErr w:type="spellEnd"/>
      <w:r w:rsidRPr="00F20F29">
        <w:t xml:space="preserve"> ONE 16(8): e0255588. https://doi. org/10.1371/journal.pone.0255588</w:t>
      </w:r>
    </w:p>
    <w:p w14:paraId="0365D5D1" w14:textId="2D9F6744" w:rsidR="00D07A47" w:rsidRPr="00F20F29" w:rsidRDefault="00D07A47" w:rsidP="00D07A47">
      <w:pPr>
        <w:pStyle w:val="Textbody"/>
        <w:rPr>
          <w:rFonts w:hint="eastAsia"/>
        </w:rPr>
      </w:pPr>
      <w:proofErr w:type="spellStart"/>
      <w:r w:rsidRPr="00F20F29">
        <w:t>Blackless</w:t>
      </w:r>
      <w:proofErr w:type="spellEnd"/>
      <w:r w:rsidRPr="00F20F29">
        <w:t xml:space="preserve"> M, </w:t>
      </w:r>
      <w:proofErr w:type="spellStart"/>
      <w:r w:rsidRPr="00F20F29">
        <w:t>Charuvastra</w:t>
      </w:r>
      <w:proofErr w:type="spellEnd"/>
      <w:r w:rsidRPr="00F20F29">
        <w:t xml:space="preserve"> A, Derryck A, Fausto-Sterling A, </w:t>
      </w:r>
      <w:proofErr w:type="spellStart"/>
      <w:r w:rsidRPr="00F20F29">
        <w:t>Lauzanne</w:t>
      </w:r>
      <w:proofErr w:type="spellEnd"/>
      <w:r w:rsidRPr="00F20F29">
        <w:t xml:space="preserve"> K, Lee </w:t>
      </w:r>
      <w:r w:rsidRPr="00CB2B4F">
        <w:t xml:space="preserve">E, 2000, </w:t>
      </w:r>
      <w:r w:rsidR="005B6CB9" w:rsidRPr="00CB2B4F">
        <w:t>"</w:t>
      </w:r>
      <w:r w:rsidRPr="00CB2B4F">
        <w:t xml:space="preserve">How sexually dimorphic are we? </w:t>
      </w:r>
      <w:proofErr w:type="gramStart"/>
      <w:r w:rsidRPr="00CB2B4F">
        <w:t>Review and synthesis</w:t>
      </w:r>
      <w:r w:rsidR="005B6CB9" w:rsidRPr="00CB2B4F">
        <w:t>"</w:t>
      </w:r>
      <w:r w:rsidR="00CB2B4F">
        <w:t>.</w:t>
      </w:r>
      <w:proofErr w:type="gramEnd"/>
      <w:r w:rsidRPr="00CB2B4F">
        <w:t xml:space="preserve"> </w:t>
      </w:r>
      <w:r w:rsidRPr="00F20F29">
        <w:t>American Journal of Human Biology 04/2000; 12(2):151-166. DOI</w:t>
      </w:r>
      <w:proofErr w:type="gramStart"/>
      <w:r w:rsidRPr="00F20F29">
        <w:t>:10.1002</w:t>
      </w:r>
      <w:proofErr w:type="gramEnd"/>
      <w:r w:rsidRPr="00F20F29">
        <w:t>/(SICI)1520-6300(200003/04)12:2&lt;151::AID-AJHB1&gt;3.0.CO;2-F</w:t>
      </w:r>
    </w:p>
    <w:p w14:paraId="74C875FC" w14:textId="7831B4D4" w:rsidR="00D07A47" w:rsidRPr="00F20F29" w:rsidRDefault="00D07A47" w:rsidP="00D07A47">
      <w:pPr>
        <w:suppressAutoHyphens w:val="0"/>
        <w:autoSpaceDN/>
        <w:textAlignment w:val="auto"/>
        <w:rPr>
          <w:rFonts w:ascii="Times New Roman" w:eastAsia="Times New Roman" w:hAnsi="Times New Roman" w:cs="Times New Roman"/>
          <w:kern w:val="0"/>
          <w:lang w:val="et-EE" w:eastAsia="et-EE" w:bidi="ar-SA"/>
        </w:rPr>
      </w:pPr>
      <w:r w:rsidRPr="00F20F29">
        <w:rPr>
          <w:rFonts w:ascii="Times New Roman" w:eastAsia="Times New Roman" w:hAnsi="Times New Roman" w:cs="Times New Roman"/>
          <w:kern w:val="0"/>
          <w:lang w:val="et-EE" w:eastAsia="et-EE" w:bidi="ar-SA"/>
        </w:rPr>
        <w:t>Kurth F, Gaser C, Sánchez FJ, Luders E</w:t>
      </w:r>
      <w:r w:rsidRPr="00CB2B4F">
        <w:rPr>
          <w:rFonts w:ascii="Times New Roman" w:eastAsia="Times New Roman" w:hAnsi="Times New Roman" w:cs="Times New Roman"/>
          <w:kern w:val="0"/>
          <w:lang w:val="et-EE" w:eastAsia="et-EE" w:bidi="ar-SA"/>
        </w:rPr>
        <w:t xml:space="preserve">. </w:t>
      </w:r>
      <w:r w:rsidR="005B6CB9" w:rsidRPr="00CB2B4F">
        <w:t>"</w:t>
      </w:r>
      <w:r w:rsidRPr="00CB2B4F">
        <w:rPr>
          <w:rFonts w:ascii="Times New Roman" w:eastAsia="Times New Roman" w:hAnsi="Times New Roman" w:cs="Times New Roman"/>
          <w:kern w:val="0"/>
          <w:lang w:val="et-EE" w:eastAsia="et-EE" w:bidi="ar-SA"/>
        </w:rPr>
        <w:t>Brain Sex in Transgender Women Is Shifted towards Gender Identity</w:t>
      </w:r>
      <w:r w:rsidR="005B6CB9" w:rsidRPr="00CB2B4F">
        <w:t>"</w:t>
      </w:r>
      <w:r w:rsidRPr="00CB2B4F">
        <w:rPr>
          <w:rFonts w:ascii="Times New Roman" w:eastAsia="Times New Roman" w:hAnsi="Times New Roman" w:cs="Times New Roman"/>
          <w:kern w:val="0"/>
          <w:lang w:val="et-EE" w:eastAsia="et-EE" w:bidi="ar-SA"/>
        </w:rPr>
        <w:t>.</w:t>
      </w:r>
      <w:r w:rsidRPr="00F20F29">
        <w:rPr>
          <w:rFonts w:ascii="Times New Roman" w:eastAsia="Times New Roman" w:hAnsi="Times New Roman" w:cs="Times New Roman"/>
          <w:kern w:val="0"/>
          <w:lang w:val="et-EE" w:eastAsia="et-EE" w:bidi="ar-SA"/>
        </w:rPr>
        <w:t xml:space="preserve"> J Clin Med. 2022 Mar 13;11(6):1582. doi: 10.3390/jcm11061582. PMID: 35329908; PMCID: PMC8955456.</w:t>
      </w:r>
    </w:p>
    <w:p w14:paraId="7DD60826" w14:textId="77777777" w:rsidR="00D07A47" w:rsidRPr="00F20F29" w:rsidRDefault="00D07A47" w:rsidP="00D07A47">
      <w:pPr>
        <w:pStyle w:val="Standard"/>
        <w:rPr>
          <w:rFonts w:hint="eastAsia"/>
        </w:rPr>
      </w:pPr>
    </w:p>
    <w:p w14:paraId="17039D88" w14:textId="134C4B14" w:rsidR="00D07A47" w:rsidRPr="00F20F29" w:rsidRDefault="00D07A47" w:rsidP="00D07A47">
      <w:pPr>
        <w:pStyle w:val="Textbody"/>
        <w:rPr>
          <w:rFonts w:hint="eastAsia"/>
        </w:rPr>
      </w:pPr>
      <w:r w:rsidRPr="00CB2B4F">
        <w:t xml:space="preserve">Martinez GM, Daniels K. </w:t>
      </w:r>
      <w:r w:rsidR="005B6CB9" w:rsidRPr="00CB2B4F">
        <w:t>"</w:t>
      </w:r>
      <w:r w:rsidRPr="00CB2B4F">
        <w:t>Fertility of men and women aged 15–49 in the United States: National Survey of Family Growth, 2015–2019</w:t>
      </w:r>
      <w:r w:rsidR="00CB2B4F" w:rsidRPr="00CB2B4F">
        <w:t>"</w:t>
      </w:r>
      <w:r w:rsidRPr="00CB2B4F">
        <w:t xml:space="preserve">. </w:t>
      </w:r>
      <w:proofErr w:type="gramStart"/>
      <w:r w:rsidRPr="00CB2B4F">
        <w:rPr>
          <w:iCs/>
        </w:rPr>
        <w:t>National</w:t>
      </w:r>
      <w:r w:rsidRPr="004A6EAB">
        <w:rPr>
          <w:iCs/>
        </w:rPr>
        <w:t xml:space="preserve"> Health Statistics Reports</w:t>
      </w:r>
      <w:r w:rsidRPr="004A6EAB">
        <w:t>;</w:t>
      </w:r>
      <w:r w:rsidRPr="00F20F29">
        <w:t xml:space="preserve"> no 179.</w:t>
      </w:r>
      <w:proofErr w:type="gramEnd"/>
      <w:r w:rsidRPr="00F20F29">
        <w:t xml:space="preserve"> Hyattsville, MD: National </w:t>
      </w:r>
      <w:proofErr w:type="spellStart"/>
      <w:r w:rsidRPr="00F20F29">
        <w:t>Center</w:t>
      </w:r>
      <w:proofErr w:type="spellEnd"/>
      <w:r w:rsidRPr="00F20F29">
        <w:t xml:space="preserve"> for Health Statistics. 2023. DOI: https://dx.doi.org/ 10.15620/cdc</w:t>
      </w:r>
      <w:proofErr w:type="gramStart"/>
      <w:r w:rsidRPr="00F20F29">
        <w:t>:122080</w:t>
      </w:r>
      <w:proofErr w:type="gramEnd"/>
      <w:r w:rsidRPr="00F20F29">
        <w:t>.</w:t>
      </w:r>
    </w:p>
    <w:p w14:paraId="00BF2A79" w14:textId="70E8FDBA" w:rsidR="00D07A47" w:rsidRPr="00F20F29" w:rsidRDefault="00D07A47" w:rsidP="00D07A47">
      <w:pPr>
        <w:pStyle w:val="Standard"/>
        <w:rPr>
          <w:rFonts w:hint="eastAsia"/>
        </w:rPr>
      </w:pPr>
      <w:proofErr w:type="spellStart"/>
      <w:r w:rsidRPr="00F20F29">
        <w:t>Rosenwohl</w:t>
      </w:r>
      <w:proofErr w:type="spellEnd"/>
      <w:r w:rsidRPr="00F20F29">
        <w:t>-Mack A, Tamar-</w:t>
      </w:r>
      <w:proofErr w:type="spellStart"/>
      <w:r w:rsidRPr="00F20F29">
        <w:t>Mattis</w:t>
      </w:r>
      <w:proofErr w:type="spellEnd"/>
      <w:r w:rsidRPr="00F20F29">
        <w:t xml:space="preserve"> S, </w:t>
      </w:r>
      <w:proofErr w:type="spellStart"/>
      <w:r w:rsidRPr="00F20F29">
        <w:t>Baratz</w:t>
      </w:r>
      <w:proofErr w:type="spellEnd"/>
      <w:r w:rsidRPr="00F20F29">
        <w:t xml:space="preserve"> AB, </w:t>
      </w:r>
      <w:proofErr w:type="spellStart"/>
      <w:r w:rsidRPr="00F20F29">
        <w:t>Dalke</w:t>
      </w:r>
      <w:proofErr w:type="spellEnd"/>
      <w:r w:rsidRPr="00F20F29">
        <w:t xml:space="preserve"> KB, </w:t>
      </w:r>
      <w:proofErr w:type="spellStart"/>
      <w:r w:rsidRPr="00F20F29">
        <w:t>Itte</w:t>
      </w:r>
      <w:r>
        <w:t>lson</w:t>
      </w:r>
      <w:proofErr w:type="spellEnd"/>
      <w:r>
        <w:t xml:space="preserve"> A, </w:t>
      </w:r>
      <w:proofErr w:type="spellStart"/>
      <w:r>
        <w:t>Zieselman</w:t>
      </w:r>
      <w:proofErr w:type="spellEnd"/>
      <w:r>
        <w:t xml:space="preserve"> K, Flatt JD.</w:t>
      </w:r>
      <w:r w:rsidRPr="00CB2B4F">
        <w:t xml:space="preserve"> </w:t>
      </w:r>
      <w:proofErr w:type="gramStart"/>
      <w:r w:rsidR="005B6CB9" w:rsidRPr="00CB2B4F">
        <w:t>"</w:t>
      </w:r>
      <w:r w:rsidRPr="00CB2B4F">
        <w:t>A national study on the physical and mental health of intersex adults in the U.S.</w:t>
      </w:r>
      <w:r w:rsidR="005B6CB9">
        <w:t>"</w:t>
      </w:r>
      <w:proofErr w:type="gramEnd"/>
      <w:r w:rsidRPr="00F20F29">
        <w:t xml:space="preserve"> </w:t>
      </w:r>
      <w:proofErr w:type="spellStart"/>
      <w:proofErr w:type="gramStart"/>
      <w:r w:rsidRPr="00F20F29">
        <w:t>PLoS</w:t>
      </w:r>
      <w:proofErr w:type="spellEnd"/>
      <w:r w:rsidRPr="00F20F29">
        <w:t xml:space="preserve"> One.</w:t>
      </w:r>
      <w:proofErr w:type="gramEnd"/>
      <w:r w:rsidRPr="00F20F29">
        <w:t xml:space="preserve"> 2020 Oct 9</w:t>
      </w:r>
      <w:proofErr w:type="gramStart"/>
      <w:r w:rsidRPr="00F20F29">
        <w:t>;15</w:t>
      </w:r>
      <w:proofErr w:type="gramEnd"/>
      <w:r w:rsidRPr="00F20F29">
        <w:t xml:space="preserve">(10):e0240088. </w:t>
      </w:r>
      <w:proofErr w:type="spellStart"/>
      <w:proofErr w:type="gramStart"/>
      <w:r w:rsidRPr="00F20F29">
        <w:t>doi</w:t>
      </w:r>
      <w:proofErr w:type="spellEnd"/>
      <w:proofErr w:type="gramEnd"/>
      <w:r w:rsidRPr="00F20F29">
        <w:t>: 10.1371/journal.pone.0240088. PMID: 33035248; PMCID: PMC7546494.</w:t>
      </w:r>
    </w:p>
    <w:p w14:paraId="40CD230C" w14:textId="77777777" w:rsidR="00D07A47" w:rsidRPr="00F20F29" w:rsidRDefault="00D07A47" w:rsidP="00D07A47">
      <w:pPr>
        <w:pStyle w:val="Standard"/>
        <w:rPr>
          <w:rFonts w:hint="eastAsia"/>
        </w:rPr>
      </w:pPr>
    </w:p>
    <w:p w14:paraId="18C65AF4" w14:textId="355AC301" w:rsidR="00D07A47" w:rsidRPr="00F20F29" w:rsidRDefault="00D07A47" w:rsidP="00D07A47">
      <w:pPr>
        <w:pStyle w:val="Standard"/>
        <w:rPr>
          <w:rFonts w:hint="eastAsia"/>
        </w:rPr>
      </w:pPr>
      <w:r>
        <w:t>Sax L</w:t>
      </w:r>
      <w:r w:rsidRPr="00CB2B4F">
        <w:t xml:space="preserve">. </w:t>
      </w:r>
      <w:r w:rsidR="005B6CB9" w:rsidRPr="00CB2B4F">
        <w:t>"</w:t>
      </w:r>
      <w:r w:rsidRPr="00CB2B4F">
        <w:t xml:space="preserve">How common is intersex? </w:t>
      </w:r>
      <w:proofErr w:type="gramStart"/>
      <w:r w:rsidRPr="00CB2B4F">
        <w:t>a</w:t>
      </w:r>
      <w:proofErr w:type="gramEnd"/>
      <w:r w:rsidRPr="00CB2B4F">
        <w:t xml:space="preserve"> response to Anne Fausto-Sterling.</w:t>
      </w:r>
      <w:r w:rsidR="005B6CB9">
        <w:t>"</w:t>
      </w:r>
      <w:r w:rsidRPr="00F20F29">
        <w:t xml:space="preserve"> J Sex Res. 2002 Aug</w:t>
      </w:r>
      <w:proofErr w:type="gramStart"/>
      <w:r w:rsidRPr="00F20F29">
        <w:t>;39</w:t>
      </w:r>
      <w:proofErr w:type="gramEnd"/>
      <w:r w:rsidRPr="00F20F29">
        <w:t xml:space="preserve">(3):174-8. </w:t>
      </w:r>
      <w:proofErr w:type="spellStart"/>
      <w:proofErr w:type="gramStart"/>
      <w:r w:rsidRPr="00F20F29">
        <w:t>doi</w:t>
      </w:r>
      <w:proofErr w:type="spellEnd"/>
      <w:proofErr w:type="gramEnd"/>
      <w:r w:rsidRPr="00F20F29">
        <w:t>: 10.1080/00224490209552139. PMID: 12476264.</w:t>
      </w:r>
    </w:p>
    <w:p w14:paraId="0C9C0E8C" w14:textId="77777777" w:rsidR="00D07A47" w:rsidRPr="00F20F29" w:rsidRDefault="00D07A47" w:rsidP="00D07A47">
      <w:pPr>
        <w:pStyle w:val="Standard"/>
        <w:rPr>
          <w:rFonts w:hint="eastAsia"/>
        </w:rPr>
      </w:pPr>
    </w:p>
    <w:p w14:paraId="59E6C469" w14:textId="3BC4BB64" w:rsidR="00D07A47" w:rsidRPr="00F20F29" w:rsidRDefault="00D07A47" w:rsidP="00D07A47">
      <w:pPr>
        <w:pStyle w:val="Standard"/>
        <w:rPr>
          <w:rFonts w:hint="eastAsia"/>
        </w:rPr>
      </w:pPr>
      <w:r w:rsidRPr="00F20F29">
        <w:rPr>
          <w:sz w:val="26"/>
          <w:szCs w:val="26"/>
        </w:rPr>
        <w:t>Shaikh, S (200</w:t>
      </w:r>
      <w:r w:rsidRPr="00F20F29">
        <w:t xml:space="preserve">9) </w:t>
      </w:r>
      <w:r w:rsidR="005B6CB9" w:rsidRPr="00CB2B4F">
        <w:t>"</w:t>
      </w:r>
      <w:r w:rsidRPr="00CB2B4F">
        <w:t>In Search of al-</w:t>
      </w:r>
      <w:proofErr w:type="spellStart"/>
      <w:r w:rsidRPr="00CB2B4F">
        <w:t>Insa</w:t>
      </w:r>
      <w:proofErr w:type="spellEnd"/>
      <w:r w:rsidRPr="00CB2B4F">
        <w:t xml:space="preserve"> ̄n: Sufism, Islamic Law, a</w:t>
      </w:r>
      <w:bookmarkStart w:id="0" w:name="_GoBack"/>
      <w:bookmarkEnd w:id="0"/>
      <w:r w:rsidRPr="00CB2B4F">
        <w:t>nd Gender</w:t>
      </w:r>
      <w:r w:rsidR="005B6CB9">
        <w:t>"</w:t>
      </w:r>
      <w:r>
        <w:rPr>
          <w:i/>
        </w:rPr>
        <w:t>.</w:t>
      </w:r>
      <w:r w:rsidRPr="00F20F29">
        <w:t xml:space="preserve"> Oxford University Press, on behalf of the American Academy of Religion, Journal of the American Academy of Religion, doi:10.1093/</w:t>
      </w:r>
      <w:proofErr w:type="spellStart"/>
      <w:r w:rsidRPr="00F20F29">
        <w:t>jaarel</w:t>
      </w:r>
      <w:proofErr w:type="spellEnd"/>
      <w:r w:rsidRPr="00F20F29">
        <w:t>/lfp052</w:t>
      </w:r>
    </w:p>
    <w:p w14:paraId="0509C8CA" w14:textId="77777777" w:rsidR="00D07A47" w:rsidRDefault="00D07A47" w:rsidP="00D07A47">
      <w:pPr>
        <w:pStyle w:val="Standard"/>
        <w:rPr>
          <w:rFonts w:hint="eastAsia"/>
          <w:color w:val="211E1E"/>
        </w:rPr>
      </w:pPr>
    </w:p>
    <w:p w14:paraId="63689C49" w14:textId="432CBA51" w:rsidR="00D07A47" w:rsidRDefault="00D07A47" w:rsidP="00D07A47">
      <w:pPr>
        <w:pStyle w:val="Standard"/>
        <w:rPr>
          <w:rFonts w:hint="eastAsia"/>
          <w:color w:val="211E1E"/>
        </w:rPr>
      </w:pPr>
      <w:r>
        <w:rPr>
          <w:color w:val="211E1E"/>
        </w:rPr>
        <w:t xml:space="preserve">Vander </w:t>
      </w:r>
      <w:proofErr w:type="spellStart"/>
      <w:r>
        <w:rPr>
          <w:color w:val="211E1E"/>
        </w:rPr>
        <w:t>Borght</w:t>
      </w:r>
      <w:proofErr w:type="spellEnd"/>
      <w:r>
        <w:rPr>
          <w:color w:val="211E1E"/>
        </w:rPr>
        <w:t xml:space="preserve"> M, </w:t>
      </w:r>
      <w:proofErr w:type="spellStart"/>
      <w:r>
        <w:rPr>
          <w:color w:val="211E1E"/>
        </w:rPr>
        <w:t>Wyns</w:t>
      </w:r>
      <w:proofErr w:type="spellEnd"/>
      <w:r>
        <w:rPr>
          <w:color w:val="211E1E"/>
        </w:rPr>
        <w:t xml:space="preserve"> C. </w:t>
      </w:r>
      <w:r w:rsidR="005B6CB9" w:rsidRPr="00CB2B4F">
        <w:t>"</w:t>
      </w:r>
      <w:r w:rsidRPr="00CB2B4F">
        <w:rPr>
          <w:color w:val="211E1E"/>
        </w:rPr>
        <w:t>Fertility and infertility: Definition and epidemiology</w:t>
      </w:r>
      <w:r w:rsidR="005B6CB9">
        <w:t>"</w:t>
      </w:r>
      <w:r w:rsidRPr="004A6EAB">
        <w:rPr>
          <w:i/>
          <w:color w:val="211E1E"/>
        </w:rPr>
        <w:t xml:space="preserve">. </w:t>
      </w:r>
      <w:proofErr w:type="spellStart"/>
      <w:r>
        <w:rPr>
          <w:color w:val="211E1E"/>
        </w:rPr>
        <w:t>Clin</w:t>
      </w:r>
      <w:proofErr w:type="spellEnd"/>
      <w:r>
        <w:rPr>
          <w:color w:val="211E1E"/>
        </w:rPr>
        <w:t xml:space="preserve"> </w:t>
      </w:r>
      <w:proofErr w:type="spellStart"/>
      <w:r>
        <w:rPr>
          <w:color w:val="211E1E"/>
        </w:rPr>
        <w:t>Biochem</w:t>
      </w:r>
      <w:proofErr w:type="spellEnd"/>
      <w:r>
        <w:rPr>
          <w:color w:val="211E1E"/>
        </w:rPr>
        <w:t>. 2018 Dec</w:t>
      </w:r>
      <w:proofErr w:type="gramStart"/>
      <w:r>
        <w:rPr>
          <w:color w:val="211E1E"/>
        </w:rPr>
        <w:t>;62:2</w:t>
      </w:r>
      <w:proofErr w:type="gramEnd"/>
      <w:r>
        <w:rPr>
          <w:color w:val="211E1E"/>
        </w:rPr>
        <w:t xml:space="preserve">-10. </w:t>
      </w:r>
      <w:proofErr w:type="spellStart"/>
      <w:proofErr w:type="gramStart"/>
      <w:r>
        <w:rPr>
          <w:color w:val="211E1E"/>
        </w:rPr>
        <w:t>doi</w:t>
      </w:r>
      <w:proofErr w:type="spellEnd"/>
      <w:proofErr w:type="gramEnd"/>
      <w:r>
        <w:rPr>
          <w:color w:val="211E1E"/>
        </w:rPr>
        <w:t xml:space="preserve">: 10.1016/j.clinbiochem.2018.03.012. </w:t>
      </w:r>
      <w:proofErr w:type="spellStart"/>
      <w:r>
        <w:rPr>
          <w:color w:val="211E1E"/>
        </w:rPr>
        <w:t>Epub</w:t>
      </w:r>
      <w:proofErr w:type="spellEnd"/>
      <w:r>
        <w:rPr>
          <w:color w:val="211E1E"/>
        </w:rPr>
        <w:t xml:space="preserve"> 2018 Mar 16. PMID: 29555319.</w:t>
      </w:r>
    </w:p>
    <w:p w14:paraId="3F40917C" w14:textId="77777777" w:rsidR="00D07A47" w:rsidRDefault="00D07A47" w:rsidP="00D07A47">
      <w:pPr>
        <w:pStyle w:val="Standard"/>
        <w:rPr>
          <w:rFonts w:hint="eastAsia"/>
          <w:color w:val="211E1E"/>
        </w:rPr>
      </w:pPr>
    </w:p>
    <w:p w14:paraId="2B1A0A48" w14:textId="77777777" w:rsidR="00D07A47" w:rsidRDefault="00D07A47" w:rsidP="00D07A47">
      <w:pPr>
        <w:pStyle w:val="Standard"/>
        <w:rPr>
          <w:rFonts w:hint="eastAsia"/>
          <w:color w:val="211E1E"/>
        </w:rPr>
      </w:pPr>
    </w:p>
    <w:p w14:paraId="21092388" w14:textId="77777777" w:rsidR="00D07A47" w:rsidRDefault="00D07A47" w:rsidP="00D07A47">
      <w:pPr>
        <w:pStyle w:val="Standard"/>
        <w:rPr>
          <w:rFonts w:hint="eastAsia"/>
          <w:color w:val="211E1E"/>
        </w:rPr>
      </w:pPr>
    </w:p>
    <w:p w14:paraId="76A4D4CC" w14:textId="77777777" w:rsidR="00D07A47" w:rsidRDefault="00D07A47" w:rsidP="00D07A47">
      <w:pPr>
        <w:pStyle w:val="Standard"/>
        <w:spacing w:after="283"/>
        <w:rPr>
          <w:rFonts w:hint="eastAsia"/>
        </w:rPr>
      </w:pPr>
    </w:p>
    <w:p w14:paraId="2C847F63" w14:textId="77777777" w:rsidR="00D07A47" w:rsidRDefault="00D07A47" w:rsidP="00D07A47">
      <w:pPr>
        <w:pStyle w:val="Standard"/>
        <w:spacing w:after="283"/>
        <w:rPr>
          <w:rFonts w:hint="eastAsia"/>
        </w:rPr>
      </w:pPr>
    </w:p>
    <w:p w14:paraId="7217B461" w14:textId="77777777" w:rsidR="00D07A47" w:rsidRDefault="00D07A47" w:rsidP="00D07A47">
      <w:pPr>
        <w:pStyle w:val="Standard"/>
        <w:spacing w:after="283"/>
        <w:rPr>
          <w:rFonts w:hint="eastAsia"/>
        </w:rPr>
      </w:pPr>
    </w:p>
    <w:p w14:paraId="126FEF04" w14:textId="77777777" w:rsidR="00D07A47" w:rsidRDefault="00D07A47" w:rsidP="00D07A47">
      <w:pPr>
        <w:pStyle w:val="Standard"/>
        <w:spacing w:after="283"/>
        <w:rPr>
          <w:rFonts w:hint="eastAsia"/>
        </w:rPr>
      </w:pPr>
    </w:p>
    <w:p w14:paraId="0702E486" w14:textId="77777777" w:rsidR="0090451F" w:rsidRDefault="0090451F">
      <w:pPr>
        <w:pStyle w:val="Standard"/>
        <w:spacing w:after="283"/>
        <w:rPr>
          <w:rFonts w:hint="eastAsia"/>
        </w:rPr>
      </w:pPr>
    </w:p>
    <w:p w14:paraId="2973E32A" w14:textId="77777777" w:rsidR="00AA484E" w:rsidRDefault="00AA484E">
      <w:pPr>
        <w:pStyle w:val="Standard"/>
        <w:spacing w:after="283"/>
        <w:rPr>
          <w:rFonts w:hint="eastAsia"/>
        </w:rPr>
      </w:pPr>
    </w:p>
    <w:p w14:paraId="4B6E25E6" w14:textId="77777777" w:rsidR="00295099" w:rsidRDefault="00295099" w:rsidP="004F4765">
      <w:pPr>
        <w:pStyle w:val="Standard"/>
        <w:spacing w:after="283"/>
        <w:rPr>
          <w:rFonts w:hint="eastAsia"/>
        </w:rPr>
      </w:pPr>
    </w:p>
    <w:sectPr w:rsidR="00295099">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779F24" w14:textId="77777777" w:rsidR="009835F3" w:rsidRDefault="009835F3">
      <w:pPr>
        <w:rPr>
          <w:rFonts w:hint="eastAsia"/>
        </w:rPr>
      </w:pPr>
      <w:r>
        <w:separator/>
      </w:r>
    </w:p>
  </w:endnote>
  <w:endnote w:type="continuationSeparator" w:id="0">
    <w:p w14:paraId="467CD4CD" w14:textId="77777777" w:rsidR="009835F3" w:rsidRDefault="009835F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Arial Unicode MS"/>
    <w:charset w:val="00"/>
    <w:family w:val="roman"/>
    <w:pitch w:val="variable"/>
  </w:font>
  <w:font w:name="Courier New">
    <w:panose1 w:val="02070309020205020404"/>
    <w:charset w:val="BA"/>
    <w:family w:val="modern"/>
    <w:pitch w:val="fixed"/>
    <w:sig w:usb0="E0002AFF" w:usb1="C0007843" w:usb2="00000009" w:usb3="00000000" w:csb0="000001FF" w:csb1="00000000"/>
  </w:font>
  <w:font w:name="Times New Roman">
    <w:altName w:val="Times New Roman PSMT"/>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Songti SC">
    <w:altName w:val="Arial Unicode MS"/>
    <w:charset w:val="86"/>
    <w:family w:val="auto"/>
    <w:pitch w:val="variable"/>
    <w:sig w:usb0="00000000"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Aptos Display">
    <w:altName w:val="Arial"/>
    <w:charset w:val="00"/>
    <w:family w:val="swiss"/>
    <w:pitch w:val="variable"/>
    <w:sig w:usb0="00000001"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roman"/>
    <w:pitch w:val="variable"/>
  </w:font>
  <w:font w:name="PingFang SC">
    <w:charset w:val="86"/>
    <w:family w:val="swiss"/>
    <w:pitch w:val="variable"/>
    <w:sig w:usb0="A00002FF" w:usb1="7ACFFDFB" w:usb2="00000017" w:usb3="00000000" w:csb0="00040001" w:csb1="00000000"/>
  </w:font>
  <w:font w:name="Adobe Clean DC">
    <w:altName w:val="Times New Roman"/>
    <w:panose1 w:val="00000000000000000000"/>
    <w:charset w:val="00"/>
    <w:family w:val="auto"/>
    <w:notTrueType/>
    <w:pitch w:val="variable"/>
    <w:sig w:usb0="00000003" w:usb1="00000000" w:usb2="00000000" w:usb3="00000000" w:csb0="00000001" w:csb1="00000000"/>
  </w:font>
  <w:font w:name="AdvTTa5a07f74">
    <w:altName w:val="Times New Roman"/>
    <w:panose1 w:val="00000000000000000000"/>
    <w:charset w:val="00"/>
    <w:family w:val="roman"/>
    <w:notTrueType/>
    <w:pitch w:val="default"/>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B26764" w14:textId="77777777" w:rsidR="009835F3" w:rsidRDefault="009835F3">
      <w:pPr>
        <w:rPr>
          <w:rFonts w:hint="eastAsia"/>
        </w:rPr>
      </w:pPr>
      <w:r>
        <w:rPr>
          <w:color w:val="000000"/>
        </w:rPr>
        <w:separator/>
      </w:r>
    </w:p>
  </w:footnote>
  <w:footnote w:type="continuationSeparator" w:id="0">
    <w:p w14:paraId="4A457274" w14:textId="77777777" w:rsidR="009835F3" w:rsidRDefault="009835F3">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D3B69"/>
    <w:multiLevelType w:val="multilevel"/>
    <w:tmpl w:val="ED04598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nsid w:val="0D551E72"/>
    <w:multiLevelType w:val="multilevel"/>
    <w:tmpl w:val="55FC1D6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nsid w:val="24F5723F"/>
    <w:multiLevelType w:val="hybridMultilevel"/>
    <w:tmpl w:val="5E729DF0"/>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
    <w:nsid w:val="2BF054AB"/>
    <w:multiLevelType w:val="multilevel"/>
    <w:tmpl w:val="B9C433A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nsid w:val="583D5936"/>
    <w:multiLevelType w:val="hybridMultilevel"/>
    <w:tmpl w:val="8EBC2CDA"/>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5">
    <w:nsid w:val="6A910CE1"/>
    <w:multiLevelType w:val="multilevel"/>
    <w:tmpl w:val="95E8832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0451F"/>
    <w:rsid w:val="0000071C"/>
    <w:rsid w:val="00005832"/>
    <w:rsid w:val="00022AA9"/>
    <w:rsid w:val="000346C3"/>
    <w:rsid w:val="00071910"/>
    <w:rsid w:val="000A4BCA"/>
    <w:rsid w:val="000C2438"/>
    <w:rsid w:val="000E17D2"/>
    <w:rsid w:val="000F5155"/>
    <w:rsid w:val="001063F9"/>
    <w:rsid w:val="00117BD1"/>
    <w:rsid w:val="00172314"/>
    <w:rsid w:val="001E43BB"/>
    <w:rsid w:val="002209EB"/>
    <w:rsid w:val="00247A06"/>
    <w:rsid w:val="00280613"/>
    <w:rsid w:val="00295099"/>
    <w:rsid w:val="002A54D9"/>
    <w:rsid w:val="002C6533"/>
    <w:rsid w:val="00361974"/>
    <w:rsid w:val="00370B35"/>
    <w:rsid w:val="003767DA"/>
    <w:rsid w:val="00376D0E"/>
    <w:rsid w:val="003814D3"/>
    <w:rsid w:val="00382321"/>
    <w:rsid w:val="00396E10"/>
    <w:rsid w:val="00424D60"/>
    <w:rsid w:val="004A6EAB"/>
    <w:rsid w:val="004D3DE4"/>
    <w:rsid w:val="004D78A0"/>
    <w:rsid w:val="004F2CE0"/>
    <w:rsid w:val="004F4765"/>
    <w:rsid w:val="0050172A"/>
    <w:rsid w:val="005458A8"/>
    <w:rsid w:val="0057053B"/>
    <w:rsid w:val="0058774C"/>
    <w:rsid w:val="005960F4"/>
    <w:rsid w:val="005B6CB9"/>
    <w:rsid w:val="005C0F6D"/>
    <w:rsid w:val="005D0593"/>
    <w:rsid w:val="005E3A80"/>
    <w:rsid w:val="005E7696"/>
    <w:rsid w:val="0060523C"/>
    <w:rsid w:val="00612686"/>
    <w:rsid w:val="006277A8"/>
    <w:rsid w:val="006341B0"/>
    <w:rsid w:val="00670568"/>
    <w:rsid w:val="006B259E"/>
    <w:rsid w:val="006C64A9"/>
    <w:rsid w:val="006F227A"/>
    <w:rsid w:val="007337C3"/>
    <w:rsid w:val="007758B0"/>
    <w:rsid w:val="007B0429"/>
    <w:rsid w:val="007E430D"/>
    <w:rsid w:val="008465A7"/>
    <w:rsid w:val="008558E6"/>
    <w:rsid w:val="008E37BF"/>
    <w:rsid w:val="0090451F"/>
    <w:rsid w:val="009337D0"/>
    <w:rsid w:val="00946158"/>
    <w:rsid w:val="00947112"/>
    <w:rsid w:val="00956B55"/>
    <w:rsid w:val="00980640"/>
    <w:rsid w:val="009835F3"/>
    <w:rsid w:val="00986D65"/>
    <w:rsid w:val="00987D30"/>
    <w:rsid w:val="009A697A"/>
    <w:rsid w:val="009D21B7"/>
    <w:rsid w:val="009D3764"/>
    <w:rsid w:val="00A07F20"/>
    <w:rsid w:val="00A203AD"/>
    <w:rsid w:val="00A30750"/>
    <w:rsid w:val="00A753F2"/>
    <w:rsid w:val="00A77223"/>
    <w:rsid w:val="00A81954"/>
    <w:rsid w:val="00A957DE"/>
    <w:rsid w:val="00A968D0"/>
    <w:rsid w:val="00AA0B9A"/>
    <w:rsid w:val="00AA2C02"/>
    <w:rsid w:val="00AA484E"/>
    <w:rsid w:val="00AD7398"/>
    <w:rsid w:val="00B07B1E"/>
    <w:rsid w:val="00B17720"/>
    <w:rsid w:val="00B2508E"/>
    <w:rsid w:val="00B305DB"/>
    <w:rsid w:val="00B46A3D"/>
    <w:rsid w:val="00B73A2C"/>
    <w:rsid w:val="00B82F14"/>
    <w:rsid w:val="00B847A9"/>
    <w:rsid w:val="00B94027"/>
    <w:rsid w:val="00BB4134"/>
    <w:rsid w:val="00BC34B5"/>
    <w:rsid w:val="00C2321F"/>
    <w:rsid w:val="00C232BF"/>
    <w:rsid w:val="00C239FB"/>
    <w:rsid w:val="00C33DF2"/>
    <w:rsid w:val="00C66713"/>
    <w:rsid w:val="00CA2795"/>
    <w:rsid w:val="00CB2B4F"/>
    <w:rsid w:val="00CC779F"/>
    <w:rsid w:val="00CD190A"/>
    <w:rsid w:val="00CE1378"/>
    <w:rsid w:val="00CF41E3"/>
    <w:rsid w:val="00CF5525"/>
    <w:rsid w:val="00D07A47"/>
    <w:rsid w:val="00D12BF1"/>
    <w:rsid w:val="00D20F32"/>
    <w:rsid w:val="00D274F4"/>
    <w:rsid w:val="00D42297"/>
    <w:rsid w:val="00D537A3"/>
    <w:rsid w:val="00D73FF3"/>
    <w:rsid w:val="00DB0EA5"/>
    <w:rsid w:val="00DD6F70"/>
    <w:rsid w:val="00E51F1F"/>
    <w:rsid w:val="00E80650"/>
    <w:rsid w:val="00E86134"/>
    <w:rsid w:val="00EB5391"/>
    <w:rsid w:val="00EF16CC"/>
    <w:rsid w:val="00F20F29"/>
    <w:rsid w:val="00F842C6"/>
    <w:rsid w:val="00F8631A"/>
    <w:rsid w:val="00FA66FA"/>
    <w:rsid w:val="00FC16B9"/>
    <w:rsid w:val="00FD7C63"/>
    <w:rsid w:val="00FE24CA"/>
    <w:rsid w:val="00FE496F"/>
    <w:rsid w:val="00FF7C28"/>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7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ongti SC" w:hAnsi="Liberation Serif" w:cs="Arial Unicode MS"/>
        <w:kern w:val="3"/>
        <w:sz w:val="24"/>
        <w:szCs w:val="24"/>
        <w:lang w:val="en-GB"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7C63"/>
    <w:pPr>
      <w:keepNext/>
      <w:keepLines/>
      <w:spacing w:before="480"/>
      <w:outlineLvl w:val="0"/>
    </w:pPr>
    <w:rPr>
      <w:rFonts w:asciiTheme="majorHAnsi" w:eastAsiaTheme="majorEastAsia" w:hAnsiTheme="majorHAnsi" w:cs="Mangal"/>
      <w:b/>
      <w:bCs/>
      <w:color w:val="0F4761" w:themeColor="accent1" w:themeShade="BF"/>
      <w:sz w:val="28"/>
      <w:szCs w:val="25"/>
    </w:rPr>
  </w:style>
  <w:style w:type="paragraph" w:styleId="Heading2">
    <w:name w:val="heading 2"/>
    <w:basedOn w:val="Normal"/>
    <w:link w:val="Heading2Char"/>
    <w:uiPriority w:val="9"/>
    <w:qFormat/>
    <w:rsid w:val="00CA2795"/>
    <w:pPr>
      <w:suppressAutoHyphens w:val="0"/>
      <w:autoSpaceDN/>
      <w:spacing w:before="100" w:beforeAutospacing="1" w:after="100" w:afterAutospacing="1"/>
      <w:textAlignment w:val="auto"/>
      <w:outlineLvl w:val="1"/>
    </w:pPr>
    <w:rPr>
      <w:rFonts w:ascii="Times New Roman" w:eastAsia="Times New Roman" w:hAnsi="Times New Roman" w:cs="Times New Roman"/>
      <w:b/>
      <w:bCs/>
      <w:kern w:val="0"/>
      <w:sz w:val="36"/>
      <w:szCs w:val="36"/>
      <w:lang w:val="et-EE" w:eastAsia="et-E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PingFang SC"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Heading2Char">
    <w:name w:val="Heading 2 Char"/>
    <w:basedOn w:val="DefaultParagraphFont"/>
    <w:link w:val="Heading2"/>
    <w:uiPriority w:val="9"/>
    <w:rsid w:val="00CA2795"/>
    <w:rPr>
      <w:rFonts w:ascii="Times New Roman" w:eastAsia="Times New Roman" w:hAnsi="Times New Roman" w:cs="Times New Roman"/>
      <w:b/>
      <w:bCs/>
      <w:kern w:val="0"/>
      <w:sz w:val="36"/>
      <w:szCs w:val="36"/>
      <w:lang w:val="et-EE" w:eastAsia="et-EE" w:bidi="ar-SA"/>
    </w:rPr>
  </w:style>
  <w:style w:type="character" w:styleId="Hyperlink">
    <w:name w:val="Hyperlink"/>
    <w:basedOn w:val="DefaultParagraphFont"/>
    <w:uiPriority w:val="99"/>
    <w:unhideWhenUsed/>
    <w:rsid w:val="0057053B"/>
    <w:rPr>
      <w:color w:val="467886" w:themeColor="hyperlink"/>
      <w:u w:val="single"/>
    </w:rPr>
  </w:style>
  <w:style w:type="character" w:customStyle="1" w:styleId="Heading1Char">
    <w:name w:val="Heading 1 Char"/>
    <w:basedOn w:val="DefaultParagraphFont"/>
    <w:link w:val="Heading1"/>
    <w:uiPriority w:val="9"/>
    <w:rsid w:val="00FD7C63"/>
    <w:rPr>
      <w:rFonts w:asciiTheme="majorHAnsi" w:eastAsiaTheme="majorEastAsia" w:hAnsiTheme="majorHAnsi" w:cs="Mangal"/>
      <w:b/>
      <w:bCs/>
      <w:color w:val="0F4761" w:themeColor="accent1" w:themeShade="BF"/>
      <w:sz w:val="28"/>
      <w:szCs w:val="25"/>
    </w:rPr>
  </w:style>
  <w:style w:type="character" w:styleId="Strong">
    <w:name w:val="Strong"/>
    <w:basedOn w:val="DefaultParagraphFont"/>
    <w:uiPriority w:val="22"/>
    <w:qFormat/>
    <w:rsid w:val="00071910"/>
    <w:rPr>
      <w:b/>
      <w:bCs/>
    </w:rPr>
  </w:style>
  <w:style w:type="paragraph" w:styleId="FootnoteText">
    <w:name w:val="footnote text"/>
    <w:basedOn w:val="Normal"/>
    <w:link w:val="FootnoteTextChar"/>
    <w:uiPriority w:val="99"/>
    <w:semiHidden/>
    <w:unhideWhenUsed/>
    <w:rsid w:val="00C66713"/>
    <w:rPr>
      <w:rFonts w:cs="Mangal"/>
      <w:sz w:val="20"/>
      <w:szCs w:val="18"/>
    </w:rPr>
  </w:style>
  <w:style w:type="character" w:customStyle="1" w:styleId="FootnoteTextChar">
    <w:name w:val="Footnote Text Char"/>
    <w:basedOn w:val="DefaultParagraphFont"/>
    <w:link w:val="FootnoteText"/>
    <w:uiPriority w:val="99"/>
    <w:semiHidden/>
    <w:rsid w:val="00C66713"/>
    <w:rPr>
      <w:rFonts w:cs="Mangal"/>
      <w:sz w:val="20"/>
      <w:szCs w:val="18"/>
    </w:rPr>
  </w:style>
  <w:style w:type="character" w:styleId="FootnoteReference">
    <w:name w:val="footnote reference"/>
    <w:basedOn w:val="DefaultParagraphFont"/>
    <w:uiPriority w:val="99"/>
    <w:semiHidden/>
    <w:unhideWhenUsed/>
    <w:rsid w:val="00C66713"/>
    <w:rPr>
      <w:vertAlign w:val="superscript"/>
    </w:rPr>
  </w:style>
  <w:style w:type="paragraph" w:styleId="NormalWeb">
    <w:name w:val="Normal (Web)"/>
    <w:basedOn w:val="Normal"/>
    <w:uiPriority w:val="99"/>
    <w:unhideWhenUsed/>
    <w:rsid w:val="00A77223"/>
    <w:pPr>
      <w:suppressAutoHyphens w:val="0"/>
      <w:autoSpaceDN/>
      <w:spacing w:before="100" w:beforeAutospacing="1" w:after="100" w:afterAutospacing="1"/>
      <w:textAlignment w:val="auto"/>
    </w:pPr>
    <w:rPr>
      <w:rFonts w:ascii="Times New Roman" w:eastAsia="Times New Roman" w:hAnsi="Times New Roman" w:cs="Times New Roman"/>
      <w:kern w:val="0"/>
      <w:lang w:val="et-EE" w:eastAsia="et-EE" w:bidi="ar-SA"/>
    </w:rPr>
  </w:style>
  <w:style w:type="paragraph" w:styleId="ListParagraph">
    <w:name w:val="List Paragraph"/>
    <w:basedOn w:val="Normal"/>
    <w:uiPriority w:val="34"/>
    <w:qFormat/>
    <w:rsid w:val="00D274F4"/>
    <w:pPr>
      <w:ind w:left="720"/>
      <w:contextualSpacing/>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ongti SC" w:hAnsi="Liberation Serif" w:cs="Arial Unicode MS"/>
        <w:kern w:val="3"/>
        <w:sz w:val="24"/>
        <w:szCs w:val="24"/>
        <w:lang w:val="en-GB"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7C63"/>
    <w:pPr>
      <w:keepNext/>
      <w:keepLines/>
      <w:spacing w:before="480"/>
      <w:outlineLvl w:val="0"/>
    </w:pPr>
    <w:rPr>
      <w:rFonts w:asciiTheme="majorHAnsi" w:eastAsiaTheme="majorEastAsia" w:hAnsiTheme="majorHAnsi" w:cs="Mangal"/>
      <w:b/>
      <w:bCs/>
      <w:color w:val="0F4761" w:themeColor="accent1" w:themeShade="BF"/>
      <w:sz w:val="28"/>
      <w:szCs w:val="25"/>
    </w:rPr>
  </w:style>
  <w:style w:type="paragraph" w:styleId="Heading2">
    <w:name w:val="heading 2"/>
    <w:basedOn w:val="Normal"/>
    <w:link w:val="Heading2Char"/>
    <w:uiPriority w:val="9"/>
    <w:qFormat/>
    <w:rsid w:val="00CA2795"/>
    <w:pPr>
      <w:suppressAutoHyphens w:val="0"/>
      <w:autoSpaceDN/>
      <w:spacing w:before="100" w:beforeAutospacing="1" w:after="100" w:afterAutospacing="1"/>
      <w:textAlignment w:val="auto"/>
      <w:outlineLvl w:val="1"/>
    </w:pPr>
    <w:rPr>
      <w:rFonts w:ascii="Times New Roman" w:eastAsia="Times New Roman" w:hAnsi="Times New Roman" w:cs="Times New Roman"/>
      <w:b/>
      <w:bCs/>
      <w:kern w:val="0"/>
      <w:sz w:val="36"/>
      <w:szCs w:val="36"/>
      <w:lang w:val="et-EE" w:eastAsia="et-E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PingFang SC"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Heading2Char">
    <w:name w:val="Heading 2 Char"/>
    <w:basedOn w:val="DefaultParagraphFont"/>
    <w:link w:val="Heading2"/>
    <w:uiPriority w:val="9"/>
    <w:rsid w:val="00CA2795"/>
    <w:rPr>
      <w:rFonts w:ascii="Times New Roman" w:eastAsia="Times New Roman" w:hAnsi="Times New Roman" w:cs="Times New Roman"/>
      <w:b/>
      <w:bCs/>
      <w:kern w:val="0"/>
      <w:sz w:val="36"/>
      <w:szCs w:val="36"/>
      <w:lang w:val="et-EE" w:eastAsia="et-EE" w:bidi="ar-SA"/>
    </w:rPr>
  </w:style>
  <w:style w:type="character" w:styleId="Hyperlink">
    <w:name w:val="Hyperlink"/>
    <w:basedOn w:val="DefaultParagraphFont"/>
    <w:uiPriority w:val="99"/>
    <w:unhideWhenUsed/>
    <w:rsid w:val="0057053B"/>
    <w:rPr>
      <w:color w:val="467886" w:themeColor="hyperlink"/>
      <w:u w:val="single"/>
    </w:rPr>
  </w:style>
  <w:style w:type="character" w:customStyle="1" w:styleId="Heading1Char">
    <w:name w:val="Heading 1 Char"/>
    <w:basedOn w:val="DefaultParagraphFont"/>
    <w:link w:val="Heading1"/>
    <w:uiPriority w:val="9"/>
    <w:rsid w:val="00FD7C63"/>
    <w:rPr>
      <w:rFonts w:asciiTheme="majorHAnsi" w:eastAsiaTheme="majorEastAsia" w:hAnsiTheme="majorHAnsi" w:cs="Mangal"/>
      <w:b/>
      <w:bCs/>
      <w:color w:val="0F4761" w:themeColor="accent1" w:themeShade="BF"/>
      <w:sz w:val="28"/>
      <w:szCs w:val="25"/>
    </w:rPr>
  </w:style>
  <w:style w:type="character" w:styleId="Strong">
    <w:name w:val="Strong"/>
    <w:basedOn w:val="DefaultParagraphFont"/>
    <w:uiPriority w:val="22"/>
    <w:qFormat/>
    <w:rsid w:val="00071910"/>
    <w:rPr>
      <w:b/>
      <w:bCs/>
    </w:rPr>
  </w:style>
  <w:style w:type="paragraph" w:styleId="FootnoteText">
    <w:name w:val="footnote text"/>
    <w:basedOn w:val="Normal"/>
    <w:link w:val="FootnoteTextChar"/>
    <w:uiPriority w:val="99"/>
    <w:semiHidden/>
    <w:unhideWhenUsed/>
    <w:rsid w:val="00C66713"/>
    <w:rPr>
      <w:rFonts w:cs="Mangal"/>
      <w:sz w:val="20"/>
      <w:szCs w:val="18"/>
    </w:rPr>
  </w:style>
  <w:style w:type="character" w:customStyle="1" w:styleId="FootnoteTextChar">
    <w:name w:val="Footnote Text Char"/>
    <w:basedOn w:val="DefaultParagraphFont"/>
    <w:link w:val="FootnoteText"/>
    <w:uiPriority w:val="99"/>
    <w:semiHidden/>
    <w:rsid w:val="00C66713"/>
    <w:rPr>
      <w:rFonts w:cs="Mangal"/>
      <w:sz w:val="20"/>
      <w:szCs w:val="18"/>
    </w:rPr>
  </w:style>
  <w:style w:type="character" w:styleId="FootnoteReference">
    <w:name w:val="footnote reference"/>
    <w:basedOn w:val="DefaultParagraphFont"/>
    <w:uiPriority w:val="99"/>
    <w:semiHidden/>
    <w:unhideWhenUsed/>
    <w:rsid w:val="00C66713"/>
    <w:rPr>
      <w:vertAlign w:val="superscript"/>
    </w:rPr>
  </w:style>
  <w:style w:type="paragraph" w:styleId="NormalWeb">
    <w:name w:val="Normal (Web)"/>
    <w:basedOn w:val="Normal"/>
    <w:uiPriority w:val="99"/>
    <w:unhideWhenUsed/>
    <w:rsid w:val="00A77223"/>
    <w:pPr>
      <w:suppressAutoHyphens w:val="0"/>
      <w:autoSpaceDN/>
      <w:spacing w:before="100" w:beforeAutospacing="1" w:after="100" w:afterAutospacing="1"/>
      <w:textAlignment w:val="auto"/>
    </w:pPr>
    <w:rPr>
      <w:rFonts w:ascii="Times New Roman" w:eastAsia="Times New Roman" w:hAnsi="Times New Roman" w:cs="Times New Roman"/>
      <w:kern w:val="0"/>
      <w:lang w:val="et-EE" w:eastAsia="et-EE" w:bidi="ar-SA"/>
    </w:rPr>
  </w:style>
  <w:style w:type="paragraph" w:styleId="ListParagraph">
    <w:name w:val="List Paragraph"/>
    <w:basedOn w:val="Normal"/>
    <w:uiPriority w:val="34"/>
    <w:qFormat/>
    <w:rsid w:val="00D274F4"/>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084930">
      <w:bodyDiv w:val="1"/>
      <w:marLeft w:val="0"/>
      <w:marRight w:val="0"/>
      <w:marTop w:val="0"/>
      <w:marBottom w:val="0"/>
      <w:divBdr>
        <w:top w:val="none" w:sz="0" w:space="0" w:color="auto"/>
        <w:left w:val="none" w:sz="0" w:space="0" w:color="auto"/>
        <w:bottom w:val="none" w:sz="0" w:space="0" w:color="auto"/>
        <w:right w:val="none" w:sz="0" w:space="0" w:color="auto"/>
      </w:divBdr>
      <w:divsChild>
        <w:div w:id="218245494">
          <w:marLeft w:val="0"/>
          <w:marRight w:val="0"/>
          <w:marTop w:val="0"/>
          <w:marBottom w:val="0"/>
          <w:divBdr>
            <w:top w:val="none" w:sz="0" w:space="0" w:color="auto"/>
            <w:left w:val="none" w:sz="0" w:space="0" w:color="auto"/>
            <w:bottom w:val="none" w:sz="0" w:space="0" w:color="auto"/>
            <w:right w:val="none" w:sz="0" w:space="0" w:color="auto"/>
          </w:divBdr>
          <w:divsChild>
            <w:div w:id="1720125144">
              <w:marLeft w:val="0"/>
              <w:marRight w:val="0"/>
              <w:marTop w:val="0"/>
              <w:marBottom w:val="0"/>
              <w:divBdr>
                <w:top w:val="none" w:sz="0" w:space="0" w:color="auto"/>
                <w:left w:val="none" w:sz="0" w:space="0" w:color="auto"/>
                <w:bottom w:val="none" w:sz="0" w:space="0" w:color="auto"/>
                <w:right w:val="none" w:sz="0" w:space="0" w:color="auto"/>
              </w:divBdr>
              <w:divsChild>
                <w:div w:id="83873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969192">
      <w:bodyDiv w:val="1"/>
      <w:marLeft w:val="0"/>
      <w:marRight w:val="0"/>
      <w:marTop w:val="0"/>
      <w:marBottom w:val="0"/>
      <w:divBdr>
        <w:top w:val="none" w:sz="0" w:space="0" w:color="auto"/>
        <w:left w:val="none" w:sz="0" w:space="0" w:color="auto"/>
        <w:bottom w:val="none" w:sz="0" w:space="0" w:color="auto"/>
        <w:right w:val="none" w:sz="0" w:space="0" w:color="auto"/>
      </w:divBdr>
      <w:divsChild>
        <w:div w:id="1037008205">
          <w:marLeft w:val="0"/>
          <w:marRight w:val="0"/>
          <w:marTop w:val="0"/>
          <w:marBottom w:val="0"/>
          <w:divBdr>
            <w:top w:val="none" w:sz="0" w:space="0" w:color="auto"/>
            <w:left w:val="none" w:sz="0" w:space="0" w:color="auto"/>
            <w:bottom w:val="none" w:sz="0" w:space="0" w:color="auto"/>
            <w:right w:val="none" w:sz="0" w:space="0" w:color="auto"/>
          </w:divBdr>
        </w:div>
      </w:divsChild>
    </w:div>
    <w:div w:id="654191333">
      <w:bodyDiv w:val="1"/>
      <w:marLeft w:val="0"/>
      <w:marRight w:val="0"/>
      <w:marTop w:val="0"/>
      <w:marBottom w:val="0"/>
      <w:divBdr>
        <w:top w:val="none" w:sz="0" w:space="0" w:color="auto"/>
        <w:left w:val="none" w:sz="0" w:space="0" w:color="auto"/>
        <w:bottom w:val="none" w:sz="0" w:space="0" w:color="auto"/>
        <w:right w:val="none" w:sz="0" w:space="0" w:color="auto"/>
      </w:divBdr>
      <w:divsChild>
        <w:div w:id="661812006">
          <w:marLeft w:val="0"/>
          <w:marRight w:val="0"/>
          <w:marTop w:val="0"/>
          <w:marBottom w:val="0"/>
          <w:divBdr>
            <w:top w:val="none" w:sz="0" w:space="0" w:color="auto"/>
            <w:left w:val="none" w:sz="0" w:space="0" w:color="auto"/>
            <w:bottom w:val="none" w:sz="0" w:space="0" w:color="auto"/>
            <w:right w:val="none" w:sz="0" w:space="0" w:color="auto"/>
          </w:divBdr>
          <w:divsChild>
            <w:div w:id="1368096174">
              <w:marLeft w:val="0"/>
              <w:marRight w:val="0"/>
              <w:marTop w:val="0"/>
              <w:marBottom w:val="0"/>
              <w:divBdr>
                <w:top w:val="none" w:sz="0" w:space="0" w:color="auto"/>
                <w:left w:val="none" w:sz="0" w:space="0" w:color="auto"/>
                <w:bottom w:val="none" w:sz="0" w:space="0" w:color="auto"/>
                <w:right w:val="none" w:sz="0" w:space="0" w:color="auto"/>
              </w:divBdr>
              <w:divsChild>
                <w:div w:id="213124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807577">
      <w:bodyDiv w:val="1"/>
      <w:marLeft w:val="0"/>
      <w:marRight w:val="0"/>
      <w:marTop w:val="0"/>
      <w:marBottom w:val="0"/>
      <w:divBdr>
        <w:top w:val="none" w:sz="0" w:space="0" w:color="auto"/>
        <w:left w:val="none" w:sz="0" w:space="0" w:color="auto"/>
        <w:bottom w:val="none" w:sz="0" w:space="0" w:color="auto"/>
        <w:right w:val="none" w:sz="0" w:space="0" w:color="auto"/>
      </w:divBdr>
      <w:divsChild>
        <w:div w:id="1313028108">
          <w:marLeft w:val="0"/>
          <w:marRight w:val="0"/>
          <w:marTop w:val="0"/>
          <w:marBottom w:val="0"/>
          <w:divBdr>
            <w:top w:val="none" w:sz="0" w:space="0" w:color="auto"/>
            <w:left w:val="none" w:sz="0" w:space="0" w:color="auto"/>
            <w:bottom w:val="none" w:sz="0" w:space="0" w:color="auto"/>
            <w:right w:val="none" w:sz="0" w:space="0" w:color="auto"/>
          </w:divBdr>
        </w:div>
      </w:divsChild>
    </w:div>
    <w:div w:id="939293444">
      <w:bodyDiv w:val="1"/>
      <w:marLeft w:val="0"/>
      <w:marRight w:val="0"/>
      <w:marTop w:val="0"/>
      <w:marBottom w:val="0"/>
      <w:divBdr>
        <w:top w:val="none" w:sz="0" w:space="0" w:color="auto"/>
        <w:left w:val="none" w:sz="0" w:space="0" w:color="auto"/>
        <w:bottom w:val="none" w:sz="0" w:space="0" w:color="auto"/>
        <w:right w:val="none" w:sz="0" w:space="0" w:color="auto"/>
      </w:divBdr>
    </w:div>
    <w:div w:id="978923692">
      <w:bodyDiv w:val="1"/>
      <w:marLeft w:val="0"/>
      <w:marRight w:val="0"/>
      <w:marTop w:val="0"/>
      <w:marBottom w:val="0"/>
      <w:divBdr>
        <w:top w:val="none" w:sz="0" w:space="0" w:color="auto"/>
        <w:left w:val="none" w:sz="0" w:space="0" w:color="auto"/>
        <w:bottom w:val="none" w:sz="0" w:space="0" w:color="auto"/>
        <w:right w:val="none" w:sz="0" w:space="0" w:color="auto"/>
      </w:divBdr>
      <w:divsChild>
        <w:div w:id="1238705640">
          <w:marLeft w:val="0"/>
          <w:marRight w:val="0"/>
          <w:marTop w:val="0"/>
          <w:marBottom w:val="0"/>
          <w:divBdr>
            <w:top w:val="none" w:sz="0" w:space="0" w:color="auto"/>
            <w:left w:val="none" w:sz="0" w:space="0" w:color="auto"/>
            <w:bottom w:val="none" w:sz="0" w:space="0" w:color="auto"/>
            <w:right w:val="none" w:sz="0" w:space="0" w:color="auto"/>
          </w:divBdr>
          <w:divsChild>
            <w:div w:id="1592548153">
              <w:marLeft w:val="0"/>
              <w:marRight w:val="0"/>
              <w:marTop w:val="0"/>
              <w:marBottom w:val="0"/>
              <w:divBdr>
                <w:top w:val="none" w:sz="0" w:space="0" w:color="auto"/>
                <w:left w:val="none" w:sz="0" w:space="0" w:color="auto"/>
                <w:bottom w:val="none" w:sz="0" w:space="0" w:color="auto"/>
                <w:right w:val="none" w:sz="0" w:space="0" w:color="auto"/>
              </w:divBdr>
              <w:divsChild>
                <w:div w:id="20655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093342">
      <w:bodyDiv w:val="1"/>
      <w:marLeft w:val="0"/>
      <w:marRight w:val="0"/>
      <w:marTop w:val="0"/>
      <w:marBottom w:val="0"/>
      <w:divBdr>
        <w:top w:val="none" w:sz="0" w:space="0" w:color="auto"/>
        <w:left w:val="none" w:sz="0" w:space="0" w:color="auto"/>
        <w:bottom w:val="none" w:sz="0" w:space="0" w:color="auto"/>
        <w:right w:val="none" w:sz="0" w:space="0" w:color="auto"/>
      </w:divBdr>
      <w:divsChild>
        <w:div w:id="607082987">
          <w:marLeft w:val="0"/>
          <w:marRight w:val="0"/>
          <w:marTop w:val="0"/>
          <w:marBottom w:val="0"/>
          <w:divBdr>
            <w:top w:val="none" w:sz="0" w:space="0" w:color="auto"/>
            <w:left w:val="none" w:sz="0" w:space="0" w:color="auto"/>
            <w:bottom w:val="none" w:sz="0" w:space="0" w:color="auto"/>
            <w:right w:val="none" w:sz="0" w:space="0" w:color="auto"/>
          </w:divBdr>
          <w:divsChild>
            <w:div w:id="511182452">
              <w:marLeft w:val="0"/>
              <w:marRight w:val="0"/>
              <w:marTop w:val="0"/>
              <w:marBottom w:val="0"/>
              <w:divBdr>
                <w:top w:val="none" w:sz="0" w:space="0" w:color="auto"/>
                <w:left w:val="none" w:sz="0" w:space="0" w:color="auto"/>
                <w:bottom w:val="none" w:sz="0" w:space="0" w:color="auto"/>
                <w:right w:val="none" w:sz="0" w:space="0" w:color="auto"/>
              </w:divBdr>
              <w:divsChild>
                <w:div w:id="194499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42280">
      <w:bodyDiv w:val="1"/>
      <w:marLeft w:val="0"/>
      <w:marRight w:val="0"/>
      <w:marTop w:val="0"/>
      <w:marBottom w:val="0"/>
      <w:divBdr>
        <w:top w:val="none" w:sz="0" w:space="0" w:color="auto"/>
        <w:left w:val="none" w:sz="0" w:space="0" w:color="auto"/>
        <w:bottom w:val="none" w:sz="0" w:space="0" w:color="auto"/>
        <w:right w:val="none" w:sz="0" w:space="0" w:color="auto"/>
      </w:divBdr>
      <w:divsChild>
        <w:div w:id="137768668">
          <w:marLeft w:val="0"/>
          <w:marRight w:val="0"/>
          <w:marTop w:val="0"/>
          <w:marBottom w:val="0"/>
          <w:divBdr>
            <w:top w:val="none" w:sz="0" w:space="0" w:color="auto"/>
            <w:left w:val="none" w:sz="0" w:space="0" w:color="auto"/>
            <w:bottom w:val="none" w:sz="0" w:space="0" w:color="auto"/>
            <w:right w:val="none" w:sz="0" w:space="0" w:color="auto"/>
          </w:divBdr>
          <w:divsChild>
            <w:div w:id="500239041">
              <w:marLeft w:val="0"/>
              <w:marRight w:val="0"/>
              <w:marTop w:val="0"/>
              <w:marBottom w:val="0"/>
              <w:divBdr>
                <w:top w:val="none" w:sz="0" w:space="0" w:color="auto"/>
                <w:left w:val="none" w:sz="0" w:space="0" w:color="auto"/>
                <w:bottom w:val="none" w:sz="0" w:space="0" w:color="auto"/>
                <w:right w:val="none" w:sz="0" w:space="0" w:color="auto"/>
              </w:divBdr>
              <w:divsChild>
                <w:div w:id="211848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949210">
      <w:bodyDiv w:val="1"/>
      <w:marLeft w:val="0"/>
      <w:marRight w:val="0"/>
      <w:marTop w:val="0"/>
      <w:marBottom w:val="0"/>
      <w:divBdr>
        <w:top w:val="none" w:sz="0" w:space="0" w:color="auto"/>
        <w:left w:val="none" w:sz="0" w:space="0" w:color="auto"/>
        <w:bottom w:val="none" w:sz="0" w:space="0" w:color="auto"/>
        <w:right w:val="none" w:sz="0" w:space="0" w:color="auto"/>
      </w:divBdr>
    </w:div>
    <w:div w:id="1447695071">
      <w:bodyDiv w:val="1"/>
      <w:marLeft w:val="0"/>
      <w:marRight w:val="0"/>
      <w:marTop w:val="0"/>
      <w:marBottom w:val="0"/>
      <w:divBdr>
        <w:top w:val="none" w:sz="0" w:space="0" w:color="auto"/>
        <w:left w:val="none" w:sz="0" w:space="0" w:color="auto"/>
        <w:bottom w:val="none" w:sz="0" w:space="0" w:color="auto"/>
        <w:right w:val="none" w:sz="0" w:space="0" w:color="auto"/>
      </w:divBdr>
    </w:div>
    <w:div w:id="1945961156">
      <w:bodyDiv w:val="1"/>
      <w:marLeft w:val="0"/>
      <w:marRight w:val="0"/>
      <w:marTop w:val="0"/>
      <w:marBottom w:val="0"/>
      <w:divBdr>
        <w:top w:val="none" w:sz="0" w:space="0" w:color="auto"/>
        <w:left w:val="none" w:sz="0" w:space="0" w:color="auto"/>
        <w:bottom w:val="none" w:sz="0" w:space="0" w:color="auto"/>
        <w:right w:val="none" w:sz="0" w:space="0" w:color="auto"/>
      </w:divBdr>
      <w:divsChild>
        <w:div w:id="1859272831">
          <w:marLeft w:val="0"/>
          <w:marRight w:val="0"/>
          <w:marTop w:val="0"/>
          <w:marBottom w:val="0"/>
          <w:divBdr>
            <w:top w:val="none" w:sz="0" w:space="0" w:color="auto"/>
            <w:left w:val="none" w:sz="0" w:space="0" w:color="auto"/>
            <w:bottom w:val="none" w:sz="0" w:space="0" w:color="auto"/>
            <w:right w:val="none" w:sz="0" w:space="0" w:color="auto"/>
          </w:divBdr>
          <w:divsChild>
            <w:div w:id="1409034923">
              <w:marLeft w:val="0"/>
              <w:marRight w:val="0"/>
              <w:marTop w:val="0"/>
              <w:marBottom w:val="0"/>
              <w:divBdr>
                <w:top w:val="none" w:sz="0" w:space="0" w:color="auto"/>
                <w:left w:val="none" w:sz="0" w:space="0" w:color="auto"/>
                <w:bottom w:val="none" w:sz="0" w:space="0" w:color="auto"/>
                <w:right w:val="none" w:sz="0" w:space="0" w:color="auto"/>
              </w:divBdr>
              <w:divsChild>
                <w:div w:id="125385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EBAEA-8EA0-4DC9-9B7E-15294EFAD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1522</Words>
  <Characters>8829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Andrus</dc:creator>
  <cp:lastModifiedBy>Andrus Tormi</cp:lastModifiedBy>
  <cp:revision>18</cp:revision>
  <dcterms:created xsi:type="dcterms:W3CDTF">2024-05-08T13:57:00Z</dcterms:created>
  <dcterms:modified xsi:type="dcterms:W3CDTF">2024-05-11T12:02:00Z</dcterms:modified>
</cp:coreProperties>
</file>