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9575F" w14:textId="5447EE2C" w:rsidR="00EF4143" w:rsidRPr="00EF4143" w:rsidRDefault="00EF4143" w:rsidP="00EF4143">
      <w:pPr>
        <w:jc w:val="center"/>
        <w:rPr>
          <w:rFonts w:ascii="Times New Roman" w:hAnsi="Times New Roman" w:cs="Times New Roman"/>
          <w:sz w:val="52"/>
          <w:szCs w:val="52"/>
        </w:rPr>
      </w:pPr>
      <w:r w:rsidRPr="00EF4143">
        <w:rPr>
          <w:rFonts w:ascii="Times New Roman" w:hAnsi="Times New Roman" w:cs="Times New Roman"/>
          <w:sz w:val="52"/>
          <w:szCs w:val="52"/>
        </w:rPr>
        <w:t>BMIH400</w:t>
      </w:r>
      <w:r>
        <w:rPr>
          <w:rFonts w:ascii="Times New Roman" w:hAnsi="Times New Roman" w:cs="Times New Roman"/>
          <w:sz w:val="52"/>
          <w:szCs w:val="52"/>
        </w:rPr>
        <w:t>2</w:t>
      </w:r>
    </w:p>
    <w:p w14:paraId="5D6BEF9D" w14:textId="1336B735" w:rsidR="003363A0" w:rsidRDefault="00EF4143" w:rsidP="00EF4143">
      <w:pPr>
        <w:jc w:val="center"/>
        <w:rPr>
          <w:rFonts w:ascii="Times New Roman" w:hAnsi="Times New Roman" w:cs="Times New Roman"/>
          <w:sz w:val="52"/>
          <w:szCs w:val="52"/>
        </w:rPr>
      </w:pPr>
      <w:r w:rsidRPr="00EF4143">
        <w:rPr>
          <w:rFonts w:ascii="Times New Roman" w:hAnsi="Times New Roman" w:cs="Times New Roman"/>
          <w:sz w:val="52"/>
          <w:szCs w:val="52"/>
        </w:rPr>
        <w:t>Food and Beverage Operation</w:t>
      </w:r>
      <w:r w:rsidRPr="00EF4143">
        <w:rPr>
          <w:rFonts w:ascii="Times New Roman" w:hAnsi="Times New Roman" w:cs="Times New Roman"/>
          <w:sz w:val="52"/>
          <w:szCs w:val="52"/>
        </w:rPr>
        <w:cr/>
      </w:r>
    </w:p>
    <w:p w14:paraId="0883BE6B" w14:textId="77777777" w:rsidR="00EF4143" w:rsidRPr="00EF4143" w:rsidRDefault="00EF4143" w:rsidP="00EF4143">
      <w:pPr>
        <w:rPr>
          <w:rFonts w:ascii="Times New Roman" w:hAnsi="Times New Roman" w:cs="Times New Roman"/>
          <w:sz w:val="52"/>
          <w:szCs w:val="52"/>
        </w:rPr>
      </w:pPr>
    </w:p>
    <w:p w14:paraId="6AB03E74" w14:textId="77777777" w:rsidR="00EF4143" w:rsidRPr="00EF4143" w:rsidRDefault="00EF4143" w:rsidP="00EF4143">
      <w:pPr>
        <w:rPr>
          <w:rFonts w:ascii="Times New Roman" w:hAnsi="Times New Roman" w:cs="Times New Roman"/>
          <w:sz w:val="52"/>
          <w:szCs w:val="52"/>
        </w:rPr>
      </w:pPr>
    </w:p>
    <w:p w14:paraId="19A8A2BC" w14:textId="77777777" w:rsidR="00EF4143" w:rsidRPr="00EF4143" w:rsidRDefault="00EF4143" w:rsidP="00EF4143">
      <w:pPr>
        <w:rPr>
          <w:rFonts w:ascii="Times New Roman" w:hAnsi="Times New Roman" w:cs="Times New Roman"/>
          <w:sz w:val="52"/>
          <w:szCs w:val="52"/>
        </w:rPr>
      </w:pPr>
    </w:p>
    <w:p w14:paraId="0C21BDFC" w14:textId="77777777" w:rsidR="00EF4143" w:rsidRDefault="00EF4143" w:rsidP="00EF4143">
      <w:pPr>
        <w:rPr>
          <w:rFonts w:ascii="Times New Roman" w:hAnsi="Times New Roman" w:cs="Times New Roman"/>
          <w:sz w:val="52"/>
          <w:szCs w:val="52"/>
        </w:rPr>
      </w:pPr>
    </w:p>
    <w:p w14:paraId="6EA2BA5D" w14:textId="77777777" w:rsidR="00EF4143" w:rsidRDefault="00EF4143" w:rsidP="00EF4143">
      <w:pPr>
        <w:rPr>
          <w:rFonts w:ascii="Times New Roman" w:hAnsi="Times New Roman" w:cs="Times New Roman"/>
          <w:sz w:val="52"/>
          <w:szCs w:val="52"/>
        </w:rPr>
      </w:pPr>
    </w:p>
    <w:p w14:paraId="37A5FA06" w14:textId="557610AC" w:rsidR="00EF4143" w:rsidRDefault="00EF4143" w:rsidP="00EF4143">
      <w:pPr>
        <w:jc w:val="center"/>
        <w:rPr>
          <w:rFonts w:ascii="Times New Roman" w:hAnsi="Times New Roman" w:cs="Times New Roman"/>
          <w:b/>
          <w:bCs/>
          <w:sz w:val="52"/>
          <w:szCs w:val="52"/>
        </w:rPr>
      </w:pPr>
      <w:r w:rsidRPr="00EF4143">
        <w:rPr>
          <w:rFonts w:ascii="Times New Roman" w:hAnsi="Times New Roman" w:cs="Times New Roman"/>
          <w:b/>
          <w:bCs/>
          <w:sz w:val="52"/>
          <w:szCs w:val="52"/>
        </w:rPr>
        <w:t xml:space="preserve">Assignment 1 Student Journal </w:t>
      </w:r>
    </w:p>
    <w:p w14:paraId="2C7E5F4E" w14:textId="77777777" w:rsidR="00EF4143" w:rsidRPr="00EF4143" w:rsidRDefault="00EF4143" w:rsidP="00EF4143">
      <w:pPr>
        <w:rPr>
          <w:rFonts w:ascii="Times New Roman" w:hAnsi="Times New Roman" w:cs="Times New Roman"/>
          <w:sz w:val="52"/>
          <w:szCs w:val="52"/>
        </w:rPr>
      </w:pPr>
    </w:p>
    <w:p w14:paraId="312647EE" w14:textId="77777777" w:rsidR="00EF4143" w:rsidRPr="00EF4143" w:rsidRDefault="00EF4143" w:rsidP="00EF4143">
      <w:pPr>
        <w:rPr>
          <w:rFonts w:ascii="Times New Roman" w:hAnsi="Times New Roman" w:cs="Times New Roman"/>
          <w:sz w:val="52"/>
          <w:szCs w:val="52"/>
        </w:rPr>
      </w:pPr>
    </w:p>
    <w:p w14:paraId="7FD7C504" w14:textId="77777777" w:rsidR="00EF4143" w:rsidRPr="00EF4143" w:rsidRDefault="00EF4143" w:rsidP="00EF4143">
      <w:pPr>
        <w:rPr>
          <w:rFonts w:ascii="Times New Roman" w:hAnsi="Times New Roman" w:cs="Times New Roman"/>
          <w:sz w:val="52"/>
          <w:szCs w:val="52"/>
        </w:rPr>
      </w:pPr>
    </w:p>
    <w:p w14:paraId="1931BD07" w14:textId="77777777" w:rsidR="00EF4143" w:rsidRPr="00EF4143" w:rsidRDefault="00EF4143" w:rsidP="00EF4143">
      <w:pPr>
        <w:rPr>
          <w:rFonts w:ascii="Times New Roman" w:hAnsi="Times New Roman" w:cs="Times New Roman"/>
          <w:sz w:val="52"/>
          <w:szCs w:val="52"/>
        </w:rPr>
      </w:pPr>
    </w:p>
    <w:p w14:paraId="0016B47B" w14:textId="77777777" w:rsidR="00EF4143" w:rsidRPr="00EF4143" w:rsidRDefault="00EF4143" w:rsidP="00EF4143">
      <w:pPr>
        <w:rPr>
          <w:rFonts w:ascii="Times New Roman" w:hAnsi="Times New Roman" w:cs="Times New Roman"/>
          <w:sz w:val="52"/>
          <w:szCs w:val="52"/>
        </w:rPr>
      </w:pPr>
    </w:p>
    <w:p w14:paraId="33A19607" w14:textId="77777777" w:rsidR="00EF4143" w:rsidRPr="00EF4143" w:rsidRDefault="00EF4143" w:rsidP="00EF4143">
      <w:pPr>
        <w:rPr>
          <w:rFonts w:ascii="Times New Roman" w:hAnsi="Times New Roman" w:cs="Times New Roman"/>
          <w:sz w:val="52"/>
          <w:szCs w:val="52"/>
        </w:rPr>
      </w:pPr>
    </w:p>
    <w:p w14:paraId="3E067771" w14:textId="77777777" w:rsidR="00EF4143" w:rsidRDefault="00EF4143" w:rsidP="00EF4143">
      <w:pPr>
        <w:rPr>
          <w:rFonts w:ascii="Times New Roman" w:hAnsi="Times New Roman" w:cs="Times New Roman"/>
          <w:b/>
          <w:bCs/>
          <w:sz w:val="52"/>
          <w:szCs w:val="52"/>
        </w:rPr>
      </w:pPr>
    </w:p>
    <w:p w14:paraId="6CB152B3" w14:textId="1B82D2B4" w:rsidR="00EF4143" w:rsidRPr="00EF4143" w:rsidRDefault="00EF4143" w:rsidP="00EF4143">
      <w:pPr>
        <w:tabs>
          <w:tab w:val="left" w:pos="5145"/>
        </w:tabs>
        <w:jc w:val="center"/>
        <w:rPr>
          <w:rFonts w:ascii="Times New Roman" w:hAnsi="Times New Roman" w:cs="Times New Roman"/>
          <w:sz w:val="24"/>
          <w:szCs w:val="24"/>
        </w:rPr>
      </w:pPr>
      <w:r w:rsidRPr="00EF4143">
        <w:rPr>
          <w:rFonts w:ascii="Times New Roman" w:hAnsi="Times New Roman" w:cs="Times New Roman"/>
          <w:sz w:val="24"/>
          <w:szCs w:val="24"/>
        </w:rPr>
        <w:t>STUDENT ID: 2119794</w:t>
      </w:r>
    </w:p>
    <w:p w14:paraId="1F2F7B13" w14:textId="69BE8853" w:rsidR="00EF4143" w:rsidRDefault="00EF4143" w:rsidP="00EF4143">
      <w:pPr>
        <w:tabs>
          <w:tab w:val="left" w:pos="5145"/>
        </w:tabs>
        <w:jc w:val="center"/>
        <w:rPr>
          <w:rFonts w:ascii="Times New Roman" w:hAnsi="Times New Roman" w:cs="Times New Roman"/>
          <w:sz w:val="24"/>
          <w:szCs w:val="24"/>
        </w:rPr>
      </w:pPr>
      <w:r w:rsidRPr="00EF4143">
        <w:rPr>
          <w:rFonts w:ascii="Times New Roman" w:hAnsi="Times New Roman" w:cs="Times New Roman"/>
          <w:sz w:val="24"/>
          <w:szCs w:val="24"/>
        </w:rPr>
        <w:t>STUDENT NAME: Mihaela Delia Ilie</w:t>
      </w:r>
    </w:p>
    <w:p w14:paraId="4615F6DB" w14:textId="77777777" w:rsidR="006826B7" w:rsidRDefault="006826B7" w:rsidP="00EF4143">
      <w:pPr>
        <w:tabs>
          <w:tab w:val="left" w:pos="5145"/>
        </w:tabs>
        <w:jc w:val="center"/>
        <w:rPr>
          <w:rFonts w:ascii="Times New Roman" w:hAnsi="Times New Roman" w:cs="Times New Roman"/>
          <w:sz w:val="24"/>
          <w:szCs w:val="24"/>
        </w:rPr>
      </w:pPr>
    </w:p>
    <w:p w14:paraId="337711AB" w14:textId="428416FA" w:rsidR="006826B7" w:rsidRPr="006826B7" w:rsidRDefault="006826B7" w:rsidP="006826B7">
      <w:pPr>
        <w:pStyle w:val="Heading1"/>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lastRenderedPageBreak/>
        <w:t>Introduction</w:t>
      </w:r>
    </w:p>
    <w:p w14:paraId="2B0BB57C" w14:textId="28077E46" w:rsidR="006826B7" w:rsidRP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The provision of exceptional service is crucial for restaurants to thrive in a highly competitive sector. Customers are more inclined to demonstrate repeated patronage at restaurants when they are offered attentive and high-quality service, considering the wide range of dining options available to them. Thus, it is crucial for managers and personnel within the restaurant industry to give utmost importance to the enhancement of service skills (Harrington et al., 2019). The recognition of essential skills and competencies necessary for delivering seamless and acceptable dining experiences empowers restaurants to optimise their training initiatives, efficiently enforce service standards, and exceed the anticipated levels of satisfaction among their patrons.</w:t>
      </w:r>
    </w:p>
    <w:p w14:paraId="17AF57F5" w14:textId="3D7AB892" w:rsidR="006826B7" w:rsidRPr="006826B7" w:rsidRDefault="006826B7" w:rsidP="006826B7">
      <w:pPr>
        <w:pStyle w:val="Heading1"/>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Identification of Key Skills</w:t>
      </w:r>
    </w:p>
    <w:p w14:paraId="45FD19A2" w14:textId="62965D00" w:rsidR="006826B7" w:rsidRP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 xml:space="preserve">The development of communication, teamwork, problem-solving, stress management, and systems knowledge skills is vital for the improvement of service quality within the restaurant business. As stated by Wang et al. (2002), the possession of proficient communication abilities enables staff members to effectively discern customers' needs, clarify menu options, aid in decision-making, and resolve issues through active listening and the provision of explicit explanations. According to </w:t>
      </w:r>
      <w:proofErr w:type="spellStart"/>
      <w:r w:rsidRPr="006826B7">
        <w:rPr>
          <w:rFonts w:ascii="Times New Roman" w:hAnsi="Times New Roman" w:cs="Times New Roman"/>
          <w:sz w:val="24"/>
          <w:szCs w:val="24"/>
        </w:rPr>
        <w:t>Guchait</w:t>
      </w:r>
      <w:proofErr w:type="spellEnd"/>
      <w:r w:rsidRPr="006826B7">
        <w:rPr>
          <w:rFonts w:ascii="Times New Roman" w:hAnsi="Times New Roman" w:cs="Times New Roman"/>
          <w:sz w:val="24"/>
          <w:szCs w:val="24"/>
        </w:rPr>
        <w:t xml:space="preserve"> et al. (2015), the implementation of teamwork promotes the development of a cohesive relationship between the front and back-of-house operations, hence enabling efficient coordination of service delivery across different roles and responsibilities. The use of innovative problem-solving methodologies and the capacity to engage in rapid cognitive processes empower personnel to proficiently manage a diverse array of visitor inquiries, dietary specifications, modifications, and grievances. The use of stress management strategies and the fostering of a sense of tranquilly among employees empower them to maintain the delivery of exceptional service notwithstanding challenging shifts and circumstances marked by increased levels of stress. The acquisition of expertise in Point-of-Sale (POS) systems is crucial for enhancing operational efficiency and accuracy in tasks such as order placing, ticket submission, and payment processing.</w:t>
      </w:r>
    </w:p>
    <w:p w14:paraId="6FC86206" w14:textId="0D3C6FB6" w:rsidR="006826B7" w:rsidRPr="006826B7" w:rsidRDefault="006826B7" w:rsidP="006826B7">
      <w:pPr>
        <w:tabs>
          <w:tab w:val="left" w:pos="5145"/>
        </w:tabs>
        <w:spacing w:line="360" w:lineRule="auto"/>
        <w:jc w:val="both"/>
        <w:rPr>
          <w:rFonts w:ascii="Times New Roman" w:hAnsi="Times New Roman" w:cs="Times New Roman"/>
          <w:b/>
          <w:bCs/>
          <w:sz w:val="24"/>
          <w:szCs w:val="24"/>
        </w:rPr>
      </w:pPr>
      <w:r w:rsidRPr="006826B7">
        <w:rPr>
          <w:rFonts w:ascii="Times New Roman" w:hAnsi="Times New Roman" w:cs="Times New Roman"/>
          <w:b/>
          <w:bCs/>
          <w:sz w:val="24"/>
          <w:szCs w:val="24"/>
        </w:rPr>
        <w:t>Skill Development Strategies</w:t>
      </w:r>
    </w:p>
    <w:p w14:paraId="4F26A1F0" w14:textId="1BC5C5A8" w:rsidR="006826B7" w:rsidRP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 xml:space="preserve">Both structured training courses and practical experience have the capacity to cultivate service abilities in restaurant staff. DiPietro and </w:t>
      </w:r>
      <w:proofErr w:type="spellStart"/>
      <w:r w:rsidRPr="006826B7">
        <w:rPr>
          <w:rFonts w:ascii="Times New Roman" w:hAnsi="Times New Roman" w:cs="Times New Roman"/>
          <w:sz w:val="24"/>
          <w:szCs w:val="24"/>
        </w:rPr>
        <w:t>Bufquin</w:t>
      </w:r>
      <w:proofErr w:type="spellEnd"/>
      <w:r w:rsidRPr="006826B7">
        <w:rPr>
          <w:rFonts w:ascii="Times New Roman" w:hAnsi="Times New Roman" w:cs="Times New Roman"/>
          <w:sz w:val="24"/>
          <w:szCs w:val="24"/>
        </w:rPr>
        <w:t xml:space="preserve"> (2018) assert that the successful attainment of goals may be facilitated by the use of organised workshops that prioritise team development, customer service processes, and issue resolution. Participating in service-</w:t>
      </w:r>
      <w:r w:rsidRPr="006826B7">
        <w:rPr>
          <w:rFonts w:ascii="Times New Roman" w:hAnsi="Times New Roman" w:cs="Times New Roman"/>
          <w:sz w:val="24"/>
          <w:szCs w:val="24"/>
        </w:rPr>
        <w:lastRenderedPageBreak/>
        <w:t xml:space="preserve">oriented role-playing exercises boosts individuals' ability to successfully navigate and handle diverse difficulties. Apprenticeships provide junior staff the chance to gain knowledge and skills via direct guidance from experienced mentors. The use of a rotational system, wherein employees are assigned to various stations inside a restaurant, facilitates a more comprehensive understanding of the entire operations and activities of the company. Managers possess the capacity to provide ongoing coaching and feedback with the aim of enhancing and fortifying skills. The use of peer-to-peer collaboration and responsibility enhances the developmental process. Over </w:t>
      </w:r>
      <w:r w:rsidRPr="006826B7">
        <w:rPr>
          <w:rFonts w:ascii="Times New Roman" w:hAnsi="Times New Roman" w:cs="Times New Roman"/>
          <w:sz w:val="24"/>
          <w:szCs w:val="24"/>
        </w:rPr>
        <w:t>some time</w:t>
      </w:r>
      <w:r w:rsidRPr="006826B7">
        <w:rPr>
          <w:rFonts w:ascii="Times New Roman" w:hAnsi="Times New Roman" w:cs="Times New Roman"/>
          <w:sz w:val="24"/>
          <w:szCs w:val="24"/>
        </w:rPr>
        <w:t xml:space="preserve"> and by regular and deliberate practise, these abilities gradually become ingrained within the habits and culture of the team.</w:t>
      </w:r>
    </w:p>
    <w:p w14:paraId="0565A42F" w14:textId="4407806B" w:rsidR="006826B7" w:rsidRPr="006826B7" w:rsidRDefault="006826B7" w:rsidP="006826B7">
      <w:pPr>
        <w:pStyle w:val="Heading1"/>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Real-Life Examples</w:t>
      </w:r>
    </w:p>
    <w:p w14:paraId="007B12E2" w14:textId="6ED64FAD" w:rsidR="006826B7" w:rsidRP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Zingerman's Delicatessen, situated in the state of Michigan, has garnered a noteworthy reputation for its great service. This commendable achievement may be ascribed to the thorough training regimen imparted to its employees, encompassing several crucial aspects such as efficient communication, composure maintenance, and knowledge dissemination (Gifford, 2018). Dahmer (2019) asserts that TAO Uptown, situated in New York City, has exhibited commendable service through the implementation of a collaborative approach, use of new ways to tackle obstacles, and provision of enough training and expertise to its staff for efficient resolution of issues. The following practical illustrations serve to exemplify how a commitment to foundational service skills enables businesses to deliver great dining experiences.</w:t>
      </w:r>
    </w:p>
    <w:p w14:paraId="10EEBDE3" w14:textId="7D66BB97" w:rsidR="006826B7" w:rsidRPr="006826B7" w:rsidRDefault="006826B7" w:rsidP="006826B7">
      <w:pPr>
        <w:pStyle w:val="Heading1"/>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Conclusion</w:t>
      </w:r>
    </w:p>
    <w:p w14:paraId="62022A7D" w14:textId="31F77596" w:rsid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 xml:space="preserve">In conclusion, it is imperative for restaurants to emphasise the enhancement of service quality and the exceeding of customer expectations in order to thrive in a highly competitive sector. Restaurants have the potential to enhance the effectiveness of their training and development initiatives by strategically identifying and prioritising essential skills like as communication, teamwork, problem-solving, stress management, and systems knowledge. Subsequently, they can actively cultivate and nurture these fundamental competencies among their employees. The enhancement of these skills may be efficiently strengthened by a blend of structured education and hands-on training acquired in professional settings. Managers prioritise continual education and peer interaction to ensure that staff members acquire the essential skills required to deliver seamless and satisfying dining experiences. This will enable </w:t>
      </w:r>
      <w:r w:rsidRPr="006826B7">
        <w:rPr>
          <w:rFonts w:ascii="Times New Roman" w:hAnsi="Times New Roman" w:cs="Times New Roman"/>
          <w:sz w:val="24"/>
          <w:szCs w:val="24"/>
        </w:rPr>
        <w:lastRenderedPageBreak/>
        <w:t>restaurants to establish a unique identity in relation to their competition and foster client loyalty via the provision of exceptional service.</w:t>
      </w:r>
    </w:p>
    <w:p w14:paraId="6DE322EA"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74415FC5"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35B4552C"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0B93E340"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663F13BA"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0F798DCE"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07107A06"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30EAF0E7"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6F0119F4"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73425F6C"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26620D82"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7894BB4A"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04A33C18"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44A1A026"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4898DE75"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74FAF0E1"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168F9A0B"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31BB159B"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246E084D"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5E908D0C"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465D7C4E"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5CEDEABA"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3BBAC577" w14:textId="77777777" w:rsidR="006826B7" w:rsidRDefault="006826B7" w:rsidP="006826B7">
      <w:pPr>
        <w:tabs>
          <w:tab w:val="left" w:pos="5145"/>
        </w:tabs>
        <w:spacing w:line="360" w:lineRule="auto"/>
        <w:jc w:val="both"/>
        <w:rPr>
          <w:rFonts w:ascii="Times New Roman" w:hAnsi="Times New Roman" w:cs="Times New Roman"/>
          <w:sz w:val="24"/>
          <w:szCs w:val="24"/>
        </w:rPr>
      </w:pPr>
    </w:p>
    <w:p w14:paraId="4756036F" w14:textId="19605444" w:rsidR="006826B7" w:rsidRDefault="006826B7" w:rsidP="006826B7">
      <w:pPr>
        <w:tabs>
          <w:tab w:val="left" w:pos="5145"/>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110EFA25" w14:textId="2C4DEFC0" w:rsidR="006826B7" w:rsidRP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Dahmer, B. (2019). Service Secrets: How TAO Uptown Maintains Its Mystique. Restaurant Business, 118(2), 27–30.</w:t>
      </w:r>
    </w:p>
    <w:p w14:paraId="1DD7AA60" w14:textId="532778B1" w:rsidR="006826B7" w:rsidRP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 xml:space="preserve">DiPietro, R. B., &amp; </w:t>
      </w:r>
      <w:proofErr w:type="spellStart"/>
      <w:r w:rsidRPr="006826B7">
        <w:rPr>
          <w:rFonts w:ascii="Times New Roman" w:hAnsi="Times New Roman" w:cs="Times New Roman"/>
          <w:sz w:val="24"/>
          <w:szCs w:val="24"/>
        </w:rPr>
        <w:t>Bufquin</w:t>
      </w:r>
      <w:proofErr w:type="spellEnd"/>
      <w:r w:rsidRPr="006826B7">
        <w:rPr>
          <w:rFonts w:ascii="Times New Roman" w:hAnsi="Times New Roman" w:cs="Times New Roman"/>
          <w:sz w:val="24"/>
          <w:szCs w:val="24"/>
        </w:rPr>
        <w:t>, D. (2018). Effects of Work Status Congruence and Work Status Balance on Restaurant Employee Satisfaction and Commitment. Journal of Hospitality and Tourism Research, 42(7), 1080-1107.</w:t>
      </w:r>
    </w:p>
    <w:p w14:paraId="783F2D04" w14:textId="6B8E74E5" w:rsidR="006826B7" w:rsidRP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Gifford, A. (2018). Secrets of Customer Service Success: Examples from the Best Restaurant Experiences. Restaurant Insider, 14(5), 22-26.</w:t>
      </w:r>
    </w:p>
    <w:p w14:paraId="1443ECEB" w14:textId="474CA163" w:rsidR="006826B7" w:rsidRPr="006826B7" w:rsidRDefault="006826B7" w:rsidP="006826B7">
      <w:pPr>
        <w:tabs>
          <w:tab w:val="left" w:pos="5145"/>
        </w:tabs>
        <w:spacing w:line="360" w:lineRule="auto"/>
        <w:jc w:val="both"/>
        <w:rPr>
          <w:rFonts w:ascii="Times New Roman" w:hAnsi="Times New Roman" w:cs="Times New Roman"/>
          <w:sz w:val="24"/>
          <w:szCs w:val="24"/>
        </w:rPr>
      </w:pPr>
      <w:proofErr w:type="spellStart"/>
      <w:r w:rsidRPr="006826B7">
        <w:rPr>
          <w:rFonts w:ascii="Times New Roman" w:hAnsi="Times New Roman" w:cs="Times New Roman"/>
          <w:sz w:val="24"/>
          <w:szCs w:val="24"/>
        </w:rPr>
        <w:t>Guchait</w:t>
      </w:r>
      <w:proofErr w:type="spellEnd"/>
      <w:r w:rsidRPr="006826B7">
        <w:rPr>
          <w:rFonts w:ascii="Times New Roman" w:hAnsi="Times New Roman" w:cs="Times New Roman"/>
          <w:sz w:val="24"/>
          <w:szCs w:val="24"/>
        </w:rPr>
        <w:t xml:space="preserve">, P., Kim, M. G., &amp; </w:t>
      </w:r>
      <w:proofErr w:type="spellStart"/>
      <w:r w:rsidRPr="006826B7">
        <w:rPr>
          <w:rFonts w:ascii="Times New Roman" w:hAnsi="Times New Roman" w:cs="Times New Roman"/>
          <w:sz w:val="24"/>
          <w:szCs w:val="24"/>
        </w:rPr>
        <w:t>Namasivayam</w:t>
      </w:r>
      <w:proofErr w:type="spellEnd"/>
      <w:r w:rsidRPr="006826B7">
        <w:rPr>
          <w:rFonts w:ascii="Times New Roman" w:hAnsi="Times New Roman" w:cs="Times New Roman"/>
          <w:sz w:val="24"/>
          <w:szCs w:val="24"/>
        </w:rPr>
        <w:t>, K. (2015). Error Management at Different Organizational Levels—Frontline, Manager, and Company. International Journal of Hospitality Management, 42, 67-75.</w:t>
      </w:r>
    </w:p>
    <w:p w14:paraId="3E5F9C49" w14:textId="44F35D3C" w:rsidR="006826B7" w:rsidRP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Harrington, R. J., Ottenbacher, M. C., Way, K. A., &amp; Jones, P. A. (2019). QSR Brand Image in the United States: Evidence from a Nationally Representative Sample. Journal of Foodservice Business Research, 22(2), 81–92.</w:t>
      </w:r>
    </w:p>
    <w:p w14:paraId="0E640F94" w14:textId="74FB663F" w:rsidR="006826B7" w:rsidRPr="006826B7" w:rsidRDefault="006826B7" w:rsidP="006826B7">
      <w:pPr>
        <w:tabs>
          <w:tab w:val="left" w:pos="5145"/>
        </w:tabs>
        <w:spacing w:line="360" w:lineRule="auto"/>
        <w:jc w:val="both"/>
        <w:rPr>
          <w:rFonts w:ascii="Times New Roman" w:hAnsi="Times New Roman" w:cs="Times New Roman"/>
          <w:sz w:val="24"/>
          <w:szCs w:val="24"/>
        </w:rPr>
      </w:pPr>
      <w:r w:rsidRPr="006826B7">
        <w:rPr>
          <w:rFonts w:ascii="Times New Roman" w:hAnsi="Times New Roman" w:cs="Times New Roman"/>
          <w:sz w:val="24"/>
          <w:szCs w:val="24"/>
        </w:rPr>
        <w:t xml:space="preserve">Wang, J., Hutchins, H. M., &amp; </w:t>
      </w:r>
      <w:proofErr w:type="spellStart"/>
      <w:r w:rsidRPr="006826B7">
        <w:rPr>
          <w:rFonts w:ascii="Times New Roman" w:hAnsi="Times New Roman" w:cs="Times New Roman"/>
          <w:sz w:val="24"/>
          <w:szCs w:val="24"/>
        </w:rPr>
        <w:t>Garavan</w:t>
      </w:r>
      <w:proofErr w:type="spellEnd"/>
      <w:r w:rsidRPr="006826B7">
        <w:rPr>
          <w:rFonts w:ascii="Times New Roman" w:hAnsi="Times New Roman" w:cs="Times New Roman"/>
          <w:sz w:val="24"/>
          <w:szCs w:val="24"/>
        </w:rPr>
        <w:t>, T. N. (2009). Exploring the Strategic Role of Human Resource Development in Organizational Crisis Management. Human Resource Development Review, 8(1), 22-53.</w:t>
      </w:r>
    </w:p>
    <w:sectPr w:rsidR="006826B7" w:rsidRPr="006826B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C57D7" w14:textId="77777777" w:rsidR="006826B7" w:rsidRDefault="006826B7" w:rsidP="006826B7">
      <w:pPr>
        <w:spacing w:after="0" w:line="240" w:lineRule="auto"/>
      </w:pPr>
      <w:r>
        <w:separator/>
      </w:r>
    </w:p>
  </w:endnote>
  <w:endnote w:type="continuationSeparator" w:id="0">
    <w:p w14:paraId="0D9885F4" w14:textId="77777777" w:rsidR="006826B7" w:rsidRDefault="006826B7" w:rsidP="00682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7937697"/>
      <w:docPartObj>
        <w:docPartGallery w:val="Page Numbers (Bottom of Page)"/>
        <w:docPartUnique/>
      </w:docPartObj>
    </w:sdtPr>
    <w:sdtEndPr>
      <w:rPr>
        <w:noProof/>
      </w:rPr>
    </w:sdtEndPr>
    <w:sdtContent>
      <w:p w14:paraId="318AB002" w14:textId="7B0E599B" w:rsidR="006826B7" w:rsidRDefault="006826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C8F4A4" w14:textId="77777777" w:rsidR="006826B7" w:rsidRDefault="00682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D7DF6" w14:textId="77777777" w:rsidR="006826B7" w:rsidRDefault="006826B7" w:rsidP="006826B7">
      <w:pPr>
        <w:spacing w:after="0" w:line="240" w:lineRule="auto"/>
      </w:pPr>
      <w:r>
        <w:separator/>
      </w:r>
    </w:p>
  </w:footnote>
  <w:footnote w:type="continuationSeparator" w:id="0">
    <w:p w14:paraId="366FF51D" w14:textId="77777777" w:rsidR="006826B7" w:rsidRDefault="006826B7" w:rsidP="006826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143"/>
    <w:rsid w:val="003363A0"/>
    <w:rsid w:val="006826B7"/>
    <w:rsid w:val="00A461DC"/>
    <w:rsid w:val="00EF414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27666D"/>
  <w15:chartTrackingRefBased/>
  <w15:docId w15:val="{40D4EAF7-E51D-4AF7-A861-E9FF60021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826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6B7"/>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682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6B7"/>
    <w:rPr>
      <w:lang w:val="en-GB"/>
    </w:rPr>
  </w:style>
  <w:style w:type="paragraph" w:styleId="Footer">
    <w:name w:val="footer"/>
    <w:basedOn w:val="Normal"/>
    <w:link w:val="FooterChar"/>
    <w:uiPriority w:val="99"/>
    <w:unhideWhenUsed/>
    <w:rsid w:val="00682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6B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900</Words>
  <Characters>5676</Characters>
  <Application>Microsoft Office Word</Application>
  <DocSecurity>0</DocSecurity>
  <Lines>126</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2023-10-25T19:17:00Z</dcterms:created>
  <dcterms:modified xsi:type="dcterms:W3CDTF">2023-10-25T19:36:00Z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f8885d8d-a726-4dfc-9a74-5c71db9631b6</vt:lpwstr>
  </property>
</Properties>
</file>