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3CDA99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FD420D">
              <w:rPr>
                <w:rFonts w:ascii="Times New Roman" w:hAnsi="Times New Roman" w:cs="Times New Roman"/>
                <w:b/>
                <w:color w:val="auto"/>
                <w:sz w:val="48"/>
              </w:rPr>
              <w:t xml:space="preserve"> Roy David Oldfield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59D02878" w14:textId="77777777" w:rsidR="005A0BA6"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D420D">
              <w:rPr>
                <w:rFonts w:ascii="Times New Roman" w:hAnsi="Times New Roman" w:cs="Times New Roman"/>
                <w:b/>
                <w:color w:val="auto"/>
                <w:sz w:val="48"/>
              </w:rPr>
              <w:t xml:space="preserve">: </w:t>
            </w:r>
          </w:p>
          <w:p w14:paraId="7197CB82" w14:textId="13846981" w:rsidR="00FD420D" w:rsidRDefault="00FD420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Work: </w:t>
            </w:r>
            <w:hyperlink r:id="rId11" w:history="1">
              <w:r w:rsidRPr="00667ED9">
                <w:rPr>
                  <w:rStyle w:val="Hyperlink"/>
                  <w:rFonts w:ascii="Times New Roman" w:hAnsi="Times New Roman" w:cs="Times New Roman"/>
                  <w:b/>
                  <w:sz w:val="48"/>
                </w:rPr>
                <w:t>roy.david.oldfield@flintshire.gov.uk</w:t>
              </w:r>
            </w:hyperlink>
          </w:p>
          <w:p w14:paraId="178E0879" w14:textId="33884C8D" w:rsidR="00FD420D" w:rsidRDefault="00FD420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Personal: </w:t>
            </w:r>
            <w:hyperlink r:id="rId12" w:history="1">
              <w:r w:rsidRPr="00667ED9">
                <w:rPr>
                  <w:rStyle w:val="Hyperlink"/>
                  <w:rFonts w:ascii="Times New Roman" w:hAnsi="Times New Roman" w:cs="Times New Roman"/>
                  <w:b/>
                  <w:sz w:val="48"/>
                </w:rPr>
                <w:t>roldfield@sky.com</w:t>
              </w:r>
            </w:hyperlink>
          </w:p>
          <w:p w14:paraId="29905F3F" w14:textId="77777777" w:rsidR="00FD420D" w:rsidRDefault="00FD420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310458D" w14:textId="77777777" w:rsidR="003F1328"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52491700" w:rsidR="00F927A1" w:rsidRPr="005D3F07" w:rsidRDefault="003F132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2317884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56E9326" w14:textId="00B3AF94" w:rsidR="00151DA6" w:rsidRPr="00881177" w:rsidRDefault="00151DA6" w:rsidP="00881177">
      <w:pPr>
        <w:rPr>
          <w:b/>
          <w:sz w:val="24"/>
          <w:szCs w:val="24"/>
        </w:rPr>
      </w:pPr>
      <w:r>
        <w:rPr>
          <w:b/>
          <w:sz w:val="28"/>
          <w:szCs w:val="28"/>
        </w:rPr>
        <w:lastRenderedPageBreak/>
        <w:t>Reference List</w:t>
      </w:r>
    </w:p>
    <w:p w14:paraId="5762EC8D" w14:textId="77777777" w:rsidR="00DD21F2"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773E8A67" w14:textId="77777777"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b/>
          <w:bCs/>
          <w:color w:val="auto"/>
          <w:kern w:val="2"/>
          <w:sz w:val="22"/>
          <w:szCs w:val="22"/>
          <w:lang w:eastAsia="en-US"/>
          <w14:ligatures w14:val="standardContextual"/>
        </w:rPr>
      </w:pPr>
    </w:p>
    <w:p w14:paraId="3CF4F6F0" w14:textId="34B0A1DE"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b/>
          <w:bCs/>
          <w:color w:val="auto"/>
          <w:kern w:val="2"/>
          <w:sz w:val="22"/>
          <w:szCs w:val="22"/>
          <w:lang w:eastAsia="en-US"/>
          <w14:ligatures w14:val="standardContextual"/>
        </w:rPr>
      </w:pPr>
      <w:r w:rsidRPr="00DD21F2">
        <w:rPr>
          <w:rFonts w:asciiTheme="minorHAnsi" w:eastAsiaTheme="minorHAnsi" w:hAnsiTheme="minorHAnsi" w:cstheme="minorBidi"/>
          <w:b/>
          <w:bCs/>
          <w:color w:val="auto"/>
          <w:kern w:val="2"/>
          <w:sz w:val="22"/>
          <w:szCs w:val="22"/>
          <w:lang w:eastAsia="en-US"/>
          <w14:ligatures w14:val="standardContextual"/>
        </w:rPr>
        <w:t>Legislation</w:t>
      </w:r>
    </w:p>
    <w:p w14:paraId="0E3C04BF" w14:textId="77777777"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Care Act 2014</w:t>
      </w:r>
    </w:p>
    <w:p w14:paraId="04126C0F" w14:textId="77777777"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Children’s Act 1989</w:t>
      </w:r>
    </w:p>
    <w:p w14:paraId="6CDE0B00" w14:textId="77777777"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Data Protection Act 2018</w:t>
      </w:r>
    </w:p>
    <w:p w14:paraId="0080EC7E" w14:textId="77777777" w:rsidR="00DD21F2" w:rsidRPr="00DD21F2" w:rsidRDefault="00DD21F2"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Mental Capacity Act 2005</w:t>
      </w:r>
    </w:p>
    <w:p w14:paraId="4F8D72FB" w14:textId="6A562C20"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Mental Health Act 1983</w:t>
      </w:r>
    </w:p>
    <w:p w14:paraId="5EEF9B70" w14:textId="7D4E6BB6" w:rsidR="006D1DD8" w:rsidRDefault="006D1DD8" w:rsidP="006D1DD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C7905">
        <w:rPr>
          <w:rFonts w:asciiTheme="minorHAnsi" w:eastAsiaTheme="minorHAnsi" w:hAnsiTheme="minorHAnsi" w:cstheme="minorBidi"/>
          <w:color w:val="auto"/>
          <w:kern w:val="2"/>
          <w:sz w:val="22"/>
          <w:szCs w:val="22"/>
          <w:lang w:eastAsia="en-US"/>
          <w14:ligatures w14:val="standardContextual"/>
        </w:rPr>
        <w:t>Rights of the Children and Young Persons (Wales) Measure 2001</w:t>
      </w:r>
    </w:p>
    <w:p w14:paraId="50529D61" w14:textId="4487210C" w:rsidR="006D1DD8" w:rsidRPr="003C7905" w:rsidRDefault="006D1DD8" w:rsidP="006D1DD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C7905">
        <w:rPr>
          <w:rFonts w:asciiTheme="minorHAnsi" w:eastAsiaTheme="minorHAnsi" w:hAnsiTheme="minorHAnsi" w:cstheme="minorBidi"/>
          <w:color w:val="auto"/>
          <w:kern w:val="2"/>
          <w:sz w:val="22"/>
          <w:szCs w:val="22"/>
          <w:lang w:eastAsia="en-US"/>
          <w14:ligatures w14:val="standardContextual"/>
        </w:rPr>
        <w:t xml:space="preserve">United Nations Convention on the Rights of the Child 2022 </w:t>
      </w:r>
    </w:p>
    <w:p w14:paraId="5616AB42" w14:textId="4D682CE2" w:rsidR="00DD21F2" w:rsidRPr="00DD21F2" w:rsidRDefault="00DD21F2"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Social Services and Well-being (Wales) Act 2014</w:t>
      </w:r>
    </w:p>
    <w:p w14:paraId="3EB4F59E" w14:textId="77777777"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Welsh Language (Wales) Measure 2011</w:t>
      </w:r>
    </w:p>
    <w:p w14:paraId="19F8EC8C" w14:textId="77777777" w:rsidR="001D02B6" w:rsidRDefault="001D02B6"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8147A9D" w14:textId="3E493812" w:rsidR="00DD21F2" w:rsidRDefault="00DD21F2" w:rsidP="00DD21F2">
      <w:pPr>
        <w:overflowPunct/>
        <w:autoSpaceDE/>
        <w:autoSpaceDN/>
        <w:adjustRightInd/>
        <w:spacing w:after="160" w:line="259" w:lineRule="auto"/>
        <w:textAlignment w:val="auto"/>
        <w:rPr>
          <w:rFonts w:asciiTheme="minorHAnsi" w:eastAsiaTheme="minorHAnsi" w:hAnsiTheme="minorHAnsi" w:cstheme="minorBidi"/>
          <w:b/>
          <w:bCs/>
          <w:color w:val="auto"/>
          <w:kern w:val="2"/>
          <w:sz w:val="22"/>
          <w:szCs w:val="22"/>
          <w:lang w:eastAsia="en-US"/>
          <w14:ligatures w14:val="standardContextual"/>
        </w:rPr>
      </w:pPr>
      <w:r w:rsidRPr="00DD21F2">
        <w:rPr>
          <w:rFonts w:asciiTheme="minorHAnsi" w:eastAsiaTheme="minorHAnsi" w:hAnsiTheme="minorHAnsi" w:cstheme="minorBidi"/>
          <w:b/>
          <w:bCs/>
          <w:color w:val="auto"/>
          <w:kern w:val="2"/>
          <w:sz w:val="22"/>
          <w:szCs w:val="22"/>
          <w:lang w:eastAsia="en-US"/>
          <w14:ligatures w14:val="standardContextual"/>
        </w:rPr>
        <w:t>Books, articles, reports and other sources</w:t>
      </w:r>
    </w:p>
    <w:p w14:paraId="790BB3EA" w14:textId="77777777" w:rsidR="00025E89" w:rsidRPr="00DD21F2" w:rsidRDefault="00025E89" w:rsidP="00025E89">
      <w:pPr>
        <w:overflowPunct/>
        <w:autoSpaceDE/>
        <w:autoSpaceDN/>
        <w:adjustRightInd/>
        <w:spacing w:after="160" w:line="256"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Adams, A. (1999)</w:t>
      </w:r>
      <w:r w:rsidRPr="00DD21F2">
        <w:rPr>
          <w:rFonts w:asciiTheme="minorHAnsi" w:eastAsiaTheme="minorHAnsi" w:hAnsiTheme="minorHAnsi" w:cstheme="minorBidi"/>
          <w:i/>
          <w:iCs/>
          <w:color w:val="auto"/>
          <w:kern w:val="2"/>
          <w:sz w:val="22"/>
          <w:szCs w:val="22"/>
          <w:lang w:eastAsia="en-US"/>
          <w14:ligatures w14:val="standardContextual"/>
        </w:rPr>
        <w:t xml:space="preserve"> ‘The implications of Users’ Privacy Perceptions on Communication and Information Privacy Policies in Proceedings of TPRC (Telecommunications Policy Research Conference)</w:t>
      </w:r>
      <w:r w:rsidRPr="00DD21F2">
        <w:rPr>
          <w:rFonts w:asciiTheme="minorHAnsi" w:eastAsiaTheme="minorHAnsi" w:hAnsiTheme="minorHAnsi" w:cstheme="minorBidi"/>
          <w:color w:val="auto"/>
          <w:kern w:val="2"/>
          <w:sz w:val="22"/>
          <w:szCs w:val="22"/>
          <w:lang w:eastAsia="en-US"/>
          <w14:ligatures w14:val="standardContextual"/>
        </w:rPr>
        <w:t xml:space="preserve">’ Walsh. DC. Press pp.65-67 </w:t>
      </w:r>
    </w:p>
    <w:p w14:paraId="7E656384" w14:textId="77777777" w:rsidR="00884D7B" w:rsidRDefault="00025E89" w:rsidP="00884D7B">
      <w:pPr>
        <w:overflowPunct/>
        <w:autoSpaceDE/>
        <w:autoSpaceDN/>
        <w:adjustRightInd/>
        <w:spacing w:after="160" w:line="256"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Bowen Centre (2011) Bowen Theory. Available online at </w:t>
      </w:r>
      <w:hyperlink r:id="rId13" w:history="1">
        <w:r w:rsidRPr="00DD21F2">
          <w:rPr>
            <w:rFonts w:asciiTheme="minorHAnsi" w:eastAsiaTheme="minorHAnsi" w:hAnsiTheme="minorHAnsi" w:cstheme="minorBidi"/>
            <w:color w:val="0563C1" w:themeColor="hyperlink"/>
            <w:kern w:val="2"/>
            <w:sz w:val="22"/>
            <w:szCs w:val="22"/>
            <w:u w:val="single"/>
            <w:lang w:eastAsia="en-US"/>
            <w14:ligatures w14:val="standardContextual"/>
          </w:rPr>
          <w:t>www.thebowencentre.org/pages/theory.html. Accessed 01/06/2024</w:t>
        </w:r>
      </w:hyperlink>
    </w:p>
    <w:p w14:paraId="427B12DB" w14:textId="77777777" w:rsidR="00884D7B" w:rsidRDefault="00884D7B" w:rsidP="00884D7B">
      <w:pPr>
        <w:overflowPunct/>
        <w:autoSpaceDE/>
        <w:autoSpaceDN/>
        <w:adjustRightInd/>
        <w:spacing w:after="160" w:line="256"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r w:rsidRPr="00DD21F2">
        <w:rPr>
          <w:rFonts w:asciiTheme="minorHAnsi" w:hAnsiTheme="minorHAnsi" w:cstheme="minorHAnsi"/>
          <w:sz w:val="22"/>
          <w:szCs w:val="22"/>
          <w:shd w:val="clear" w:color="auto" w:fill="FFFFFF"/>
          <w:lang w:eastAsia="en-US"/>
        </w:rPr>
        <w:t xml:space="preserve">Bowlby, J. (1980) </w:t>
      </w:r>
      <w:r w:rsidRPr="00DD21F2">
        <w:rPr>
          <w:rFonts w:asciiTheme="minorHAnsi" w:hAnsiTheme="minorHAnsi" w:cstheme="minorHAnsi"/>
          <w:i/>
          <w:iCs/>
          <w:sz w:val="22"/>
          <w:szCs w:val="22"/>
          <w:shd w:val="clear" w:color="auto" w:fill="FFFFFF"/>
          <w:lang w:eastAsia="en-US"/>
        </w:rPr>
        <w:t>Attachment and Loss, Volume III. Loss: Sadness and Depressions</w:t>
      </w:r>
      <w:r w:rsidRPr="00DD21F2">
        <w:rPr>
          <w:rFonts w:asciiTheme="minorHAnsi" w:hAnsiTheme="minorHAnsi" w:cstheme="minorHAnsi"/>
          <w:sz w:val="22"/>
          <w:szCs w:val="22"/>
          <w:shd w:val="clear" w:color="auto" w:fill="FFFFFF"/>
          <w:lang w:eastAsia="en-US"/>
        </w:rPr>
        <w:t>. (New York) Basic Books.</w:t>
      </w:r>
    </w:p>
    <w:p w14:paraId="2EA27C58" w14:textId="47CA99CC" w:rsidR="00884D7B" w:rsidRPr="00DD21F2" w:rsidRDefault="00884D7B" w:rsidP="00884D7B">
      <w:pPr>
        <w:overflowPunct/>
        <w:autoSpaceDE/>
        <w:autoSpaceDN/>
        <w:adjustRightInd/>
        <w:spacing w:after="160" w:line="256"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r w:rsidRPr="00DD21F2">
        <w:rPr>
          <w:rFonts w:asciiTheme="minorHAnsi" w:hAnsiTheme="minorHAnsi" w:cstheme="minorHAnsi"/>
          <w:sz w:val="22"/>
          <w:szCs w:val="22"/>
          <w:shd w:val="clear" w:color="auto" w:fill="FFFFFF"/>
          <w:lang w:eastAsia="en-US"/>
        </w:rPr>
        <w:t xml:space="preserve">Bray, S., Orr, D. and Preston-Shoot, M. (2014) Self-neglect policy and practice: building an evidence base of Adult Social Care (report 69) [online] Available at </w:t>
      </w:r>
      <w:hyperlink r:id="rId14" w:history="1">
        <w:r w:rsidRPr="00DD21F2">
          <w:rPr>
            <w:rFonts w:asciiTheme="minorHAnsi" w:hAnsiTheme="minorHAnsi" w:cstheme="minorHAnsi"/>
            <w:color w:val="0563C1" w:themeColor="hyperlink"/>
            <w:sz w:val="22"/>
            <w:szCs w:val="22"/>
            <w:u w:val="single"/>
            <w:shd w:val="clear" w:color="auto" w:fill="FFFFFF"/>
            <w:lang w:eastAsia="en-US"/>
          </w:rPr>
          <w:t>https://www.scie.org.uk/publications/reports/report69.asp</w:t>
        </w:r>
      </w:hyperlink>
      <w:r w:rsidRPr="00DD21F2">
        <w:rPr>
          <w:rFonts w:asciiTheme="minorHAnsi" w:hAnsiTheme="minorHAnsi" w:cstheme="minorHAnsi"/>
          <w:sz w:val="22"/>
          <w:szCs w:val="22"/>
          <w:shd w:val="clear" w:color="auto" w:fill="FFFFFF"/>
          <w:lang w:eastAsia="en-US"/>
        </w:rPr>
        <w:t xml:space="preserve"> Accessed 08/09/2024.</w:t>
      </w:r>
    </w:p>
    <w:p w14:paraId="1EA4F82F" w14:textId="77777777" w:rsidR="00025E89" w:rsidRDefault="00025E89" w:rsidP="00025E89">
      <w:pPr>
        <w:overflowPunct/>
        <w:autoSpaceDE/>
        <w:autoSpaceDN/>
        <w:adjustRightInd/>
        <w:spacing w:after="160" w:line="259"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British Association of Social Workers. (2021). </w:t>
      </w:r>
      <w:r w:rsidRPr="00DD21F2">
        <w:rPr>
          <w:rFonts w:asciiTheme="minorHAnsi" w:eastAsiaTheme="minorHAnsi" w:hAnsiTheme="minorHAnsi" w:cstheme="minorBidi"/>
          <w:i/>
          <w:iCs/>
          <w:color w:val="auto"/>
          <w:kern w:val="2"/>
          <w:sz w:val="22"/>
          <w:szCs w:val="22"/>
          <w:lang w:eastAsia="en-US"/>
          <w14:ligatures w14:val="standardContextual"/>
        </w:rPr>
        <w:t>The Code of Ethics for Social Work. The Policy, Ethics and Human Rights Committee</w:t>
      </w:r>
      <w:r w:rsidRPr="00DD21F2">
        <w:rPr>
          <w:rFonts w:asciiTheme="minorHAnsi" w:eastAsiaTheme="minorHAnsi" w:hAnsiTheme="minorHAnsi" w:cstheme="minorBidi"/>
          <w:color w:val="auto"/>
          <w:kern w:val="2"/>
          <w:sz w:val="22"/>
          <w:szCs w:val="22"/>
          <w:lang w:eastAsia="en-US"/>
          <w14:ligatures w14:val="standardContextual"/>
        </w:rPr>
        <w:t xml:space="preserve">. Available at Code of Ethics | </w:t>
      </w:r>
      <w:hyperlink r:id="rId15" w:history="1">
        <w:r w:rsidRPr="00DD21F2">
          <w:rPr>
            <w:rFonts w:asciiTheme="minorHAnsi" w:eastAsiaTheme="minorHAnsi" w:hAnsiTheme="minorHAnsi" w:cstheme="minorBidi"/>
            <w:color w:val="0563C1" w:themeColor="hyperlink"/>
            <w:kern w:val="2"/>
            <w:sz w:val="22"/>
            <w:szCs w:val="22"/>
            <w:u w:val="single"/>
            <w:lang w:eastAsia="en-US"/>
            <w14:ligatures w14:val="standardContextual"/>
          </w:rPr>
          <w:t>www.basw.co.uk</w:t>
        </w:r>
      </w:hyperlink>
    </w:p>
    <w:p w14:paraId="253FB4B6" w14:textId="1A2FB6CD" w:rsidR="00884D7B" w:rsidRDefault="00884D7B" w:rsidP="00884D7B">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Bronfenbrenner, U. (1994) Ecological Models of Human Development. Available online at </w:t>
      </w:r>
      <w:hyperlink r:id="rId16" w:history="1">
        <w:r w:rsidRPr="00DD21F2">
          <w:rPr>
            <w:rStyle w:val="Hyperlink"/>
            <w:rFonts w:asciiTheme="minorHAnsi" w:eastAsiaTheme="minorHAnsi" w:hAnsiTheme="minorHAnsi" w:cstheme="minorBidi"/>
            <w:kern w:val="2"/>
            <w:sz w:val="22"/>
            <w:szCs w:val="22"/>
            <w:lang w:eastAsia="en-US"/>
            <w14:ligatures w14:val="standardContextual"/>
          </w:rPr>
          <w:t>http://www.psy.cmu.edu/siegler/35bronfebrenner94.pdf. Accessed on 16/06/2024</w:t>
        </w:r>
      </w:hyperlink>
      <w:r w:rsidRPr="00DD21F2">
        <w:rPr>
          <w:rFonts w:asciiTheme="minorHAnsi" w:eastAsiaTheme="minorHAnsi" w:hAnsiTheme="minorHAnsi" w:cstheme="minorBidi"/>
          <w:color w:val="auto"/>
          <w:kern w:val="2"/>
          <w:sz w:val="22"/>
          <w:szCs w:val="22"/>
          <w:lang w:eastAsia="en-US"/>
          <w14:ligatures w14:val="standardContextual"/>
        </w:rPr>
        <w:t xml:space="preserve">. </w:t>
      </w:r>
    </w:p>
    <w:p w14:paraId="48C395ED" w14:textId="77777777" w:rsidR="00A879D2" w:rsidRDefault="00A879D2" w:rsidP="00A879D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Butler, A., Ford, D. and Tregaskis, C. (2007) </w:t>
      </w:r>
      <w:r w:rsidRPr="00DD21F2">
        <w:rPr>
          <w:rFonts w:asciiTheme="minorHAnsi" w:eastAsiaTheme="minorHAnsi" w:hAnsiTheme="minorHAnsi" w:cstheme="minorBidi"/>
          <w:i/>
          <w:iCs/>
          <w:color w:val="auto"/>
          <w:kern w:val="2"/>
          <w:sz w:val="22"/>
          <w:szCs w:val="22"/>
          <w:lang w:eastAsia="en-US"/>
          <w14:ligatures w14:val="standardContextual"/>
        </w:rPr>
        <w:t>‘who do we think we are? Self and Reflexivity in Social Work Practice’</w:t>
      </w:r>
      <w:r w:rsidRPr="00DD21F2">
        <w:rPr>
          <w:rFonts w:asciiTheme="minorHAnsi" w:eastAsiaTheme="minorHAnsi" w:hAnsiTheme="minorHAnsi" w:cstheme="minorBidi"/>
          <w:color w:val="auto"/>
          <w:kern w:val="2"/>
          <w:sz w:val="22"/>
          <w:szCs w:val="22"/>
          <w:lang w:eastAsia="en-US"/>
          <w14:ligatures w14:val="standardContextual"/>
        </w:rPr>
        <w:t xml:space="preserve">, Qualitative Social Work, vol. 6, no. 3, pp. 281-99. </w:t>
      </w:r>
    </w:p>
    <w:p w14:paraId="27FDDE57" w14:textId="77777777" w:rsidR="00884D7B" w:rsidRPr="00DD21F2" w:rsidRDefault="00884D7B" w:rsidP="00884D7B">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lastRenderedPageBreak/>
        <w:t>Care Council for Wales (CCW) (201</w:t>
      </w:r>
      <w:r>
        <w:rPr>
          <w:rFonts w:asciiTheme="minorHAnsi" w:eastAsiaTheme="minorHAnsi" w:hAnsiTheme="minorHAnsi" w:cstheme="minorBidi"/>
          <w:color w:val="auto"/>
          <w:kern w:val="2"/>
          <w:sz w:val="22"/>
          <w:szCs w:val="22"/>
          <w:lang w:eastAsia="en-US"/>
          <w14:ligatures w14:val="standardContextual"/>
        </w:rPr>
        <w:t>7</w:t>
      </w:r>
      <w:r w:rsidRPr="00DD21F2">
        <w:rPr>
          <w:rFonts w:asciiTheme="minorHAnsi" w:eastAsiaTheme="minorHAnsi" w:hAnsiTheme="minorHAnsi" w:cstheme="minorBidi"/>
          <w:color w:val="auto"/>
          <w:kern w:val="2"/>
          <w:sz w:val="22"/>
          <w:szCs w:val="22"/>
          <w:lang w:eastAsia="en-US"/>
          <w14:ligatures w14:val="standardContextual"/>
        </w:rPr>
        <w:t xml:space="preserve">) </w:t>
      </w:r>
      <w:r w:rsidRPr="00DD21F2">
        <w:rPr>
          <w:rFonts w:asciiTheme="minorHAnsi" w:eastAsiaTheme="minorHAnsi" w:hAnsiTheme="minorHAnsi" w:cstheme="minorBidi"/>
          <w:i/>
          <w:iCs/>
          <w:color w:val="auto"/>
          <w:kern w:val="2"/>
          <w:sz w:val="22"/>
          <w:szCs w:val="22"/>
          <w:lang w:eastAsia="en-US"/>
          <w14:ligatures w14:val="standardContextual"/>
        </w:rPr>
        <w:t>Code of Professional Practice for Social Care</w:t>
      </w:r>
      <w:r w:rsidRPr="00DD21F2">
        <w:rPr>
          <w:rFonts w:asciiTheme="minorHAnsi" w:eastAsiaTheme="minorHAnsi" w:hAnsiTheme="minorHAnsi" w:cstheme="minorBidi"/>
          <w:color w:val="auto"/>
          <w:kern w:val="2"/>
          <w:sz w:val="22"/>
          <w:szCs w:val="22"/>
          <w:lang w:eastAsia="en-US"/>
          <w14:ligatures w14:val="standardContextual"/>
        </w:rPr>
        <w:t xml:space="preserve"> [online] Available at </w:t>
      </w:r>
      <w:hyperlink r:id="rId17" w:history="1">
        <w:r w:rsidRPr="00DD21F2">
          <w:rPr>
            <w:rFonts w:asciiTheme="minorHAnsi" w:eastAsiaTheme="minorHAnsi" w:hAnsiTheme="minorHAnsi" w:cstheme="minorBidi"/>
            <w:color w:val="0563C1" w:themeColor="hyperlink"/>
            <w:kern w:val="2"/>
            <w:sz w:val="22"/>
            <w:szCs w:val="22"/>
            <w:u w:val="single"/>
            <w:lang w:eastAsia="en-US"/>
            <w14:ligatures w14:val="standardContextual"/>
          </w:rPr>
          <w:t>www.ccwales.org.uk/code-of-professional-practice/</w:t>
        </w:r>
      </w:hyperlink>
      <w:r w:rsidRPr="00DD21F2">
        <w:rPr>
          <w:rFonts w:asciiTheme="minorHAnsi" w:eastAsiaTheme="minorHAnsi" w:hAnsiTheme="minorHAnsi" w:cstheme="minorBidi"/>
          <w:color w:val="auto"/>
          <w:kern w:val="2"/>
          <w:sz w:val="22"/>
          <w:szCs w:val="22"/>
          <w:lang w:eastAsia="en-US"/>
          <w14:ligatures w14:val="standardContextual"/>
        </w:rPr>
        <w:t xml:space="preserve"> [Accessed on 02/03/2024]. </w:t>
      </w:r>
    </w:p>
    <w:p w14:paraId="1D11B99A" w14:textId="77777777" w:rsidR="00884D7B" w:rsidRDefault="00884D7B" w:rsidP="00884D7B">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De Shazer, S. (1985) </w:t>
      </w:r>
      <w:r w:rsidRPr="00DD21F2">
        <w:rPr>
          <w:rFonts w:asciiTheme="minorHAnsi" w:eastAsiaTheme="minorHAnsi" w:hAnsiTheme="minorHAnsi" w:cstheme="minorBidi"/>
          <w:i/>
          <w:iCs/>
          <w:color w:val="auto"/>
          <w:kern w:val="2"/>
          <w:sz w:val="22"/>
          <w:szCs w:val="22"/>
          <w:lang w:eastAsia="en-US"/>
          <w14:ligatures w14:val="standardContextual"/>
        </w:rPr>
        <w:t>Keys to Solution in Brief Therapy</w:t>
      </w:r>
      <w:r w:rsidRPr="00DD21F2">
        <w:rPr>
          <w:rFonts w:asciiTheme="minorHAnsi" w:eastAsiaTheme="minorHAnsi" w:hAnsiTheme="minorHAnsi" w:cstheme="minorBidi"/>
          <w:color w:val="auto"/>
          <w:kern w:val="2"/>
          <w:sz w:val="22"/>
          <w:szCs w:val="22"/>
          <w:lang w:eastAsia="en-US"/>
          <w14:ligatures w14:val="standardContextual"/>
        </w:rPr>
        <w:t>. (New York) Norton.</w:t>
      </w:r>
    </w:p>
    <w:p w14:paraId="062BE842" w14:textId="77777777" w:rsidR="007D2A4A" w:rsidRDefault="00884D7B" w:rsidP="00383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Dewane, C.J. (2006) ‘Use of Self: A primer revisited’. Clinical Social Work Journal, 24[04], pg. 543-558</w:t>
      </w:r>
    </w:p>
    <w:p w14:paraId="386DC259" w14:textId="50AC89B6" w:rsidR="00383D64" w:rsidRDefault="00F24EB7" w:rsidP="00383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Emerson, E. and Einfeld, S.L. (2011) </w:t>
      </w:r>
      <w:r w:rsidRPr="00DD21F2">
        <w:rPr>
          <w:rFonts w:asciiTheme="minorHAnsi" w:eastAsiaTheme="minorHAnsi" w:hAnsiTheme="minorHAnsi" w:cstheme="minorBidi"/>
          <w:i/>
          <w:iCs/>
          <w:color w:val="auto"/>
          <w:kern w:val="2"/>
          <w:sz w:val="22"/>
          <w:szCs w:val="22"/>
          <w:lang w:eastAsia="en-US"/>
          <w14:ligatures w14:val="standardContextual"/>
        </w:rPr>
        <w:t>Challenging behaviour</w:t>
      </w:r>
      <w:r w:rsidRPr="00DD21F2">
        <w:rPr>
          <w:rFonts w:asciiTheme="minorHAnsi" w:eastAsiaTheme="minorHAnsi" w:hAnsiTheme="minorHAnsi" w:cstheme="minorBidi"/>
          <w:color w:val="auto"/>
          <w:kern w:val="2"/>
          <w:sz w:val="22"/>
          <w:szCs w:val="22"/>
          <w:lang w:eastAsia="en-US"/>
          <w14:ligatures w14:val="standardContextual"/>
        </w:rPr>
        <w:t xml:space="preserve">. (Cambridge) Cambridge University Press. </w:t>
      </w:r>
    </w:p>
    <w:p w14:paraId="5326C9A8" w14:textId="2D97ED0C" w:rsidR="00884D7B" w:rsidRPr="00383D64" w:rsidRDefault="00884D7B" w:rsidP="00383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Erikson, E. (1950) </w:t>
      </w:r>
      <w:r w:rsidRPr="00DD21F2">
        <w:rPr>
          <w:rFonts w:asciiTheme="minorHAnsi" w:hAnsiTheme="minorHAnsi" w:cstheme="minorHAnsi"/>
          <w:i/>
          <w:iCs/>
          <w:sz w:val="22"/>
          <w:szCs w:val="22"/>
          <w:shd w:val="clear" w:color="auto" w:fill="FFFFFF"/>
          <w:lang w:eastAsia="en-US"/>
        </w:rPr>
        <w:t>Childhood and Society</w:t>
      </w:r>
      <w:r w:rsidRPr="00DD21F2">
        <w:rPr>
          <w:rFonts w:asciiTheme="minorHAnsi" w:hAnsiTheme="minorHAnsi" w:cstheme="minorHAnsi"/>
          <w:sz w:val="22"/>
          <w:szCs w:val="22"/>
          <w:shd w:val="clear" w:color="auto" w:fill="FFFFFF"/>
          <w:lang w:eastAsia="en-US"/>
        </w:rPr>
        <w:t xml:space="preserve">. (New York) Norton. </w:t>
      </w:r>
    </w:p>
    <w:p w14:paraId="1B37BC08" w14:textId="77777777" w:rsidR="00F24EB7" w:rsidRDefault="00F24EB7" w:rsidP="00F24EB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Fook, J. (2002) </w:t>
      </w:r>
      <w:r w:rsidRPr="00DD21F2">
        <w:rPr>
          <w:rFonts w:asciiTheme="minorHAnsi" w:eastAsiaTheme="minorHAnsi" w:hAnsiTheme="minorHAnsi" w:cstheme="minorBidi"/>
          <w:i/>
          <w:iCs/>
          <w:color w:val="auto"/>
          <w:kern w:val="2"/>
          <w:sz w:val="22"/>
          <w:szCs w:val="22"/>
          <w:lang w:eastAsia="en-US"/>
          <w14:ligatures w14:val="standardContextual"/>
        </w:rPr>
        <w:t xml:space="preserve">Social </w:t>
      </w:r>
      <w:r w:rsidRPr="00DD21F2">
        <w:rPr>
          <w:rFonts w:asciiTheme="minorHAnsi" w:eastAsiaTheme="minorHAnsi" w:hAnsiTheme="minorHAnsi" w:cstheme="minorBidi"/>
          <w:color w:val="auto"/>
          <w:kern w:val="2"/>
          <w:sz w:val="22"/>
          <w:szCs w:val="22"/>
          <w:lang w:eastAsia="en-US"/>
          <w14:ligatures w14:val="standardContextual"/>
        </w:rPr>
        <w:t>Work</w:t>
      </w:r>
      <w:r w:rsidRPr="00DD21F2">
        <w:rPr>
          <w:rFonts w:asciiTheme="minorHAnsi" w:eastAsiaTheme="minorHAnsi" w:hAnsiTheme="minorHAnsi" w:cstheme="minorBidi"/>
          <w:i/>
          <w:iCs/>
          <w:color w:val="auto"/>
          <w:kern w:val="2"/>
          <w:sz w:val="22"/>
          <w:szCs w:val="22"/>
          <w:lang w:eastAsia="en-US"/>
          <w14:ligatures w14:val="standardContextual"/>
        </w:rPr>
        <w:t>: Critical Theory and Practice</w:t>
      </w:r>
      <w:r w:rsidRPr="00DD21F2">
        <w:rPr>
          <w:rFonts w:asciiTheme="minorHAnsi" w:eastAsiaTheme="minorHAnsi" w:hAnsiTheme="minorHAnsi" w:cstheme="minorBidi"/>
          <w:color w:val="auto"/>
          <w:kern w:val="2"/>
          <w:sz w:val="22"/>
          <w:szCs w:val="22"/>
          <w:lang w:eastAsia="en-US"/>
          <w14:ligatures w14:val="standardContextual"/>
        </w:rPr>
        <w:t xml:space="preserve">. (London) Sage. </w:t>
      </w:r>
    </w:p>
    <w:p w14:paraId="522A6A2A" w14:textId="77777777" w:rsidR="00F24EB7" w:rsidRDefault="00884D7B" w:rsidP="00F24EB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Friedman, D. (2010) Social Impact of Poor Housing, ECOTEC/National Housing Federation [online] Available at </w:t>
      </w:r>
      <w:hyperlink r:id="rId18" w:history="1">
        <w:r w:rsidRPr="00DD21F2">
          <w:rPr>
            <w:rFonts w:asciiTheme="minorHAnsi" w:hAnsiTheme="minorHAnsi" w:cstheme="minorHAnsi"/>
            <w:color w:val="0563C1" w:themeColor="hyperlink"/>
            <w:sz w:val="22"/>
            <w:szCs w:val="22"/>
            <w:u w:val="single"/>
            <w:shd w:val="clear" w:color="auto" w:fill="FFFFFF"/>
            <w:lang w:eastAsia="en-US"/>
          </w:rPr>
          <w:t>http://www.salford.gov.uk/corestrategy/iw/JC-JC13-Social-impact-of-poor-housing.pdf</w:t>
        </w:r>
      </w:hyperlink>
      <w:r w:rsidRPr="00DD21F2">
        <w:rPr>
          <w:rFonts w:asciiTheme="minorHAnsi" w:hAnsiTheme="minorHAnsi" w:cstheme="minorHAnsi"/>
          <w:sz w:val="22"/>
          <w:szCs w:val="22"/>
          <w:shd w:val="clear" w:color="auto" w:fill="FFFFFF"/>
          <w:lang w:eastAsia="en-US"/>
        </w:rPr>
        <w:t xml:space="preserve">  Accessed 08/09/2024. </w:t>
      </w:r>
    </w:p>
    <w:p w14:paraId="333FF81D" w14:textId="77777777" w:rsidR="00383D64" w:rsidRDefault="00884D7B" w:rsidP="00383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Gibbs, G. (1998) </w:t>
      </w:r>
      <w:r w:rsidRPr="00DD21F2">
        <w:rPr>
          <w:rFonts w:asciiTheme="minorHAnsi" w:hAnsiTheme="minorHAnsi" w:cstheme="minorHAnsi"/>
          <w:i/>
          <w:iCs/>
          <w:sz w:val="22"/>
          <w:szCs w:val="22"/>
          <w:shd w:val="clear" w:color="auto" w:fill="FFFFFF"/>
          <w:lang w:eastAsia="en-US"/>
        </w:rPr>
        <w:t>‘Learning by Doing: A Guide to Teaching and Learning’</w:t>
      </w:r>
      <w:r w:rsidRPr="00DD21F2">
        <w:rPr>
          <w:rFonts w:asciiTheme="minorHAnsi" w:hAnsiTheme="minorHAnsi" w:cstheme="minorHAnsi"/>
          <w:sz w:val="22"/>
          <w:szCs w:val="22"/>
          <w:shd w:val="clear" w:color="auto" w:fill="FFFFFF"/>
          <w:lang w:eastAsia="en-US"/>
        </w:rPr>
        <w:t xml:space="preserve">. London: FEU. </w:t>
      </w:r>
    </w:p>
    <w:p w14:paraId="36E8D94A" w14:textId="77777777" w:rsidR="00A879D2" w:rsidRDefault="00884D7B" w:rsidP="00A879D2">
      <w:pPr>
        <w:overflowPunct/>
        <w:autoSpaceDE/>
        <w:autoSpaceDN/>
        <w:adjustRightInd/>
        <w:spacing w:after="160" w:line="259" w:lineRule="auto"/>
        <w:textAlignment w:val="auto"/>
        <w:rPr>
          <w:rFonts w:asciiTheme="minorHAnsi" w:hAnsiTheme="minorHAnsi" w:cstheme="minorHAnsi"/>
          <w:sz w:val="22"/>
          <w:szCs w:val="22"/>
          <w:shd w:val="clear" w:color="auto" w:fill="FFFFFF"/>
          <w:lang w:eastAsia="en-US"/>
        </w:rPr>
      </w:pPr>
      <w:r w:rsidRPr="00DD21F2">
        <w:rPr>
          <w:rFonts w:asciiTheme="minorHAnsi" w:hAnsiTheme="minorHAnsi" w:cstheme="minorHAnsi"/>
          <w:sz w:val="22"/>
          <w:szCs w:val="22"/>
          <w:shd w:val="clear" w:color="auto" w:fill="FFFFFF"/>
          <w:lang w:eastAsia="en-US"/>
        </w:rPr>
        <w:t xml:space="preserve">Giddens, A. (1991) </w:t>
      </w:r>
      <w:r w:rsidRPr="00DD21F2">
        <w:rPr>
          <w:rFonts w:asciiTheme="minorHAnsi" w:hAnsiTheme="minorHAnsi" w:cstheme="minorHAnsi"/>
          <w:i/>
          <w:iCs/>
          <w:sz w:val="22"/>
          <w:szCs w:val="22"/>
          <w:shd w:val="clear" w:color="auto" w:fill="FFFFFF"/>
          <w:lang w:eastAsia="en-US"/>
        </w:rPr>
        <w:t>Modernity and Self-identity: Self and Society in the Late Modern Age.</w:t>
      </w:r>
      <w:r w:rsidRPr="00DD21F2">
        <w:rPr>
          <w:rFonts w:asciiTheme="minorHAnsi" w:hAnsiTheme="minorHAnsi" w:cstheme="minorHAnsi"/>
          <w:sz w:val="22"/>
          <w:szCs w:val="22"/>
          <w:shd w:val="clear" w:color="auto" w:fill="FFFFFF"/>
          <w:lang w:eastAsia="en-US"/>
        </w:rPr>
        <w:t xml:space="preserve"> (Stanford) Stanford University Press. </w:t>
      </w:r>
    </w:p>
    <w:p w14:paraId="7A815FF4" w14:textId="77777777" w:rsidR="003C7905" w:rsidRPr="003C7905" w:rsidRDefault="003C7905" w:rsidP="003C790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C7905">
        <w:rPr>
          <w:rFonts w:asciiTheme="minorHAnsi" w:eastAsiaTheme="minorHAnsi" w:hAnsiTheme="minorHAnsi" w:cstheme="minorBidi"/>
          <w:color w:val="auto"/>
          <w:kern w:val="2"/>
          <w:sz w:val="22"/>
          <w:szCs w:val="22"/>
          <w:lang w:eastAsia="en-US"/>
          <w14:ligatures w14:val="standardContextual"/>
        </w:rPr>
        <w:t>HM Government (2015). ‘</w:t>
      </w:r>
      <w:r w:rsidRPr="003C7905">
        <w:rPr>
          <w:rFonts w:asciiTheme="minorHAnsi" w:eastAsiaTheme="minorHAnsi" w:hAnsiTheme="minorHAnsi" w:cstheme="minorBidi"/>
          <w:i/>
          <w:iCs/>
          <w:color w:val="auto"/>
          <w:kern w:val="2"/>
          <w:sz w:val="22"/>
          <w:szCs w:val="22"/>
          <w:lang w:eastAsia="en-US"/>
          <w14:ligatures w14:val="standardContextual"/>
        </w:rPr>
        <w:t>Working Together to Safeguard Children. A Guide to Inter-agency Working to Safeguard and Promote the Welfare of Children’</w:t>
      </w:r>
      <w:r w:rsidRPr="003C7905">
        <w:rPr>
          <w:rFonts w:asciiTheme="minorHAnsi" w:eastAsiaTheme="minorHAnsi" w:hAnsiTheme="minorHAnsi" w:cstheme="minorBidi"/>
          <w:color w:val="auto"/>
          <w:kern w:val="2"/>
          <w:sz w:val="22"/>
          <w:szCs w:val="22"/>
          <w:lang w:eastAsia="en-US"/>
          <w14:ligatures w14:val="standardContextual"/>
        </w:rPr>
        <w:t xml:space="preserve">. London. HM Government. </w:t>
      </w:r>
    </w:p>
    <w:p w14:paraId="3A3595D5" w14:textId="5DCDB014" w:rsidR="00884D7B" w:rsidRPr="00DD21F2" w:rsidRDefault="00884D7B" w:rsidP="00A879D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Johnson, F., Hogg, J and Daniel, B. (2010) ‘Abuse and protection issues across the lifespan: reviewing the literature’, </w:t>
      </w:r>
      <w:r w:rsidRPr="00DD21F2">
        <w:rPr>
          <w:rFonts w:asciiTheme="minorHAnsi" w:hAnsiTheme="minorHAnsi" w:cstheme="minorHAnsi"/>
          <w:i/>
          <w:iCs/>
          <w:sz w:val="22"/>
          <w:szCs w:val="22"/>
          <w:shd w:val="clear" w:color="auto" w:fill="FFFFFF"/>
          <w:lang w:eastAsia="en-US"/>
        </w:rPr>
        <w:t>Social Policy and Society</w:t>
      </w:r>
      <w:r w:rsidRPr="00DD21F2">
        <w:rPr>
          <w:rFonts w:asciiTheme="minorHAnsi" w:hAnsiTheme="minorHAnsi" w:cstheme="minorHAnsi"/>
          <w:sz w:val="22"/>
          <w:szCs w:val="22"/>
          <w:shd w:val="clear" w:color="auto" w:fill="FFFFFF"/>
          <w:lang w:eastAsia="en-US"/>
        </w:rPr>
        <w:t xml:space="preserve">, vol. 9, no. 2, pp. 291-304. </w:t>
      </w:r>
    </w:p>
    <w:p w14:paraId="34C1DD27" w14:textId="1B2AC9F6" w:rsidR="00884D7B" w:rsidRDefault="00884D7B" w:rsidP="00884D7B">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DD21F2">
        <w:rPr>
          <w:rFonts w:asciiTheme="minorHAnsi" w:eastAsiaTheme="minorHAnsi" w:hAnsiTheme="minorHAnsi" w:cstheme="minorHAnsi"/>
          <w:sz w:val="22"/>
          <w:szCs w:val="22"/>
          <w:shd w:val="clear" w:color="auto" w:fill="FFFFFF"/>
          <w:lang w:eastAsia="en-US"/>
        </w:rPr>
        <w:t>Kielhofner, G. (2008) </w:t>
      </w:r>
      <w:r w:rsidRPr="00DD21F2">
        <w:rPr>
          <w:rFonts w:asciiTheme="minorHAnsi" w:eastAsiaTheme="minorHAnsi" w:hAnsiTheme="minorHAnsi" w:cstheme="minorHAnsi"/>
          <w:i/>
          <w:iCs/>
          <w:sz w:val="22"/>
          <w:szCs w:val="22"/>
          <w:shd w:val="clear" w:color="auto" w:fill="FFFFFF"/>
          <w:lang w:eastAsia="en-US"/>
        </w:rPr>
        <w:t>Model of Human Occupation: Theory and application</w:t>
      </w:r>
      <w:r w:rsidRPr="00DD21F2">
        <w:rPr>
          <w:rFonts w:asciiTheme="minorHAnsi" w:eastAsiaTheme="minorHAnsi" w:hAnsiTheme="minorHAnsi" w:cstheme="minorHAnsi"/>
          <w:sz w:val="22"/>
          <w:szCs w:val="22"/>
          <w:shd w:val="clear" w:color="auto" w:fill="FFFFFF"/>
          <w:lang w:eastAsia="en-US"/>
        </w:rPr>
        <w:t> 4</w:t>
      </w:r>
      <w:r w:rsidRPr="00DD21F2">
        <w:rPr>
          <w:rFonts w:asciiTheme="minorHAnsi" w:eastAsiaTheme="minorHAnsi" w:hAnsiTheme="minorHAnsi" w:cstheme="minorHAnsi"/>
          <w:sz w:val="22"/>
          <w:szCs w:val="22"/>
          <w:shd w:val="clear" w:color="auto" w:fill="FFFFFF"/>
          <w:vertAlign w:val="superscript"/>
          <w:lang w:eastAsia="en-US"/>
        </w:rPr>
        <w:t>th</w:t>
      </w:r>
      <w:r w:rsidRPr="00DD21F2">
        <w:rPr>
          <w:rFonts w:asciiTheme="minorHAnsi" w:eastAsiaTheme="minorHAnsi" w:hAnsiTheme="minorHAnsi" w:cstheme="minorHAnsi"/>
          <w:sz w:val="22"/>
          <w:szCs w:val="22"/>
          <w:shd w:val="clear" w:color="auto" w:fill="FFFFFF"/>
          <w:lang w:eastAsia="en-US"/>
        </w:rPr>
        <w:t xml:space="preserve"> edn, </w:t>
      </w:r>
      <w:r w:rsidR="00383D64">
        <w:rPr>
          <w:rFonts w:asciiTheme="minorHAnsi" w:eastAsiaTheme="minorHAnsi" w:hAnsiTheme="minorHAnsi" w:cstheme="minorHAnsi"/>
          <w:sz w:val="22"/>
          <w:szCs w:val="22"/>
          <w:shd w:val="clear" w:color="auto" w:fill="FFFFFF"/>
          <w:lang w:eastAsia="en-US"/>
        </w:rPr>
        <w:t>x</w:t>
      </w:r>
    </w:p>
    <w:p w14:paraId="38D91929" w14:textId="7BA7063E" w:rsidR="00383D64" w:rsidRDefault="00383D64" w:rsidP="00884D7B">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Kolb, D. (1985) </w:t>
      </w:r>
      <w:r w:rsidRPr="00DD21F2">
        <w:rPr>
          <w:rFonts w:asciiTheme="minorHAnsi" w:eastAsiaTheme="minorHAnsi" w:hAnsiTheme="minorHAnsi" w:cstheme="minorBidi"/>
          <w:i/>
          <w:iCs/>
          <w:color w:val="auto"/>
          <w:kern w:val="2"/>
          <w:sz w:val="22"/>
          <w:szCs w:val="22"/>
          <w:lang w:eastAsia="en-US"/>
          <w14:ligatures w14:val="standardContextual"/>
        </w:rPr>
        <w:t>Experiential Learning: Experience as the Source of Learning Development</w:t>
      </w:r>
      <w:r w:rsidRPr="00DD21F2">
        <w:rPr>
          <w:rFonts w:asciiTheme="minorHAnsi" w:eastAsiaTheme="minorHAnsi" w:hAnsiTheme="minorHAnsi" w:cstheme="minorBidi"/>
          <w:color w:val="auto"/>
          <w:kern w:val="2"/>
          <w:sz w:val="22"/>
          <w:szCs w:val="22"/>
          <w:lang w:eastAsia="en-US"/>
          <w14:ligatures w14:val="standardContextual"/>
        </w:rPr>
        <w:t>, Harlow, Prentice Hall.</w:t>
      </w:r>
    </w:p>
    <w:p w14:paraId="1D7931B0" w14:textId="77777777" w:rsidR="00383D64" w:rsidRPr="00DD21F2" w:rsidRDefault="00383D64" w:rsidP="00383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Lishman, J (1994) </w:t>
      </w:r>
      <w:r w:rsidRPr="00DD21F2">
        <w:rPr>
          <w:rFonts w:asciiTheme="minorHAnsi" w:eastAsiaTheme="minorHAnsi" w:hAnsiTheme="minorHAnsi" w:cstheme="minorBidi"/>
          <w:i/>
          <w:iCs/>
          <w:color w:val="auto"/>
          <w:kern w:val="2"/>
          <w:sz w:val="22"/>
          <w:szCs w:val="22"/>
          <w:lang w:eastAsia="en-US"/>
          <w14:ligatures w14:val="standardContextual"/>
        </w:rPr>
        <w:t>Communication in Social Work</w:t>
      </w:r>
      <w:r w:rsidRPr="00DD21F2">
        <w:rPr>
          <w:rFonts w:asciiTheme="minorHAnsi" w:eastAsiaTheme="minorHAnsi" w:hAnsiTheme="minorHAnsi" w:cstheme="minorBidi"/>
          <w:color w:val="auto"/>
          <w:kern w:val="2"/>
          <w:sz w:val="22"/>
          <w:szCs w:val="22"/>
          <w:lang w:eastAsia="en-US"/>
          <w14:ligatures w14:val="standardContextual"/>
        </w:rPr>
        <w:t>. Basingstoke: Macmillian/BASW. Cited in Trevithick, P. (2005) Social Work Skills: a Practical Handbook 2</w:t>
      </w:r>
      <w:r w:rsidRPr="00DD21F2">
        <w:rPr>
          <w:rFonts w:asciiTheme="minorHAnsi" w:eastAsiaTheme="minorHAnsi" w:hAnsiTheme="minorHAnsi" w:cstheme="minorBidi"/>
          <w:color w:val="auto"/>
          <w:kern w:val="2"/>
          <w:sz w:val="22"/>
          <w:szCs w:val="22"/>
          <w:vertAlign w:val="superscript"/>
          <w:lang w:eastAsia="en-US"/>
          <w14:ligatures w14:val="standardContextual"/>
        </w:rPr>
        <w:t>nd</w:t>
      </w:r>
      <w:r w:rsidRPr="00DD21F2">
        <w:rPr>
          <w:rFonts w:asciiTheme="minorHAnsi" w:eastAsiaTheme="minorHAnsi" w:hAnsiTheme="minorHAnsi" w:cstheme="minorBidi"/>
          <w:color w:val="auto"/>
          <w:kern w:val="2"/>
          <w:sz w:val="22"/>
          <w:szCs w:val="22"/>
          <w:lang w:eastAsia="en-US"/>
          <w14:ligatures w14:val="standardContextual"/>
        </w:rPr>
        <w:t xml:space="preserve"> ed. Maidenhead. Open University Press</w:t>
      </w:r>
    </w:p>
    <w:p w14:paraId="137AECEE" w14:textId="77777777" w:rsidR="00A879D2" w:rsidRDefault="00383D64" w:rsidP="00A879D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Lishman, J. (2002) ‘</w:t>
      </w:r>
      <w:r w:rsidRPr="00DD21F2">
        <w:rPr>
          <w:rFonts w:asciiTheme="minorHAnsi" w:eastAsiaTheme="minorHAnsi" w:hAnsiTheme="minorHAnsi" w:cstheme="minorBidi"/>
          <w:i/>
          <w:iCs/>
          <w:color w:val="auto"/>
          <w:kern w:val="2"/>
          <w:sz w:val="22"/>
          <w:szCs w:val="22"/>
          <w:lang w:eastAsia="en-US"/>
          <w14:ligatures w14:val="standardContextual"/>
        </w:rPr>
        <w:t>Personal and Professional Development’</w:t>
      </w:r>
      <w:r w:rsidRPr="00DD21F2">
        <w:rPr>
          <w:rFonts w:asciiTheme="minorHAnsi" w:eastAsiaTheme="minorHAnsi" w:hAnsiTheme="minorHAnsi" w:cstheme="minorBidi"/>
          <w:color w:val="auto"/>
          <w:kern w:val="2"/>
          <w:sz w:val="22"/>
          <w:szCs w:val="22"/>
          <w:lang w:eastAsia="en-US"/>
          <w14:ligatures w14:val="standardContextual"/>
        </w:rPr>
        <w:t xml:space="preserve"> in Adams, R., Dominelli, L. and Payne, M. (eds) </w:t>
      </w:r>
      <w:r w:rsidRPr="00DD21F2">
        <w:rPr>
          <w:rFonts w:asciiTheme="minorHAnsi" w:eastAsiaTheme="minorHAnsi" w:hAnsiTheme="minorHAnsi" w:cstheme="minorBidi"/>
          <w:i/>
          <w:iCs/>
          <w:color w:val="auto"/>
          <w:kern w:val="2"/>
          <w:sz w:val="22"/>
          <w:szCs w:val="22"/>
          <w:lang w:eastAsia="en-US"/>
          <w14:ligatures w14:val="standardContextual"/>
        </w:rPr>
        <w:t>Social Work: Themes, Issues and Critical Debates</w:t>
      </w:r>
      <w:r w:rsidRPr="00DD21F2">
        <w:rPr>
          <w:rFonts w:asciiTheme="minorHAnsi" w:eastAsiaTheme="minorHAnsi" w:hAnsiTheme="minorHAnsi" w:cstheme="minorBidi"/>
          <w:color w:val="auto"/>
          <w:kern w:val="2"/>
          <w:sz w:val="22"/>
          <w:szCs w:val="22"/>
          <w:lang w:eastAsia="en-US"/>
          <w14:ligatures w14:val="standardContextual"/>
        </w:rPr>
        <w:t>, 2</w:t>
      </w:r>
      <w:r w:rsidRPr="00DD21F2">
        <w:rPr>
          <w:rFonts w:asciiTheme="minorHAnsi" w:eastAsiaTheme="minorHAnsi" w:hAnsiTheme="minorHAnsi" w:cstheme="minorBidi"/>
          <w:color w:val="auto"/>
          <w:kern w:val="2"/>
          <w:sz w:val="22"/>
          <w:szCs w:val="22"/>
          <w:vertAlign w:val="superscript"/>
          <w:lang w:eastAsia="en-US"/>
          <w14:ligatures w14:val="standardContextual"/>
        </w:rPr>
        <w:t>nd</w:t>
      </w:r>
      <w:r w:rsidRPr="00DD21F2">
        <w:rPr>
          <w:rFonts w:asciiTheme="minorHAnsi" w:eastAsiaTheme="minorHAnsi" w:hAnsiTheme="minorHAnsi" w:cstheme="minorBidi"/>
          <w:color w:val="auto"/>
          <w:kern w:val="2"/>
          <w:sz w:val="22"/>
          <w:szCs w:val="22"/>
          <w:lang w:eastAsia="en-US"/>
          <w14:ligatures w14:val="standardContextual"/>
        </w:rPr>
        <w:t xml:space="preserve"> edn, Basingstoke, Palgrave, pp. 95-108.</w:t>
      </w:r>
    </w:p>
    <w:p w14:paraId="02F4E550" w14:textId="77777777" w:rsidR="007D2A4A" w:rsidRDefault="00884D7B" w:rsidP="007D2A4A">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Mantell, A. and Scragg, T. (2010) (eds) ‘</w:t>
      </w:r>
      <w:r w:rsidRPr="00DD21F2">
        <w:rPr>
          <w:rFonts w:asciiTheme="minorHAnsi" w:hAnsiTheme="minorHAnsi" w:cstheme="minorHAnsi"/>
          <w:i/>
          <w:iCs/>
          <w:sz w:val="22"/>
          <w:szCs w:val="22"/>
          <w:shd w:val="clear" w:color="auto" w:fill="FFFFFF"/>
          <w:lang w:eastAsia="en-US"/>
        </w:rPr>
        <w:t>Safeguarding Adults in Social Work’</w:t>
      </w:r>
      <w:r w:rsidRPr="00DD21F2">
        <w:rPr>
          <w:rFonts w:asciiTheme="minorHAnsi" w:hAnsiTheme="minorHAnsi" w:cstheme="minorHAnsi"/>
          <w:sz w:val="22"/>
          <w:szCs w:val="22"/>
          <w:shd w:val="clear" w:color="auto" w:fill="FFFFFF"/>
          <w:lang w:eastAsia="en-US"/>
        </w:rPr>
        <w:t xml:space="preserve">. Exeter, Learning Matters. </w:t>
      </w:r>
    </w:p>
    <w:p w14:paraId="46FD91F6" w14:textId="77777777" w:rsidR="007D2A4A" w:rsidRDefault="00884D7B" w:rsidP="007D2A4A">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Maslow, A.H. (1964) </w:t>
      </w:r>
      <w:r w:rsidRPr="00DD21F2">
        <w:rPr>
          <w:rFonts w:asciiTheme="minorHAnsi" w:hAnsiTheme="minorHAnsi" w:cstheme="minorHAnsi"/>
          <w:i/>
          <w:iCs/>
          <w:sz w:val="22"/>
          <w:szCs w:val="22"/>
          <w:shd w:val="clear" w:color="auto" w:fill="FFFFFF"/>
          <w:lang w:eastAsia="en-US"/>
        </w:rPr>
        <w:t>Motivation and Personality</w:t>
      </w:r>
      <w:r w:rsidRPr="00DD21F2">
        <w:rPr>
          <w:rFonts w:asciiTheme="minorHAnsi" w:hAnsiTheme="minorHAnsi" w:cstheme="minorHAnsi"/>
          <w:sz w:val="22"/>
          <w:szCs w:val="22"/>
          <w:shd w:val="clear" w:color="auto" w:fill="FFFFFF"/>
          <w:lang w:eastAsia="en-US"/>
        </w:rPr>
        <w:t xml:space="preserve">. New York. Harper &amp; Row.  </w:t>
      </w:r>
    </w:p>
    <w:p w14:paraId="386EBEC0" w14:textId="77777777" w:rsidR="007D2A4A" w:rsidRDefault="00884D7B" w:rsidP="007D2A4A">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McCreadie, C. (1996) </w:t>
      </w:r>
      <w:r w:rsidRPr="00DD21F2">
        <w:rPr>
          <w:rFonts w:asciiTheme="minorHAnsi" w:hAnsiTheme="minorHAnsi" w:cstheme="minorHAnsi"/>
          <w:i/>
          <w:iCs/>
          <w:sz w:val="22"/>
          <w:szCs w:val="22"/>
          <w:shd w:val="clear" w:color="auto" w:fill="FFFFFF"/>
          <w:lang w:eastAsia="en-US"/>
        </w:rPr>
        <w:t>Elder Abuse: update on research</w:t>
      </w:r>
      <w:r w:rsidRPr="00DD21F2">
        <w:rPr>
          <w:rFonts w:asciiTheme="minorHAnsi" w:hAnsiTheme="minorHAnsi" w:cstheme="minorHAnsi"/>
          <w:sz w:val="22"/>
          <w:szCs w:val="22"/>
          <w:shd w:val="clear" w:color="auto" w:fill="FFFFFF"/>
          <w:lang w:eastAsia="en-US"/>
        </w:rPr>
        <w:t xml:space="preserve">. London, Kings College institute of Gerontology. </w:t>
      </w:r>
    </w:p>
    <w:p w14:paraId="6713F43B" w14:textId="77777777" w:rsidR="007D2A4A" w:rsidRDefault="00884D7B" w:rsidP="007D2A4A">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Monohan, J. and Steadman, H. (1994) </w:t>
      </w:r>
      <w:r w:rsidRPr="00DD21F2">
        <w:rPr>
          <w:rFonts w:asciiTheme="minorHAnsi" w:hAnsiTheme="minorHAnsi" w:cstheme="minorHAnsi"/>
          <w:i/>
          <w:iCs/>
          <w:sz w:val="22"/>
          <w:szCs w:val="22"/>
          <w:shd w:val="clear" w:color="auto" w:fill="FFFFFF"/>
          <w:lang w:eastAsia="en-US"/>
        </w:rPr>
        <w:t>Violence and Mental Disorder: Development in Risk Assessment</w:t>
      </w:r>
      <w:r w:rsidRPr="00DD21F2">
        <w:rPr>
          <w:rFonts w:asciiTheme="minorHAnsi" w:hAnsiTheme="minorHAnsi" w:cstheme="minorHAnsi"/>
          <w:sz w:val="22"/>
          <w:szCs w:val="22"/>
          <w:shd w:val="clear" w:color="auto" w:fill="FFFFFF"/>
          <w:lang w:eastAsia="en-US"/>
        </w:rPr>
        <w:t xml:space="preserve">. (Chicago) University of Chicago Press. </w:t>
      </w:r>
    </w:p>
    <w:p w14:paraId="2D5A27C2" w14:textId="77777777" w:rsidR="007D2A4A" w:rsidRDefault="00884D7B" w:rsidP="007D2A4A">
      <w:pPr>
        <w:overflowPunct/>
        <w:autoSpaceDE/>
        <w:autoSpaceDN/>
        <w:adjustRightInd/>
        <w:spacing w:after="160" w:line="259" w:lineRule="auto"/>
        <w:textAlignment w:val="auto"/>
        <w:rPr>
          <w:rFonts w:asciiTheme="minorHAnsi" w:hAnsiTheme="minorHAnsi" w:cstheme="minorHAnsi"/>
          <w:sz w:val="22"/>
          <w:szCs w:val="22"/>
          <w:shd w:val="clear" w:color="auto" w:fill="FFFFFF"/>
          <w:lang w:eastAsia="en-US"/>
        </w:rPr>
      </w:pPr>
      <w:r w:rsidRPr="00DD21F2">
        <w:rPr>
          <w:rFonts w:asciiTheme="minorHAnsi" w:hAnsiTheme="minorHAnsi" w:cstheme="minorHAnsi"/>
          <w:sz w:val="22"/>
          <w:szCs w:val="22"/>
          <w:shd w:val="clear" w:color="auto" w:fill="FFFFFF"/>
          <w:lang w:eastAsia="en-US"/>
        </w:rPr>
        <w:t xml:space="preserve">National Assembly for Wales (2000) </w:t>
      </w:r>
      <w:r w:rsidRPr="00DD21F2">
        <w:rPr>
          <w:rFonts w:asciiTheme="minorHAnsi" w:hAnsiTheme="minorHAnsi" w:cstheme="minorHAnsi"/>
          <w:i/>
          <w:iCs/>
          <w:sz w:val="22"/>
          <w:szCs w:val="22"/>
          <w:shd w:val="clear" w:color="auto" w:fill="FFFFFF"/>
          <w:lang w:eastAsia="en-US"/>
        </w:rPr>
        <w:t>In Safe Hands: Implementing adult protection procedures in Wales</w:t>
      </w:r>
      <w:r w:rsidRPr="00DD21F2">
        <w:rPr>
          <w:rFonts w:asciiTheme="minorHAnsi" w:hAnsiTheme="minorHAnsi" w:cstheme="minorHAnsi"/>
          <w:sz w:val="22"/>
          <w:szCs w:val="22"/>
          <w:shd w:val="clear" w:color="auto" w:fill="FFFFFF"/>
          <w:lang w:eastAsia="en-US"/>
        </w:rPr>
        <w:t>, Cardiff: Welsh Government.</w:t>
      </w:r>
    </w:p>
    <w:p w14:paraId="1D0CA8E5" w14:textId="77777777" w:rsidR="003C7905" w:rsidRPr="003C7905" w:rsidRDefault="003C7905" w:rsidP="003C790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C7905">
        <w:rPr>
          <w:rFonts w:asciiTheme="minorHAnsi" w:eastAsiaTheme="minorHAnsi" w:hAnsiTheme="minorHAnsi" w:cstheme="minorBidi"/>
          <w:color w:val="auto"/>
          <w:kern w:val="2"/>
          <w:sz w:val="22"/>
          <w:szCs w:val="22"/>
          <w:lang w:eastAsia="en-US"/>
          <w14:ligatures w14:val="standardContextual"/>
        </w:rPr>
        <w:t>NCPCC.  (2019). ‘</w:t>
      </w:r>
      <w:r w:rsidRPr="003C7905">
        <w:rPr>
          <w:rFonts w:asciiTheme="minorHAnsi" w:eastAsiaTheme="minorHAnsi" w:hAnsiTheme="minorHAnsi" w:cstheme="minorBidi"/>
          <w:i/>
          <w:iCs/>
          <w:color w:val="auto"/>
          <w:kern w:val="2"/>
          <w:sz w:val="22"/>
          <w:szCs w:val="22"/>
          <w:lang w:eastAsia="en-US"/>
          <w14:ligatures w14:val="standardContextual"/>
        </w:rPr>
        <w:t>Safeguarding and Child Protection Standards for the Voluntary and Community Sector’</w:t>
      </w:r>
      <w:r w:rsidRPr="003C7905">
        <w:rPr>
          <w:rFonts w:asciiTheme="minorHAnsi" w:eastAsiaTheme="minorHAnsi" w:hAnsiTheme="minorHAnsi" w:cstheme="minorBidi"/>
          <w:color w:val="auto"/>
          <w:kern w:val="2"/>
          <w:sz w:val="22"/>
          <w:szCs w:val="22"/>
          <w:lang w:eastAsia="en-US"/>
          <w14:ligatures w14:val="standardContextual"/>
        </w:rPr>
        <w:t xml:space="preserve">. [Online] Available at https://learning.nspcc.org.uk/media/1079/safeguarding-standards-and-guidance.pdf  Accessed 17/09/2024.     </w:t>
      </w:r>
    </w:p>
    <w:p w14:paraId="6C193106" w14:textId="6479BD25" w:rsidR="00884D7B" w:rsidRPr="007D2A4A" w:rsidRDefault="00884D7B" w:rsidP="007D2A4A">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Payne, M. (1997) </w:t>
      </w:r>
      <w:r w:rsidRPr="00DD21F2">
        <w:rPr>
          <w:rFonts w:asciiTheme="minorHAnsi" w:hAnsiTheme="minorHAnsi" w:cstheme="minorHAnsi"/>
          <w:i/>
          <w:iCs/>
          <w:sz w:val="22"/>
          <w:szCs w:val="22"/>
          <w:shd w:val="clear" w:color="auto" w:fill="FFFFFF"/>
          <w:lang w:eastAsia="en-US"/>
        </w:rPr>
        <w:t>Modern Social Work Theory: A Critical Introduction.</w:t>
      </w:r>
      <w:r w:rsidRPr="00DD21F2">
        <w:rPr>
          <w:rFonts w:asciiTheme="minorHAnsi" w:hAnsiTheme="minorHAnsi" w:cstheme="minorHAnsi"/>
          <w:sz w:val="22"/>
          <w:szCs w:val="22"/>
          <w:shd w:val="clear" w:color="auto" w:fill="FFFFFF"/>
          <w:lang w:eastAsia="en-US"/>
        </w:rPr>
        <w:t xml:space="preserve"> (Basingstoke) Palgrave MacMillan. </w:t>
      </w:r>
    </w:p>
    <w:p w14:paraId="648E9813" w14:textId="77777777" w:rsidR="004213F8" w:rsidRPr="00DD21F2" w:rsidRDefault="004213F8" w:rsidP="004213F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lastRenderedPageBreak/>
        <w:t xml:space="preserve">Rogers, C. R. (1961) </w:t>
      </w:r>
      <w:r w:rsidRPr="00DD21F2">
        <w:rPr>
          <w:rFonts w:asciiTheme="minorHAnsi" w:eastAsiaTheme="minorHAnsi" w:hAnsiTheme="minorHAnsi" w:cstheme="minorBidi"/>
          <w:i/>
          <w:iCs/>
          <w:color w:val="auto"/>
          <w:kern w:val="2"/>
          <w:sz w:val="22"/>
          <w:szCs w:val="22"/>
          <w:lang w:eastAsia="en-US"/>
          <w14:ligatures w14:val="standardContextual"/>
        </w:rPr>
        <w:t>On Becoming a Person: A therapist’s view of psychotherapy</w:t>
      </w:r>
      <w:r w:rsidRPr="00DD21F2">
        <w:rPr>
          <w:rFonts w:asciiTheme="minorHAnsi" w:eastAsiaTheme="minorHAnsi" w:hAnsiTheme="minorHAnsi" w:cstheme="minorBidi"/>
          <w:color w:val="auto"/>
          <w:kern w:val="2"/>
          <w:sz w:val="22"/>
          <w:szCs w:val="22"/>
          <w:lang w:eastAsia="en-US"/>
          <w14:ligatures w14:val="standardContextual"/>
        </w:rPr>
        <w:t xml:space="preserve">. (Boston) Houghton Mifflin. </w:t>
      </w:r>
    </w:p>
    <w:p w14:paraId="4BF714C0" w14:textId="77777777" w:rsidR="004213F8" w:rsidRDefault="004213F8" w:rsidP="004213F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Saleebey, D. (1996) </w:t>
      </w:r>
      <w:r w:rsidRPr="00DD21F2">
        <w:rPr>
          <w:rFonts w:asciiTheme="minorHAnsi" w:eastAsiaTheme="minorHAnsi" w:hAnsiTheme="minorHAnsi" w:cstheme="minorBidi"/>
          <w:i/>
          <w:iCs/>
          <w:color w:val="auto"/>
          <w:kern w:val="2"/>
          <w:sz w:val="22"/>
          <w:szCs w:val="22"/>
          <w:lang w:eastAsia="en-US"/>
          <w14:ligatures w14:val="standardContextual"/>
        </w:rPr>
        <w:t>The strengths perspective in social work practice: extensions and cautions</w:t>
      </w:r>
      <w:r w:rsidRPr="00DD21F2">
        <w:rPr>
          <w:rFonts w:asciiTheme="minorHAnsi" w:eastAsiaTheme="minorHAnsi" w:hAnsiTheme="minorHAnsi" w:cstheme="minorBidi"/>
          <w:color w:val="auto"/>
          <w:kern w:val="2"/>
          <w:sz w:val="22"/>
          <w:szCs w:val="22"/>
          <w:lang w:eastAsia="en-US"/>
          <w14:ligatures w14:val="standardContextual"/>
        </w:rPr>
        <w:t>. Social Work 41, pp. 296-305.</w:t>
      </w:r>
    </w:p>
    <w:p w14:paraId="79E69FBE" w14:textId="77777777" w:rsidR="001D02B6" w:rsidRPr="001D02B6" w:rsidRDefault="001D02B6" w:rsidP="001D02B6">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1D02B6">
        <w:rPr>
          <w:rFonts w:asciiTheme="minorHAnsi" w:eastAsiaTheme="minorHAnsi" w:hAnsiTheme="minorHAnsi" w:cstheme="minorBidi"/>
          <w:color w:val="auto"/>
          <w:kern w:val="2"/>
          <w:sz w:val="22"/>
          <w:szCs w:val="22"/>
          <w:lang w:eastAsia="en-US"/>
          <w14:ligatures w14:val="standardContextual"/>
        </w:rPr>
        <w:t xml:space="preserve">Searle, J. 1995. </w:t>
      </w:r>
      <w:r w:rsidRPr="001D02B6">
        <w:rPr>
          <w:rFonts w:asciiTheme="minorHAnsi" w:eastAsiaTheme="minorHAnsi" w:hAnsiTheme="minorHAnsi" w:cstheme="minorBidi"/>
          <w:i/>
          <w:iCs/>
          <w:color w:val="auto"/>
          <w:kern w:val="2"/>
          <w:sz w:val="22"/>
          <w:szCs w:val="22"/>
          <w:lang w:eastAsia="en-US"/>
          <w14:ligatures w14:val="standardContextual"/>
        </w:rPr>
        <w:t>‘The Construction of Social Reality’</w:t>
      </w:r>
      <w:r w:rsidRPr="001D02B6">
        <w:rPr>
          <w:rFonts w:asciiTheme="minorHAnsi" w:eastAsiaTheme="minorHAnsi" w:hAnsiTheme="minorHAnsi" w:cstheme="minorBidi"/>
          <w:color w:val="auto"/>
          <w:kern w:val="2"/>
          <w:sz w:val="22"/>
          <w:szCs w:val="22"/>
          <w:lang w:eastAsia="en-US"/>
          <w14:ligatures w14:val="standardContextual"/>
        </w:rPr>
        <w:t xml:space="preserve">. New York: Free Press. </w:t>
      </w:r>
    </w:p>
    <w:p w14:paraId="2E9F2FFA" w14:textId="77777777" w:rsidR="00A879D2" w:rsidRDefault="00A879D2" w:rsidP="004213F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Skinner, J. (2013) ‘Crisis Theory’, in Davies, M. (ed) </w:t>
      </w:r>
      <w:r w:rsidRPr="00DD21F2">
        <w:rPr>
          <w:rFonts w:asciiTheme="minorHAnsi" w:eastAsiaTheme="minorHAnsi" w:hAnsiTheme="minorHAnsi" w:cstheme="minorBidi"/>
          <w:i/>
          <w:iCs/>
          <w:color w:val="auto"/>
          <w:kern w:val="2"/>
          <w:sz w:val="22"/>
          <w:szCs w:val="22"/>
          <w:lang w:eastAsia="en-US"/>
          <w14:ligatures w14:val="standardContextual"/>
        </w:rPr>
        <w:t>The Blackwell Companion to Social Work</w:t>
      </w:r>
      <w:r w:rsidRPr="00DD21F2">
        <w:rPr>
          <w:rFonts w:asciiTheme="minorHAnsi" w:eastAsiaTheme="minorHAnsi" w:hAnsiTheme="minorHAnsi" w:cstheme="minorBidi"/>
          <w:color w:val="auto"/>
          <w:kern w:val="2"/>
          <w:sz w:val="22"/>
          <w:szCs w:val="22"/>
          <w:lang w:eastAsia="en-US"/>
          <w14:ligatures w14:val="standardContextual"/>
        </w:rPr>
        <w:t>, 4</w:t>
      </w:r>
      <w:r w:rsidRPr="00DD21F2">
        <w:rPr>
          <w:rFonts w:asciiTheme="minorHAnsi" w:eastAsiaTheme="minorHAnsi" w:hAnsiTheme="minorHAnsi" w:cstheme="minorBidi"/>
          <w:color w:val="auto"/>
          <w:kern w:val="2"/>
          <w:sz w:val="22"/>
          <w:szCs w:val="22"/>
          <w:vertAlign w:val="superscript"/>
          <w:lang w:eastAsia="en-US"/>
          <w14:ligatures w14:val="standardContextual"/>
        </w:rPr>
        <w:t>th</w:t>
      </w:r>
      <w:r w:rsidRPr="00DD21F2">
        <w:rPr>
          <w:rFonts w:asciiTheme="minorHAnsi" w:eastAsiaTheme="minorHAnsi" w:hAnsiTheme="minorHAnsi" w:cstheme="minorBidi"/>
          <w:color w:val="auto"/>
          <w:kern w:val="2"/>
          <w:sz w:val="22"/>
          <w:szCs w:val="22"/>
          <w:lang w:eastAsia="en-US"/>
          <w14:ligatures w14:val="standardContextual"/>
        </w:rPr>
        <w:t xml:space="preserve"> edn, London, Wiley-Blackwell, pp.428-431.    </w:t>
      </w:r>
    </w:p>
    <w:p w14:paraId="1D7A9C4E" w14:textId="78A6B5F3" w:rsidR="00884D7B" w:rsidRPr="004213F8" w:rsidRDefault="00884D7B" w:rsidP="004213F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Smale, G., Tuson, G., Biehal, N. and Marsh, P. (1993) </w:t>
      </w:r>
      <w:r w:rsidRPr="00DD21F2">
        <w:rPr>
          <w:rFonts w:asciiTheme="minorHAnsi" w:hAnsiTheme="minorHAnsi" w:cstheme="minorHAnsi"/>
          <w:i/>
          <w:iCs/>
          <w:sz w:val="22"/>
          <w:szCs w:val="22"/>
          <w:shd w:val="clear" w:color="auto" w:fill="FFFFFF"/>
          <w:lang w:eastAsia="en-US"/>
        </w:rPr>
        <w:t>Empowerment, Assessment, Care Management and the Skilled Worker.</w:t>
      </w:r>
      <w:r w:rsidRPr="00DD21F2">
        <w:rPr>
          <w:rFonts w:asciiTheme="minorHAnsi" w:hAnsiTheme="minorHAnsi" w:cstheme="minorHAnsi"/>
          <w:sz w:val="22"/>
          <w:szCs w:val="22"/>
          <w:shd w:val="clear" w:color="auto" w:fill="FFFFFF"/>
          <w:lang w:eastAsia="en-US"/>
        </w:rPr>
        <w:t xml:space="preserve"> (London) HMSO. </w:t>
      </w:r>
    </w:p>
    <w:p w14:paraId="03CB302F" w14:textId="420587EC" w:rsidR="00884D7B" w:rsidRDefault="00884D7B" w:rsidP="004213F8">
      <w:pPr>
        <w:overflowPunct/>
        <w:autoSpaceDE/>
        <w:autoSpaceDN/>
        <w:adjustRightInd/>
        <w:spacing w:after="160" w:line="259" w:lineRule="auto"/>
        <w:textAlignment w:val="auto"/>
        <w:rPr>
          <w:rFonts w:asciiTheme="minorHAnsi" w:hAnsiTheme="minorHAnsi" w:cstheme="minorHAnsi"/>
          <w:sz w:val="22"/>
          <w:szCs w:val="22"/>
          <w:shd w:val="clear" w:color="auto" w:fill="FFFFFF"/>
          <w:lang w:eastAsia="en-US"/>
        </w:rPr>
      </w:pPr>
      <w:r w:rsidRPr="00DD21F2">
        <w:rPr>
          <w:rFonts w:asciiTheme="minorHAnsi" w:hAnsiTheme="minorHAnsi" w:cstheme="minorHAnsi"/>
          <w:sz w:val="22"/>
          <w:szCs w:val="22"/>
          <w:shd w:val="clear" w:color="auto" w:fill="FFFFFF"/>
          <w:lang w:eastAsia="en-US"/>
        </w:rPr>
        <w:t xml:space="preserve">Smith, M.K. (2004) </w:t>
      </w:r>
      <w:r w:rsidRPr="00DD21F2">
        <w:rPr>
          <w:rFonts w:asciiTheme="minorHAnsi" w:hAnsiTheme="minorHAnsi" w:cstheme="minorHAnsi"/>
          <w:i/>
          <w:iCs/>
          <w:sz w:val="22"/>
          <w:szCs w:val="22"/>
          <w:shd w:val="clear" w:color="auto" w:fill="FFFFFF"/>
          <w:lang w:eastAsia="en-US"/>
        </w:rPr>
        <w:t>Carl Rogers, Care Conditions and Education</w:t>
      </w:r>
      <w:r w:rsidRPr="00DD21F2">
        <w:rPr>
          <w:rFonts w:asciiTheme="minorHAnsi" w:hAnsiTheme="minorHAnsi" w:cstheme="minorHAnsi"/>
          <w:sz w:val="22"/>
          <w:szCs w:val="22"/>
          <w:shd w:val="clear" w:color="auto" w:fill="FFFFFF"/>
          <w:lang w:eastAsia="en-US"/>
        </w:rPr>
        <w:t xml:space="preserve">. Available online at http://www.infed.org/thinkers/et-rogers.htm Accessed 08/09/2024. </w:t>
      </w:r>
    </w:p>
    <w:p w14:paraId="250D7B5E" w14:textId="77777777" w:rsidR="004213F8" w:rsidRDefault="004213F8" w:rsidP="004213F8">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Smith, R. (2010) Social Work, Risk, Power. [Online] Available at www.socresonline.org.uk/15/1/4.html  Accessed on 16/08/2024. </w:t>
      </w:r>
    </w:p>
    <w:p w14:paraId="2504385E" w14:textId="1E7FB9F4" w:rsidR="00884D7B" w:rsidRDefault="00884D7B" w:rsidP="004213F8">
      <w:pPr>
        <w:overflowPunct/>
        <w:autoSpaceDE/>
        <w:autoSpaceDN/>
        <w:adjustRightInd/>
        <w:spacing w:after="160" w:line="259" w:lineRule="auto"/>
        <w:textAlignment w:val="auto"/>
        <w:rPr>
          <w:rFonts w:asciiTheme="minorHAnsi" w:hAnsiTheme="minorHAnsi" w:cstheme="minorHAnsi"/>
          <w:sz w:val="22"/>
          <w:szCs w:val="22"/>
          <w:shd w:val="clear" w:color="auto" w:fill="FFFFFF"/>
          <w:lang w:eastAsia="en-US"/>
        </w:rPr>
      </w:pPr>
      <w:r w:rsidRPr="00DD21F2">
        <w:rPr>
          <w:rFonts w:asciiTheme="minorHAnsi" w:hAnsiTheme="minorHAnsi" w:cstheme="minorHAnsi"/>
          <w:sz w:val="22"/>
          <w:szCs w:val="22"/>
          <w:shd w:val="clear" w:color="auto" w:fill="FFFFFF"/>
          <w:lang w:eastAsia="en-US"/>
        </w:rPr>
        <w:t xml:space="preserve">Social Care Institute for Excellence (SSIE) (2010) </w:t>
      </w:r>
      <w:r w:rsidRPr="00DD21F2">
        <w:rPr>
          <w:rFonts w:asciiTheme="minorHAnsi" w:hAnsiTheme="minorHAnsi" w:cstheme="minorHAnsi"/>
          <w:i/>
          <w:iCs/>
          <w:sz w:val="22"/>
          <w:szCs w:val="22"/>
          <w:shd w:val="clear" w:color="auto" w:fill="FFFFFF"/>
          <w:lang w:eastAsia="en-US"/>
        </w:rPr>
        <w:t>Personalisation Briefing - Implication for Social Workers in Adult’s Services</w:t>
      </w:r>
      <w:r w:rsidRPr="00DD21F2">
        <w:rPr>
          <w:rFonts w:asciiTheme="minorHAnsi" w:hAnsiTheme="minorHAnsi" w:cstheme="minorHAnsi"/>
          <w:sz w:val="22"/>
          <w:szCs w:val="22"/>
          <w:shd w:val="clear" w:color="auto" w:fill="FFFFFF"/>
          <w:lang w:eastAsia="en-US"/>
        </w:rPr>
        <w:t>, SSCIE, London.</w:t>
      </w:r>
    </w:p>
    <w:p w14:paraId="58713E77" w14:textId="6F43C7C3" w:rsidR="004279C1" w:rsidRPr="00DD21F2" w:rsidRDefault="004213F8" w:rsidP="004213F8">
      <w:pPr>
        <w:overflowPunct/>
        <w:autoSpaceDE/>
        <w:autoSpaceDN/>
        <w:adjustRightInd/>
        <w:spacing w:after="160" w:line="256"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Social Care Wales. (2017). </w:t>
      </w:r>
      <w:r w:rsidRPr="00DD21F2">
        <w:rPr>
          <w:rFonts w:asciiTheme="minorHAnsi" w:eastAsiaTheme="minorHAnsi" w:hAnsiTheme="minorHAnsi" w:cstheme="minorBidi"/>
          <w:i/>
          <w:iCs/>
          <w:color w:val="auto"/>
          <w:kern w:val="2"/>
          <w:sz w:val="22"/>
          <w:szCs w:val="22"/>
          <w:lang w:eastAsia="en-US"/>
          <w14:ligatures w14:val="standardContextual"/>
        </w:rPr>
        <w:t>Codes of Professional Practice for Social Care.</w:t>
      </w:r>
      <w:r w:rsidR="004279C1">
        <w:rPr>
          <w:rFonts w:asciiTheme="minorHAnsi" w:eastAsiaTheme="minorHAnsi" w:hAnsiTheme="minorHAnsi" w:cstheme="minorBidi"/>
          <w:i/>
          <w:iCs/>
          <w:color w:val="auto"/>
          <w:kern w:val="2"/>
          <w:sz w:val="22"/>
          <w:szCs w:val="22"/>
          <w:lang w:eastAsia="en-US"/>
          <w14:ligatures w14:val="standardContextual"/>
        </w:rPr>
        <w:t xml:space="preserve"> </w:t>
      </w:r>
      <w:r w:rsidR="004279C1">
        <w:rPr>
          <w:rFonts w:asciiTheme="minorHAnsi" w:eastAsiaTheme="minorHAnsi" w:hAnsiTheme="minorHAnsi" w:cstheme="minorBidi"/>
          <w:color w:val="auto"/>
          <w:kern w:val="2"/>
          <w:sz w:val="22"/>
          <w:szCs w:val="22"/>
          <w:lang w:eastAsia="en-US"/>
          <w14:ligatures w14:val="standardContextual"/>
        </w:rPr>
        <w:t>[Online] Available at</w:t>
      </w:r>
      <w:r w:rsidRPr="00DD21F2">
        <w:rPr>
          <w:rFonts w:asciiTheme="minorHAnsi" w:eastAsiaTheme="minorHAnsi" w:hAnsiTheme="minorHAnsi" w:cstheme="minorBidi"/>
          <w:i/>
          <w:iCs/>
          <w:color w:val="auto"/>
          <w:kern w:val="2"/>
          <w:sz w:val="22"/>
          <w:szCs w:val="22"/>
          <w:lang w:eastAsia="en-US"/>
          <w14:ligatures w14:val="standardContextual"/>
        </w:rPr>
        <w:t xml:space="preserve"> </w:t>
      </w:r>
      <w:hyperlink r:id="rId19" w:history="1">
        <w:r w:rsidRPr="00DD21F2">
          <w:rPr>
            <w:rFonts w:asciiTheme="minorHAnsi" w:eastAsiaTheme="minorHAnsi" w:hAnsiTheme="minorHAnsi" w:cstheme="minorBidi"/>
            <w:color w:val="0563C1" w:themeColor="hyperlink"/>
            <w:kern w:val="2"/>
            <w:sz w:val="22"/>
            <w:szCs w:val="22"/>
            <w:u w:val="single"/>
            <w:lang w:eastAsia="en-US"/>
            <w14:ligatures w14:val="standardContextual"/>
          </w:rPr>
          <w:t>https://socialcare.wales/cms_assests/file-uploads.Codes -of-Professional-Practice-for-Social-Care.pdf</w:t>
        </w:r>
      </w:hyperlink>
      <w:r w:rsidR="004279C1">
        <w:rPr>
          <w:rFonts w:asciiTheme="minorHAnsi" w:eastAsiaTheme="minorHAnsi" w:hAnsiTheme="minorHAnsi" w:cstheme="minorBidi"/>
          <w:color w:val="0563C1" w:themeColor="hyperlink"/>
          <w:kern w:val="2"/>
          <w:sz w:val="22"/>
          <w:szCs w:val="22"/>
          <w:u w:val="single"/>
          <w:lang w:eastAsia="en-US"/>
          <w14:ligatures w14:val="standardContextual"/>
        </w:rPr>
        <w:t xml:space="preserve"> </w:t>
      </w:r>
      <w:r w:rsidR="004279C1" w:rsidRPr="004279C1">
        <w:rPr>
          <w:rFonts w:asciiTheme="minorHAnsi" w:eastAsiaTheme="minorHAnsi" w:hAnsiTheme="minorHAnsi" w:cstheme="minorBidi"/>
          <w:color w:val="auto"/>
          <w:kern w:val="2"/>
          <w:sz w:val="22"/>
          <w:szCs w:val="22"/>
          <w:lang w:eastAsia="en-US"/>
          <w14:ligatures w14:val="standardContextual"/>
        </w:rPr>
        <w:t>[Accessed on 11/06/2024].</w:t>
      </w:r>
    </w:p>
    <w:p w14:paraId="67CB630F" w14:textId="77777777" w:rsidR="00A879D2" w:rsidRDefault="004213F8" w:rsidP="00A879D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The College of Social Work (2012) </w:t>
      </w:r>
      <w:r w:rsidRPr="00DD21F2">
        <w:rPr>
          <w:rFonts w:asciiTheme="minorHAnsi" w:eastAsiaTheme="minorHAnsi" w:hAnsiTheme="minorHAnsi" w:cstheme="minorBidi"/>
          <w:i/>
          <w:iCs/>
          <w:color w:val="auto"/>
          <w:kern w:val="2"/>
          <w:sz w:val="22"/>
          <w:szCs w:val="22"/>
          <w:lang w:eastAsia="en-US"/>
          <w14:ligatures w14:val="standardContextual"/>
        </w:rPr>
        <w:t>Domains within the Practice and Competency Framework</w:t>
      </w:r>
      <w:r w:rsidRPr="00DD21F2">
        <w:rPr>
          <w:rFonts w:asciiTheme="minorHAnsi" w:eastAsiaTheme="minorHAnsi" w:hAnsiTheme="minorHAnsi" w:cstheme="minorBidi"/>
          <w:color w:val="auto"/>
          <w:kern w:val="2"/>
          <w:sz w:val="22"/>
          <w:szCs w:val="22"/>
          <w:lang w:eastAsia="en-US"/>
          <w14:ligatures w14:val="standardContextual"/>
        </w:rPr>
        <w:t xml:space="preserve"> [Online]. Available at </w:t>
      </w:r>
      <w:hyperlink r:id="rId20" w:history="1">
        <w:r w:rsidRPr="00DD21F2">
          <w:rPr>
            <w:rFonts w:asciiTheme="minorHAnsi" w:eastAsiaTheme="minorHAnsi" w:hAnsiTheme="minorHAnsi" w:cstheme="minorBidi"/>
            <w:color w:val="0563C1" w:themeColor="hyperlink"/>
            <w:kern w:val="2"/>
            <w:sz w:val="22"/>
            <w:szCs w:val="22"/>
            <w:u w:val="single"/>
            <w:lang w:eastAsia="en-US"/>
            <w14:ligatures w14:val="standardContextual"/>
          </w:rPr>
          <w:t>www.collegeofsocialwork.org/pcf.aspx</w:t>
        </w:r>
      </w:hyperlink>
      <w:r w:rsidRPr="00DD21F2">
        <w:rPr>
          <w:rFonts w:asciiTheme="minorHAnsi" w:eastAsiaTheme="minorHAnsi" w:hAnsiTheme="minorHAnsi" w:cstheme="minorBidi"/>
          <w:color w:val="auto"/>
          <w:kern w:val="2"/>
          <w:sz w:val="22"/>
          <w:szCs w:val="22"/>
          <w:lang w:eastAsia="en-US"/>
          <w14:ligatures w14:val="standardContextual"/>
        </w:rPr>
        <w:t xml:space="preserve"> </w:t>
      </w:r>
    </w:p>
    <w:p w14:paraId="7D90C0CE" w14:textId="243030C3" w:rsidR="004213F8" w:rsidRPr="00DD21F2" w:rsidRDefault="004213F8" w:rsidP="00A879D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Walker, S. and Beckett, C. (2005) </w:t>
      </w:r>
      <w:r w:rsidRPr="00DD21F2">
        <w:rPr>
          <w:rFonts w:asciiTheme="minorHAnsi" w:hAnsiTheme="minorHAnsi" w:cstheme="minorHAnsi"/>
          <w:i/>
          <w:iCs/>
          <w:sz w:val="22"/>
          <w:szCs w:val="22"/>
          <w:shd w:val="clear" w:color="auto" w:fill="FFFFFF"/>
          <w:lang w:eastAsia="en-US"/>
        </w:rPr>
        <w:t>Social Work Assessment and Intervention</w:t>
      </w:r>
      <w:r w:rsidRPr="00DD21F2">
        <w:rPr>
          <w:rFonts w:asciiTheme="minorHAnsi" w:hAnsiTheme="minorHAnsi" w:cstheme="minorHAnsi"/>
          <w:sz w:val="22"/>
          <w:szCs w:val="22"/>
          <w:shd w:val="clear" w:color="auto" w:fill="FFFFFF"/>
          <w:lang w:eastAsia="en-US"/>
        </w:rPr>
        <w:t xml:space="preserve">. (Dorset) Russell House Publishing. </w:t>
      </w:r>
    </w:p>
    <w:p w14:paraId="2DF337F4" w14:textId="08E65F15" w:rsidR="00884D7B" w:rsidRDefault="00884D7B" w:rsidP="004213F8">
      <w:pPr>
        <w:overflowPunct/>
        <w:autoSpaceDE/>
        <w:autoSpaceDN/>
        <w:adjustRightInd/>
        <w:spacing w:after="160" w:line="259" w:lineRule="auto"/>
        <w:textAlignment w:val="auto"/>
        <w:rPr>
          <w:rFonts w:asciiTheme="minorHAnsi" w:hAnsiTheme="minorHAnsi" w:cstheme="minorHAnsi"/>
          <w:sz w:val="22"/>
          <w:szCs w:val="22"/>
          <w:shd w:val="clear" w:color="auto" w:fill="FFFFFF"/>
          <w:lang w:eastAsia="en-US"/>
        </w:rPr>
      </w:pPr>
      <w:r w:rsidRPr="00DD21F2">
        <w:rPr>
          <w:rFonts w:asciiTheme="minorHAnsi" w:hAnsiTheme="minorHAnsi" w:cstheme="minorHAnsi"/>
          <w:sz w:val="22"/>
          <w:szCs w:val="22"/>
          <w:shd w:val="clear" w:color="auto" w:fill="FFFFFF"/>
          <w:lang w:eastAsia="en-US"/>
        </w:rPr>
        <w:t>Walmsley, J. (2012) ‘</w:t>
      </w:r>
      <w:r w:rsidRPr="00DD21F2">
        <w:rPr>
          <w:rFonts w:asciiTheme="minorHAnsi" w:hAnsiTheme="minorHAnsi" w:cstheme="minorHAnsi"/>
          <w:i/>
          <w:iCs/>
          <w:sz w:val="22"/>
          <w:szCs w:val="22"/>
          <w:shd w:val="clear" w:color="auto" w:fill="FFFFFF"/>
          <w:lang w:eastAsia="en-US"/>
        </w:rPr>
        <w:t>Values and Ethics’</w:t>
      </w:r>
      <w:r w:rsidRPr="00DD21F2">
        <w:rPr>
          <w:rFonts w:asciiTheme="minorHAnsi" w:hAnsiTheme="minorHAnsi" w:cstheme="minorHAnsi"/>
          <w:sz w:val="22"/>
          <w:szCs w:val="22"/>
          <w:shd w:val="clear" w:color="auto" w:fill="FFFFFF"/>
          <w:lang w:eastAsia="en-US"/>
        </w:rPr>
        <w:t xml:space="preserve">, The Open University [online]. Available at </w:t>
      </w:r>
      <w:hyperlink r:id="rId21" w:history="1">
        <w:r w:rsidRPr="00DD21F2">
          <w:rPr>
            <w:rFonts w:asciiTheme="minorHAnsi" w:hAnsiTheme="minorHAnsi" w:cstheme="minorHAnsi"/>
            <w:color w:val="0563C1" w:themeColor="hyperlink"/>
            <w:sz w:val="22"/>
            <w:szCs w:val="22"/>
            <w:u w:val="single"/>
            <w:shd w:val="clear" w:color="auto" w:fill="FFFFFF"/>
            <w:lang w:eastAsia="en-US"/>
          </w:rPr>
          <w:t>https://learn2.open.ac.uk/mod/oucontent/view.php?id=48371</w:t>
        </w:r>
      </w:hyperlink>
      <w:r w:rsidRPr="00DD21F2">
        <w:rPr>
          <w:rFonts w:asciiTheme="minorHAnsi" w:hAnsiTheme="minorHAnsi" w:cstheme="minorHAnsi"/>
          <w:sz w:val="22"/>
          <w:szCs w:val="22"/>
          <w:shd w:val="clear" w:color="auto" w:fill="FFFFFF"/>
          <w:lang w:eastAsia="en-US"/>
        </w:rPr>
        <w:t xml:space="preserve">  Accessed 10/09/2024. </w:t>
      </w:r>
    </w:p>
    <w:p w14:paraId="7F202AD6" w14:textId="7E88FF46" w:rsidR="00CF113F" w:rsidRDefault="00CF113F" w:rsidP="00CF113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Welsh Assembly Government (201</w:t>
      </w:r>
      <w:r w:rsidR="00A879D2">
        <w:rPr>
          <w:rFonts w:asciiTheme="minorHAnsi" w:eastAsiaTheme="minorHAnsi" w:hAnsiTheme="minorHAnsi" w:cstheme="minorBidi"/>
          <w:color w:val="auto"/>
          <w:kern w:val="2"/>
          <w:sz w:val="22"/>
          <w:szCs w:val="22"/>
          <w:lang w:eastAsia="en-US"/>
          <w14:ligatures w14:val="standardContextual"/>
        </w:rPr>
        <w:t>7</w:t>
      </w:r>
      <w:r w:rsidRPr="00DD21F2">
        <w:rPr>
          <w:rFonts w:asciiTheme="minorHAnsi" w:eastAsiaTheme="minorHAnsi" w:hAnsiTheme="minorHAnsi" w:cstheme="minorBidi"/>
          <w:color w:val="auto"/>
          <w:kern w:val="2"/>
          <w:sz w:val="22"/>
          <w:szCs w:val="22"/>
          <w:lang w:eastAsia="en-US"/>
          <w14:ligatures w14:val="standardContextual"/>
        </w:rPr>
        <w:t xml:space="preserve">) </w:t>
      </w:r>
      <w:r w:rsidRPr="00DD21F2">
        <w:rPr>
          <w:rFonts w:asciiTheme="minorHAnsi" w:eastAsiaTheme="minorHAnsi" w:hAnsiTheme="minorHAnsi" w:cstheme="minorBidi"/>
          <w:i/>
          <w:iCs/>
          <w:color w:val="auto"/>
          <w:kern w:val="2"/>
          <w:sz w:val="22"/>
          <w:szCs w:val="22"/>
          <w:lang w:eastAsia="en-US"/>
          <w14:ligatures w14:val="standardContextual"/>
        </w:rPr>
        <w:t>Care Inspectorate Wales</w:t>
      </w:r>
      <w:r w:rsidRPr="00DD21F2">
        <w:rPr>
          <w:rFonts w:asciiTheme="minorHAnsi" w:eastAsiaTheme="minorHAnsi" w:hAnsiTheme="minorHAnsi" w:cstheme="minorBidi"/>
          <w:color w:val="auto"/>
          <w:kern w:val="2"/>
          <w:sz w:val="22"/>
          <w:szCs w:val="22"/>
          <w:lang w:eastAsia="en-US"/>
          <w14:ligatures w14:val="standardContextual"/>
        </w:rPr>
        <w:t xml:space="preserve"> (CIW). ‘</w:t>
      </w:r>
      <w:r w:rsidRPr="00DD21F2">
        <w:rPr>
          <w:rFonts w:asciiTheme="minorHAnsi" w:eastAsiaTheme="minorHAnsi" w:hAnsiTheme="minorHAnsi" w:cstheme="minorBidi"/>
          <w:i/>
          <w:iCs/>
          <w:color w:val="auto"/>
          <w:kern w:val="2"/>
          <w:sz w:val="22"/>
          <w:szCs w:val="22"/>
          <w:lang w:eastAsia="en-US"/>
          <w14:ligatures w14:val="standardContextual"/>
        </w:rPr>
        <w:t>More than Just Words. Strategic Framework for Welsh Language Services in Health, Social Services and Social Care’</w:t>
      </w:r>
      <w:r w:rsidRPr="00DD21F2">
        <w:rPr>
          <w:rFonts w:asciiTheme="minorHAnsi" w:eastAsiaTheme="minorHAnsi" w:hAnsiTheme="minorHAnsi" w:cstheme="minorBidi"/>
          <w:color w:val="auto"/>
          <w:kern w:val="2"/>
          <w:sz w:val="22"/>
          <w:szCs w:val="22"/>
          <w:lang w:eastAsia="en-US"/>
          <w14:ligatures w14:val="standardContextual"/>
        </w:rPr>
        <w:t xml:space="preserve">.  Available at </w:t>
      </w:r>
      <w:hyperlink r:id="rId22" w:history="1">
        <w:r w:rsidRPr="00DD21F2">
          <w:rPr>
            <w:rStyle w:val="Hyperlink"/>
            <w:rFonts w:asciiTheme="minorHAnsi" w:eastAsiaTheme="minorHAnsi" w:hAnsiTheme="minorHAnsi" w:cstheme="minorBidi"/>
            <w:kern w:val="2"/>
            <w:sz w:val="22"/>
            <w:szCs w:val="22"/>
            <w:lang w:eastAsia="en-US"/>
            <w14:ligatures w14:val="standardContextual"/>
          </w:rPr>
          <w:t>https://www.careinspectorate.wales/more-just-words</w:t>
        </w:r>
      </w:hyperlink>
    </w:p>
    <w:p w14:paraId="4EAB068A" w14:textId="77777777" w:rsidR="00A879D2" w:rsidRPr="00CF113F" w:rsidRDefault="00A879D2" w:rsidP="00A879D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Welsh Government, </w:t>
      </w:r>
      <w:r w:rsidRPr="00DD21F2">
        <w:rPr>
          <w:rFonts w:asciiTheme="minorHAnsi" w:hAnsiTheme="minorHAnsi" w:cstheme="minorHAnsi"/>
          <w:i/>
          <w:iCs/>
          <w:sz w:val="22"/>
          <w:szCs w:val="22"/>
          <w:shd w:val="clear" w:color="auto" w:fill="FFFFFF"/>
          <w:lang w:eastAsia="en-US"/>
        </w:rPr>
        <w:t>Safeguarding</w:t>
      </w:r>
      <w:r w:rsidRPr="00DD21F2">
        <w:rPr>
          <w:rFonts w:asciiTheme="minorHAnsi" w:hAnsiTheme="minorHAnsi" w:cstheme="minorHAnsi"/>
          <w:sz w:val="22"/>
          <w:szCs w:val="22"/>
          <w:shd w:val="clear" w:color="auto" w:fill="FFFFFF"/>
          <w:lang w:eastAsia="en-US"/>
        </w:rPr>
        <w:t xml:space="preserve">. [online] Available at </w:t>
      </w:r>
      <w:hyperlink r:id="rId23" w:history="1">
        <w:r w:rsidRPr="00DD21F2">
          <w:rPr>
            <w:rFonts w:asciiTheme="minorHAnsi" w:hAnsiTheme="minorHAnsi" w:cstheme="minorHAnsi"/>
            <w:color w:val="0563C1" w:themeColor="hyperlink"/>
            <w:sz w:val="22"/>
            <w:szCs w:val="22"/>
            <w:u w:val="single"/>
            <w:shd w:val="clear" w:color="auto" w:fill="FFFFFF"/>
            <w:lang w:eastAsia="en-US"/>
          </w:rPr>
          <w:t>https://safeguarding.wales</w:t>
        </w:r>
      </w:hyperlink>
      <w:r w:rsidRPr="00DD21F2">
        <w:rPr>
          <w:rFonts w:asciiTheme="minorHAnsi" w:hAnsiTheme="minorHAnsi" w:cstheme="minorHAnsi"/>
          <w:sz w:val="22"/>
          <w:szCs w:val="22"/>
          <w:shd w:val="clear" w:color="auto" w:fill="FFFFFF"/>
          <w:lang w:eastAsia="en-US"/>
        </w:rPr>
        <w:t xml:space="preserve"> Accessed on 09/09/2024. </w:t>
      </w:r>
    </w:p>
    <w:p w14:paraId="6F44504F" w14:textId="77777777" w:rsidR="00CF113F" w:rsidRDefault="00884D7B" w:rsidP="00CF113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hAnsiTheme="minorHAnsi" w:cstheme="minorHAnsi"/>
          <w:sz w:val="22"/>
          <w:szCs w:val="22"/>
          <w:shd w:val="clear" w:color="auto" w:fill="FFFFFF"/>
          <w:lang w:eastAsia="en-US"/>
        </w:rPr>
        <w:t xml:space="preserve">Welsh Government, </w:t>
      </w:r>
      <w:r w:rsidR="004213F8">
        <w:rPr>
          <w:rFonts w:asciiTheme="minorHAnsi" w:hAnsiTheme="minorHAnsi" w:cstheme="minorHAnsi"/>
          <w:sz w:val="22"/>
          <w:szCs w:val="22"/>
          <w:shd w:val="clear" w:color="auto" w:fill="FFFFFF"/>
          <w:lang w:eastAsia="en-US"/>
        </w:rPr>
        <w:t>‘</w:t>
      </w:r>
      <w:r w:rsidRPr="00DD21F2">
        <w:rPr>
          <w:rFonts w:asciiTheme="minorHAnsi" w:hAnsiTheme="minorHAnsi" w:cstheme="minorHAnsi"/>
          <w:i/>
          <w:iCs/>
          <w:sz w:val="22"/>
          <w:szCs w:val="22"/>
          <w:shd w:val="clear" w:color="auto" w:fill="FFFFFF"/>
          <w:lang w:eastAsia="en-US"/>
        </w:rPr>
        <w:t>Welsh Index of Multiple Deprivation</w:t>
      </w:r>
      <w:r w:rsidR="004213F8">
        <w:rPr>
          <w:rFonts w:asciiTheme="minorHAnsi" w:hAnsiTheme="minorHAnsi" w:cstheme="minorHAnsi"/>
          <w:i/>
          <w:iCs/>
          <w:sz w:val="22"/>
          <w:szCs w:val="22"/>
          <w:shd w:val="clear" w:color="auto" w:fill="FFFFFF"/>
          <w:lang w:eastAsia="en-US"/>
        </w:rPr>
        <w:t>’</w:t>
      </w:r>
      <w:r w:rsidRPr="00DD21F2">
        <w:rPr>
          <w:rFonts w:asciiTheme="minorHAnsi" w:hAnsiTheme="minorHAnsi" w:cstheme="minorHAnsi"/>
          <w:sz w:val="22"/>
          <w:szCs w:val="22"/>
          <w:shd w:val="clear" w:color="auto" w:fill="FFFFFF"/>
          <w:lang w:eastAsia="en-US"/>
        </w:rPr>
        <w:t xml:space="preserve">. [online] Available at </w:t>
      </w:r>
      <w:hyperlink r:id="rId24" w:history="1">
        <w:r w:rsidRPr="00DD21F2">
          <w:rPr>
            <w:rFonts w:asciiTheme="minorHAnsi" w:hAnsiTheme="minorHAnsi" w:cstheme="minorHAnsi"/>
            <w:color w:val="0563C1" w:themeColor="hyperlink"/>
            <w:sz w:val="22"/>
            <w:szCs w:val="22"/>
            <w:u w:val="single"/>
            <w:shd w:val="clear" w:color="auto" w:fill="FFFFFF"/>
            <w:lang w:eastAsia="en-US"/>
          </w:rPr>
          <w:t>https://statswales.gov.wales</w:t>
        </w:r>
      </w:hyperlink>
      <w:r w:rsidRPr="00DD21F2">
        <w:rPr>
          <w:rFonts w:asciiTheme="minorHAnsi" w:hAnsiTheme="minorHAnsi" w:cstheme="minorHAnsi"/>
          <w:sz w:val="22"/>
          <w:szCs w:val="22"/>
          <w:shd w:val="clear" w:color="auto" w:fill="FFFFFF"/>
          <w:lang w:eastAsia="en-US"/>
        </w:rPr>
        <w:t xml:space="preserve"> Accessed on 10/09/2024. </w:t>
      </w:r>
    </w:p>
    <w:p w14:paraId="4EE7103F" w14:textId="043A2489" w:rsidR="00DD21F2" w:rsidRDefault="004213F8"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D21F2">
        <w:rPr>
          <w:rFonts w:asciiTheme="minorHAnsi" w:eastAsiaTheme="minorHAnsi" w:hAnsiTheme="minorHAnsi" w:cstheme="minorBidi"/>
          <w:color w:val="auto"/>
          <w:kern w:val="2"/>
          <w:sz w:val="22"/>
          <w:szCs w:val="22"/>
          <w:lang w:eastAsia="en-US"/>
          <w14:ligatures w14:val="standardContextual"/>
        </w:rPr>
        <w:t xml:space="preserve">Vygotsky, L., Vygotskii, L. and Kozulin, A (Eds) (1934 / 1986) </w:t>
      </w:r>
      <w:r w:rsidRPr="00DD21F2">
        <w:rPr>
          <w:rFonts w:asciiTheme="minorHAnsi" w:eastAsiaTheme="minorHAnsi" w:hAnsiTheme="minorHAnsi" w:cstheme="minorBidi"/>
          <w:i/>
          <w:iCs/>
          <w:color w:val="auto"/>
          <w:kern w:val="2"/>
          <w:sz w:val="22"/>
          <w:szCs w:val="22"/>
          <w:lang w:eastAsia="en-US"/>
          <w14:ligatures w14:val="standardContextual"/>
        </w:rPr>
        <w:t>Thought and Language.</w:t>
      </w:r>
      <w:r w:rsidRPr="00DD21F2">
        <w:rPr>
          <w:rFonts w:asciiTheme="minorHAnsi" w:eastAsiaTheme="minorHAnsi" w:hAnsiTheme="minorHAnsi" w:cstheme="minorBidi"/>
          <w:color w:val="auto"/>
          <w:kern w:val="2"/>
          <w:sz w:val="22"/>
          <w:szCs w:val="22"/>
          <w:lang w:eastAsia="en-US"/>
          <w14:ligatures w14:val="standardContextual"/>
        </w:rPr>
        <w:t xml:space="preserve"> (Cambridge, Massachusetts) The MIT Press.</w:t>
      </w:r>
    </w:p>
    <w:p w14:paraId="35D5AD95" w14:textId="77777777" w:rsidR="003C7905" w:rsidRDefault="003C7905" w:rsidP="00DD21F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E10188F" w14:textId="3B3E12C5" w:rsidR="002A1A44" w:rsidRPr="008B28E7" w:rsidRDefault="002A1A44" w:rsidP="002A1A44">
      <w:pPr>
        <w:keepNext/>
        <w:spacing w:before="240" w:after="60"/>
        <w:jc w:val="both"/>
        <w:rPr>
          <w:sz w:val="24"/>
          <w:szCs w:val="24"/>
        </w:rPr>
      </w:pPr>
      <w:r w:rsidRPr="008B28E7">
        <w:rPr>
          <w:sz w:val="24"/>
          <w:szCs w:val="24"/>
        </w:rPr>
        <w:t xml:space="preserve">   </w:t>
      </w:r>
    </w:p>
    <w:p w14:paraId="387F1641" w14:textId="77777777" w:rsidR="006D1DD8" w:rsidRDefault="006D1DD8" w:rsidP="00614482">
      <w:pPr>
        <w:rPr>
          <w:sz w:val="24"/>
          <w:szCs w:val="24"/>
        </w:rPr>
      </w:pPr>
    </w:p>
    <w:p w14:paraId="659836C0" w14:textId="77777777" w:rsidR="006D1DD8" w:rsidRDefault="006D1DD8" w:rsidP="00614482">
      <w:pPr>
        <w:rPr>
          <w:sz w:val="24"/>
          <w:szCs w:val="24"/>
        </w:rPr>
      </w:pPr>
    </w:p>
    <w:p w14:paraId="18B1F3B3" w14:textId="77777777" w:rsidR="006D1DD8" w:rsidRDefault="006D1DD8" w:rsidP="00614482">
      <w:pPr>
        <w:rPr>
          <w:sz w:val="24"/>
          <w:szCs w:val="24"/>
        </w:rPr>
      </w:pPr>
    </w:p>
    <w:p w14:paraId="7047BA81" w14:textId="1B7954AB" w:rsidR="002A1A44" w:rsidRPr="00EE5BC3" w:rsidRDefault="002A1A44" w:rsidP="00614482">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3757C0C" w:rsidR="00E559CE" w:rsidRPr="00B17FA0" w:rsidRDefault="00AE6551" w:rsidP="00B94443">
            <w:pPr>
              <w:jc w:val="both"/>
              <w:rPr>
                <w:sz w:val="24"/>
                <w:szCs w:val="24"/>
              </w:rPr>
            </w:pPr>
            <w:r>
              <w:rPr>
                <w:sz w:val="24"/>
                <w:szCs w:val="24"/>
              </w:rPr>
              <w:t>12/02/2024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DE75113" w:rsidR="00E559CE" w:rsidRPr="00B17FA0" w:rsidRDefault="00AE6551" w:rsidP="00B94443">
            <w:pPr>
              <w:jc w:val="both"/>
              <w:rPr>
                <w:sz w:val="24"/>
                <w:szCs w:val="24"/>
              </w:rPr>
            </w:pPr>
            <w:r>
              <w:rPr>
                <w:sz w:val="24"/>
                <w:szCs w:val="24"/>
              </w:rPr>
              <w:t>27/03/2024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2081A1E" w:rsidR="00E559CE" w:rsidRPr="00B17FA0" w:rsidRDefault="00AE6551" w:rsidP="00B94443">
            <w:pPr>
              <w:jc w:val="both"/>
              <w:rPr>
                <w:sz w:val="24"/>
                <w:szCs w:val="24"/>
              </w:rPr>
            </w:pPr>
            <w:r>
              <w:rPr>
                <w:sz w:val="24"/>
                <w:szCs w:val="24"/>
              </w:rPr>
              <w:t>21/08/2024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DE58AA5" w:rsidR="00E559CE" w:rsidRPr="00B17FA0" w:rsidRDefault="00AE6551" w:rsidP="00B94443">
            <w:pPr>
              <w:jc w:val="both"/>
              <w:rPr>
                <w:sz w:val="24"/>
                <w:szCs w:val="24"/>
              </w:rPr>
            </w:pPr>
            <w:r>
              <w:rPr>
                <w:sz w:val="24"/>
                <w:szCs w:val="24"/>
              </w:rPr>
              <w:t>18/09/2024</w:t>
            </w:r>
          </w:p>
        </w:tc>
      </w:tr>
    </w:tbl>
    <w:p w14:paraId="3338AF4A" w14:textId="77777777" w:rsidR="00E559CE" w:rsidRPr="008B28E7" w:rsidRDefault="00E559CE" w:rsidP="00E559CE">
      <w:pPr>
        <w:jc w:val="both"/>
        <w:rPr>
          <w:sz w:val="24"/>
          <w:szCs w:val="24"/>
        </w:rPr>
      </w:pPr>
    </w:p>
    <w:p w14:paraId="20A980F4" w14:textId="30AAADFE" w:rsidR="000E38C3" w:rsidRDefault="00E559CE" w:rsidP="00E559CE">
      <w:pPr>
        <w:jc w:val="both"/>
        <w:rPr>
          <w:sz w:val="24"/>
          <w:szCs w:val="24"/>
        </w:rPr>
      </w:pPr>
      <w:r>
        <w:rPr>
          <w:sz w:val="24"/>
          <w:szCs w:val="24"/>
        </w:rPr>
        <w:t>Notes</w:t>
      </w:r>
      <w:r w:rsidR="00AE6551">
        <w:rPr>
          <w:sz w:val="24"/>
          <w:szCs w:val="24"/>
        </w:rPr>
        <w:t>: Attended 07/08/2024 (workshop 3) on 21/08/2024 online with Carol Armstrong (Flintshire CPEL course coordinator</w:t>
      </w:r>
      <w:r w:rsidR="008F14D0">
        <w:rPr>
          <w:sz w:val="24"/>
          <w:szCs w:val="24"/>
        </w:rPr>
        <w:t>/Workforce development officer</w:t>
      </w:r>
      <w:r w:rsidR="00AE6551">
        <w:rPr>
          <w:sz w:val="24"/>
          <w:szCs w:val="24"/>
        </w:rPr>
        <w:t xml:space="preserve">) due to annual </w:t>
      </w:r>
      <w:r w:rsidR="005E210E">
        <w:rPr>
          <w:sz w:val="24"/>
          <w:szCs w:val="24"/>
        </w:rPr>
        <w:t>leave</w:t>
      </w:r>
      <w:r w:rsidR="00AE6551">
        <w:rPr>
          <w:sz w:val="24"/>
          <w:szCs w:val="24"/>
        </w:rPr>
        <w:t xml:space="preserve">.  </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6D0DC661" w14:textId="704B5835" w:rsidR="00C65CDF" w:rsidRDefault="00C65CDF" w:rsidP="00C65CDF">
            <w:pPr>
              <w:rPr>
                <w:sz w:val="28"/>
                <w:szCs w:val="28"/>
              </w:rPr>
            </w:pPr>
            <w:r>
              <w:rPr>
                <w:sz w:val="28"/>
                <w:szCs w:val="28"/>
              </w:rPr>
              <w:t>Roy should feel rightly proud of his personal and professional development during his completion of the CPEL process. I have had the pleasure of line manging and mentoring Roy throughout this time, he</w:t>
            </w:r>
            <w:r>
              <w:rPr>
                <w:i/>
                <w:iCs/>
                <w:sz w:val="28"/>
                <w:szCs w:val="28"/>
              </w:rPr>
              <w:t xml:space="preserve"> </w:t>
            </w:r>
            <w:r>
              <w:rPr>
                <w:sz w:val="28"/>
                <w:szCs w:val="28"/>
              </w:rPr>
              <w:t xml:space="preserve">has demonstrated a commendable commitment to completing the CPEL portfolio and a proactive approach to his own wider professional development. Although Roy joined the team with a comprehensive background within Social Services, having undertaken several ancillary roles across the directorate, this was to be his </w:t>
            </w:r>
            <w:r w:rsidR="00A879D2">
              <w:rPr>
                <w:sz w:val="28"/>
                <w:szCs w:val="28"/>
              </w:rPr>
              <w:t>first registered</w:t>
            </w:r>
            <w:r>
              <w:rPr>
                <w:sz w:val="28"/>
                <w:szCs w:val="28"/>
              </w:rPr>
              <w:t xml:space="preserve"> role, as a newly qualified Social Worker.</w:t>
            </w:r>
          </w:p>
          <w:p w14:paraId="44806143" w14:textId="77777777" w:rsidR="00C65CDF" w:rsidRDefault="00C65CDF" w:rsidP="00C65CDF">
            <w:pPr>
              <w:rPr>
                <w:sz w:val="28"/>
                <w:szCs w:val="28"/>
              </w:rPr>
            </w:pPr>
          </w:p>
          <w:p w14:paraId="0C202215" w14:textId="77777777" w:rsidR="00C65CDF" w:rsidRDefault="00C65CDF" w:rsidP="00C65CDF">
            <w:pPr>
              <w:rPr>
                <w:sz w:val="28"/>
                <w:szCs w:val="28"/>
              </w:rPr>
            </w:pPr>
            <w:r>
              <w:rPr>
                <w:sz w:val="28"/>
                <w:szCs w:val="28"/>
              </w:rPr>
              <w:t xml:space="preserve">Since joining the team in November 2022, he has continued to develop, applying the knowledge, skills and foundations he gained during the degree process, to become an invaluable and enthusiastic team member. I have received numerous positive comments including both written and verbal feedback from clients, colleagues and associated professionals. As was evident in the observation of practice (Task 2), Roy is acutely aware of the best ‘use of the self’ in his direct work with clients. It is his ability to communicate clearly with people, good use of interpersonal skills, conscientious practice, and </w:t>
            </w:r>
            <w:r>
              <w:rPr>
                <w:sz w:val="28"/>
                <w:szCs w:val="28"/>
              </w:rPr>
              <w:lastRenderedPageBreak/>
              <w:t xml:space="preserve">application of relevant theories and assessment tools that is held in particularly high regard. He possesses a ‘natural’ approach and his excellent communication skills, highly prevalent in the observation, assist Roy to very quickly develop trust, not only in his own professional competence but also in a way which empowers people by capturing their strengths and upholding their choice and control, a crucial component of working collaboratively with people in need of care and support. This is very clearly evidenced in the feedback Roy received as part of the observation. </w:t>
            </w:r>
          </w:p>
          <w:p w14:paraId="47C831D5" w14:textId="77777777" w:rsidR="00C65CDF" w:rsidRDefault="00C65CDF" w:rsidP="00C65CDF">
            <w:pPr>
              <w:rPr>
                <w:sz w:val="28"/>
                <w:szCs w:val="28"/>
              </w:rPr>
            </w:pPr>
            <w:r>
              <w:rPr>
                <w:sz w:val="28"/>
                <w:szCs w:val="28"/>
              </w:rPr>
              <w:t>It was evident Roy had prepared well prior for the observation. He was cognisant of the information he needed to gather but crucially also demonstrated an openness to ensuring that his client’s voice, choice and control were promoted. During the free flowing ‘what matters’ conversation, sufficient time and space was created by Roy to enable his client to digress to other areas. Skills such as reflective questioning and paraphrasing were utilised by Roy to ensure what was being communicated, by both parties, was being received accurately.</w:t>
            </w:r>
          </w:p>
          <w:p w14:paraId="662C86AD" w14:textId="77777777" w:rsidR="00C65CDF" w:rsidRDefault="00C65CDF" w:rsidP="00C65CDF">
            <w:pPr>
              <w:rPr>
                <w:sz w:val="28"/>
                <w:szCs w:val="28"/>
              </w:rPr>
            </w:pPr>
            <w:r>
              <w:rPr>
                <w:sz w:val="28"/>
                <w:szCs w:val="28"/>
              </w:rPr>
              <w:t>This evidently encouraged the individual to communicate openly and they testified to feeling listed to, not feeling judged and conditions were created where they were able to ‘open up’. His client disclosed to me following the observation that they had some concerns with meeting with a Social Worker initially; fearing that this would reduce the control they were able to exert over their own life. Roy’s empathic and compassionate approach were a key element in the dissolution of these fears, as was his ability to react appropriately, by being attentive rather than dismissive, of wider contextual issues raised by his client.</w:t>
            </w:r>
          </w:p>
          <w:p w14:paraId="553793EE" w14:textId="77777777" w:rsidR="00C65CDF" w:rsidRDefault="00C65CDF" w:rsidP="00C65CDF">
            <w:pPr>
              <w:rPr>
                <w:sz w:val="28"/>
                <w:szCs w:val="28"/>
              </w:rPr>
            </w:pPr>
          </w:p>
          <w:p w14:paraId="5032FFAE" w14:textId="16D7F1CC" w:rsidR="00C65CDF" w:rsidRDefault="00C65CDF" w:rsidP="00C65CDF">
            <w:pPr>
              <w:rPr>
                <w:sz w:val="28"/>
                <w:szCs w:val="28"/>
              </w:rPr>
            </w:pPr>
            <w:r>
              <w:rPr>
                <w:sz w:val="28"/>
                <w:szCs w:val="28"/>
              </w:rPr>
              <w:t xml:space="preserve">Whilst I have never had any concerns as to Roy’s capabilities and knowledge, I have noted his confidence, particularly </w:t>
            </w:r>
            <w:r w:rsidR="00CA1280">
              <w:rPr>
                <w:sz w:val="28"/>
                <w:szCs w:val="28"/>
              </w:rPr>
              <w:t>in regard to</w:t>
            </w:r>
            <w:r>
              <w:rPr>
                <w:sz w:val="28"/>
                <w:szCs w:val="28"/>
              </w:rPr>
              <w:t xml:space="preserve"> timely decision making and recognition of responsibilities, has developed during the completion of the CPEL portfolio. Roy is incredibly conscientious; he’s always motivated to ensure any perceived power imbalance inherent in Social Worker/Client relationships is addressed. His natural disposition results in people feeling very secure and at the centre of all processes he undertakes his Social Work role with and alongside people rather than to and for them. I now consider Roy meets the competencies required to intervene and apply professional judgement in the most complex of situations. He has integrated his increased awareness of the autonomy and responsibility he posses with his keenly held social work values to develop increased confidence in his own decision making. I am pleased that these sentiments are shared by Roy and encouraged by his </w:t>
            </w:r>
            <w:r>
              <w:rPr>
                <w:sz w:val="28"/>
                <w:szCs w:val="28"/>
              </w:rPr>
              <w:lastRenderedPageBreak/>
              <w:t>recognition and awareness of the role played by his own feelings in these circumstances, as evidenced in Tasks 1a and 1b.</w:t>
            </w:r>
          </w:p>
          <w:p w14:paraId="4F879778" w14:textId="77777777" w:rsidR="00C65CDF" w:rsidRDefault="00C65CDF" w:rsidP="00C65CDF">
            <w:pPr>
              <w:rPr>
                <w:sz w:val="28"/>
                <w:szCs w:val="28"/>
              </w:rPr>
            </w:pPr>
          </w:p>
          <w:p w14:paraId="1FCAA798" w14:textId="77777777" w:rsidR="00C65CDF" w:rsidRDefault="00C65CDF" w:rsidP="00C65CDF">
            <w:pPr>
              <w:rPr>
                <w:sz w:val="28"/>
                <w:szCs w:val="28"/>
              </w:rPr>
            </w:pPr>
            <w:r>
              <w:rPr>
                <w:sz w:val="28"/>
                <w:szCs w:val="28"/>
              </w:rPr>
              <w:t>This confidence, coupled with his commitment to anti-oppressive practice, social justice and Social Work values, is perhaps most clearly demonstrated in his work as part of Multi-Disciplinary Team meetings. I have observed Roy respectfully challenging assumptions and statements made by key professionals that could be considered discriminatory or impinging on an individual’s rights. Advocating on behalf of his client and their interests, Roy, in the MDT arena, has numerous times demonstrated those qualities that his clients report to hold in such high regard.</w:t>
            </w:r>
          </w:p>
          <w:p w14:paraId="3C8C3342" w14:textId="77777777" w:rsidR="00C65CDF" w:rsidRDefault="00C65CDF" w:rsidP="00C65CDF">
            <w:pPr>
              <w:rPr>
                <w:sz w:val="28"/>
                <w:szCs w:val="28"/>
              </w:rPr>
            </w:pPr>
          </w:p>
          <w:p w14:paraId="699737ED" w14:textId="77777777" w:rsidR="00C65CDF" w:rsidRDefault="00C65CDF" w:rsidP="00C65CDF">
            <w:pPr>
              <w:rPr>
                <w:sz w:val="28"/>
                <w:szCs w:val="28"/>
              </w:rPr>
            </w:pPr>
            <w:r>
              <w:rPr>
                <w:sz w:val="28"/>
                <w:szCs w:val="28"/>
              </w:rPr>
              <w:t>Being proactive in identifying his own development needs, Roy has frequently sought out opportunities to develop his knowledge, skills and experience and often seeks opportunities that take him away from an imagined ‘comfort zone’. This has been achieved in several ways, through supervision, shadowing opportunities, undertaking formal training and seeking additional duties and responsibilities.</w:t>
            </w:r>
          </w:p>
          <w:p w14:paraId="69496DD7" w14:textId="77777777" w:rsidR="00C65CDF" w:rsidRDefault="00C65CDF" w:rsidP="00C65CDF">
            <w:pPr>
              <w:rPr>
                <w:sz w:val="28"/>
                <w:szCs w:val="28"/>
              </w:rPr>
            </w:pPr>
            <w:r>
              <w:rPr>
                <w:sz w:val="28"/>
                <w:szCs w:val="28"/>
              </w:rPr>
              <w:t xml:space="preserve">During supervision sessions, when challenged to reflect on his practice, Roy is able to demonstrate the use of excellent analytical skills in increasingly complex situations. This is not restricted to his own decision making, but also the underlying context of others he has worked collaboratively with. Roy’s application of critical reflection extends beyond his own judgement and decision making to the wider context of his own feelings and how these were considered in the application of his professional judgement. This ensures that Roy’s practice is empowering as due consideration is afforded to the existence of any underlying biases, a central tenet of anti-oppressive practice. </w:t>
            </w:r>
          </w:p>
          <w:p w14:paraId="4107BCC7" w14:textId="77777777" w:rsidR="00C65CDF" w:rsidRDefault="00C65CDF" w:rsidP="00C65CDF">
            <w:pPr>
              <w:rPr>
                <w:sz w:val="28"/>
                <w:szCs w:val="28"/>
              </w:rPr>
            </w:pPr>
            <w:r>
              <w:rPr>
                <w:sz w:val="28"/>
                <w:szCs w:val="28"/>
              </w:rPr>
              <w:t>Throughout the CPEL process Roy has had the opportunity to work with a wide variety of increasingly complex situations, commensurate with the role of a level two Social Worker.  Although his exposure to certain areas of practice has been carefully managed and proportionate to his current role, such as Court of Protection, Continuing Health Care Mental Capacity and Best Interests decisions, Roy has developed a grounding knowledge in all these areas, which coupled with his ability to rise to a challenge and his motivation to develop his own skills, will certainly hold him in good stead as his career progresses.</w:t>
            </w:r>
          </w:p>
          <w:p w14:paraId="60E1F8CE" w14:textId="77777777" w:rsidR="00C65CDF" w:rsidRDefault="00C65CDF" w:rsidP="00C65CDF">
            <w:pPr>
              <w:rPr>
                <w:sz w:val="28"/>
                <w:szCs w:val="28"/>
              </w:rPr>
            </w:pPr>
            <w:r>
              <w:rPr>
                <w:sz w:val="28"/>
                <w:szCs w:val="28"/>
              </w:rPr>
              <w:t xml:space="preserve">In summary, Roy has clearly evidenced an ability to practice as a level three Social Worker, not just in his CPEL portfolio, but also in the work that he has undertaken as part of a busy, dynamic Social Work team. He has certainly achieved more than solely the set learning objectives during his CPEL programme. His approach to Social Work has ensured that the voice and </w:t>
            </w:r>
            <w:r>
              <w:rPr>
                <w:sz w:val="28"/>
                <w:szCs w:val="28"/>
              </w:rPr>
              <w:lastRenderedPageBreak/>
              <w:t xml:space="preserve">wellbeing of his clients remains central to his practice, and he has demonstrated an ability to work autonomously and creatively in incredibly challenging times and situations. Skills and abilities that he will draw on increasingly as he progresses on his Social Work career. </w:t>
            </w:r>
          </w:p>
          <w:p w14:paraId="5812E0DC" w14:textId="77777777" w:rsidR="00C65CDF" w:rsidRDefault="00C65CDF" w:rsidP="00C65CDF">
            <w:pPr>
              <w:rPr>
                <w:sz w:val="28"/>
                <w:szCs w:val="28"/>
              </w:rPr>
            </w:pPr>
          </w:p>
          <w:p w14:paraId="67493295" w14:textId="77777777" w:rsidR="00C65CDF" w:rsidRDefault="00C65CDF" w:rsidP="00C65CDF">
            <w:pPr>
              <w:rPr>
                <w:sz w:val="28"/>
                <w:szCs w:val="28"/>
              </w:rPr>
            </w:pPr>
            <w:r>
              <w:rPr>
                <w:sz w:val="28"/>
                <w:szCs w:val="28"/>
              </w:rPr>
              <w:t>Mike Farrelly 4/10/24</w:t>
            </w:r>
          </w:p>
          <w:p w14:paraId="7E267616" w14:textId="77777777" w:rsidR="00C65CDF" w:rsidRDefault="00C65CDF" w:rsidP="00C65CDF">
            <w:pPr>
              <w:rPr>
                <w:sz w:val="28"/>
                <w:szCs w:val="28"/>
              </w:rPr>
            </w:pPr>
            <w:r>
              <w:rPr>
                <w:sz w:val="28"/>
                <w:szCs w:val="28"/>
              </w:rPr>
              <w:t>Deputy Team manager – Social Worker</w:t>
            </w:r>
          </w:p>
          <w:p w14:paraId="6D28E8CB" w14:textId="77777777" w:rsidR="00C65CDF" w:rsidRDefault="00C65CDF"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46E31C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02FBE">
        <w:rPr>
          <w:b/>
          <w:sz w:val="24"/>
          <w:szCs w:val="24"/>
        </w:rPr>
        <w:t>Roy David Oldfield</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8FB424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F1F90">
        <w:rPr>
          <w:b/>
          <w:sz w:val="24"/>
          <w:szCs w:val="24"/>
        </w:rPr>
        <w:t xml:space="preserve"> 2317884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63D12A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02FBE">
        <w:rPr>
          <w:b/>
          <w:sz w:val="24"/>
          <w:szCs w:val="24"/>
        </w:rPr>
        <w:t xml:space="preserve"> 3 Llys Alun, Connah’s Quay, Deeside, Flintshire. CH5 4ZA.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B60105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02FBE">
        <w:rPr>
          <w:b/>
          <w:sz w:val="24"/>
          <w:szCs w:val="24"/>
        </w:rPr>
        <w:t xml:space="preserve"> 07793055305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915BFF" w14:textId="77777777" w:rsidR="006577C5" w:rsidRDefault="004923DA" w:rsidP="00E173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1733D">
        <w:rPr>
          <w:b/>
          <w:sz w:val="24"/>
          <w:szCs w:val="24"/>
        </w:rPr>
        <w:t xml:space="preserve"> </w:t>
      </w:r>
    </w:p>
    <w:p w14:paraId="7C699301" w14:textId="1A7F73FC" w:rsidR="00E1733D" w:rsidRPr="008B28E7" w:rsidRDefault="00E1733D" w:rsidP="00E173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Work: roy.david.oldfield@flintshire.gov.uk</w:t>
      </w:r>
    </w:p>
    <w:p w14:paraId="08764498" w14:textId="31F86E67" w:rsidR="004923DA" w:rsidRDefault="00502FB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Personal: </w:t>
      </w:r>
      <w:hyperlink r:id="rId25" w:history="1">
        <w:r w:rsidRPr="00115D86">
          <w:rPr>
            <w:rStyle w:val="Hyperlink"/>
            <w:b/>
            <w:sz w:val="24"/>
            <w:szCs w:val="24"/>
          </w:rPr>
          <w:t>roldfield@sky.com</w:t>
        </w:r>
      </w:hyperlink>
      <w:r>
        <w:rPr>
          <w:b/>
          <w:sz w:val="24"/>
          <w:szCs w:val="24"/>
        </w:rPr>
        <w:t xml:space="preserve"> </w:t>
      </w:r>
    </w:p>
    <w:p w14:paraId="0B2821DB" w14:textId="77777777" w:rsidR="006577C5" w:rsidRDefault="006577C5"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B9D8B8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B43F0">
        <w:rPr>
          <w:b/>
          <w:sz w:val="24"/>
          <w:szCs w:val="24"/>
        </w:rPr>
        <w:t>31/10/2022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376CC8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B43F0">
        <w:rPr>
          <w:b/>
          <w:sz w:val="24"/>
          <w:szCs w:val="24"/>
        </w:rPr>
        <w:t xml:space="preserve"> 22/12/2022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7C781FDE"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AA3E56">
        <w:rPr>
          <w:b/>
          <w:sz w:val="24"/>
          <w:szCs w:val="24"/>
        </w:rPr>
        <w:t>: Flintshire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881CE3" w14:textId="77777777" w:rsidR="00CB60E1" w:rsidRDefault="004923DA" w:rsidP="004071E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3D8A769D" w14:textId="44044607" w:rsidR="00CB60E1" w:rsidRDefault="00CB60E1" w:rsidP="004071E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Social Services PD Team </w:t>
      </w:r>
    </w:p>
    <w:p w14:paraId="1E291A8B" w14:textId="75E08AEE" w:rsidR="00927E4C" w:rsidRDefault="00CB60E1" w:rsidP="004071E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Ty Dewi Sant, St David’s Park, Ewloe, Flintshire. CH5 3FF. </w:t>
      </w:r>
      <w:r w:rsidR="00FD420D">
        <w:rPr>
          <w:b/>
          <w:sz w:val="24"/>
          <w:szCs w:val="24"/>
        </w:rPr>
        <w:t xml:space="preserve"> </w:t>
      </w:r>
      <w:r w:rsidR="00AA3E56">
        <w:rPr>
          <w:b/>
          <w:sz w:val="24"/>
          <w:szCs w:val="24"/>
        </w:rPr>
        <w:t xml:space="preserve"> </w:t>
      </w:r>
    </w:p>
    <w:p w14:paraId="16BCFDD9" w14:textId="77777777" w:rsidR="004071E0" w:rsidRDefault="004071E0" w:rsidP="004071E0">
      <w:pPr>
        <w:pBdr>
          <w:top w:val="single" w:sz="6" w:space="1" w:color="auto"/>
          <w:left w:val="single" w:sz="6" w:space="1" w:color="auto"/>
          <w:bottom w:val="single" w:sz="6" w:space="1" w:color="auto"/>
          <w:right w:val="single" w:sz="6" w:space="1" w:color="auto"/>
        </w:pBdr>
        <w:jc w:val="both"/>
        <w:rPr>
          <w:b/>
          <w:sz w:val="24"/>
          <w:szCs w:val="24"/>
        </w:rPr>
      </w:pPr>
    </w:p>
    <w:p w14:paraId="592375C7" w14:textId="77777777" w:rsidR="004071E0" w:rsidRDefault="004071E0" w:rsidP="004071E0">
      <w:pPr>
        <w:pBdr>
          <w:top w:val="single" w:sz="6" w:space="1" w:color="auto"/>
          <w:left w:val="single" w:sz="6" w:space="1" w:color="auto"/>
          <w:bottom w:val="single" w:sz="6" w:space="1" w:color="auto"/>
          <w:right w:val="single" w:sz="6" w:space="1" w:color="auto"/>
        </w:pBdr>
        <w:jc w:val="both"/>
        <w:rPr>
          <w:b/>
          <w:sz w:val="24"/>
          <w:szCs w:val="24"/>
        </w:rPr>
      </w:pPr>
    </w:p>
    <w:p w14:paraId="52190C8C" w14:textId="1CB6716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FD420D">
        <w:rPr>
          <w:b/>
          <w:sz w:val="24"/>
          <w:szCs w:val="24"/>
        </w:rPr>
        <w:t xml:space="preserve"> Carol Armstrong</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9405C6" w14:textId="77777777" w:rsidR="004071E0" w:rsidRDefault="004071E0" w:rsidP="004071E0">
      <w:pPr>
        <w:pBdr>
          <w:top w:val="single" w:sz="6" w:space="1" w:color="auto"/>
          <w:left w:val="single" w:sz="6" w:space="1" w:color="auto"/>
          <w:bottom w:val="single" w:sz="6" w:space="1" w:color="auto"/>
          <w:right w:val="single" w:sz="6" w:space="1" w:color="auto"/>
        </w:pBdr>
        <w:jc w:val="both"/>
        <w:rPr>
          <w:b/>
          <w:sz w:val="24"/>
          <w:szCs w:val="24"/>
        </w:rPr>
      </w:pPr>
    </w:p>
    <w:p w14:paraId="52C43619" w14:textId="5EC36F5C" w:rsidR="004071E0" w:rsidRDefault="004923DA" w:rsidP="004071E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FD420D">
        <w:rPr>
          <w:b/>
          <w:sz w:val="24"/>
          <w:szCs w:val="24"/>
        </w:rPr>
        <w:t xml:space="preserve"> </w:t>
      </w:r>
      <w:r w:rsidR="004071E0">
        <w:rPr>
          <w:b/>
          <w:sz w:val="24"/>
          <w:szCs w:val="24"/>
        </w:rPr>
        <w:t>Social Care Workforce Development Team</w:t>
      </w:r>
    </w:p>
    <w:p w14:paraId="4C5C4382" w14:textId="77777777" w:rsidR="004071E0" w:rsidRDefault="004071E0" w:rsidP="004071E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r>
        <w:rPr>
          <w:b/>
          <w:sz w:val="24"/>
          <w:szCs w:val="24"/>
        </w:rPr>
        <w:tab/>
      </w:r>
      <w:r>
        <w:rPr>
          <w:b/>
          <w:sz w:val="24"/>
          <w:szCs w:val="24"/>
        </w:rPr>
        <w:tab/>
      </w:r>
      <w:r>
        <w:rPr>
          <w:b/>
          <w:sz w:val="24"/>
          <w:szCs w:val="24"/>
        </w:rPr>
        <w:tab/>
        <w:t>Greenfield Business Park</w:t>
      </w:r>
    </w:p>
    <w:p w14:paraId="0A96B7AF" w14:textId="77777777" w:rsidR="004071E0" w:rsidRDefault="004071E0" w:rsidP="004071E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r>
        <w:rPr>
          <w:b/>
          <w:sz w:val="24"/>
          <w:szCs w:val="24"/>
        </w:rPr>
        <w:tab/>
      </w:r>
      <w:r>
        <w:rPr>
          <w:b/>
          <w:sz w:val="24"/>
          <w:szCs w:val="24"/>
        </w:rPr>
        <w:tab/>
      </w:r>
      <w:r>
        <w:rPr>
          <w:b/>
          <w:sz w:val="24"/>
          <w:szCs w:val="24"/>
        </w:rPr>
        <w:tab/>
        <w:t>Greenfield Road</w:t>
      </w:r>
    </w:p>
    <w:p w14:paraId="531165CD" w14:textId="77777777" w:rsidR="004071E0" w:rsidRDefault="004071E0" w:rsidP="004071E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r>
        <w:rPr>
          <w:b/>
          <w:sz w:val="24"/>
          <w:szCs w:val="24"/>
        </w:rPr>
        <w:tab/>
      </w:r>
      <w:r>
        <w:rPr>
          <w:b/>
          <w:sz w:val="24"/>
          <w:szCs w:val="24"/>
        </w:rPr>
        <w:tab/>
      </w:r>
      <w:r>
        <w:rPr>
          <w:b/>
          <w:sz w:val="24"/>
          <w:szCs w:val="24"/>
        </w:rPr>
        <w:tab/>
        <w:t xml:space="preserve">Holywell, Flintshire. </w:t>
      </w:r>
    </w:p>
    <w:p w14:paraId="64058DF9" w14:textId="5D7B504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8FDF0E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A3E56">
        <w:rPr>
          <w:b/>
          <w:sz w:val="24"/>
          <w:szCs w:val="24"/>
        </w:rPr>
        <w:t xml:space="preserve"> 01352 702661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B9104D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75348F">
        <w:rPr>
          <w:b/>
          <w:sz w:val="24"/>
          <w:szCs w:val="24"/>
        </w:rPr>
        <w:t>ca</w:t>
      </w:r>
      <w:r w:rsidR="0075348F" w:rsidRPr="0075348F">
        <w:rPr>
          <w:b/>
          <w:sz w:val="24"/>
          <w:szCs w:val="24"/>
        </w:rPr>
        <w:t>rol.armstrong@flintshire.gov.uk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3B5155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D420D">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4D157E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66B8C">
        <w:rPr>
          <w:b/>
          <w:sz w:val="24"/>
          <w:szCs w:val="24"/>
        </w:rPr>
        <w:t xml:space="preserve"> Mike Farrelly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E91C3A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66B8C">
        <w:rPr>
          <w:b/>
          <w:sz w:val="24"/>
          <w:szCs w:val="24"/>
        </w:rPr>
        <w:t xml:space="preserve"> </w:t>
      </w:r>
      <w:r w:rsidR="00CB60E1">
        <w:rPr>
          <w:b/>
          <w:sz w:val="24"/>
          <w:szCs w:val="24"/>
        </w:rPr>
        <w:t xml:space="preserve">Ty Dewi Sant, St David’s Park, Ewloe. Flintshire. CH5 3FF. </w:t>
      </w:r>
      <w:r w:rsidR="00CB60E1" w:rsidRPr="008B28E7">
        <w:rPr>
          <w:b/>
          <w:sz w:val="24"/>
          <w:szCs w:val="24"/>
        </w:rPr>
        <w:t xml:space="preserve">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2DF8E1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66B8C">
        <w:rPr>
          <w:b/>
          <w:sz w:val="24"/>
          <w:szCs w:val="24"/>
        </w:rPr>
        <w:t xml:space="preserve"> 01352 702000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46FF0E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A66B8C">
        <w:rPr>
          <w:b/>
          <w:sz w:val="24"/>
          <w:szCs w:val="24"/>
        </w:rPr>
        <w:t xml:space="preserve"> </w:t>
      </w:r>
      <w:r w:rsidR="00CB60E1" w:rsidRPr="00A66B8C">
        <w:rPr>
          <w:b/>
          <w:sz w:val="24"/>
          <w:szCs w:val="24"/>
        </w:rPr>
        <w:t>mike.j.farrelly@flintshire.gov.uk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EFCDD70" w:rsidR="004923DA" w:rsidRDefault="004923DA" w:rsidP="00FF7EBB">
            <w:pPr>
              <w:jc w:val="both"/>
              <w:rPr>
                <w:b/>
                <w:sz w:val="24"/>
                <w:szCs w:val="24"/>
              </w:rPr>
            </w:pPr>
            <w:r w:rsidRPr="008B28E7">
              <w:rPr>
                <w:b/>
                <w:sz w:val="24"/>
                <w:szCs w:val="24"/>
              </w:rPr>
              <w:t>Name:</w:t>
            </w:r>
            <w:r w:rsidR="00A66B8C">
              <w:rPr>
                <w:b/>
                <w:sz w:val="24"/>
                <w:szCs w:val="24"/>
              </w:rPr>
              <w:t xml:space="preserve"> Mike Farrelly</w:t>
            </w:r>
          </w:p>
          <w:p w14:paraId="4EF4A770" w14:textId="77777777" w:rsidR="004923DA" w:rsidRPr="008B28E7" w:rsidRDefault="004923DA" w:rsidP="00FF7EBB">
            <w:pPr>
              <w:jc w:val="both"/>
              <w:rPr>
                <w:b/>
                <w:sz w:val="24"/>
                <w:szCs w:val="24"/>
              </w:rPr>
            </w:pPr>
          </w:p>
          <w:p w14:paraId="1AC8522D" w14:textId="4E6D4248" w:rsidR="004923DA" w:rsidRDefault="004923DA" w:rsidP="00FF7EBB">
            <w:pPr>
              <w:jc w:val="both"/>
              <w:rPr>
                <w:b/>
                <w:sz w:val="24"/>
                <w:szCs w:val="24"/>
              </w:rPr>
            </w:pPr>
            <w:r w:rsidRPr="008B28E7">
              <w:rPr>
                <w:b/>
                <w:sz w:val="24"/>
                <w:szCs w:val="24"/>
              </w:rPr>
              <w:t>Work Address:</w:t>
            </w:r>
            <w:r w:rsidR="00A66B8C">
              <w:rPr>
                <w:b/>
                <w:sz w:val="24"/>
                <w:szCs w:val="24"/>
              </w:rPr>
              <w:t xml:space="preserve"> Ty Dewi Sant, St David’s Park, Ewloe. Flintshire. CH5 3FF. </w:t>
            </w:r>
            <w:r w:rsidRPr="008B28E7">
              <w:rPr>
                <w:b/>
                <w:sz w:val="24"/>
                <w:szCs w:val="24"/>
              </w:rPr>
              <w:t xml:space="preserve"> </w:t>
            </w:r>
          </w:p>
          <w:p w14:paraId="42BF3097" w14:textId="251E12CC" w:rsidR="009D59C2" w:rsidRDefault="009D59C2" w:rsidP="00FF7EBB">
            <w:pPr>
              <w:jc w:val="both"/>
              <w:rPr>
                <w:b/>
                <w:sz w:val="24"/>
                <w:szCs w:val="24"/>
              </w:rPr>
            </w:pPr>
          </w:p>
          <w:p w14:paraId="6E1CBC17" w14:textId="3D52A81B" w:rsidR="004923DA" w:rsidRPr="008B28E7" w:rsidRDefault="004923DA" w:rsidP="00FF7EBB">
            <w:pPr>
              <w:jc w:val="both"/>
              <w:rPr>
                <w:b/>
                <w:sz w:val="24"/>
                <w:szCs w:val="24"/>
              </w:rPr>
            </w:pPr>
            <w:r w:rsidRPr="008B28E7">
              <w:rPr>
                <w:b/>
                <w:sz w:val="24"/>
                <w:szCs w:val="24"/>
              </w:rPr>
              <w:t>Professional Qualification and date of qualification:</w:t>
            </w:r>
            <w:r w:rsidR="00A66B8C">
              <w:rPr>
                <w:b/>
                <w:sz w:val="24"/>
                <w:szCs w:val="24"/>
              </w:rPr>
              <w:t xml:space="preserve"> </w:t>
            </w:r>
            <w:r w:rsidR="004D66C3">
              <w:rPr>
                <w:b/>
                <w:sz w:val="24"/>
                <w:szCs w:val="24"/>
              </w:rPr>
              <w:t>Social Work BA (hons) -  30/09/2015</w:t>
            </w:r>
          </w:p>
          <w:p w14:paraId="5F68A3CF" w14:textId="77777777" w:rsidR="004923DA" w:rsidRDefault="004923DA" w:rsidP="00FF7EBB">
            <w:pPr>
              <w:jc w:val="both"/>
              <w:rPr>
                <w:b/>
                <w:sz w:val="24"/>
                <w:szCs w:val="24"/>
              </w:rPr>
            </w:pPr>
          </w:p>
          <w:p w14:paraId="4C6113F1" w14:textId="6BC6BB1A" w:rsidR="004923DA" w:rsidRDefault="009D59C2" w:rsidP="00FF7EBB">
            <w:pPr>
              <w:jc w:val="both"/>
              <w:rPr>
                <w:b/>
                <w:sz w:val="24"/>
                <w:szCs w:val="24"/>
              </w:rPr>
            </w:pPr>
            <w:r>
              <w:rPr>
                <w:b/>
                <w:sz w:val="24"/>
                <w:szCs w:val="24"/>
              </w:rPr>
              <w:t>T</w:t>
            </w:r>
            <w:r w:rsidR="004923DA" w:rsidRPr="008B28E7">
              <w:rPr>
                <w:b/>
                <w:sz w:val="24"/>
                <w:szCs w:val="24"/>
              </w:rPr>
              <w:t>elephone number:</w:t>
            </w:r>
            <w:r w:rsidR="00A66B8C">
              <w:rPr>
                <w:b/>
                <w:sz w:val="24"/>
                <w:szCs w:val="24"/>
              </w:rPr>
              <w:t xml:space="preserve"> 01352 702000</w:t>
            </w:r>
          </w:p>
          <w:p w14:paraId="0BB87919" w14:textId="548A11EF" w:rsidR="009D59C2" w:rsidRDefault="009D59C2" w:rsidP="00FF7EBB">
            <w:pPr>
              <w:jc w:val="both"/>
              <w:rPr>
                <w:b/>
                <w:sz w:val="24"/>
                <w:szCs w:val="24"/>
              </w:rPr>
            </w:pPr>
          </w:p>
          <w:p w14:paraId="4FDEE73F" w14:textId="32F5751B" w:rsidR="009D59C2" w:rsidRPr="008B28E7" w:rsidRDefault="009D59C2" w:rsidP="00FF7EBB">
            <w:pPr>
              <w:jc w:val="both"/>
              <w:rPr>
                <w:b/>
                <w:sz w:val="24"/>
                <w:szCs w:val="24"/>
              </w:rPr>
            </w:pPr>
            <w:r>
              <w:rPr>
                <w:b/>
                <w:sz w:val="24"/>
                <w:szCs w:val="24"/>
              </w:rPr>
              <w:t>Email address:</w:t>
            </w:r>
            <w:r w:rsidR="00A66B8C">
              <w:rPr>
                <w:b/>
                <w:sz w:val="24"/>
                <w:szCs w:val="24"/>
              </w:rPr>
              <w:t xml:space="preserve"> </w:t>
            </w:r>
            <w:r w:rsidR="00A66B8C" w:rsidRPr="00A66B8C">
              <w:rPr>
                <w:b/>
                <w:sz w:val="24"/>
                <w:szCs w:val="24"/>
              </w:rPr>
              <w:t>mike.j.farrelly@flintshire.gov.uk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E23889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4724A5">
        <w:rPr>
          <w:sz w:val="24"/>
          <w:szCs w:val="24"/>
        </w:rPr>
        <w:t>Roy David Oldfield</w:t>
      </w:r>
      <w:r>
        <w:rPr>
          <w:sz w:val="24"/>
          <w:szCs w:val="24"/>
        </w:rPr>
        <w:t xml:space="preserve">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D6E26C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724A5">
        <w:rPr>
          <w:sz w:val="24"/>
          <w:szCs w:val="24"/>
        </w:rPr>
        <w:t>05/10/2024</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207B5C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4724A5">
        <w:rPr>
          <w:sz w:val="24"/>
          <w:szCs w:val="24"/>
        </w:rPr>
        <w:t>Mike Farrelly</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1CE96C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724A5">
        <w:rPr>
          <w:sz w:val="24"/>
          <w:szCs w:val="24"/>
        </w:rPr>
        <w:t>0</w:t>
      </w:r>
      <w:r w:rsidR="00CB54AC">
        <w:rPr>
          <w:sz w:val="24"/>
          <w:szCs w:val="24"/>
        </w:rPr>
        <w:t>7/05</w:t>
      </w:r>
      <w:r w:rsidR="004724A5">
        <w:rPr>
          <w:sz w:val="24"/>
          <w:szCs w:val="24"/>
        </w:rPr>
        <w:t>/2024</w:t>
      </w:r>
      <w:r>
        <w:rPr>
          <w:sz w:val="24"/>
          <w:szCs w:val="24"/>
        </w:rPr>
        <w:t xml:space="preserve">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A67C4FA" w:rsidR="00335C41" w:rsidRPr="00D3203C" w:rsidRDefault="00335C41" w:rsidP="00335C41">
            <w:pPr>
              <w:ind w:right="180"/>
              <w:jc w:val="both"/>
              <w:rPr>
                <w:sz w:val="24"/>
                <w:szCs w:val="24"/>
              </w:rPr>
            </w:pPr>
            <w:r w:rsidRPr="00D3203C">
              <w:rPr>
                <w:sz w:val="24"/>
                <w:szCs w:val="24"/>
              </w:rPr>
              <w:t>Signed</w:t>
            </w:r>
            <w:r w:rsidR="00C05F2F">
              <w:rPr>
                <w:sz w:val="24"/>
                <w:szCs w:val="24"/>
              </w:rPr>
              <w:t>: Mike Farrelly</w:t>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4A8606A6" w:rsidR="00335C41" w:rsidRPr="00D3203C" w:rsidRDefault="00335C41" w:rsidP="00335C41">
            <w:pPr>
              <w:ind w:right="180"/>
              <w:jc w:val="both"/>
              <w:rPr>
                <w:sz w:val="24"/>
                <w:szCs w:val="24"/>
              </w:rPr>
            </w:pPr>
            <w:r w:rsidRPr="00D3203C">
              <w:rPr>
                <w:sz w:val="24"/>
                <w:szCs w:val="24"/>
              </w:rPr>
              <w:t xml:space="preserve">Date </w:t>
            </w:r>
            <w:r w:rsidR="00C05F2F">
              <w:rPr>
                <w:sz w:val="24"/>
                <w:szCs w:val="24"/>
              </w:rPr>
              <w:t>05/10/2024</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lastRenderedPageBreak/>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680FC2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E10129">
        <w:rPr>
          <w:caps/>
          <w:sz w:val="24"/>
          <w:szCs w:val="24"/>
        </w:rPr>
        <w:t>Mike farrelly</w:t>
      </w:r>
      <w:r w:rsidR="00B577D3">
        <w:rPr>
          <w:caps/>
          <w:sz w:val="24"/>
          <w:szCs w:val="24"/>
        </w:rPr>
        <w:t>_ _ _ _ _ _ _ _ _ _ _ _ _ _ _ _ _ _ _ _ _ _ _ _</w:t>
      </w:r>
    </w:p>
    <w:p w14:paraId="7C11F360" w14:textId="019187D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E10129">
        <w:rPr>
          <w:sz w:val="24"/>
          <w:szCs w:val="24"/>
        </w:rPr>
        <w:t>Mike Farrelly</w:t>
      </w:r>
      <w:r w:rsidR="00B577D3" w:rsidRPr="00B577D3">
        <w:rPr>
          <w:sz w:val="24"/>
          <w:szCs w:val="24"/>
        </w:rPr>
        <w:t xml:space="preserve"> _ _ _ _ _ _ _ _ _ _ _ _ _ _</w:t>
      </w:r>
      <w:r w:rsidR="009D59C2">
        <w:rPr>
          <w:sz w:val="24"/>
          <w:szCs w:val="24"/>
        </w:rPr>
        <w:t xml:space="preserve"> _ </w:t>
      </w:r>
      <w:r w:rsidR="00B577D3" w:rsidRPr="00B577D3">
        <w:rPr>
          <w:sz w:val="24"/>
          <w:szCs w:val="24"/>
        </w:rPr>
        <w:t xml:space="preserve"> _ _ _ _ _ _ _ _</w:t>
      </w:r>
    </w:p>
    <w:p w14:paraId="57B2A00A" w14:textId="1C4F3FB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E10129">
        <w:rPr>
          <w:sz w:val="24"/>
          <w:szCs w:val="24"/>
        </w:rPr>
        <w:t>05/10/2024</w:t>
      </w:r>
      <w:r w:rsidR="00B577D3" w:rsidRPr="00B577D3">
        <w:rPr>
          <w:sz w:val="24"/>
          <w:szCs w:val="24"/>
        </w:rPr>
        <w:t>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6EB8A5F" w14:textId="77777777" w:rsidR="00E10129" w:rsidRDefault="00E10129">
            <w:pPr>
              <w:rPr>
                <w:sz w:val="24"/>
                <w:szCs w:val="24"/>
              </w:rPr>
            </w:pPr>
          </w:p>
          <w:p w14:paraId="63EF7732" w14:textId="38C7E010" w:rsidR="00986C0B" w:rsidRPr="00DA5682" w:rsidRDefault="00E10129">
            <w:pPr>
              <w:rPr>
                <w:sz w:val="24"/>
                <w:szCs w:val="24"/>
              </w:rPr>
            </w:pPr>
            <w:r>
              <w:rPr>
                <w:sz w:val="24"/>
                <w:szCs w:val="24"/>
              </w:rPr>
              <w:t>Roy David Oldfield</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1C97630" w14:textId="77777777" w:rsidR="00986C0B" w:rsidRDefault="00986C0B">
            <w:pPr>
              <w:rPr>
                <w:sz w:val="24"/>
                <w:szCs w:val="24"/>
              </w:rPr>
            </w:pPr>
          </w:p>
          <w:p w14:paraId="457A0422" w14:textId="04B127CB" w:rsidR="00E10129" w:rsidRPr="00DA5682" w:rsidRDefault="00E10129">
            <w:pPr>
              <w:rPr>
                <w:sz w:val="24"/>
                <w:szCs w:val="24"/>
              </w:rPr>
            </w:pPr>
            <w:r>
              <w:rPr>
                <w:sz w:val="24"/>
                <w:szCs w:val="24"/>
              </w:rPr>
              <w:t>Physical Disability Team, Flintshire County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1DD62A5" w14:textId="77777777" w:rsidR="00986C0B" w:rsidRDefault="00986C0B">
            <w:pPr>
              <w:rPr>
                <w:sz w:val="24"/>
                <w:szCs w:val="24"/>
              </w:rPr>
            </w:pPr>
          </w:p>
          <w:p w14:paraId="0786A0D4" w14:textId="46396302" w:rsidR="00E10129" w:rsidRPr="00DA5682" w:rsidRDefault="00E10129">
            <w:pPr>
              <w:rPr>
                <w:sz w:val="24"/>
                <w:szCs w:val="24"/>
              </w:rPr>
            </w:pPr>
            <w:r>
              <w:rPr>
                <w:sz w:val="24"/>
                <w:szCs w:val="24"/>
              </w:rPr>
              <w:t>Mike Farrelly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F06C89E" w14:textId="77777777" w:rsidR="00986C0B" w:rsidRDefault="00986C0B">
            <w:pPr>
              <w:rPr>
                <w:sz w:val="24"/>
                <w:szCs w:val="24"/>
              </w:rPr>
            </w:pPr>
          </w:p>
          <w:p w14:paraId="3081E6E0" w14:textId="28C99480" w:rsidR="00E10129" w:rsidRPr="00DA5682" w:rsidRDefault="00E10129">
            <w:pPr>
              <w:rPr>
                <w:sz w:val="24"/>
                <w:szCs w:val="24"/>
              </w:rPr>
            </w:pPr>
            <w:r>
              <w:rPr>
                <w:sz w:val="24"/>
                <w:szCs w:val="24"/>
              </w:rPr>
              <w:t>Mike Farrelly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CFD0490" w:rsidR="00986C0B" w:rsidRPr="00DA5682" w:rsidRDefault="00986C0B" w:rsidP="00986C0B">
      <w:pPr>
        <w:rPr>
          <w:sz w:val="24"/>
          <w:szCs w:val="24"/>
        </w:rPr>
      </w:pPr>
      <w:r w:rsidRPr="00DA5682">
        <w:rPr>
          <w:sz w:val="24"/>
          <w:szCs w:val="24"/>
        </w:rPr>
        <w:t>Signed:…</w:t>
      </w:r>
      <w:r w:rsidR="00E10129">
        <w:rPr>
          <w:sz w:val="24"/>
          <w:szCs w:val="24"/>
        </w:rPr>
        <w:t>Roy David Oldfield</w:t>
      </w:r>
      <w:r w:rsidRPr="00DA5682">
        <w:rPr>
          <w:sz w:val="24"/>
          <w:szCs w:val="24"/>
        </w:rPr>
        <w:t>…………………….. Print Name:…</w:t>
      </w:r>
      <w:r w:rsidR="00E10129">
        <w:rPr>
          <w:sz w:val="24"/>
          <w:szCs w:val="24"/>
        </w:rPr>
        <w:t>ROY DAVID OLDFIELD</w:t>
      </w:r>
      <w:r w:rsidRPr="00DA5682">
        <w:rPr>
          <w:sz w:val="24"/>
          <w:szCs w:val="24"/>
        </w:rPr>
        <w:t>……………………… Date:…</w:t>
      </w:r>
      <w:r w:rsidR="00E10129">
        <w:rPr>
          <w:sz w:val="24"/>
          <w:szCs w:val="24"/>
        </w:rPr>
        <w:t>16/10/2023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247E098" w:rsidR="00986C0B" w:rsidRPr="00DA5682" w:rsidRDefault="00986C0B" w:rsidP="00986C0B">
      <w:pPr>
        <w:rPr>
          <w:sz w:val="24"/>
          <w:szCs w:val="24"/>
        </w:rPr>
      </w:pPr>
      <w:r w:rsidRPr="00DA5682">
        <w:rPr>
          <w:sz w:val="24"/>
          <w:szCs w:val="24"/>
        </w:rPr>
        <w:t>Signed:……</w:t>
      </w:r>
      <w:r w:rsidR="00E10129">
        <w:rPr>
          <w:sz w:val="24"/>
          <w:szCs w:val="24"/>
        </w:rPr>
        <w:t>Mike Farrelly</w:t>
      </w:r>
      <w:r w:rsidRPr="00DA5682">
        <w:rPr>
          <w:sz w:val="24"/>
          <w:szCs w:val="24"/>
        </w:rPr>
        <w:t>………………….. Print Name:…</w:t>
      </w:r>
      <w:r w:rsidR="00E10129">
        <w:rPr>
          <w:sz w:val="24"/>
          <w:szCs w:val="24"/>
        </w:rPr>
        <w:t>MIKE FARRELLY</w:t>
      </w:r>
      <w:r w:rsidRPr="00DA5682">
        <w:rPr>
          <w:sz w:val="24"/>
          <w:szCs w:val="24"/>
        </w:rPr>
        <w:t>……………………….Date:…</w:t>
      </w:r>
      <w:r w:rsidR="00E10129">
        <w:rPr>
          <w:sz w:val="24"/>
          <w:szCs w:val="24"/>
        </w:rPr>
        <w:t>16/10/2023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6"/>
      <w:footerReference w:type="default" r:id="rId2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5E89"/>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02B6"/>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3D64"/>
    <w:rsid w:val="00385414"/>
    <w:rsid w:val="00390074"/>
    <w:rsid w:val="00392F73"/>
    <w:rsid w:val="00393600"/>
    <w:rsid w:val="0039762B"/>
    <w:rsid w:val="003A0C37"/>
    <w:rsid w:val="003A1B6B"/>
    <w:rsid w:val="003A46C0"/>
    <w:rsid w:val="003A600E"/>
    <w:rsid w:val="003A6513"/>
    <w:rsid w:val="003B16C7"/>
    <w:rsid w:val="003B3115"/>
    <w:rsid w:val="003B43F0"/>
    <w:rsid w:val="003C19F1"/>
    <w:rsid w:val="003C3C67"/>
    <w:rsid w:val="003C4186"/>
    <w:rsid w:val="003C6185"/>
    <w:rsid w:val="003C7905"/>
    <w:rsid w:val="003D0D2D"/>
    <w:rsid w:val="003D1885"/>
    <w:rsid w:val="003D1BC0"/>
    <w:rsid w:val="003D20F1"/>
    <w:rsid w:val="003D4710"/>
    <w:rsid w:val="003E16D7"/>
    <w:rsid w:val="003E197E"/>
    <w:rsid w:val="003E4B70"/>
    <w:rsid w:val="003E54CF"/>
    <w:rsid w:val="003E5FBA"/>
    <w:rsid w:val="003F1233"/>
    <w:rsid w:val="003F1328"/>
    <w:rsid w:val="003F67A4"/>
    <w:rsid w:val="00400786"/>
    <w:rsid w:val="00401FDA"/>
    <w:rsid w:val="004046F0"/>
    <w:rsid w:val="0040668F"/>
    <w:rsid w:val="004071E0"/>
    <w:rsid w:val="00411EF7"/>
    <w:rsid w:val="00412677"/>
    <w:rsid w:val="004213F8"/>
    <w:rsid w:val="00425160"/>
    <w:rsid w:val="00425628"/>
    <w:rsid w:val="004279C1"/>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4A5"/>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6C3"/>
    <w:rsid w:val="004E087B"/>
    <w:rsid w:val="004E44A4"/>
    <w:rsid w:val="004E7B8B"/>
    <w:rsid w:val="004E7BDD"/>
    <w:rsid w:val="004F1966"/>
    <w:rsid w:val="004F1E21"/>
    <w:rsid w:val="004F2542"/>
    <w:rsid w:val="004F4E33"/>
    <w:rsid w:val="004F740D"/>
    <w:rsid w:val="004F7B8F"/>
    <w:rsid w:val="00500748"/>
    <w:rsid w:val="005011D6"/>
    <w:rsid w:val="00502A14"/>
    <w:rsid w:val="00502FBE"/>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0BA6"/>
    <w:rsid w:val="005A1B4C"/>
    <w:rsid w:val="005A545C"/>
    <w:rsid w:val="005B271A"/>
    <w:rsid w:val="005B3A2D"/>
    <w:rsid w:val="005C1567"/>
    <w:rsid w:val="005C28D3"/>
    <w:rsid w:val="005C6CE5"/>
    <w:rsid w:val="005D3F07"/>
    <w:rsid w:val="005D4A1E"/>
    <w:rsid w:val="005D4F72"/>
    <w:rsid w:val="005E13EA"/>
    <w:rsid w:val="005E17F1"/>
    <w:rsid w:val="005E210E"/>
    <w:rsid w:val="005F64AA"/>
    <w:rsid w:val="005F7851"/>
    <w:rsid w:val="00606E27"/>
    <w:rsid w:val="006108C9"/>
    <w:rsid w:val="00614482"/>
    <w:rsid w:val="00614DF7"/>
    <w:rsid w:val="006179BB"/>
    <w:rsid w:val="0062158D"/>
    <w:rsid w:val="006223FD"/>
    <w:rsid w:val="006326D1"/>
    <w:rsid w:val="00632E0A"/>
    <w:rsid w:val="00633165"/>
    <w:rsid w:val="006447DE"/>
    <w:rsid w:val="00644889"/>
    <w:rsid w:val="0065276E"/>
    <w:rsid w:val="00654329"/>
    <w:rsid w:val="00654CEC"/>
    <w:rsid w:val="00655507"/>
    <w:rsid w:val="006577C5"/>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1DD8"/>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348F"/>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2A4A"/>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177"/>
    <w:rsid w:val="00884D7B"/>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14D0"/>
    <w:rsid w:val="008F32D9"/>
    <w:rsid w:val="00902A65"/>
    <w:rsid w:val="00903932"/>
    <w:rsid w:val="009079BD"/>
    <w:rsid w:val="00912BD9"/>
    <w:rsid w:val="00916FB2"/>
    <w:rsid w:val="00920E5B"/>
    <w:rsid w:val="00926436"/>
    <w:rsid w:val="00926C53"/>
    <w:rsid w:val="00927E4C"/>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6B8C"/>
    <w:rsid w:val="00A732EA"/>
    <w:rsid w:val="00A7489E"/>
    <w:rsid w:val="00A8015F"/>
    <w:rsid w:val="00A85039"/>
    <w:rsid w:val="00A879D2"/>
    <w:rsid w:val="00A906AA"/>
    <w:rsid w:val="00A94C5E"/>
    <w:rsid w:val="00AA252C"/>
    <w:rsid w:val="00AA3E56"/>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655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5F2F"/>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5CDF"/>
    <w:rsid w:val="00C7108B"/>
    <w:rsid w:val="00C75883"/>
    <w:rsid w:val="00C77FA5"/>
    <w:rsid w:val="00C8089F"/>
    <w:rsid w:val="00C835FE"/>
    <w:rsid w:val="00C836CC"/>
    <w:rsid w:val="00C852D6"/>
    <w:rsid w:val="00C87A74"/>
    <w:rsid w:val="00C92C71"/>
    <w:rsid w:val="00C93F8F"/>
    <w:rsid w:val="00CA0894"/>
    <w:rsid w:val="00CA1280"/>
    <w:rsid w:val="00CA3593"/>
    <w:rsid w:val="00CA5726"/>
    <w:rsid w:val="00CA7E6A"/>
    <w:rsid w:val="00CB258E"/>
    <w:rsid w:val="00CB3C8F"/>
    <w:rsid w:val="00CB54AC"/>
    <w:rsid w:val="00CB60E1"/>
    <w:rsid w:val="00CC02F1"/>
    <w:rsid w:val="00CC1122"/>
    <w:rsid w:val="00CC11A6"/>
    <w:rsid w:val="00CC135E"/>
    <w:rsid w:val="00CC7226"/>
    <w:rsid w:val="00CD0735"/>
    <w:rsid w:val="00CD45E3"/>
    <w:rsid w:val="00CD4771"/>
    <w:rsid w:val="00CD5089"/>
    <w:rsid w:val="00CD5D3F"/>
    <w:rsid w:val="00CD7E1F"/>
    <w:rsid w:val="00CE4BC4"/>
    <w:rsid w:val="00CE7DA2"/>
    <w:rsid w:val="00CF113F"/>
    <w:rsid w:val="00CF1E13"/>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21F2"/>
    <w:rsid w:val="00DD31C5"/>
    <w:rsid w:val="00DD5020"/>
    <w:rsid w:val="00DD63BE"/>
    <w:rsid w:val="00DE4296"/>
    <w:rsid w:val="00DF2469"/>
    <w:rsid w:val="00DF7899"/>
    <w:rsid w:val="00E0524C"/>
    <w:rsid w:val="00E10129"/>
    <w:rsid w:val="00E15751"/>
    <w:rsid w:val="00E17160"/>
    <w:rsid w:val="00E1733D"/>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F90"/>
    <w:rsid w:val="00EF328C"/>
    <w:rsid w:val="00EF68BB"/>
    <w:rsid w:val="00F01F92"/>
    <w:rsid w:val="00F030D4"/>
    <w:rsid w:val="00F04053"/>
    <w:rsid w:val="00F06573"/>
    <w:rsid w:val="00F10A08"/>
    <w:rsid w:val="00F15354"/>
    <w:rsid w:val="00F22AC5"/>
    <w:rsid w:val="00F24EB7"/>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20D"/>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02F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59013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hebowencentre.org/pages/theory.html.%20Accessed%2001/06/2024" TargetMode="External"/><Relationship Id="rId18" Type="http://schemas.openxmlformats.org/officeDocument/2006/relationships/hyperlink" Target="http://www.salford.gov.uk/corestrategy/iw/JC-JC13-Social-impact-of-poor-housing.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learn2.open.ac.uk/mod/oucontent/view.php?id=48371" TargetMode="External"/><Relationship Id="rId7" Type="http://schemas.openxmlformats.org/officeDocument/2006/relationships/webSettings" Target="webSettings.xml"/><Relationship Id="rId12" Type="http://schemas.openxmlformats.org/officeDocument/2006/relationships/hyperlink" Target="mailto:roldfield@sky.com" TargetMode="External"/><Relationship Id="rId17" Type="http://schemas.openxmlformats.org/officeDocument/2006/relationships/hyperlink" Target="http://www.ccwales.org.uk/code-of-professional-practice/" TargetMode="External"/><Relationship Id="rId25" Type="http://schemas.openxmlformats.org/officeDocument/2006/relationships/hyperlink" Target="mailto:roldfield@sky.com" TargetMode="External"/><Relationship Id="rId2" Type="http://schemas.openxmlformats.org/officeDocument/2006/relationships/customXml" Target="../customXml/item2.xml"/><Relationship Id="rId16" Type="http://schemas.openxmlformats.org/officeDocument/2006/relationships/hyperlink" Target="http://www.psy.cmu.edu/siegler/35bronfebrenner94.pdf.%20Accessed%20on%2016/06/2024" TargetMode="External"/><Relationship Id="rId20" Type="http://schemas.openxmlformats.org/officeDocument/2006/relationships/hyperlink" Target="http://www.collegeofsocialwork.org/pcf.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y.david.oldfield@flintshire.gov.uk" TargetMode="External"/><Relationship Id="rId24" Type="http://schemas.openxmlformats.org/officeDocument/2006/relationships/hyperlink" Target="https://statswales.gov.wales" TargetMode="External"/><Relationship Id="rId5" Type="http://schemas.openxmlformats.org/officeDocument/2006/relationships/styles" Target="styles.xml"/><Relationship Id="rId15" Type="http://schemas.openxmlformats.org/officeDocument/2006/relationships/hyperlink" Target="http://www.basw.co.uk" TargetMode="External"/><Relationship Id="rId23" Type="http://schemas.openxmlformats.org/officeDocument/2006/relationships/hyperlink" Target="https://safeguarding.wales"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socialcare.wales/cms_assests/file-uploads.Codes%20-of-Professional-Practice-for-Social-Car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org.uk/publications/reports/report69.asp" TargetMode="External"/><Relationship Id="rId22" Type="http://schemas.openxmlformats.org/officeDocument/2006/relationships/hyperlink" Target="https://www.careinspectorate.wales/more-just-word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4286</Words>
  <Characters>25695</Characters>
  <Application>Microsoft Office Word</Application>
  <DocSecurity>0</DocSecurity>
  <Lines>214</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Roy Oldfield</cp:lastModifiedBy>
  <cp:revision>41</cp:revision>
  <cp:lastPrinted>2020-02-11T19:20:00Z</cp:lastPrinted>
  <dcterms:created xsi:type="dcterms:W3CDTF">2022-09-29T11:36:00Z</dcterms:created>
  <dcterms:modified xsi:type="dcterms:W3CDTF">2024-10-05T20:31:00Z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