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9843D" w14:textId="04EF6DFD" w:rsidR="00927B0D" w:rsidRDefault="007059DC" w:rsidP="007059DC">
      <w:pPr>
        <w:pStyle w:val="Heading1"/>
      </w:pPr>
      <w:bookmarkStart w:id="0" w:name="_Toc192492094"/>
      <w:r>
        <w:t>Framework for a quality apprenticeship</w:t>
      </w:r>
      <w:bookmarkEnd w:id="0"/>
    </w:p>
    <w:sdt>
      <w:sdtPr>
        <w:rPr>
          <w:rFonts w:asciiTheme="minorHAnsi" w:eastAsiaTheme="minorEastAsia" w:hAnsiTheme="minorHAnsi" w:cstheme="minorBidi"/>
          <w:color w:val="auto"/>
          <w:kern w:val="2"/>
          <w:sz w:val="22"/>
          <w:szCs w:val="22"/>
          <w:lang w:val="en-GB"/>
        </w:rPr>
        <w:id w:val="-1812246195"/>
        <w:docPartObj>
          <w:docPartGallery w:val="Table of Contents"/>
          <w:docPartUnique/>
        </w:docPartObj>
      </w:sdtPr>
      <w:sdtEndPr>
        <w:rPr>
          <w:b/>
          <w:bCs/>
          <w:noProof/>
        </w:rPr>
      </w:sdtEndPr>
      <w:sdtContent>
        <w:p w14:paraId="55A362B0" w14:textId="3790D310" w:rsidR="00E73771" w:rsidRDefault="00E73771">
          <w:pPr>
            <w:pStyle w:val="TOCHeading"/>
          </w:pPr>
          <w:r>
            <w:t>Contents</w:t>
          </w:r>
        </w:p>
        <w:p w14:paraId="7CB1F01E" w14:textId="2F2D3E12" w:rsidR="00F3308C" w:rsidRDefault="00E7377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492094" w:history="1">
            <w:r w:rsidR="00F3308C" w:rsidRPr="00084B67">
              <w:rPr>
                <w:rStyle w:val="Hyperlink"/>
                <w:noProof/>
              </w:rPr>
              <w:t>Framework for a quality apprenticeship</w:t>
            </w:r>
            <w:r w:rsidR="00F3308C">
              <w:rPr>
                <w:noProof/>
                <w:webHidden/>
              </w:rPr>
              <w:tab/>
            </w:r>
            <w:r w:rsidR="00F3308C">
              <w:rPr>
                <w:noProof/>
                <w:webHidden/>
              </w:rPr>
              <w:fldChar w:fldCharType="begin"/>
            </w:r>
            <w:r w:rsidR="00F3308C">
              <w:rPr>
                <w:noProof/>
                <w:webHidden/>
              </w:rPr>
              <w:instrText xml:space="preserve"> PAGEREF _Toc192492094 \h </w:instrText>
            </w:r>
            <w:r w:rsidR="00F3308C">
              <w:rPr>
                <w:noProof/>
                <w:webHidden/>
              </w:rPr>
            </w:r>
            <w:r w:rsidR="00F3308C">
              <w:rPr>
                <w:noProof/>
                <w:webHidden/>
              </w:rPr>
              <w:fldChar w:fldCharType="separate"/>
            </w:r>
            <w:r w:rsidR="00D56400">
              <w:rPr>
                <w:noProof/>
                <w:webHidden/>
              </w:rPr>
              <w:t>1</w:t>
            </w:r>
            <w:r w:rsidR="00F3308C">
              <w:rPr>
                <w:noProof/>
                <w:webHidden/>
              </w:rPr>
              <w:fldChar w:fldCharType="end"/>
            </w:r>
          </w:hyperlink>
        </w:p>
        <w:p w14:paraId="5155971F" w14:textId="1606D9B0" w:rsidR="00F3308C" w:rsidRDefault="00F3308C">
          <w:pPr>
            <w:pStyle w:val="TOC2"/>
            <w:tabs>
              <w:tab w:val="right" w:leader="dot" w:pos="9016"/>
            </w:tabs>
            <w:rPr>
              <w:rFonts w:eastAsiaTheme="minorEastAsia"/>
              <w:noProof/>
              <w:sz w:val="24"/>
              <w:szCs w:val="24"/>
              <w:lang w:eastAsia="en-GB"/>
            </w:rPr>
          </w:pPr>
          <w:hyperlink w:anchor="_Toc192492095" w:history="1">
            <w:r w:rsidRPr="00084B67">
              <w:rPr>
                <w:rStyle w:val="Hyperlink"/>
                <w:noProof/>
              </w:rPr>
              <w:t>Introduction</w:t>
            </w:r>
            <w:r>
              <w:rPr>
                <w:noProof/>
                <w:webHidden/>
              </w:rPr>
              <w:tab/>
            </w:r>
            <w:r>
              <w:rPr>
                <w:noProof/>
                <w:webHidden/>
              </w:rPr>
              <w:fldChar w:fldCharType="begin"/>
            </w:r>
            <w:r>
              <w:rPr>
                <w:noProof/>
                <w:webHidden/>
              </w:rPr>
              <w:instrText xml:space="preserve"> PAGEREF _Toc192492095 \h </w:instrText>
            </w:r>
            <w:r>
              <w:rPr>
                <w:noProof/>
                <w:webHidden/>
              </w:rPr>
            </w:r>
            <w:r>
              <w:rPr>
                <w:noProof/>
                <w:webHidden/>
              </w:rPr>
              <w:fldChar w:fldCharType="separate"/>
            </w:r>
            <w:r w:rsidR="00D56400">
              <w:rPr>
                <w:noProof/>
                <w:webHidden/>
              </w:rPr>
              <w:t>1</w:t>
            </w:r>
            <w:r>
              <w:rPr>
                <w:noProof/>
                <w:webHidden/>
              </w:rPr>
              <w:fldChar w:fldCharType="end"/>
            </w:r>
          </w:hyperlink>
        </w:p>
        <w:p w14:paraId="5B937393" w14:textId="08455EB2" w:rsidR="00F3308C" w:rsidRDefault="00F3308C">
          <w:pPr>
            <w:pStyle w:val="TOC2"/>
            <w:tabs>
              <w:tab w:val="right" w:leader="dot" w:pos="9016"/>
            </w:tabs>
            <w:rPr>
              <w:rFonts w:eastAsiaTheme="minorEastAsia"/>
              <w:noProof/>
              <w:sz w:val="24"/>
              <w:szCs w:val="24"/>
              <w:lang w:eastAsia="en-GB"/>
            </w:rPr>
          </w:pPr>
          <w:hyperlink w:anchor="_Toc192492096" w:history="1">
            <w:r w:rsidRPr="00084B67">
              <w:rPr>
                <w:rStyle w:val="Hyperlink"/>
                <w:noProof/>
              </w:rPr>
              <w:t>Developing Apprenticeships</w:t>
            </w:r>
            <w:r>
              <w:rPr>
                <w:noProof/>
                <w:webHidden/>
              </w:rPr>
              <w:tab/>
            </w:r>
            <w:r>
              <w:rPr>
                <w:noProof/>
                <w:webHidden/>
              </w:rPr>
              <w:fldChar w:fldCharType="begin"/>
            </w:r>
            <w:r>
              <w:rPr>
                <w:noProof/>
                <w:webHidden/>
              </w:rPr>
              <w:instrText xml:space="preserve"> PAGEREF _Toc192492096 \h </w:instrText>
            </w:r>
            <w:r>
              <w:rPr>
                <w:noProof/>
                <w:webHidden/>
              </w:rPr>
            </w:r>
            <w:r>
              <w:rPr>
                <w:noProof/>
                <w:webHidden/>
              </w:rPr>
              <w:fldChar w:fldCharType="separate"/>
            </w:r>
            <w:r w:rsidR="00D56400">
              <w:rPr>
                <w:noProof/>
                <w:webHidden/>
              </w:rPr>
              <w:t>2</w:t>
            </w:r>
            <w:r>
              <w:rPr>
                <w:noProof/>
                <w:webHidden/>
              </w:rPr>
              <w:fldChar w:fldCharType="end"/>
            </w:r>
          </w:hyperlink>
        </w:p>
        <w:p w14:paraId="42C5BD26" w14:textId="2A5703E7" w:rsidR="00F3308C" w:rsidRDefault="00F3308C">
          <w:pPr>
            <w:pStyle w:val="TOC2"/>
            <w:tabs>
              <w:tab w:val="right" w:leader="dot" w:pos="9016"/>
            </w:tabs>
            <w:rPr>
              <w:rFonts w:eastAsiaTheme="minorEastAsia"/>
              <w:noProof/>
              <w:sz w:val="24"/>
              <w:szCs w:val="24"/>
              <w:lang w:eastAsia="en-GB"/>
            </w:rPr>
          </w:pPr>
          <w:hyperlink w:anchor="_Toc192492097" w:history="1">
            <w:r w:rsidRPr="00084B67">
              <w:rPr>
                <w:rStyle w:val="Hyperlink"/>
                <w:noProof/>
              </w:rPr>
              <w:t>Quality Assuring and Enhancing Higher Education Apprenticeships</w:t>
            </w:r>
            <w:r>
              <w:rPr>
                <w:noProof/>
                <w:webHidden/>
              </w:rPr>
              <w:tab/>
            </w:r>
            <w:r>
              <w:rPr>
                <w:noProof/>
                <w:webHidden/>
              </w:rPr>
              <w:fldChar w:fldCharType="begin"/>
            </w:r>
            <w:r>
              <w:rPr>
                <w:noProof/>
                <w:webHidden/>
              </w:rPr>
              <w:instrText xml:space="preserve"> PAGEREF _Toc192492097 \h </w:instrText>
            </w:r>
            <w:r>
              <w:rPr>
                <w:noProof/>
                <w:webHidden/>
              </w:rPr>
            </w:r>
            <w:r>
              <w:rPr>
                <w:noProof/>
                <w:webHidden/>
              </w:rPr>
              <w:fldChar w:fldCharType="separate"/>
            </w:r>
            <w:r w:rsidR="00D56400">
              <w:rPr>
                <w:noProof/>
                <w:webHidden/>
              </w:rPr>
              <w:t>3</w:t>
            </w:r>
            <w:r>
              <w:rPr>
                <w:noProof/>
                <w:webHidden/>
              </w:rPr>
              <w:fldChar w:fldCharType="end"/>
            </w:r>
          </w:hyperlink>
        </w:p>
        <w:p w14:paraId="36F6201D" w14:textId="3DE58DCE" w:rsidR="00F3308C" w:rsidRDefault="00F3308C">
          <w:pPr>
            <w:pStyle w:val="TOC2"/>
            <w:tabs>
              <w:tab w:val="right" w:leader="dot" w:pos="9016"/>
            </w:tabs>
            <w:rPr>
              <w:rFonts w:eastAsiaTheme="minorEastAsia"/>
              <w:noProof/>
              <w:sz w:val="24"/>
              <w:szCs w:val="24"/>
              <w:lang w:eastAsia="en-GB"/>
            </w:rPr>
          </w:pPr>
          <w:hyperlink w:anchor="_Toc192492098" w:history="1">
            <w:r w:rsidRPr="00084B67">
              <w:rPr>
                <w:rStyle w:val="Hyperlink"/>
                <w:noProof/>
              </w:rPr>
              <w:t>Supporting the Apprentice’s Journey</w:t>
            </w:r>
            <w:r>
              <w:rPr>
                <w:noProof/>
                <w:webHidden/>
              </w:rPr>
              <w:tab/>
            </w:r>
            <w:r>
              <w:rPr>
                <w:noProof/>
                <w:webHidden/>
              </w:rPr>
              <w:fldChar w:fldCharType="begin"/>
            </w:r>
            <w:r>
              <w:rPr>
                <w:noProof/>
                <w:webHidden/>
              </w:rPr>
              <w:instrText xml:space="preserve"> PAGEREF _Toc192492098 \h </w:instrText>
            </w:r>
            <w:r>
              <w:rPr>
                <w:noProof/>
                <w:webHidden/>
              </w:rPr>
            </w:r>
            <w:r>
              <w:rPr>
                <w:noProof/>
                <w:webHidden/>
              </w:rPr>
              <w:fldChar w:fldCharType="separate"/>
            </w:r>
            <w:r w:rsidR="00D56400">
              <w:rPr>
                <w:noProof/>
                <w:webHidden/>
              </w:rPr>
              <w:t>5</w:t>
            </w:r>
            <w:r>
              <w:rPr>
                <w:noProof/>
                <w:webHidden/>
              </w:rPr>
              <w:fldChar w:fldCharType="end"/>
            </w:r>
          </w:hyperlink>
        </w:p>
        <w:p w14:paraId="1B3AD30D" w14:textId="3E7EF692" w:rsidR="00F3308C" w:rsidRDefault="00F3308C">
          <w:pPr>
            <w:pStyle w:val="TOC2"/>
            <w:tabs>
              <w:tab w:val="right" w:leader="dot" w:pos="9016"/>
            </w:tabs>
            <w:rPr>
              <w:rFonts w:eastAsiaTheme="minorEastAsia"/>
              <w:noProof/>
              <w:sz w:val="24"/>
              <w:szCs w:val="24"/>
              <w:lang w:eastAsia="en-GB"/>
            </w:rPr>
          </w:pPr>
          <w:hyperlink w:anchor="_Toc192492099" w:history="1">
            <w:r w:rsidRPr="00084B67">
              <w:rPr>
                <w:rStyle w:val="Hyperlink"/>
                <w:noProof/>
              </w:rPr>
              <w:t>Complaints and Appeals</w:t>
            </w:r>
            <w:r>
              <w:rPr>
                <w:noProof/>
                <w:webHidden/>
              </w:rPr>
              <w:tab/>
            </w:r>
            <w:r>
              <w:rPr>
                <w:noProof/>
                <w:webHidden/>
              </w:rPr>
              <w:fldChar w:fldCharType="begin"/>
            </w:r>
            <w:r>
              <w:rPr>
                <w:noProof/>
                <w:webHidden/>
              </w:rPr>
              <w:instrText xml:space="preserve"> PAGEREF _Toc192492099 \h </w:instrText>
            </w:r>
            <w:r>
              <w:rPr>
                <w:noProof/>
                <w:webHidden/>
              </w:rPr>
            </w:r>
            <w:r>
              <w:rPr>
                <w:noProof/>
                <w:webHidden/>
              </w:rPr>
              <w:fldChar w:fldCharType="separate"/>
            </w:r>
            <w:r w:rsidR="00D56400">
              <w:rPr>
                <w:noProof/>
                <w:webHidden/>
              </w:rPr>
              <w:t>5</w:t>
            </w:r>
            <w:r>
              <w:rPr>
                <w:noProof/>
                <w:webHidden/>
              </w:rPr>
              <w:fldChar w:fldCharType="end"/>
            </w:r>
          </w:hyperlink>
        </w:p>
        <w:p w14:paraId="3ABF5D62" w14:textId="7353DCD3" w:rsidR="00F3308C" w:rsidRDefault="00F3308C">
          <w:pPr>
            <w:pStyle w:val="TOC2"/>
            <w:tabs>
              <w:tab w:val="right" w:leader="dot" w:pos="9016"/>
            </w:tabs>
            <w:rPr>
              <w:rFonts w:eastAsiaTheme="minorEastAsia"/>
              <w:noProof/>
              <w:sz w:val="24"/>
              <w:szCs w:val="24"/>
              <w:lang w:eastAsia="en-GB"/>
            </w:rPr>
          </w:pPr>
          <w:hyperlink w:anchor="_Toc192492100" w:history="1">
            <w:r w:rsidRPr="00084B67">
              <w:rPr>
                <w:rStyle w:val="Hyperlink"/>
                <w:noProof/>
              </w:rPr>
              <w:t>Learning and Teaching</w:t>
            </w:r>
            <w:r>
              <w:rPr>
                <w:noProof/>
                <w:webHidden/>
              </w:rPr>
              <w:tab/>
            </w:r>
            <w:r>
              <w:rPr>
                <w:noProof/>
                <w:webHidden/>
              </w:rPr>
              <w:fldChar w:fldCharType="begin"/>
            </w:r>
            <w:r>
              <w:rPr>
                <w:noProof/>
                <w:webHidden/>
              </w:rPr>
              <w:instrText xml:space="preserve"> PAGEREF _Toc192492100 \h </w:instrText>
            </w:r>
            <w:r>
              <w:rPr>
                <w:noProof/>
                <w:webHidden/>
              </w:rPr>
            </w:r>
            <w:r>
              <w:rPr>
                <w:noProof/>
                <w:webHidden/>
              </w:rPr>
              <w:fldChar w:fldCharType="separate"/>
            </w:r>
            <w:r w:rsidR="00D56400">
              <w:rPr>
                <w:noProof/>
                <w:webHidden/>
              </w:rPr>
              <w:t>6</w:t>
            </w:r>
            <w:r>
              <w:rPr>
                <w:noProof/>
                <w:webHidden/>
              </w:rPr>
              <w:fldChar w:fldCharType="end"/>
            </w:r>
          </w:hyperlink>
        </w:p>
        <w:p w14:paraId="5A6E5343" w14:textId="32BC1516" w:rsidR="00F3308C" w:rsidRDefault="00F3308C">
          <w:pPr>
            <w:pStyle w:val="TOC2"/>
            <w:tabs>
              <w:tab w:val="right" w:leader="dot" w:pos="9016"/>
            </w:tabs>
            <w:rPr>
              <w:rFonts w:eastAsiaTheme="minorEastAsia"/>
              <w:noProof/>
              <w:sz w:val="24"/>
              <w:szCs w:val="24"/>
              <w:lang w:eastAsia="en-GB"/>
            </w:rPr>
          </w:pPr>
          <w:hyperlink w:anchor="_Toc192492101" w:history="1">
            <w:r w:rsidRPr="00084B67">
              <w:rPr>
                <w:rStyle w:val="Hyperlink"/>
                <w:noProof/>
              </w:rPr>
              <w:t>Recruitment and Admissions</w:t>
            </w:r>
            <w:r>
              <w:rPr>
                <w:noProof/>
                <w:webHidden/>
              </w:rPr>
              <w:tab/>
            </w:r>
            <w:r>
              <w:rPr>
                <w:noProof/>
                <w:webHidden/>
              </w:rPr>
              <w:fldChar w:fldCharType="begin"/>
            </w:r>
            <w:r>
              <w:rPr>
                <w:noProof/>
                <w:webHidden/>
              </w:rPr>
              <w:instrText xml:space="preserve"> PAGEREF _Toc192492101 \h </w:instrText>
            </w:r>
            <w:r>
              <w:rPr>
                <w:noProof/>
                <w:webHidden/>
              </w:rPr>
            </w:r>
            <w:r>
              <w:rPr>
                <w:noProof/>
                <w:webHidden/>
              </w:rPr>
              <w:fldChar w:fldCharType="separate"/>
            </w:r>
            <w:r w:rsidR="00D56400">
              <w:rPr>
                <w:noProof/>
                <w:webHidden/>
              </w:rPr>
              <w:t>7</w:t>
            </w:r>
            <w:r>
              <w:rPr>
                <w:noProof/>
                <w:webHidden/>
              </w:rPr>
              <w:fldChar w:fldCharType="end"/>
            </w:r>
          </w:hyperlink>
        </w:p>
        <w:p w14:paraId="557D294D" w14:textId="2D8E1AE7" w:rsidR="00F3308C" w:rsidRDefault="00F3308C">
          <w:pPr>
            <w:pStyle w:val="TOC2"/>
            <w:tabs>
              <w:tab w:val="right" w:leader="dot" w:pos="9016"/>
            </w:tabs>
            <w:rPr>
              <w:rFonts w:eastAsiaTheme="minorEastAsia"/>
              <w:noProof/>
              <w:sz w:val="24"/>
              <w:szCs w:val="24"/>
              <w:lang w:eastAsia="en-GB"/>
            </w:rPr>
          </w:pPr>
          <w:hyperlink w:anchor="_Toc192492102" w:history="1">
            <w:r w:rsidRPr="00084B67">
              <w:rPr>
                <w:rStyle w:val="Hyperlink"/>
                <w:noProof/>
              </w:rPr>
              <w:t>The Apprentice Experience</w:t>
            </w:r>
            <w:r>
              <w:rPr>
                <w:noProof/>
                <w:webHidden/>
              </w:rPr>
              <w:tab/>
            </w:r>
            <w:r>
              <w:rPr>
                <w:noProof/>
                <w:webHidden/>
              </w:rPr>
              <w:fldChar w:fldCharType="begin"/>
            </w:r>
            <w:r>
              <w:rPr>
                <w:noProof/>
                <w:webHidden/>
              </w:rPr>
              <w:instrText xml:space="preserve"> PAGEREF _Toc192492102 \h </w:instrText>
            </w:r>
            <w:r>
              <w:rPr>
                <w:noProof/>
                <w:webHidden/>
              </w:rPr>
            </w:r>
            <w:r>
              <w:rPr>
                <w:noProof/>
                <w:webHidden/>
              </w:rPr>
              <w:fldChar w:fldCharType="separate"/>
            </w:r>
            <w:r w:rsidR="00D56400">
              <w:rPr>
                <w:noProof/>
                <w:webHidden/>
              </w:rPr>
              <w:t>8</w:t>
            </w:r>
            <w:r>
              <w:rPr>
                <w:noProof/>
                <w:webHidden/>
              </w:rPr>
              <w:fldChar w:fldCharType="end"/>
            </w:r>
          </w:hyperlink>
        </w:p>
        <w:p w14:paraId="0A2F5A2F" w14:textId="3DA64165" w:rsidR="00E73771" w:rsidRPr="00E73771" w:rsidRDefault="00E73771" w:rsidP="00E73771">
          <w:r>
            <w:rPr>
              <w:b/>
              <w:bCs/>
              <w:noProof/>
            </w:rPr>
            <w:fldChar w:fldCharType="end"/>
          </w:r>
        </w:p>
      </w:sdtContent>
    </w:sdt>
    <w:p w14:paraId="78840BA4" w14:textId="4C609926" w:rsidR="007059DC" w:rsidRDefault="007059DC" w:rsidP="007059DC">
      <w:pPr>
        <w:pStyle w:val="Heading2"/>
      </w:pPr>
      <w:bookmarkStart w:id="1" w:name="_Toc192492095"/>
      <w:r>
        <w:t>Introduction</w:t>
      </w:r>
      <w:bookmarkEnd w:id="1"/>
    </w:p>
    <w:p w14:paraId="1A80A8ED" w14:textId="5907D00B" w:rsidR="00A72D22" w:rsidRDefault="004C1757" w:rsidP="00A72D22">
      <w:r>
        <w:t>U</w:t>
      </w:r>
      <w:r w:rsidR="00C539B4">
        <w:t>WTSD</w:t>
      </w:r>
      <w:r>
        <w:t xml:space="preserve"> </w:t>
      </w:r>
      <w:r w:rsidR="00141E07">
        <w:t xml:space="preserve">is </w:t>
      </w:r>
      <w:r>
        <w:t>the</w:t>
      </w:r>
      <w:r w:rsidR="00C539B4">
        <w:t xml:space="preserve"> </w:t>
      </w:r>
      <w:r>
        <w:t>largest provider of degree level apprenticeships in Wales</w:t>
      </w:r>
      <w:r w:rsidR="00141E07">
        <w:t xml:space="preserve"> and</w:t>
      </w:r>
      <w:r>
        <w:t xml:space="preserve"> deliver</w:t>
      </w:r>
      <w:r w:rsidR="00141E07">
        <w:t>s</w:t>
      </w:r>
      <w:r>
        <w:t xml:space="preserve"> </w:t>
      </w:r>
      <w:r w:rsidR="007D20CF">
        <w:t>against the 3 available frameworks</w:t>
      </w:r>
      <w:r w:rsidR="004E78F8">
        <w:t>.  At the time of writing</w:t>
      </w:r>
      <w:r w:rsidR="00141E07">
        <w:t>,</w:t>
      </w:r>
      <w:r w:rsidR="004E78F8">
        <w:t xml:space="preserve"> </w:t>
      </w:r>
      <w:r w:rsidR="008E3932">
        <w:t>300</w:t>
      </w:r>
      <w:r w:rsidR="004E78F8">
        <w:t xml:space="preserve"> live apprenticeships are participating across all </w:t>
      </w:r>
      <w:r w:rsidR="001B5FBC">
        <w:t>17 pathways.</w:t>
      </w:r>
      <w:r w:rsidR="006126A2">
        <w:t xml:space="preserve">  </w:t>
      </w:r>
      <w:r w:rsidR="00E65BB9">
        <w:t>This equate</w:t>
      </w:r>
      <w:r w:rsidR="00AF7454">
        <w:t>s</w:t>
      </w:r>
      <w:r w:rsidR="00E65BB9">
        <w:t xml:space="preserve"> to approximately </w:t>
      </w:r>
      <w:r w:rsidR="000859C6">
        <w:t>26</w:t>
      </w:r>
      <w:r w:rsidR="0015711A">
        <w:t xml:space="preserve">% of the </w:t>
      </w:r>
      <w:r w:rsidR="007C23C8">
        <w:t>market share.</w:t>
      </w:r>
    </w:p>
    <w:p w14:paraId="385C609C" w14:textId="7EE42DB5" w:rsidR="00B17BC3" w:rsidRDefault="005246E6" w:rsidP="00A72D22">
      <w:r>
        <w:t>In April 2021</w:t>
      </w:r>
      <w:r w:rsidR="00141E07">
        <w:t>,</w:t>
      </w:r>
      <w:r>
        <w:t xml:space="preserve"> </w:t>
      </w:r>
      <w:r w:rsidR="00141E07">
        <w:t>t</w:t>
      </w:r>
      <w:r>
        <w:t>he QAA</w:t>
      </w:r>
      <w:r w:rsidR="00141E07">
        <w:t>’s</w:t>
      </w:r>
      <w:r>
        <w:t xml:space="preserve"> review of degree apprenticeships </w:t>
      </w:r>
      <w:r w:rsidR="00753B2D">
        <w:t>found several</w:t>
      </w:r>
      <w:r>
        <w:t xml:space="preserve"> a</w:t>
      </w:r>
      <w:r w:rsidR="00836CFA">
        <w:t>rea</w:t>
      </w:r>
      <w:r w:rsidR="00753B2D">
        <w:t>s</w:t>
      </w:r>
      <w:r w:rsidR="00836CFA">
        <w:t xml:space="preserve"> </w:t>
      </w:r>
      <w:r w:rsidR="00BE33DA">
        <w:t xml:space="preserve">deemed as good practice and </w:t>
      </w:r>
      <w:r w:rsidR="00A90403">
        <w:t xml:space="preserve">some areas </w:t>
      </w:r>
      <w:r w:rsidR="00836CFA">
        <w:t>for development,</w:t>
      </w:r>
      <w:r w:rsidR="00141E07">
        <w:t xml:space="preserve"> </w:t>
      </w:r>
      <w:r w:rsidR="007B0B42">
        <w:t>Including</w:t>
      </w:r>
      <w:r w:rsidR="00A90403">
        <w:t xml:space="preserve">; progress reviews, design and delivery, support for </w:t>
      </w:r>
      <w:r w:rsidR="00A51917">
        <w:t>employers, clarity of information.</w:t>
      </w:r>
    </w:p>
    <w:p w14:paraId="691C5E7A" w14:textId="38F0A080" w:rsidR="00B17BC3" w:rsidRDefault="00007234" w:rsidP="00A72D22">
      <w:r>
        <w:t xml:space="preserve">It is important to note here that at the time of </w:t>
      </w:r>
      <w:r w:rsidR="00D57BFF">
        <w:t xml:space="preserve">QAA </w:t>
      </w:r>
      <w:r>
        <w:t>review</w:t>
      </w:r>
      <w:r w:rsidR="00D57BFF">
        <w:t>,</w:t>
      </w:r>
      <w:r>
        <w:t xml:space="preserve"> Degree Apprenticeships in Wales were in the </w:t>
      </w:r>
      <w:r w:rsidR="0096218E">
        <w:t xml:space="preserve">pilot stage and have since become </w:t>
      </w:r>
      <w:r w:rsidR="00E77DDB">
        <w:t>accepted and form part of normal delivery methodology and portfolio for participating universities.</w:t>
      </w:r>
    </w:p>
    <w:p w14:paraId="33BB1FB5" w14:textId="207B4B6F" w:rsidR="00A72D22" w:rsidRDefault="0040215E" w:rsidP="00A72D22">
      <w:r>
        <w:t>Whilst we are confide</w:t>
      </w:r>
      <w:r w:rsidR="00985C86">
        <w:t>nt that U</w:t>
      </w:r>
      <w:r w:rsidR="00A51917">
        <w:t>WTSD</w:t>
      </w:r>
      <w:r w:rsidR="00985C86">
        <w:t xml:space="preserve"> offer</w:t>
      </w:r>
      <w:r w:rsidR="00D57BFF">
        <w:t>s</w:t>
      </w:r>
      <w:r w:rsidR="00985C86">
        <w:t xml:space="preserve"> a high quality experience for both Apprentice and </w:t>
      </w:r>
      <w:r w:rsidR="0039588D">
        <w:t>Employer</w:t>
      </w:r>
      <w:r w:rsidR="00B04E00">
        <w:t xml:space="preserve"> we need to recognise the </w:t>
      </w:r>
      <w:r w:rsidR="008D01B6">
        <w:t xml:space="preserve">ever changing </w:t>
      </w:r>
      <w:r w:rsidR="007E4C14">
        <w:t xml:space="preserve">quality and compliance landscape.  </w:t>
      </w:r>
      <w:r w:rsidR="009D34E6">
        <w:t>W</w:t>
      </w:r>
      <w:r w:rsidR="007B24EC">
        <w:t>e</w:t>
      </w:r>
      <w:r w:rsidR="009D34E6">
        <w:t xml:space="preserve"> review this against </w:t>
      </w:r>
      <w:r w:rsidR="005C501C">
        <w:t>t</w:t>
      </w:r>
      <w:r w:rsidR="007E4C14">
        <w:t>he continual chang</w:t>
      </w:r>
      <w:r w:rsidR="005234B6">
        <w:t>es and challenges</w:t>
      </w:r>
      <w:r w:rsidR="009D34E6">
        <w:t xml:space="preserve"> to operational delivery internally</w:t>
      </w:r>
      <w:r w:rsidR="006F2411">
        <w:t xml:space="preserve"> and ensure new delivery </w:t>
      </w:r>
      <w:r w:rsidR="00D57BFF">
        <w:t>courses</w:t>
      </w:r>
      <w:r w:rsidR="006F2411">
        <w:t xml:space="preserve"> meet the high standards.</w:t>
      </w:r>
    </w:p>
    <w:p w14:paraId="33DA087D" w14:textId="7D18D1FD" w:rsidR="00A82AE1" w:rsidRPr="002168C3" w:rsidRDefault="00AB6032" w:rsidP="00A72D22">
      <w:r>
        <w:t xml:space="preserve">Whilst MEDR became active </w:t>
      </w:r>
      <w:r w:rsidR="00336742">
        <w:t>in Aug 2024</w:t>
      </w:r>
      <w:r w:rsidR="00D57BFF">
        <w:t>,</w:t>
      </w:r>
      <w:r w:rsidR="00336742">
        <w:t xml:space="preserve"> </w:t>
      </w:r>
      <w:r w:rsidR="008C554F">
        <w:t xml:space="preserve">no </w:t>
      </w:r>
      <w:r w:rsidR="00011A89">
        <w:t>real</w:t>
      </w:r>
      <w:r w:rsidR="008C554F">
        <w:t xml:space="preserve"> change has yet to be felt in the </w:t>
      </w:r>
      <w:r w:rsidR="00D57BFF">
        <w:t xml:space="preserve">Degree </w:t>
      </w:r>
      <w:r w:rsidR="00D57BFF" w:rsidRPr="002168C3">
        <w:t>Apprenticeships</w:t>
      </w:r>
      <w:r w:rsidR="00D57BFF">
        <w:t xml:space="preserve"> </w:t>
      </w:r>
      <w:r w:rsidR="00021E8F">
        <w:t xml:space="preserve">sector </w:t>
      </w:r>
      <w:r w:rsidR="00021E8F" w:rsidRPr="002168C3">
        <w:t>although</w:t>
      </w:r>
      <w:r w:rsidR="00484931" w:rsidRPr="002168C3">
        <w:t xml:space="preserve"> we can take some insights </w:t>
      </w:r>
      <w:r w:rsidR="00D57BFF">
        <w:t xml:space="preserve">of the potential direction of travel </w:t>
      </w:r>
      <w:r w:rsidR="00484931" w:rsidRPr="002168C3">
        <w:t xml:space="preserve">from </w:t>
      </w:r>
      <w:r w:rsidR="004C1FAE" w:rsidRPr="002168C3">
        <w:t xml:space="preserve">FE and consultation opportunities.  </w:t>
      </w:r>
      <w:r w:rsidR="00FA27DC" w:rsidRPr="002168C3">
        <w:t>The followin</w:t>
      </w:r>
      <w:r w:rsidR="00D57BFF">
        <w:t>g</w:t>
      </w:r>
      <w:r w:rsidR="00FA27DC" w:rsidRPr="002168C3">
        <w:t xml:space="preserve"> points outline </w:t>
      </w:r>
      <w:r w:rsidR="00A82AE1" w:rsidRPr="002168C3">
        <w:t>some key information to no</w:t>
      </w:r>
      <w:r w:rsidR="00D57BFF">
        <w:t>te:</w:t>
      </w:r>
    </w:p>
    <w:p w14:paraId="03535F99" w14:textId="77777777" w:rsidR="00E430AE" w:rsidRPr="002168C3" w:rsidRDefault="00E430AE" w:rsidP="00A10C88">
      <w:pPr>
        <w:pStyle w:val="ListParagraph"/>
        <w:numPr>
          <w:ilvl w:val="0"/>
          <w:numId w:val="10"/>
        </w:numPr>
        <w:shd w:val="clear" w:color="auto" w:fill="FFFFFF"/>
        <w:spacing w:after="0" w:line="240" w:lineRule="auto"/>
        <w:rPr>
          <w:rFonts w:eastAsia="Times New Roman" w:cs="Noto Sans"/>
          <w:color w:val="333130"/>
          <w:kern w:val="0"/>
          <w:lang w:eastAsia="en-GB"/>
          <w14:ligatures w14:val="none"/>
        </w:rPr>
      </w:pPr>
      <w:r w:rsidRPr="002168C3">
        <w:rPr>
          <w:rFonts w:eastAsia="Times New Roman" w:cs="Noto Sans"/>
          <w:color w:val="333130"/>
          <w:kern w:val="0"/>
          <w:lang w:eastAsia="en-GB"/>
          <w14:ligatures w14:val="none"/>
        </w:rPr>
        <w:t>Medr must assess, or make arrangements to assess, the quality of education provided in Wales by or on behalf of each regulated higher education institution.</w:t>
      </w:r>
    </w:p>
    <w:p w14:paraId="64D0E84D" w14:textId="77777777" w:rsidR="00E430AE" w:rsidRPr="002168C3" w:rsidRDefault="00E430AE" w:rsidP="00E430AE">
      <w:pPr>
        <w:shd w:val="clear" w:color="auto" w:fill="FFFFFF"/>
        <w:spacing w:after="0" w:line="240" w:lineRule="auto"/>
        <w:rPr>
          <w:rFonts w:eastAsia="Times New Roman" w:cs="Noto Sans"/>
          <w:color w:val="333130"/>
          <w:kern w:val="0"/>
          <w:lang w:eastAsia="en-GB"/>
          <w14:ligatures w14:val="none"/>
        </w:rPr>
      </w:pPr>
    </w:p>
    <w:p w14:paraId="48EA02DE" w14:textId="3D6CC92F" w:rsidR="00E430AE" w:rsidRPr="002168C3" w:rsidRDefault="00E430AE" w:rsidP="00A10C88">
      <w:pPr>
        <w:pStyle w:val="ListParagraph"/>
        <w:numPr>
          <w:ilvl w:val="0"/>
          <w:numId w:val="10"/>
        </w:numPr>
        <w:shd w:val="clear" w:color="auto" w:fill="FFFFFF"/>
        <w:spacing w:after="0" w:line="240" w:lineRule="auto"/>
        <w:rPr>
          <w:rFonts w:eastAsia="Times New Roman" w:cs="Noto Sans"/>
          <w:color w:val="333130"/>
          <w:kern w:val="0"/>
          <w:lang w:eastAsia="en-GB"/>
          <w14:ligatures w14:val="none"/>
        </w:rPr>
      </w:pPr>
      <w:hyperlink r:id="rId11" w:tgtFrame="_blank" w:history="1">
        <w:r w:rsidRPr="002168C3">
          <w:rPr>
            <w:rFonts w:eastAsia="Times New Roman" w:cs="Noto Sans"/>
            <w:color w:val="0000FF"/>
            <w:kern w:val="0"/>
            <w:u w:val="single"/>
            <w:lang w:eastAsia="en-GB"/>
            <w14:ligatures w14:val="none"/>
          </w:rPr>
          <w:t>Procedures for assessing the quality of education</w:t>
        </w:r>
      </w:hyperlink>
      <w:r w:rsidRPr="002168C3">
        <w:rPr>
          <w:rFonts w:eastAsia="Times New Roman" w:cs="Noto Sans"/>
          <w:color w:val="333130"/>
          <w:kern w:val="0"/>
          <w:lang w:eastAsia="en-GB"/>
          <w14:ligatures w14:val="none"/>
        </w:rPr>
        <w:t> (HEFCW circular W19/05HE) provide information on how Medr will fulfil its statutory duties relating to the quality of education.</w:t>
      </w:r>
    </w:p>
    <w:p w14:paraId="7D1A37E3" w14:textId="77777777" w:rsidR="00E430AE" w:rsidRPr="002168C3" w:rsidRDefault="00E430AE" w:rsidP="00E430AE">
      <w:pPr>
        <w:shd w:val="clear" w:color="auto" w:fill="FFFFFF"/>
        <w:spacing w:after="0" w:line="240" w:lineRule="auto"/>
        <w:rPr>
          <w:rFonts w:eastAsia="Times New Roman" w:cs="Noto Sans"/>
          <w:color w:val="333130"/>
          <w:kern w:val="0"/>
          <w:lang w:eastAsia="en-GB"/>
          <w14:ligatures w14:val="none"/>
        </w:rPr>
      </w:pPr>
    </w:p>
    <w:p w14:paraId="547CE3CD" w14:textId="07770C29" w:rsidR="00E430AE" w:rsidRPr="002168C3" w:rsidRDefault="00E430AE" w:rsidP="00A10C88">
      <w:pPr>
        <w:pStyle w:val="ListParagraph"/>
        <w:numPr>
          <w:ilvl w:val="0"/>
          <w:numId w:val="10"/>
        </w:numPr>
        <w:shd w:val="clear" w:color="auto" w:fill="FFFFFF"/>
        <w:spacing w:after="0" w:line="240" w:lineRule="auto"/>
        <w:rPr>
          <w:rFonts w:eastAsia="Times New Roman" w:cs="Noto Sans"/>
          <w:color w:val="333130"/>
          <w:kern w:val="0"/>
          <w:lang w:eastAsia="en-GB"/>
          <w14:ligatures w14:val="none"/>
        </w:rPr>
      </w:pPr>
      <w:r w:rsidRPr="002168C3">
        <w:rPr>
          <w:rFonts w:eastAsia="Times New Roman" w:cs="Noto Sans"/>
          <w:color w:val="333130"/>
          <w:kern w:val="0"/>
          <w:lang w:eastAsia="en-GB"/>
          <w14:ligatures w14:val="none"/>
        </w:rPr>
        <w:lastRenderedPageBreak/>
        <w:t>As part of the </w:t>
      </w:r>
      <w:hyperlink r:id="rId12" w:tgtFrame="_blank" w:history="1">
        <w:r w:rsidRPr="002168C3">
          <w:rPr>
            <w:rFonts w:eastAsia="Times New Roman" w:cs="Noto Sans"/>
            <w:color w:val="0000FF"/>
            <w:kern w:val="0"/>
            <w:u w:val="single"/>
            <w:lang w:eastAsia="en-GB"/>
            <w14:ligatures w14:val="none"/>
          </w:rPr>
          <w:t>Quality Assessment Framework</w:t>
        </w:r>
      </w:hyperlink>
      <w:r w:rsidRPr="002168C3">
        <w:rPr>
          <w:rFonts w:eastAsia="Times New Roman" w:cs="Noto Sans"/>
          <w:color w:val="333130"/>
          <w:kern w:val="0"/>
          <w:lang w:eastAsia="en-GB"/>
          <w14:ligatures w14:val="none"/>
        </w:rPr>
        <w:t> for Wales, regulated institutions must undergo </w:t>
      </w:r>
      <w:hyperlink r:id="rId13" w:tgtFrame="_blank" w:history="1">
        <w:r w:rsidRPr="002168C3">
          <w:rPr>
            <w:rFonts w:eastAsia="Times New Roman" w:cs="Noto Sans"/>
            <w:color w:val="0000FF"/>
            <w:kern w:val="0"/>
            <w:u w:val="single"/>
            <w:lang w:eastAsia="en-GB"/>
            <w14:ligatures w14:val="none"/>
          </w:rPr>
          <w:t>external quality assurance reviews</w:t>
        </w:r>
      </w:hyperlink>
      <w:r w:rsidRPr="002168C3">
        <w:rPr>
          <w:rFonts w:eastAsia="Times New Roman" w:cs="Noto Sans"/>
          <w:color w:val="333130"/>
          <w:kern w:val="0"/>
          <w:lang w:eastAsia="en-GB"/>
          <w14:ligatures w14:val="none"/>
        </w:rPr>
        <w:t>. This is carried out using the Quality Enhancement Review developed by the </w:t>
      </w:r>
      <w:hyperlink r:id="rId14" w:tgtFrame="_blank" w:history="1">
        <w:r w:rsidRPr="002168C3">
          <w:rPr>
            <w:rFonts w:eastAsia="Times New Roman" w:cs="Noto Sans"/>
            <w:color w:val="0000FF"/>
            <w:kern w:val="0"/>
            <w:u w:val="single"/>
            <w:lang w:eastAsia="en-GB"/>
            <w14:ligatures w14:val="none"/>
          </w:rPr>
          <w:t>Quality Assurance Agency for Higher Education</w:t>
        </w:r>
      </w:hyperlink>
      <w:r w:rsidRPr="002168C3">
        <w:rPr>
          <w:rFonts w:eastAsia="Times New Roman" w:cs="Noto Sans"/>
          <w:color w:val="333130"/>
          <w:kern w:val="0"/>
          <w:lang w:eastAsia="en-GB"/>
          <w14:ligatures w14:val="none"/>
        </w:rPr>
        <w:t>.</w:t>
      </w:r>
    </w:p>
    <w:p w14:paraId="14E03F67" w14:textId="77777777" w:rsidR="00E430AE" w:rsidRPr="002168C3" w:rsidRDefault="00E430AE" w:rsidP="00E430AE">
      <w:pPr>
        <w:shd w:val="clear" w:color="auto" w:fill="FFFFFF"/>
        <w:spacing w:after="0" w:line="240" w:lineRule="auto"/>
        <w:rPr>
          <w:rFonts w:eastAsia="Times New Roman" w:cs="Noto Sans"/>
          <w:color w:val="333130"/>
          <w:kern w:val="0"/>
          <w:lang w:eastAsia="en-GB"/>
          <w14:ligatures w14:val="none"/>
        </w:rPr>
      </w:pPr>
    </w:p>
    <w:p w14:paraId="62B14CF1" w14:textId="039FE66B" w:rsidR="00E11602" w:rsidRDefault="00E430AE" w:rsidP="00AE6382">
      <w:pPr>
        <w:pStyle w:val="ListParagraph"/>
        <w:numPr>
          <w:ilvl w:val="0"/>
          <w:numId w:val="10"/>
        </w:numPr>
        <w:shd w:val="clear" w:color="auto" w:fill="FFFFFF" w:themeFill="background1"/>
        <w:spacing w:after="0" w:line="240" w:lineRule="auto"/>
        <w:rPr>
          <w:rFonts w:eastAsia="Times New Roman" w:cs="Noto Sans"/>
          <w:color w:val="333130"/>
          <w:kern w:val="0"/>
          <w:lang w:eastAsia="en-GB"/>
          <w14:ligatures w14:val="none"/>
        </w:rPr>
      </w:pPr>
      <w:r w:rsidRPr="002168C3">
        <w:rPr>
          <w:rFonts w:eastAsia="Times New Roman" w:cs="Noto Sans"/>
          <w:color w:val="333130"/>
          <w:kern w:val="0"/>
          <w:lang w:eastAsia="en-GB"/>
          <w14:ligatures w14:val="none"/>
        </w:rPr>
        <w:t>From 1 August 2025, revised versions of the </w:t>
      </w:r>
      <w:hyperlink r:id="rId15" w:tgtFrame="_blank" w:history="1">
        <w:r w:rsidRPr="002168C3">
          <w:rPr>
            <w:rFonts w:eastAsia="Times New Roman" w:cs="Noto Sans"/>
            <w:color w:val="0000FF"/>
            <w:kern w:val="0"/>
            <w:u w:val="single"/>
            <w:lang w:eastAsia="en-GB"/>
            <w14:ligatures w14:val="none"/>
          </w:rPr>
          <w:t>Quality Assessment Framework</w:t>
        </w:r>
      </w:hyperlink>
      <w:r w:rsidRPr="002168C3">
        <w:rPr>
          <w:rFonts w:eastAsia="Times New Roman" w:cs="Noto Sans"/>
          <w:color w:val="333130"/>
          <w:kern w:val="0"/>
          <w:lang w:eastAsia="en-GB"/>
          <w14:ligatures w14:val="none"/>
        </w:rPr>
        <w:t> and the </w:t>
      </w:r>
      <w:hyperlink r:id="rId16" w:tgtFrame="_blank" w:history="1">
        <w:r w:rsidRPr="002168C3">
          <w:rPr>
            <w:rFonts w:eastAsia="Times New Roman" w:cs="Noto Sans"/>
            <w:color w:val="0000FF"/>
            <w:kern w:val="0"/>
            <w:u w:val="single"/>
            <w:lang w:eastAsia="en-GB"/>
            <w14:ligatures w14:val="none"/>
          </w:rPr>
          <w:t>external quality assurance reviews</w:t>
        </w:r>
      </w:hyperlink>
      <w:r w:rsidRPr="002168C3">
        <w:rPr>
          <w:rFonts w:eastAsia="Times New Roman" w:cs="Noto Sans"/>
          <w:color w:val="333130"/>
          <w:kern w:val="0"/>
          <w:lang w:eastAsia="en-GB"/>
          <w14:ligatures w14:val="none"/>
        </w:rPr>
        <w:t xml:space="preserve"> documents </w:t>
      </w:r>
      <w:r w:rsidR="00021E8F">
        <w:rPr>
          <w:rFonts w:eastAsia="Times New Roman" w:cs="Noto Sans"/>
          <w:color w:val="333130"/>
          <w:kern w:val="0"/>
          <w:lang w:eastAsia="en-GB"/>
          <w14:ligatures w14:val="none"/>
        </w:rPr>
        <w:t>came</w:t>
      </w:r>
      <w:r w:rsidRPr="002168C3">
        <w:rPr>
          <w:rFonts w:eastAsia="Times New Roman" w:cs="Noto Sans"/>
          <w:color w:val="333130"/>
          <w:kern w:val="0"/>
          <w:lang w:eastAsia="en-GB"/>
          <w14:ligatures w14:val="none"/>
        </w:rPr>
        <w:t xml:space="preserve"> into force to take account of changes to the Quality Code for Higher Education, and the UK Quality Council.</w:t>
      </w:r>
    </w:p>
    <w:p w14:paraId="49611782" w14:textId="77777777" w:rsidR="00342591" w:rsidRPr="00342591" w:rsidRDefault="00342591" w:rsidP="00342591">
      <w:pPr>
        <w:shd w:val="clear" w:color="auto" w:fill="FFFFFF" w:themeFill="background1"/>
        <w:spacing w:after="0" w:line="240" w:lineRule="auto"/>
        <w:rPr>
          <w:rFonts w:eastAsia="Times New Roman" w:cs="Noto Sans"/>
          <w:color w:val="333130"/>
          <w:kern w:val="0"/>
          <w:lang w:eastAsia="en-GB"/>
          <w14:ligatures w14:val="none"/>
        </w:rPr>
      </w:pPr>
    </w:p>
    <w:p w14:paraId="54BFF1EF" w14:textId="26B8F116" w:rsidR="00E11602" w:rsidRPr="002168C3" w:rsidRDefault="00E11602" w:rsidP="00E11602">
      <w:pPr>
        <w:shd w:val="clear" w:color="auto" w:fill="FFFFFF" w:themeFill="background1"/>
        <w:spacing w:after="0" w:line="240" w:lineRule="auto"/>
        <w:rPr>
          <w:rFonts w:eastAsia="Times New Roman" w:cs="Noto Sans"/>
          <w:color w:val="333130"/>
          <w:kern w:val="0"/>
          <w:lang w:eastAsia="en-GB"/>
          <w14:ligatures w14:val="none"/>
        </w:rPr>
      </w:pPr>
      <w:r w:rsidRPr="002168C3">
        <w:rPr>
          <w:rFonts w:eastAsia="Times New Roman" w:cs="Noto Sans"/>
          <w:color w:val="333130"/>
          <w:kern w:val="0"/>
          <w:lang w:eastAsia="en-GB"/>
          <w14:ligatures w14:val="none"/>
        </w:rPr>
        <w:t>Across the sector</w:t>
      </w:r>
      <w:r w:rsidR="00D57BFF">
        <w:rPr>
          <w:rFonts w:eastAsia="Times New Roman" w:cs="Noto Sans"/>
          <w:color w:val="333130"/>
          <w:kern w:val="0"/>
          <w:lang w:eastAsia="en-GB"/>
          <w14:ligatures w14:val="none"/>
        </w:rPr>
        <w:t>,</w:t>
      </w:r>
      <w:r w:rsidRPr="002168C3">
        <w:rPr>
          <w:rFonts w:eastAsia="Times New Roman" w:cs="Noto Sans"/>
          <w:color w:val="333130"/>
          <w:kern w:val="0"/>
          <w:lang w:eastAsia="en-GB"/>
          <w14:ligatures w14:val="none"/>
        </w:rPr>
        <w:t xml:space="preserve"> we expect significant change in the assessment process</w:t>
      </w:r>
      <w:r w:rsidR="002168C3" w:rsidRPr="002168C3">
        <w:rPr>
          <w:rFonts w:eastAsia="Times New Roman" w:cs="Noto Sans"/>
          <w:color w:val="333130"/>
          <w:kern w:val="0"/>
          <w:lang w:eastAsia="en-GB"/>
          <w14:ligatures w14:val="none"/>
        </w:rPr>
        <w:t>, further reference to apprenticeships and alignment</w:t>
      </w:r>
      <w:r w:rsidR="00AE6382">
        <w:rPr>
          <w:rFonts w:eastAsia="Times New Roman" w:cs="Noto Sans"/>
          <w:color w:val="333130"/>
          <w:kern w:val="0"/>
          <w:lang w:eastAsia="en-GB"/>
          <w14:ligatures w14:val="none"/>
        </w:rPr>
        <w:t>, where obvious, with existing rules in FE</w:t>
      </w:r>
      <w:r w:rsidR="00AE6382" w:rsidRPr="0062222C">
        <w:rPr>
          <w:rFonts w:eastAsia="Times New Roman" w:cs="Noto Sans"/>
          <w:color w:val="333130"/>
          <w:kern w:val="0"/>
          <w:lang w:eastAsia="en-GB"/>
          <w14:ligatures w14:val="none"/>
        </w:rPr>
        <w:t xml:space="preserve">.   </w:t>
      </w:r>
      <w:r w:rsidR="00FE4458" w:rsidRPr="0062222C">
        <w:rPr>
          <w:rFonts w:eastAsia="Times New Roman" w:cs="Noto Sans"/>
          <w:color w:val="333130"/>
          <w:kern w:val="0"/>
          <w:lang w:eastAsia="en-GB"/>
          <w14:ligatures w14:val="none"/>
        </w:rPr>
        <w:t xml:space="preserve">Using the existing Quality Framework, </w:t>
      </w:r>
      <w:r w:rsidR="00717351" w:rsidRPr="0062222C">
        <w:rPr>
          <w:rFonts w:eastAsia="Times New Roman" w:cs="Noto Sans"/>
          <w:color w:val="333130"/>
          <w:kern w:val="0"/>
          <w:lang w:eastAsia="en-GB"/>
          <w14:ligatures w14:val="none"/>
        </w:rPr>
        <w:t>QAA Apprenticeship tool kit</w:t>
      </w:r>
      <w:r w:rsidR="00C60124" w:rsidRPr="0062222C">
        <w:rPr>
          <w:rFonts w:eastAsia="Times New Roman" w:cs="Noto Sans"/>
          <w:color w:val="333130"/>
          <w:kern w:val="0"/>
          <w:lang w:eastAsia="en-GB"/>
          <w14:ligatures w14:val="none"/>
        </w:rPr>
        <w:t>, SASW</w:t>
      </w:r>
      <w:r w:rsidR="00717351" w:rsidRPr="0062222C">
        <w:rPr>
          <w:rFonts w:eastAsia="Times New Roman" w:cs="Noto Sans"/>
          <w:color w:val="333130"/>
          <w:kern w:val="0"/>
          <w:lang w:eastAsia="en-GB"/>
          <w14:ligatures w14:val="none"/>
        </w:rPr>
        <w:t xml:space="preserve"> and </w:t>
      </w:r>
      <w:r w:rsidR="00AD52D0" w:rsidRPr="0062222C">
        <w:rPr>
          <w:rFonts w:eastAsia="Times New Roman" w:cs="Noto Sans"/>
          <w:color w:val="333130"/>
          <w:kern w:val="0"/>
          <w:lang w:eastAsia="en-GB"/>
          <w14:ligatures w14:val="none"/>
        </w:rPr>
        <w:t xml:space="preserve">gathered </w:t>
      </w:r>
      <w:r w:rsidR="00AB32E1" w:rsidRPr="0062222C">
        <w:rPr>
          <w:rFonts w:eastAsia="Times New Roman" w:cs="Noto Sans"/>
          <w:color w:val="333130"/>
          <w:kern w:val="0"/>
          <w:lang w:eastAsia="en-GB"/>
          <w14:ligatures w14:val="none"/>
        </w:rPr>
        <w:t>internal intelligence</w:t>
      </w:r>
      <w:r w:rsidR="00D57BFF" w:rsidRPr="0062222C">
        <w:rPr>
          <w:rFonts w:eastAsia="Times New Roman" w:cs="Noto Sans"/>
          <w:color w:val="333130"/>
          <w:kern w:val="0"/>
          <w:lang w:eastAsia="en-GB"/>
          <w14:ligatures w14:val="none"/>
        </w:rPr>
        <w:t>,</w:t>
      </w:r>
      <w:r w:rsidR="00AB32E1" w:rsidRPr="0062222C">
        <w:rPr>
          <w:rFonts w:eastAsia="Times New Roman" w:cs="Noto Sans"/>
          <w:color w:val="333130"/>
          <w:kern w:val="0"/>
          <w:lang w:eastAsia="en-GB"/>
          <w14:ligatures w14:val="none"/>
        </w:rPr>
        <w:t xml:space="preserve"> the following document </w:t>
      </w:r>
      <w:r w:rsidR="003C2F36" w:rsidRPr="0062222C">
        <w:rPr>
          <w:rFonts w:eastAsia="Times New Roman" w:cs="Noto Sans"/>
          <w:color w:val="333130"/>
          <w:kern w:val="0"/>
          <w:lang w:eastAsia="en-GB"/>
          <w14:ligatures w14:val="none"/>
        </w:rPr>
        <w:t xml:space="preserve">endeavours to </w:t>
      </w:r>
      <w:r w:rsidR="0030484A" w:rsidRPr="0062222C">
        <w:rPr>
          <w:rFonts w:eastAsia="Times New Roman" w:cs="Noto Sans"/>
          <w:color w:val="333130"/>
          <w:kern w:val="0"/>
          <w:lang w:eastAsia="en-GB"/>
          <w14:ligatures w14:val="none"/>
        </w:rPr>
        <w:t>identify areas that currently pose a risk</w:t>
      </w:r>
      <w:r w:rsidR="00C60124" w:rsidRPr="0062222C">
        <w:rPr>
          <w:rFonts w:eastAsia="Times New Roman" w:cs="Noto Sans"/>
          <w:color w:val="333130"/>
          <w:kern w:val="0"/>
          <w:lang w:eastAsia="en-GB"/>
          <w14:ligatures w14:val="none"/>
        </w:rPr>
        <w:t xml:space="preserve"> to quality and compliance</w:t>
      </w:r>
      <w:r w:rsidR="0030484A" w:rsidRPr="0062222C">
        <w:rPr>
          <w:rFonts w:eastAsia="Times New Roman" w:cs="Noto Sans"/>
          <w:color w:val="333130"/>
          <w:kern w:val="0"/>
          <w:lang w:eastAsia="en-GB"/>
          <w14:ligatures w14:val="none"/>
        </w:rPr>
        <w:t xml:space="preserve"> or </w:t>
      </w:r>
      <w:r w:rsidR="003C2F36" w:rsidRPr="0062222C">
        <w:rPr>
          <w:rFonts w:eastAsia="Times New Roman" w:cs="Noto Sans"/>
          <w:color w:val="333130"/>
          <w:kern w:val="0"/>
          <w:lang w:eastAsia="en-GB"/>
          <w14:ligatures w14:val="none"/>
        </w:rPr>
        <w:t xml:space="preserve">highlight areas that </w:t>
      </w:r>
      <w:r w:rsidR="0030484A" w:rsidRPr="0062222C">
        <w:rPr>
          <w:rFonts w:eastAsia="Times New Roman" w:cs="Noto Sans"/>
          <w:color w:val="333130"/>
          <w:kern w:val="0"/>
          <w:lang w:eastAsia="en-GB"/>
          <w14:ligatures w14:val="none"/>
        </w:rPr>
        <w:t xml:space="preserve">may potentially be </w:t>
      </w:r>
      <w:r w:rsidR="00C45B1B" w:rsidRPr="0062222C">
        <w:rPr>
          <w:rFonts w:eastAsia="Times New Roman" w:cs="Noto Sans"/>
          <w:color w:val="333130"/>
          <w:kern w:val="0"/>
          <w:lang w:eastAsia="en-GB"/>
          <w14:ligatures w14:val="none"/>
        </w:rPr>
        <w:t xml:space="preserve">a risk </w:t>
      </w:r>
      <w:r w:rsidR="00EF3F3E" w:rsidRPr="0062222C">
        <w:rPr>
          <w:rFonts w:eastAsia="Times New Roman" w:cs="Noto Sans"/>
          <w:color w:val="333130"/>
          <w:kern w:val="0"/>
          <w:lang w:eastAsia="en-GB"/>
          <w14:ligatures w14:val="none"/>
        </w:rPr>
        <w:t>as a result of regulatory input</w:t>
      </w:r>
      <w:r w:rsidR="00C60124" w:rsidRPr="0062222C">
        <w:rPr>
          <w:rFonts w:eastAsia="Times New Roman" w:cs="Noto Sans"/>
          <w:color w:val="333130"/>
          <w:kern w:val="0"/>
          <w:lang w:eastAsia="en-GB"/>
          <w14:ligatures w14:val="none"/>
        </w:rPr>
        <w:t>.</w:t>
      </w:r>
    </w:p>
    <w:p w14:paraId="087DC640" w14:textId="77777777" w:rsidR="00E430AE" w:rsidRPr="00A72D22" w:rsidRDefault="00E430AE" w:rsidP="00A72D22"/>
    <w:p w14:paraId="7FC51CF5" w14:textId="4669464A" w:rsidR="007059DC" w:rsidRDefault="00933A47" w:rsidP="007059DC">
      <w:pPr>
        <w:pStyle w:val="Heading2"/>
      </w:pPr>
      <w:bookmarkStart w:id="2" w:name="_Toc192492096"/>
      <w:r>
        <w:t>Developing Apprenticeships</w:t>
      </w:r>
      <w:bookmarkEnd w:id="2"/>
    </w:p>
    <w:p w14:paraId="35EB8FAE" w14:textId="035628B1" w:rsidR="00F3308C" w:rsidRDefault="00F3308C" w:rsidP="00A72D22">
      <w:pPr>
        <w:rPr>
          <w:rStyle w:val="A3"/>
        </w:rPr>
      </w:pPr>
      <w:r>
        <w:rPr>
          <w:rStyle w:val="A3"/>
        </w:rPr>
        <w:t xml:space="preserve">It is vital that in the validation process that key apprenticeship considerations are included and made clear.  A framework for considerations will be made available to support this process and highlight areas where specific attention is required to ensure quality and regulatory compliance. </w:t>
      </w:r>
    </w:p>
    <w:p w14:paraId="40A9AC7A" w14:textId="2E315736" w:rsidR="00A723FC" w:rsidRPr="00A723FC" w:rsidRDefault="00A723FC" w:rsidP="00A72D22">
      <w:pPr>
        <w:rPr>
          <w:rFonts w:cs="Manrope ExtraLight"/>
          <w:color w:val="000000"/>
        </w:rPr>
      </w:pPr>
      <w:r>
        <w:rPr>
          <w:rStyle w:val="A3"/>
        </w:rPr>
        <w:t xml:space="preserve">The primary focus for an apprenticeship is the associated knowledge, skills and behaviours (KSBs)/learning outcomes specified in the apprenticeship standard/framework which should be used in designing any associated programme learning outcomes.  </w:t>
      </w:r>
      <w:r w:rsidR="00590F1A">
        <w:rPr>
          <w:rStyle w:val="A3"/>
        </w:rPr>
        <w:t>(Q</w:t>
      </w:r>
      <w:r w:rsidR="00BD4187">
        <w:rPr>
          <w:rStyle w:val="A3"/>
        </w:rPr>
        <w:t xml:space="preserve">AA Developing </w:t>
      </w:r>
      <w:r w:rsidR="00C642D0">
        <w:rPr>
          <w:rStyle w:val="A3"/>
        </w:rPr>
        <w:t>Apprenticeships</w:t>
      </w:r>
      <w:r w:rsidR="00BD4187">
        <w:rPr>
          <w:rStyle w:val="A3"/>
        </w:rPr>
        <w:t xml:space="preserve"> Tool kit</w:t>
      </w:r>
      <w:r w:rsidR="00C642D0">
        <w:rPr>
          <w:rStyle w:val="A3"/>
        </w:rPr>
        <w:t>)</w:t>
      </w:r>
      <w:r w:rsidR="00754989">
        <w:rPr>
          <w:rStyle w:val="A3"/>
        </w:rPr>
        <w:t>.</w:t>
      </w:r>
    </w:p>
    <w:p w14:paraId="0E8DBDB1" w14:textId="77777777" w:rsidR="00E73771" w:rsidRPr="00E73771" w:rsidRDefault="00E73771" w:rsidP="00E73771">
      <w:r w:rsidRPr="00E73771">
        <w:t>In meeting these aims/requirements, training providers will need to ensure that:</w:t>
      </w:r>
    </w:p>
    <w:p w14:paraId="6EB2D849" w14:textId="3DB2196A" w:rsidR="00E73771" w:rsidRPr="00E73771" w:rsidRDefault="00E73771" w:rsidP="00754989">
      <w:pPr>
        <w:pStyle w:val="ListParagraph"/>
        <w:numPr>
          <w:ilvl w:val="0"/>
          <w:numId w:val="13"/>
        </w:numPr>
      </w:pPr>
      <w:r>
        <w:t>T</w:t>
      </w:r>
      <w:r w:rsidRPr="00E73771">
        <w:t>he apprenticeship and any associated higher education qualification have appropriate entry requirements in line with any stipulated in the apprenticeship framework/standard</w:t>
      </w:r>
    </w:p>
    <w:p w14:paraId="5E205012" w14:textId="3D88AFF5" w:rsidR="00E73771" w:rsidRDefault="00E73771" w:rsidP="00754989">
      <w:pPr>
        <w:pStyle w:val="ListParagraph"/>
        <w:numPr>
          <w:ilvl w:val="0"/>
          <w:numId w:val="13"/>
        </w:numPr>
      </w:pPr>
      <w:r>
        <w:t>T</w:t>
      </w:r>
      <w:r w:rsidRPr="00E73771">
        <w:t>he knowledge, skills and behaviours (KSBs) are developed and evidenced, to support the</w:t>
      </w:r>
      <w:r w:rsidR="00C103F5">
        <w:t xml:space="preserve"> </w:t>
      </w:r>
      <w:r w:rsidRPr="00E73771">
        <w:t>end-point assessment (EPA) as required</w:t>
      </w:r>
    </w:p>
    <w:p w14:paraId="5BEAE561" w14:textId="36A0CFBB" w:rsidR="00754989" w:rsidRDefault="00754989" w:rsidP="00754989">
      <w:pPr>
        <w:pStyle w:val="ListParagraph"/>
        <w:numPr>
          <w:ilvl w:val="0"/>
          <w:numId w:val="13"/>
        </w:numPr>
      </w:pPr>
      <w:r>
        <w:t xml:space="preserve">What are the institutional benchmarks that we are working toward, what are the </w:t>
      </w:r>
      <w:r w:rsidR="007317BD">
        <w:t>UWTSD</w:t>
      </w:r>
      <w:r>
        <w:t xml:space="preserve"> apprenticeship quality metrics?</w:t>
      </w:r>
    </w:p>
    <w:p w14:paraId="18AC9D94" w14:textId="3FD317B4" w:rsidR="00E73771" w:rsidRPr="00E73771" w:rsidRDefault="00E73771" w:rsidP="00754989">
      <w:pPr>
        <w:pStyle w:val="ListParagraph"/>
        <w:numPr>
          <w:ilvl w:val="0"/>
          <w:numId w:val="13"/>
        </w:numPr>
      </w:pPr>
      <w:r>
        <w:t>T</w:t>
      </w:r>
      <w:r w:rsidRPr="00E73771">
        <w:t>hey collaborate with employers in the design of on-the-job learning activities to work with</w:t>
      </w:r>
      <w:r w:rsidR="00C103F5">
        <w:t xml:space="preserve"> </w:t>
      </w:r>
      <w:r w:rsidRPr="00E73771">
        <w:t>off-the-job learning</w:t>
      </w:r>
    </w:p>
    <w:p w14:paraId="312604D8" w14:textId="57D28DD1" w:rsidR="00E73771" w:rsidRPr="00E73771" w:rsidRDefault="00E73771" w:rsidP="00754989">
      <w:pPr>
        <w:pStyle w:val="ListParagraph"/>
        <w:numPr>
          <w:ilvl w:val="0"/>
          <w:numId w:val="13"/>
        </w:numPr>
      </w:pPr>
      <w:r>
        <w:t>A</w:t>
      </w:r>
      <w:r w:rsidRPr="00E73771">
        <w:t>ny related higher education qualifications (for example, a degree) are appropriately incorporated into the apprentice’s programme, and have been adapted as required, during the design phase to ensure they fit coherently with the overarching apprenticeship requirements</w:t>
      </w:r>
      <w:r w:rsidR="00853B61">
        <w:t>.</w:t>
      </w:r>
    </w:p>
    <w:p w14:paraId="1A94904A" w14:textId="27857528" w:rsidR="00E73771" w:rsidRPr="00E73771" w:rsidRDefault="00E73771" w:rsidP="00754989">
      <w:pPr>
        <w:pStyle w:val="ListParagraph"/>
        <w:numPr>
          <w:ilvl w:val="0"/>
          <w:numId w:val="13"/>
        </w:numPr>
      </w:pPr>
      <w:r>
        <w:t>A</w:t>
      </w:r>
      <w:r w:rsidRPr="00E73771">
        <w:t>ny components (such as credits) are clear and accessible</w:t>
      </w:r>
    </w:p>
    <w:p w14:paraId="507014BD" w14:textId="11CC8EC5" w:rsidR="00E73771" w:rsidRPr="00E73771" w:rsidRDefault="00E73771" w:rsidP="00754989">
      <w:pPr>
        <w:pStyle w:val="ListParagraph"/>
        <w:numPr>
          <w:ilvl w:val="0"/>
          <w:numId w:val="13"/>
        </w:numPr>
      </w:pPr>
      <w:r>
        <w:t>L</w:t>
      </w:r>
      <w:r w:rsidRPr="00E73771">
        <w:t>earning outcomes are set and assessed at the required level</w:t>
      </w:r>
    </w:p>
    <w:p w14:paraId="76D876CA" w14:textId="312F696F" w:rsidR="00E73771" w:rsidRPr="00E73771" w:rsidRDefault="00E73771" w:rsidP="00754989">
      <w:pPr>
        <w:pStyle w:val="ListParagraph"/>
        <w:numPr>
          <w:ilvl w:val="0"/>
          <w:numId w:val="13"/>
        </w:numPr>
      </w:pPr>
      <w:r>
        <w:t>A</w:t>
      </w:r>
      <w:r w:rsidRPr="00E73771">
        <w:t>pprentices are prepared for any EPA (this mainly applies to English apprenticeships)</w:t>
      </w:r>
    </w:p>
    <w:p w14:paraId="6952254E" w14:textId="3A26542D" w:rsidR="00E73771" w:rsidRPr="00E73771" w:rsidRDefault="00E73771" w:rsidP="00754989">
      <w:pPr>
        <w:pStyle w:val="ListParagraph"/>
        <w:numPr>
          <w:ilvl w:val="0"/>
          <w:numId w:val="13"/>
        </w:numPr>
      </w:pPr>
      <w:r>
        <w:t>A</w:t>
      </w:r>
      <w:r w:rsidRPr="00E73771">
        <w:t>pprenticeships meet the requirements of relevant regulators/funding bodies in the UK nation (which may include wider curriculum related requirements such as personal development, the development of English, Mathematics and digital literacy, equality, diversity and inclusion)</w:t>
      </w:r>
    </w:p>
    <w:p w14:paraId="0F6E2058" w14:textId="432C31A9" w:rsidR="00E73771" w:rsidRDefault="00A30D4C" w:rsidP="00754989">
      <w:pPr>
        <w:pStyle w:val="ListParagraph"/>
        <w:numPr>
          <w:ilvl w:val="0"/>
          <w:numId w:val="13"/>
        </w:numPr>
      </w:pPr>
      <w:r>
        <w:rPr>
          <w:noProof/>
        </w:rPr>
        <w:lastRenderedPageBreak/>
        <mc:AlternateContent>
          <mc:Choice Requires="wps">
            <w:drawing>
              <wp:anchor distT="45720" distB="45720" distL="114300" distR="114300" simplePos="0" relativeHeight="251657216" behindDoc="0" locked="0" layoutInCell="1" allowOverlap="1" wp14:anchorId="66CD45BC" wp14:editId="3806366B">
                <wp:simplePos x="0" y="0"/>
                <wp:positionH relativeFrom="margin">
                  <wp:align>right</wp:align>
                </wp:positionH>
                <wp:positionV relativeFrom="paragraph">
                  <wp:posOffset>483870</wp:posOffset>
                </wp:positionV>
                <wp:extent cx="5705475" cy="1404620"/>
                <wp:effectExtent l="0" t="0" r="28575" b="20955"/>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404620"/>
                        </a:xfrm>
                        <a:prstGeom prst="rect">
                          <a:avLst/>
                        </a:prstGeom>
                        <a:solidFill>
                          <a:schemeClr val="accent2">
                            <a:lumMod val="20000"/>
                            <a:lumOff val="80000"/>
                          </a:schemeClr>
                        </a:solidFill>
                        <a:ln w="9525">
                          <a:solidFill>
                            <a:srgbClr val="000000"/>
                          </a:solidFill>
                          <a:miter lim="800000"/>
                          <a:headEnd/>
                          <a:tailEnd/>
                        </a:ln>
                      </wps:spPr>
                      <wps:txbx>
                        <w:txbxContent>
                          <w:p w14:paraId="7E3197C0" w14:textId="2E049291" w:rsidR="00A30D4C" w:rsidRDefault="00754989">
                            <w:r>
                              <w:t>Across o</w:t>
                            </w:r>
                            <w:r w:rsidR="00A30D4C">
                              <w:t xml:space="preserve">ur </w:t>
                            </w:r>
                            <w:r w:rsidR="00DA4CAE">
                              <w:t>current</w:t>
                            </w:r>
                            <w:r w:rsidR="00A30D4C">
                              <w:t xml:space="preserve"> suit</w:t>
                            </w:r>
                            <w:r>
                              <w:t>e</w:t>
                            </w:r>
                            <w:r w:rsidR="00A30D4C">
                              <w:t xml:space="preserve"> of DA validated </w:t>
                            </w:r>
                            <w:r>
                              <w:t>courses</w:t>
                            </w:r>
                            <w:r w:rsidR="00A30D4C">
                              <w:t xml:space="preserve"> we can see inconsistency</w:t>
                            </w:r>
                            <w:r w:rsidR="00DA4CAE">
                              <w:t xml:space="preserve"> across the offer.  Some frameworks</w:t>
                            </w:r>
                            <w:r w:rsidR="00FC695B">
                              <w:t xml:space="preserve"> (KSB)</w:t>
                            </w:r>
                            <w:r w:rsidR="00DA4CAE">
                              <w:t xml:space="preserve"> have been </w:t>
                            </w:r>
                            <w:r>
                              <w:t xml:space="preserve">explicitly </w:t>
                            </w:r>
                            <w:r w:rsidR="00DA4CAE">
                              <w:t>mapped across to the module LO and others have not</w:t>
                            </w:r>
                            <w:r>
                              <w:t>.</w:t>
                            </w:r>
                            <w:r w:rsidR="00EF3F3E">
                              <w:t xml:space="preserve">  What do we map to NOS or Framework?</w:t>
                            </w:r>
                          </w:p>
                          <w:p w14:paraId="1BD397F2" w14:textId="56602DB4" w:rsidR="00446294" w:rsidRDefault="00A13499">
                            <w:r>
                              <w:t xml:space="preserve">Evidence of consultation with employers, RSP, and sector PSRBs is limited across the </w:t>
                            </w:r>
                            <w:r w:rsidR="00491944">
                              <w:t xml:space="preserve">offer </w:t>
                            </w:r>
                            <w:r w:rsidR="00DA20D4">
                              <w:t>as is the continued review of content and validity.</w:t>
                            </w:r>
                            <w:r w:rsidR="00EF3F3E">
                              <w:t xml:space="preserve">  Where should and how should this take place?</w:t>
                            </w:r>
                            <w:r w:rsidR="00A51917">
                              <w:t xml:space="preserve">  Is it made </w:t>
                            </w:r>
                            <w:r w:rsidR="00263D51">
                              <w:t>clear</w:t>
                            </w:r>
                            <w:r w:rsidR="00A51917">
                              <w:t xml:space="preserve"> where this has happened in the validation?</w:t>
                            </w:r>
                          </w:p>
                          <w:p w14:paraId="04FCDC4F" w14:textId="4B255702" w:rsidR="00DA20D4" w:rsidRDefault="00DA20D4">
                            <w:r>
                              <w:t xml:space="preserve">Across all validated </w:t>
                            </w:r>
                            <w:r w:rsidR="00754989">
                              <w:t xml:space="preserve">courses </w:t>
                            </w:r>
                            <w:r>
                              <w:t>there is not real</w:t>
                            </w:r>
                            <w:r w:rsidR="006D52C9">
                              <w:t xml:space="preserve"> defined process of how the obligation</w:t>
                            </w:r>
                            <w:r w:rsidR="00784FD5">
                              <w:t xml:space="preserve"> to ensure OtJ </w:t>
                            </w:r>
                            <w:r w:rsidR="00A51917">
                              <w:t xml:space="preserve"> and On TJ </w:t>
                            </w:r>
                            <w:r w:rsidR="00784FD5">
                              <w:t>hours will be maintained and supported. Ther</w:t>
                            </w:r>
                            <w:r w:rsidR="00EC7EEE">
                              <w:t>e</w:t>
                            </w:r>
                            <w:r w:rsidR="00784FD5">
                              <w:t xml:space="preserve"> is no identification of the total required OtJ </w:t>
                            </w:r>
                            <w:r w:rsidR="00A965B6">
                              <w:t xml:space="preserve"> and On TJ </w:t>
                            </w:r>
                            <w:r w:rsidR="00784FD5">
                              <w:t xml:space="preserve">hours and therefore no opportunity to evidence </w:t>
                            </w:r>
                            <w:r w:rsidR="0065429B">
                              <w:t>participation</w:t>
                            </w:r>
                            <w:r w:rsidR="00954B91">
                              <w:t xml:space="preserve"> and progression through these</w:t>
                            </w:r>
                            <w:r w:rsidR="0065429B">
                              <w:t>.</w:t>
                            </w:r>
                            <w:r w:rsidR="00EF3F3E">
                              <w:t xml:space="preserve">  How should this be included in validation and are example available?</w:t>
                            </w:r>
                          </w:p>
                          <w:p w14:paraId="35BDA460" w14:textId="3610D1AD" w:rsidR="00391156" w:rsidRDefault="007555F4">
                            <w:r>
                              <w:t>T</w:t>
                            </w:r>
                            <w:r w:rsidR="00391156" w:rsidRPr="00391156">
                              <w:t>ransparency for all parties re. tripartite / progress review requirements and commitments</w:t>
                            </w:r>
                            <w:r>
                              <w:t xml:space="preserve"> is essential and </w:t>
                            </w:r>
                            <w:r w:rsidR="002519AB">
                              <w:t>further thought around the remit of the meetings and Its impact.</w:t>
                            </w:r>
                            <w:r w:rsidR="00EF3F3E">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6CD45BC" id="_x0000_t202" coordsize="21600,21600" o:spt="202" path="m,l,21600r21600,l21600,xe">
                <v:stroke joinstyle="miter"/>
                <v:path gradientshapeok="t" o:connecttype="rect"/>
              </v:shapetype>
              <v:shape id="Text Box 2" o:spid="_x0000_s1026" type="#_x0000_t202" style="position:absolute;left:0;text-align:left;margin-left:398.05pt;margin-top:38.1pt;width:449.25pt;height:110.6pt;z-index:25165721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" fillcolor="#fae2d5 [661]">
                <v:textbox style="mso-fit-shape-to-text:t">
                  <w:txbxContent>
                    <w:p w14:paraId="7E3197C0" w14:textId="2E049291" w:rsidR="00A30D4C" w:rsidRDefault="00754989">
                      <w:r>
                        <w:t>Across o</w:t>
                      </w:r>
                      <w:r w:rsidR="00A30D4C">
                        <w:t xml:space="preserve">ur </w:t>
                      </w:r>
                      <w:r w:rsidR="00DA4CAE">
                        <w:t>current</w:t>
                      </w:r>
                      <w:r w:rsidR="00A30D4C">
                        <w:t xml:space="preserve"> suit</w:t>
                      </w:r>
                      <w:r>
                        <w:t>e</w:t>
                      </w:r>
                      <w:r w:rsidR="00A30D4C">
                        <w:t xml:space="preserve"> of DA validated </w:t>
                      </w:r>
                      <w:proofErr w:type="gramStart"/>
                      <w:r>
                        <w:t>courses</w:t>
                      </w:r>
                      <w:proofErr w:type="gramEnd"/>
                      <w:r w:rsidR="00A30D4C">
                        <w:t xml:space="preserve"> we can see inconsistency</w:t>
                      </w:r>
                      <w:r w:rsidR="00DA4CAE">
                        <w:t xml:space="preserve"> across the offer.  Some frameworks</w:t>
                      </w:r>
                      <w:r w:rsidR="00FC695B">
                        <w:t xml:space="preserve"> (KSB)</w:t>
                      </w:r>
                      <w:r w:rsidR="00DA4CAE">
                        <w:t xml:space="preserve"> have been </w:t>
                      </w:r>
                      <w:r>
                        <w:t xml:space="preserve">explicitly </w:t>
                      </w:r>
                      <w:r w:rsidR="00DA4CAE">
                        <w:t>mapped across to the module LO and others have not</w:t>
                      </w:r>
                      <w:r>
                        <w:t>.</w:t>
                      </w:r>
                      <w:r w:rsidR="00EF3F3E">
                        <w:t xml:space="preserve">  What do we map to NOS or Framework?</w:t>
                      </w:r>
                    </w:p>
                    <w:p w14:paraId="1BD397F2" w14:textId="56602DB4" w:rsidR="00446294" w:rsidRDefault="00A13499">
                      <w:r>
                        <w:t xml:space="preserve">Evidence of consultation with employers, RSP, and sector PSRBs is limited across the </w:t>
                      </w:r>
                      <w:r w:rsidR="00491944">
                        <w:t xml:space="preserve">offer </w:t>
                      </w:r>
                      <w:r w:rsidR="00DA20D4">
                        <w:t>as is the continued review of content and validity.</w:t>
                      </w:r>
                      <w:r w:rsidR="00EF3F3E">
                        <w:t xml:space="preserve">  Where should and how should this take place?</w:t>
                      </w:r>
                      <w:r w:rsidR="00A51917">
                        <w:t xml:space="preserve">  Is it made </w:t>
                      </w:r>
                      <w:r w:rsidR="00263D51">
                        <w:t>clear</w:t>
                      </w:r>
                      <w:r w:rsidR="00A51917">
                        <w:t xml:space="preserve"> where this has happened in the validation?</w:t>
                      </w:r>
                    </w:p>
                    <w:p w14:paraId="04FCDC4F" w14:textId="4B255702" w:rsidR="00DA20D4" w:rsidRDefault="00DA20D4">
                      <w:r>
                        <w:t xml:space="preserve">Across all validated </w:t>
                      </w:r>
                      <w:r w:rsidR="00754989">
                        <w:t xml:space="preserve">courses </w:t>
                      </w:r>
                      <w:r>
                        <w:t>there is not real</w:t>
                      </w:r>
                      <w:r w:rsidR="006D52C9">
                        <w:t xml:space="preserve"> defined process of how the obligation</w:t>
                      </w:r>
                      <w:r w:rsidR="00784FD5">
                        <w:t xml:space="preserve"> to ensure </w:t>
                      </w:r>
                      <w:proofErr w:type="gramStart"/>
                      <w:r w:rsidR="00784FD5">
                        <w:t xml:space="preserve">OtJ </w:t>
                      </w:r>
                      <w:r w:rsidR="00A51917">
                        <w:t xml:space="preserve"> and</w:t>
                      </w:r>
                      <w:proofErr w:type="gramEnd"/>
                      <w:r w:rsidR="00A51917">
                        <w:t xml:space="preserve"> On TJ </w:t>
                      </w:r>
                      <w:r w:rsidR="00784FD5">
                        <w:t>hours will be maintained and supported. Ther</w:t>
                      </w:r>
                      <w:r w:rsidR="00EC7EEE">
                        <w:t>e</w:t>
                      </w:r>
                      <w:r w:rsidR="00784FD5">
                        <w:t xml:space="preserve"> is no identification of the total required </w:t>
                      </w:r>
                      <w:proofErr w:type="gramStart"/>
                      <w:r w:rsidR="00784FD5">
                        <w:t xml:space="preserve">OtJ </w:t>
                      </w:r>
                      <w:r w:rsidR="00A965B6">
                        <w:t xml:space="preserve"> and</w:t>
                      </w:r>
                      <w:proofErr w:type="gramEnd"/>
                      <w:r w:rsidR="00A965B6">
                        <w:t xml:space="preserve"> On TJ </w:t>
                      </w:r>
                      <w:r w:rsidR="00784FD5">
                        <w:t xml:space="preserve">hours and therefore no opportunity to evidence </w:t>
                      </w:r>
                      <w:r w:rsidR="0065429B">
                        <w:t>participation</w:t>
                      </w:r>
                      <w:r w:rsidR="00954B91">
                        <w:t xml:space="preserve"> and progression through these</w:t>
                      </w:r>
                      <w:r w:rsidR="0065429B">
                        <w:t>.</w:t>
                      </w:r>
                      <w:r w:rsidR="00EF3F3E">
                        <w:t xml:space="preserve">  How should this be included in validation and are example available?</w:t>
                      </w:r>
                    </w:p>
                    <w:p w14:paraId="35BDA460" w14:textId="3610D1AD" w:rsidR="00391156" w:rsidRDefault="007555F4">
                      <w:r>
                        <w:t>T</w:t>
                      </w:r>
                      <w:r w:rsidR="00391156" w:rsidRPr="00391156">
                        <w:t>ransparency for all parties re. tripartite / progress review requirements and commitments</w:t>
                      </w:r>
                      <w:r>
                        <w:t xml:space="preserve"> is essential and </w:t>
                      </w:r>
                      <w:r w:rsidR="002519AB">
                        <w:t>further thought around the remit of the meetings and Its impact.</w:t>
                      </w:r>
                      <w:r w:rsidR="00EF3F3E">
                        <w:t xml:space="preserve">  </w:t>
                      </w:r>
                    </w:p>
                  </w:txbxContent>
                </v:textbox>
                <w10:wrap type="topAndBottom" anchorx="margin"/>
              </v:shape>
            </w:pict>
          </mc:Fallback>
        </mc:AlternateContent>
      </w:r>
      <w:r w:rsidR="00E73771">
        <w:t>T</w:t>
      </w:r>
      <w:r w:rsidR="00E73771" w:rsidRPr="00E73771">
        <w:t>here are clear processes for the monitoring, evaluation and enhancement of the programmes offered, including any requirements linked to an associated PSRB.</w:t>
      </w:r>
    </w:p>
    <w:p w14:paraId="3518B752" w14:textId="4639B824" w:rsidR="00754989" w:rsidRDefault="00754989" w:rsidP="00754989">
      <w:r>
        <w:t>The list below provides a basic check point for inclusion in the validation paperwork but is not exhaustive…</w:t>
      </w:r>
    </w:p>
    <w:p w14:paraId="6F57DF37" w14:textId="77777777" w:rsidR="00754989" w:rsidRDefault="00754989" w:rsidP="00754989">
      <w:pPr>
        <w:pStyle w:val="ListParagraph"/>
        <w:numPr>
          <w:ilvl w:val="0"/>
          <w:numId w:val="11"/>
        </w:numPr>
      </w:pPr>
      <w:r>
        <w:t xml:space="preserve">Is there confirmation that the KSBs of the apprenticeship framework </w:t>
      </w:r>
      <w:r w:rsidRPr="00E63A6C">
        <w:t xml:space="preserve">and requirements of the PSRB </w:t>
      </w:r>
      <w:r>
        <w:t xml:space="preserve">can be achieved within the workplace or taught elements of the apprenticeship.  </w:t>
      </w:r>
    </w:p>
    <w:p w14:paraId="103D883A" w14:textId="2314D771" w:rsidR="00754989" w:rsidRDefault="00754989" w:rsidP="00754989">
      <w:pPr>
        <w:pStyle w:val="ListParagraph"/>
        <w:numPr>
          <w:ilvl w:val="0"/>
          <w:numId w:val="11"/>
        </w:numPr>
      </w:pPr>
      <w:r>
        <w:t>How are KSBs aligned to the Module learning outcomes?</w:t>
      </w:r>
    </w:p>
    <w:p w14:paraId="239FDED5" w14:textId="77777777" w:rsidR="00754989" w:rsidRDefault="00754989" w:rsidP="00754989">
      <w:pPr>
        <w:pStyle w:val="ListParagraph"/>
        <w:numPr>
          <w:ilvl w:val="0"/>
          <w:numId w:val="11"/>
        </w:numPr>
      </w:pPr>
      <w:r>
        <w:t>What is the evidence of collaboration between employers and Education, Training provider (ETP) when designing the Apprenticeship program?</w:t>
      </w:r>
    </w:p>
    <w:p w14:paraId="473448FA" w14:textId="77777777" w:rsidR="00754989" w:rsidRDefault="00754989" w:rsidP="00754989">
      <w:pPr>
        <w:pStyle w:val="ListParagraph"/>
        <w:numPr>
          <w:ilvl w:val="0"/>
          <w:numId w:val="11"/>
        </w:numPr>
      </w:pPr>
      <w:r>
        <w:t>Consider t</w:t>
      </w:r>
      <w:r w:rsidRPr="000E54D0">
        <w:t>he minimum length of time that an apprenticeship should take in order for apprentices to have an appropriate experience</w:t>
      </w:r>
      <w:r>
        <w:t>.</w:t>
      </w:r>
    </w:p>
    <w:p w14:paraId="4AA74D4C" w14:textId="014894DD" w:rsidR="00F05E21" w:rsidRDefault="00F05E21" w:rsidP="00754989">
      <w:pPr>
        <w:pStyle w:val="ListParagraph"/>
        <w:numPr>
          <w:ilvl w:val="0"/>
          <w:numId w:val="11"/>
        </w:numPr>
      </w:pPr>
      <w:r>
        <w:t>Management of tripartite review process.</w:t>
      </w:r>
    </w:p>
    <w:p w14:paraId="1815C6AC" w14:textId="77777777" w:rsidR="00E73771" w:rsidRPr="00A72D22" w:rsidRDefault="00E73771" w:rsidP="00A72D22"/>
    <w:p w14:paraId="6255DAE9" w14:textId="477FFC26" w:rsidR="00933A47" w:rsidRDefault="00933A47" w:rsidP="00933A47">
      <w:pPr>
        <w:pStyle w:val="Heading2"/>
      </w:pPr>
      <w:bookmarkStart w:id="3" w:name="_Toc192492097"/>
      <w:r>
        <w:t>Quality Assuring and Enhancing Higher Education Apprenticeships</w:t>
      </w:r>
      <w:bookmarkEnd w:id="3"/>
    </w:p>
    <w:p w14:paraId="16DAD8EB" w14:textId="05D413DC" w:rsidR="002E78EA" w:rsidRDefault="002E78EA" w:rsidP="00D12723">
      <w:r>
        <w:t>Apprenticeship provision sits within the Quality Assurance Agency’s Characteristics Statement</w:t>
      </w:r>
      <w:r w:rsidR="00B838F2">
        <w:t xml:space="preserve"> for </w:t>
      </w:r>
      <w:r w:rsidR="00B838F2" w:rsidRPr="00B838F2">
        <w:t>Higher Education in Apprenticeships</w:t>
      </w:r>
      <w:r w:rsidR="00B838F2">
        <w:t xml:space="preserve"> (June 2022)</w:t>
      </w:r>
      <w:r>
        <w:t xml:space="preserve">. </w:t>
      </w:r>
      <w:hyperlink r:id="rId17" w:history="1">
        <w:r w:rsidRPr="002E78EA">
          <w:rPr>
            <w:rStyle w:val="Hyperlink"/>
          </w:rPr>
          <w:t>Section 1.4</w:t>
        </w:r>
      </w:hyperlink>
      <w:r>
        <w:t xml:space="preserve"> </w:t>
      </w:r>
      <w:r w:rsidR="00AB4442">
        <w:t xml:space="preserve">of that Statement </w:t>
      </w:r>
      <w:r>
        <w:t>outlines the characteristics of HE in apprenticeships, and</w:t>
      </w:r>
      <w:r w:rsidR="00C84A93">
        <w:t xml:space="preserve"> </w:t>
      </w:r>
      <w:r w:rsidR="00AB4442">
        <w:t>the Statement goes on to</w:t>
      </w:r>
      <w:r w:rsidR="00C84A93">
        <w:t xml:space="preserve"> detail the distinctive features of degree apprenticeship provision</w:t>
      </w:r>
      <w:r w:rsidR="00AB4442">
        <w:t xml:space="preserve"> that</w:t>
      </w:r>
      <w:r w:rsidR="00C84A93">
        <w:t xml:space="preserve"> should be taken in to account during course design and development, including</w:t>
      </w:r>
      <w:r w:rsidR="00AB4442">
        <w:t>:</w:t>
      </w:r>
      <w:r w:rsidR="00C84A93">
        <w:t xml:space="preserve"> effectively integrated on- and off-the-job learning, ‘</w:t>
      </w:r>
      <w:r w:rsidR="00C84A93" w:rsidRPr="00C84A93">
        <w:t>as well as carefully planned work-based learning and assessments that reflect authentic work practices and real-world expectations</w:t>
      </w:r>
      <w:r w:rsidR="00C84A93">
        <w:t>’.</w:t>
      </w:r>
    </w:p>
    <w:p w14:paraId="711274F2" w14:textId="5BB59F86" w:rsidR="005A13CC" w:rsidRDefault="00171514" w:rsidP="00171514">
      <w:r>
        <w:t xml:space="preserve">Furthermore, </w:t>
      </w:r>
      <w:r w:rsidR="007317BD">
        <w:t>UWTSD</w:t>
      </w:r>
      <w:r>
        <w:t xml:space="preserve">’s apprenticeship provision is subject to the same Quality Assurance mechanisms as its non-apprenticeship provision. Mechanisms such as (re)validation, modification, External Examiners and Continuous Monitoring are therefore required for apprenticeship provision and can operate simultaneously alongside non-apprenticeship provision, as appropriate. </w:t>
      </w:r>
      <w:r w:rsidR="00F51E72">
        <w:t xml:space="preserve"> </w:t>
      </w:r>
      <w:r w:rsidR="007317BD">
        <w:t>UWTSD</w:t>
      </w:r>
      <w:r w:rsidR="00F51E72">
        <w:t>’s</w:t>
      </w:r>
      <w:r w:rsidR="005A13CC" w:rsidRPr="005A13CC">
        <w:t xml:space="preserve"> regulatory context</w:t>
      </w:r>
      <w:r w:rsidR="00F51E72">
        <w:t xml:space="preserve">, including </w:t>
      </w:r>
      <w:r w:rsidR="005A13CC" w:rsidRPr="005A13CC">
        <w:t>the Regulations</w:t>
      </w:r>
      <w:r w:rsidR="00F51E72">
        <w:t xml:space="preserve"> for Taught </w:t>
      </w:r>
      <w:r w:rsidR="00F51E72">
        <w:lastRenderedPageBreak/>
        <w:t>Courses</w:t>
      </w:r>
      <w:r w:rsidR="005A13CC" w:rsidRPr="005A13CC">
        <w:t xml:space="preserve">, Curriculum Design Principles, Assessment Tariff and Academic Blueprint </w:t>
      </w:r>
      <w:r w:rsidR="00F51E72">
        <w:t xml:space="preserve">will also apply in the course design and delivery of apprenticeship </w:t>
      </w:r>
      <w:r w:rsidR="005A13CC" w:rsidRPr="005A13CC">
        <w:t>provision</w:t>
      </w:r>
      <w:r w:rsidR="00F51E72">
        <w:t>.</w:t>
      </w:r>
    </w:p>
    <w:p w14:paraId="5C934ED4" w14:textId="12F7C686" w:rsidR="00BF55CB" w:rsidRDefault="00F618CB" w:rsidP="00104CDA">
      <w:r>
        <w:t xml:space="preserve">As outlined in more detail in the </w:t>
      </w:r>
      <w:r w:rsidR="007063E8">
        <w:t xml:space="preserve">Apprentice Experience </w:t>
      </w:r>
      <w:r>
        <w:t xml:space="preserve">section below, there is also the expectation that appropriate Apprentice Voice mechanisms will be implemented, which may need to sit outside </w:t>
      </w:r>
      <w:r w:rsidR="007317BD">
        <w:t>UWTSD</w:t>
      </w:r>
      <w:r>
        <w:t xml:space="preserve">’s SSCLG structures, for example, but that equivalent mechanisms will be established to ensure that the Apprentice Voice is captured – and responded to – in a proportionate and meaningful way. </w:t>
      </w:r>
    </w:p>
    <w:p w14:paraId="616605AD" w14:textId="6A09C624" w:rsidR="00752FEB" w:rsidRDefault="00C536D9" w:rsidP="00104CDA">
      <w:r>
        <w:t xml:space="preserve">The below points are included in the QAA tool kit </w:t>
      </w:r>
      <w:r w:rsidR="00753A5E">
        <w:t xml:space="preserve">for </w:t>
      </w:r>
      <w:r w:rsidR="00193E2D">
        <w:t>consider</w:t>
      </w:r>
      <w:r w:rsidR="00753A5E">
        <w:t>ation of</w:t>
      </w:r>
      <w:r w:rsidR="00193E2D">
        <w:t xml:space="preserve"> </w:t>
      </w:r>
      <w:r w:rsidR="004D50E5">
        <w:t>apprenticeship</w:t>
      </w:r>
      <w:r w:rsidR="00193E2D">
        <w:t xml:space="preserve"> quality assurance and enhancement process</w:t>
      </w:r>
      <w:r w:rsidR="00770E14">
        <w:t>es:</w:t>
      </w:r>
    </w:p>
    <w:p w14:paraId="70210CE2" w14:textId="77777777" w:rsidR="00C52232" w:rsidRDefault="00C52232" w:rsidP="00E95F09">
      <w:pPr>
        <w:spacing w:after="0"/>
        <w:ind w:left="720" w:hanging="720"/>
      </w:pPr>
      <w:r>
        <w:t>•</w:t>
      </w:r>
      <w:r>
        <w:tab/>
        <w:t>Any mandatory external reference points for the UK nation and how any changes to        these will be managed.</w:t>
      </w:r>
    </w:p>
    <w:p w14:paraId="3EF8331C" w14:textId="77777777" w:rsidR="00C52232" w:rsidRDefault="00C52232" w:rsidP="00E95F09">
      <w:pPr>
        <w:spacing w:after="0"/>
      </w:pPr>
      <w:r>
        <w:t>•</w:t>
      </w:r>
      <w:r>
        <w:tab/>
        <w:t>Quality assurance arrangements for any cross-border provision.</w:t>
      </w:r>
    </w:p>
    <w:p w14:paraId="52CDA07F" w14:textId="77777777" w:rsidR="00C52232" w:rsidRDefault="00C52232" w:rsidP="00E95F09">
      <w:pPr>
        <w:spacing w:after="0"/>
        <w:ind w:left="720" w:hanging="720"/>
      </w:pPr>
      <w:r>
        <w:t>•</w:t>
      </w:r>
      <w:r>
        <w:tab/>
        <w:t xml:space="preserve">Which staff members are responsible for monitoring the provision (internally) and ensuring continued compliance with the current external requirements. </w:t>
      </w:r>
    </w:p>
    <w:p w14:paraId="3593147C" w14:textId="77777777" w:rsidR="00C52232" w:rsidRDefault="00C52232" w:rsidP="00E95F09">
      <w:pPr>
        <w:spacing w:after="0"/>
        <w:ind w:left="720" w:hanging="720"/>
      </w:pPr>
      <w:r>
        <w:t>•</w:t>
      </w:r>
      <w:r>
        <w:tab/>
        <w:t>How apprenticeship programme review documents, such as a self-assessment/self-evaluation report will link to the overarching provider documents.</w:t>
      </w:r>
    </w:p>
    <w:p w14:paraId="6685A58C" w14:textId="77777777" w:rsidR="00C52232" w:rsidRDefault="00C52232" w:rsidP="00E95F09">
      <w:pPr>
        <w:spacing w:after="0"/>
        <w:ind w:left="720" w:hanging="720"/>
      </w:pPr>
      <w:r>
        <w:t>•</w:t>
      </w:r>
      <w:r>
        <w:tab/>
        <w:t>The overarching governance arrangements in place to ensure that arrangements for apprenticeship provision are cohesive, meet requirements across the training provider and enable any requests from external bodies to be met.</w:t>
      </w:r>
    </w:p>
    <w:p w14:paraId="302CD728" w14:textId="77777777" w:rsidR="00C52232" w:rsidRDefault="00C52232" w:rsidP="00E95F09">
      <w:pPr>
        <w:spacing w:after="0"/>
        <w:ind w:left="720" w:hanging="720"/>
      </w:pPr>
      <w:r>
        <w:t>•</w:t>
      </w:r>
      <w:r>
        <w:tab/>
        <w:t>How mechanisms for the review of provision will facilitate a strategic focus on enhancement.</w:t>
      </w:r>
    </w:p>
    <w:p w14:paraId="3C86C7B4" w14:textId="69559547" w:rsidR="000F65BE" w:rsidRPr="00D12723" w:rsidRDefault="00263D51" w:rsidP="00E95F09">
      <w:pPr>
        <w:spacing w:after="0"/>
        <w:ind w:left="720" w:hanging="720"/>
      </w:pPr>
      <w:r>
        <w:rPr>
          <w:noProof/>
        </w:rPr>
        <mc:AlternateContent>
          <mc:Choice Requires="wps">
            <w:drawing>
              <wp:anchor distT="45720" distB="45720" distL="114300" distR="114300" simplePos="0" relativeHeight="251661312" behindDoc="0" locked="0" layoutInCell="1" allowOverlap="1" wp14:anchorId="6DC6E114" wp14:editId="134CA860">
                <wp:simplePos x="0" y="0"/>
                <wp:positionH relativeFrom="margin">
                  <wp:align>right</wp:align>
                </wp:positionH>
                <wp:positionV relativeFrom="paragraph">
                  <wp:posOffset>528955</wp:posOffset>
                </wp:positionV>
                <wp:extent cx="5705475" cy="1404620"/>
                <wp:effectExtent l="0" t="0" r="28575" b="15240"/>
                <wp:wrapTopAndBottom/>
                <wp:docPr id="5251705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404620"/>
                        </a:xfrm>
                        <a:prstGeom prst="rect">
                          <a:avLst/>
                        </a:prstGeom>
                        <a:solidFill>
                          <a:srgbClr val="E97132">
                            <a:lumMod val="20000"/>
                            <a:lumOff val="80000"/>
                          </a:srgbClr>
                        </a:solidFill>
                        <a:ln w="9525">
                          <a:solidFill>
                            <a:srgbClr val="000000"/>
                          </a:solidFill>
                          <a:miter lim="800000"/>
                          <a:headEnd/>
                          <a:tailEnd/>
                        </a:ln>
                      </wps:spPr>
                      <wps:txbx>
                        <w:txbxContent>
                          <w:p w14:paraId="2128E252" w14:textId="1CADCA18" w:rsidR="00470A84" w:rsidRDefault="0034496C" w:rsidP="00470A84">
                            <w:r>
                              <w:t>C</w:t>
                            </w:r>
                            <w:r w:rsidR="00470A84">
                              <w:t xml:space="preserve">ontinuous monitoring for apprenticeship provision has not been included explicitly in the past.  With out this inclusion we </w:t>
                            </w:r>
                            <w:r w:rsidR="00957BC9">
                              <w:t xml:space="preserve">can never </w:t>
                            </w:r>
                            <w:r w:rsidR="00657397">
                              <w:t xml:space="preserve">recognise </w:t>
                            </w:r>
                            <w:r w:rsidR="00503717">
                              <w:t>and evaluate the full extent of the apprenticeship.</w:t>
                            </w:r>
                            <w:r>
                              <w:t xml:space="preserve"> How can we enhance meaningful engagement with continuous monitoring of apprenticeship provision?</w:t>
                            </w:r>
                          </w:p>
                          <w:p w14:paraId="6AA1915B" w14:textId="74BAFF3C" w:rsidR="00503717" w:rsidRDefault="00B47083" w:rsidP="00470A84">
                            <w:r>
                              <w:t xml:space="preserve">There is limited evidence to suggest a review </w:t>
                            </w:r>
                            <w:r w:rsidR="00C000A0">
                              <w:t xml:space="preserve">has been undertaken </w:t>
                            </w:r>
                            <w:r>
                              <w:t xml:space="preserve">of the currency of the existing content and pathways.  Whilst the </w:t>
                            </w:r>
                            <w:r w:rsidR="00BC5AB5">
                              <w:t xml:space="preserve">frameworks themselves </w:t>
                            </w:r>
                            <w:r w:rsidR="007B0698">
                              <w:t xml:space="preserve">have not been reviewed </w:t>
                            </w:r>
                            <w:r w:rsidR="00BC2AAF">
                              <w:t xml:space="preserve">in line with their own timescales they allow the flexibility </w:t>
                            </w:r>
                            <w:r w:rsidR="00954B58">
                              <w:t xml:space="preserve">for providers </w:t>
                            </w:r>
                            <w:r w:rsidR="00BC2AAF">
                              <w:t xml:space="preserve">to maintain </w:t>
                            </w:r>
                            <w:r w:rsidR="00954B58">
                              <w:t>their</w:t>
                            </w:r>
                            <w:r w:rsidR="00BC2AAF">
                              <w:t xml:space="preserve"> own curriculum.</w:t>
                            </w:r>
                            <w:r w:rsidR="0034496C">
                              <w:t xml:space="preserve"> How are course leaders enabled to robustly review their apprenticeship courses – and their currency - on a regular basis, particularly since a move to revalidation by Subject Area? </w:t>
                            </w:r>
                          </w:p>
                          <w:p w14:paraId="5C9DC2C9" w14:textId="2D62AF4D" w:rsidR="00391156" w:rsidRDefault="00391156" w:rsidP="00470A84">
                            <w:r w:rsidRPr="00391156">
                              <w:t>Tri partite reviews are offered and conducted.  Are we able to report in the individual frequency and the quality of the meetings conducted?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C6E114" id="_x0000_s1027" type="#_x0000_t202" style="position:absolute;left:0;text-align:left;margin-left:398.05pt;margin-top:41.65pt;width:449.25pt;height:110.6pt;z-index:25166131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" fillcolor="#fbe3d6">
                <v:textbox style="mso-fit-shape-to-text:t">
                  <w:txbxContent>
                    <w:p w14:paraId="2128E252" w14:textId="1CADCA18" w:rsidR="00470A84" w:rsidRDefault="0034496C" w:rsidP="00470A84">
                      <w:r>
                        <w:t>C</w:t>
                      </w:r>
                      <w:r w:rsidR="00470A84">
                        <w:t xml:space="preserve">ontinuous monitoring for apprenticeship provision has not been included explicitly in the past.  With out this inclusion we </w:t>
                      </w:r>
                      <w:r w:rsidR="00957BC9">
                        <w:t xml:space="preserve">can never </w:t>
                      </w:r>
                      <w:r w:rsidR="00657397">
                        <w:t xml:space="preserve">recognise </w:t>
                      </w:r>
                      <w:r w:rsidR="00503717">
                        <w:t>and evaluate the full extent of the apprenticeship.</w:t>
                      </w:r>
                      <w:r>
                        <w:t xml:space="preserve"> How can we enhance meaningful engagement with continuous monitoring of apprenticeship provision?</w:t>
                      </w:r>
                    </w:p>
                    <w:p w14:paraId="6AA1915B" w14:textId="74BAFF3C" w:rsidR="00503717" w:rsidRDefault="00B47083" w:rsidP="00470A84">
                      <w:r>
                        <w:t xml:space="preserve">There is limited evidence to suggest a review </w:t>
                      </w:r>
                      <w:r w:rsidR="00C000A0">
                        <w:t xml:space="preserve">has been undertaken </w:t>
                      </w:r>
                      <w:r>
                        <w:t xml:space="preserve">of the currency of the existing content and pathways.  Whilst the </w:t>
                      </w:r>
                      <w:r w:rsidR="00BC5AB5">
                        <w:t xml:space="preserve">frameworks themselves </w:t>
                      </w:r>
                      <w:r w:rsidR="007B0698">
                        <w:t xml:space="preserve">have not been reviewed </w:t>
                      </w:r>
                      <w:r w:rsidR="00BC2AAF">
                        <w:t xml:space="preserve">in line with their own timescales they allow the flexibility </w:t>
                      </w:r>
                      <w:r w:rsidR="00954B58">
                        <w:t xml:space="preserve">for providers </w:t>
                      </w:r>
                      <w:r w:rsidR="00BC2AAF">
                        <w:t xml:space="preserve">to maintain </w:t>
                      </w:r>
                      <w:r w:rsidR="00954B58">
                        <w:t>their</w:t>
                      </w:r>
                      <w:r w:rsidR="00BC2AAF">
                        <w:t xml:space="preserve"> own curriculum.</w:t>
                      </w:r>
                      <w:r w:rsidR="0034496C">
                        <w:t xml:space="preserve"> How are course leaders enabled to robustly review their apprenticeship courses – and their currency - on a regular basis, particularly since a move to revalidation by Subject Area? </w:t>
                      </w:r>
                    </w:p>
                    <w:p w14:paraId="5C9DC2C9" w14:textId="2D62AF4D" w:rsidR="00391156" w:rsidRDefault="00391156" w:rsidP="00470A84">
                      <w:r w:rsidRPr="00391156">
                        <w:t>Tri partite reviews are offered and conducted.  Are we able to report in the individual frequency and the quality of the meetings conducted?</w:t>
                      </w:r>
                    </w:p>
                  </w:txbxContent>
                </v:textbox>
                <w10:wrap type="topAndBottom" anchorx="margin"/>
              </v:shape>
            </w:pict>
          </mc:Fallback>
        </mc:AlternateContent>
      </w:r>
      <w:r w:rsidR="00C52232">
        <w:t>•</w:t>
      </w:r>
      <w:r w:rsidR="00C52232">
        <w:tab/>
        <w:t>How oversight of the provision will be communicated, both internally and to external</w:t>
      </w:r>
      <w:r>
        <w:t xml:space="preserve"> </w:t>
      </w:r>
      <w:r w:rsidR="00C52232">
        <w:t>stakeholders.</w:t>
      </w:r>
    </w:p>
    <w:p w14:paraId="1F21D979" w14:textId="77777777" w:rsidR="00BB7250" w:rsidRDefault="00BB7250" w:rsidP="00933A47">
      <w:pPr>
        <w:pStyle w:val="Heading2"/>
      </w:pPr>
    </w:p>
    <w:p w14:paraId="56BC3EB9" w14:textId="5024641F" w:rsidR="00933A47" w:rsidRDefault="00933A47" w:rsidP="00933A47">
      <w:pPr>
        <w:pStyle w:val="Heading2"/>
      </w:pPr>
      <w:bookmarkStart w:id="4" w:name="_Toc192492098"/>
      <w:r>
        <w:t>Supporting the Apprentice’s Journey</w:t>
      </w:r>
      <w:bookmarkEnd w:id="4"/>
    </w:p>
    <w:p w14:paraId="4540F6DE" w14:textId="476BDF82" w:rsidR="007063E8" w:rsidRDefault="007063E8" w:rsidP="007063E8">
      <w:r>
        <w:t xml:space="preserve">Course design </w:t>
      </w:r>
      <w:r w:rsidR="00DD3A7C">
        <w:t>is</w:t>
      </w:r>
      <w:r>
        <w:t xml:space="preserve"> impactful here, in ensuring the creation of a cohort identity and </w:t>
      </w:r>
      <w:r w:rsidR="00AB4442">
        <w:t xml:space="preserve">a </w:t>
      </w:r>
      <w:r>
        <w:t xml:space="preserve">community of practice for apprentices. Course design and delivery should therefore fully take in to account </w:t>
      </w:r>
      <w:r>
        <w:lastRenderedPageBreak/>
        <w:t xml:space="preserve">the needs of an apprentice cohort, whilst also considering the ways in which inter-disciplinary activities might consolidate learning for all groups of learners. </w:t>
      </w:r>
    </w:p>
    <w:p w14:paraId="7E54071C" w14:textId="1F31F8F8" w:rsidR="007E7914" w:rsidRDefault="007E7914" w:rsidP="007063E8">
      <w:r w:rsidRPr="007A693A">
        <w:t xml:space="preserve">To </w:t>
      </w:r>
      <w:r w:rsidR="007A693A" w:rsidRPr="007A693A">
        <w:t xml:space="preserve">support retention and achievement on apprenticeship courses, </w:t>
      </w:r>
      <w:r w:rsidRPr="007A693A">
        <w:t xml:space="preserve"> there are a number of considerations </w:t>
      </w:r>
      <w:r w:rsidR="007A693A" w:rsidRPr="007A693A">
        <w:t>including</w:t>
      </w:r>
      <w:r w:rsidR="00AA298A" w:rsidRPr="007A693A">
        <w:t xml:space="preserve"> assessment</w:t>
      </w:r>
      <w:r w:rsidR="00913632" w:rsidRPr="007A693A">
        <w:t xml:space="preserve"> methodology</w:t>
      </w:r>
      <w:r w:rsidR="007A693A" w:rsidRPr="007A693A">
        <w:t>,</w:t>
      </w:r>
      <w:r w:rsidR="0026133A" w:rsidRPr="007A693A">
        <w:t xml:space="preserve"> clarity of information made available to</w:t>
      </w:r>
      <w:r w:rsidR="007A693A" w:rsidRPr="007A693A">
        <w:t xml:space="preserve"> both</w:t>
      </w:r>
      <w:r w:rsidR="0026133A" w:rsidRPr="007A693A">
        <w:t xml:space="preserve"> the </w:t>
      </w:r>
      <w:r w:rsidR="007A693A" w:rsidRPr="007A693A">
        <w:t>apprentice and the employer, and the support provided by both the provider and the employer</w:t>
      </w:r>
      <w:r w:rsidR="003D6F39" w:rsidRPr="007A693A">
        <w:t>.</w:t>
      </w:r>
      <w:r w:rsidR="003D6F39">
        <w:t xml:space="preserve">  </w:t>
      </w:r>
    </w:p>
    <w:p w14:paraId="011B6F30" w14:textId="1FE4ED77" w:rsidR="00B51B98" w:rsidRDefault="00B51B98" w:rsidP="00B51B98">
      <w:r>
        <w:t xml:space="preserve">Assessment in higher education apprenticeships should be authentic and informed by real work activity. There should be evidence of the impact of learning for the apprentice and the workplace. </w:t>
      </w:r>
      <w:r w:rsidR="009E5384">
        <w:t xml:space="preserve"> (QAA apprenticeship toolkit 2024).</w:t>
      </w:r>
    </w:p>
    <w:p w14:paraId="2951790F" w14:textId="338A74A2" w:rsidR="009D770C" w:rsidRDefault="009D770C" w:rsidP="009D770C">
      <w:r>
        <w:t>In addition to the normal induction processes and support</w:t>
      </w:r>
      <w:r w:rsidR="00F25DF7">
        <w:t xml:space="preserve"> mechanisms</w:t>
      </w:r>
      <w:r w:rsidR="00A65D54">
        <w:t>,</w:t>
      </w:r>
      <w:r>
        <w:t xml:space="preserve"> the apprentice and employer</w:t>
      </w:r>
      <w:r w:rsidR="00A65D54">
        <w:t xml:space="preserve"> -</w:t>
      </w:r>
      <w:r>
        <w:t xml:space="preserve"> as part of the apprenticeship agreement </w:t>
      </w:r>
      <w:r w:rsidR="00A65D54">
        <w:t xml:space="preserve">- </w:t>
      </w:r>
      <w:r>
        <w:t xml:space="preserve">must receive a copy of the training plan.  The training plan serves </w:t>
      </w:r>
      <w:r w:rsidR="00A65D54">
        <w:t>to</w:t>
      </w:r>
      <w:r>
        <w:t xml:space="preserve"> provid</w:t>
      </w:r>
      <w:r w:rsidR="00A65D54">
        <w:t>e</w:t>
      </w:r>
      <w:r>
        <w:t xml:space="preserve"> the tripartite clarity of assessment schedules and methods, it provides detail of milestones in the apprenticeship,</w:t>
      </w:r>
      <w:r w:rsidR="00A65D54">
        <w:t xml:space="preserve"> and</w:t>
      </w:r>
      <w:r>
        <w:t xml:space="preserve"> it outlines the links between work based experience and the requirements of the framework, expectations of the employer and training provider including schedules of training and where these will be delivered.  The importance of planning and mapping is clear and will support progress monitoring and in turn retention and satisfaction.</w:t>
      </w:r>
    </w:p>
    <w:p w14:paraId="776A82CA" w14:textId="47FDEF58" w:rsidR="007063E8" w:rsidRPr="007063E8" w:rsidRDefault="00391156" w:rsidP="007063E8">
      <w:r>
        <w:rPr>
          <w:noProof/>
        </w:rPr>
        <mc:AlternateContent>
          <mc:Choice Requires="wps">
            <w:drawing>
              <wp:anchor distT="45720" distB="45720" distL="114300" distR="114300" simplePos="0" relativeHeight="251658240" behindDoc="0" locked="0" layoutInCell="1" allowOverlap="1" wp14:anchorId="73D3EEA3" wp14:editId="66BA56D0">
                <wp:simplePos x="0" y="0"/>
                <wp:positionH relativeFrom="margin">
                  <wp:posOffset>0</wp:posOffset>
                </wp:positionH>
                <wp:positionV relativeFrom="paragraph">
                  <wp:posOffset>327660</wp:posOffset>
                </wp:positionV>
                <wp:extent cx="5705475" cy="1404620"/>
                <wp:effectExtent l="0" t="0" r="28575" b="27940"/>
                <wp:wrapTopAndBottom/>
                <wp:docPr id="18658269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404620"/>
                        </a:xfrm>
                        <a:prstGeom prst="rect">
                          <a:avLst/>
                        </a:prstGeom>
                        <a:solidFill>
                          <a:srgbClr val="E97132">
                            <a:lumMod val="20000"/>
                            <a:lumOff val="80000"/>
                          </a:srgbClr>
                        </a:solidFill>
                        <a:ln w="9525">
                          <a:solidFill>
                            <a:srgbClr val="000000"/>
                          </a:solidFill>
                          <a:miter lim="800000"/>
                          <a:headEnd/>
                          <a:tailEnd/>
                        </a:ln>
                      </wps:spPr>
                      <wps:txbx>
                        <w:txbxContent>
                          <w:p w14:paraId="420A9325" w14:textId="77777777" w:rsidR="00C87FE9" w:rsidRDefault="00C87FE9" w:rsidP="00391156">
                            <w:r>
                              <w:t>Considerations for course design:</w:t>
                            </w:r>
                          </w:p>
                          <w:p w14:paraId="42CABF5A" w14:textId="522ECBDE" w:rsidR="00391156" w:rsidRDefault="00F80A07" w:rsidP="00391156">
                            <w:r>
                              <w:t xml:space="preserve">Are </w:t>
                            </w:r>
                            <w:r w:rsidR="00391156">
                              <w:t xml:space="preserve">module/course leads </w:t>
                            </w:r>
                            <w:r w:rsidR="003B4473">
                              <w:t xml:space="preserve">trained and able </w:t>
                            </w:r>
                            <w:r w:rsidR="00391156">
                              <w:t>to understand the competing demands experienced by apprentices</w:t>
                            </w:r>
                            <w:r w:rsidR="007E597A">
                              <w:t>?</w:t>
                            </w:r>
                          </w:p>
                          <w:p w14:paraId="18BA5FF5" w14:textId="684FD29F" w:rsidR="00B414D4" w:rsidRDefault="003D6F39" w:rsidP="00391156">
                            <w:r>
                              <w:t>What are the mechanisms to</w:t>
                            </w:r>
                            <w:r w:rsidR="00391156">
                              <w:t xml:space="preserve"> shar</w:t>
                            </w:r>
                            <w:r w:rsidR="00F80A07">
                              <w:t xml:space="preserve">e </w:t>
                            </w:r>
                            <w:r w:rsidR="00391156">
                              <w:t>good practice around retention across courses and Faculties</w:t>
                            </w:r>
                            <w:r w:rsidR="007E597A">
                              <w:t>?</w:t>
                            </w:r>
                            <w:r w:rsidR="003B4473">
                              <w:t xml:space="preserve">  </w:t>
                            </w:r>
                          </w:p>
                          <w:p w14:paraId="109C446F" w14:textId="77777777" w:rsidR="00B414D4" w:rsidRDefault="003B4473" w:rsidP="00391156">
                            <w:r>
                              <w:t>How do we recognise p</w:t>
                            </w:r>
                            <w:r w:rsidR="00391156">
                              <w:t>ractices around retention to be tracked via the relevant QIP</w:t>
                            </w:r>
                            <w:r w:rsidR="00022739">
                              <w:t xml:space="preserve">?  </w:t>
                            </w:r>
                          </w:p>
                          <w:p w14:paraId="75084F67" w14:textId="595008D5" w:rsidR="00391156" w:rsidRDefault="00022739" w:rsidP="00391156">
                            <w:r>
                              <w:t>When and how do we m</w:t>
                            </w:r>
                            <w:r w:rsidR="00391156">
                              <w:t>onito</w:t>
                            </w:r>
                            <w:r>
                              <w:t xml:space="preserve">r </w:t>
                            </w:r>
                            <w:r w:rsidR="00391156">
                              <w:t>patterns in withdrawal points, particularly those that might indicate curriculum design issues</w:t>
                            </w:r>
                            <w:r w:rsidR="00B05A88">
                              <w:t>?</w:t>
                            </w:r>
                          </w:p>
                          <w:p w14:paraId="555A553A" w14:textId="6E6FC2DF" w:rsidR="00391156" w:rsidRDefault="00391156" w:rsidP="00391156">
                            <w:r>
                              <w:t xml:space="preserve">Ensure review documents </w:t>
                            </w:r>
                            <w:r w:rsidR="00E6469B">
                              <w:t xml:space="preserve">are of high quality </w:t>
                            </w:r>
                            <w:r w:rsidR="008333FB">
                              <w:t xml:space="preserve">and support the delivery of the </w:t>
                            </w:r>
                            <w:r w:rsidR="00022739">
                              <w:t>workplace</w:t>
                            </w:r>
                            <w:r w:rsidR="008333FB">
                              <w:t xml:space="preserve"> learning and reference the apprenticeship framework and pathway.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D3EEA3" id="_x0000_s1028" type="#_x0000_t202" style="position:absolute;margin-left:0;margin-top:25.8pt;width:449.25pt;height:110.6pt;z-index:2516582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" fillcolor="#fbe3d6">
                <v:textbox style="mso-fit-shape-to-text:t">
                  <w:txbxContent>
                    <w:p w14:paraId="420A9325" w14:textId="77777777" w:rsidR="00C87FE9" w:rsidRDefault="00C87FE9" w:rsidP="00391156">
                      <w:r>
                        <w:t>Considerations for course design:</w:t>
                      </w:r>
                    </w:p>
                    <w:p w14:paraId="42CABF5A" w14:textId="522ECBDE" w:rsidR="00391156" w:rsidRDefault="00F80A07" w:rsidP="00391156">
                      <w:r>
                        <w:t xml:space="preserve">Are </w:t>
                      </w:r>
                      <w:r w:rsidR="00391156">
                        <w:t xml:space="preserve">module/course leads </w:t>
                      </w:r>
                      <w:r w:rsidR="003B4473">
                        <w:t xml:space="preserve">trained and able </w:t>
                      </w:r>
                      <w:r w:rsidR="00391156">
                        <w:t>to understand the competing demands experienced by apprentices</w:t>
                      </w:r>
                      <w:r w:rsidR="007E597A">
                        <w:t>?</w:t>
                      </w:r>
                    </w:p>
                    <w:p w14:paraId="18BA5FF5" w14:textId="684FD29F" w:rsidR="00B414D4" w:rsidRDefault="003D6F39" w:rsidP="00391156">
                      <w:r>
                        <w:t>What are the mechanisms to</w:t>
                      </w:r>
                      <w:r w:rsidR="00391156">
                        <w:t xml:space="preserve"> shar</w:t>
                      </w:r>
                      <w:r w:rsidR="00F80A07">
                        <w:t xml:space="preserve">e </w:t>
                      </w:r>
                      <w:r w:rsidR="00391156">
                        <w:t>good practice around retention across courses and Faculties</w:t>
                      </w:r>
                      <w:r w:rsidR="007E597A">
                        <w:t>?</w:t>
                      </w:r>
                      <w:r w:rsidR="003B4473">
                        <w:t xml:space="preserve">  </w:t>
                      </w:r>
                    </w:p>
                    <w:p w14:paraId="109C446F" w14:textId="77777777" w:rsidR="00B414D4" w:rsidRDefault="003B4473" w:rsidP="00391156">
                      <w:r>
                        <w:t>How do we recognise p</w:t>
                      </w:r>
                      <w:r w:rsidR="00391156">
                        <w:t>ractices around retention to be tracked via the relevant QIP</w:t>
                      </w:r>
                      <w:r w:rsidR="00022739">
                        <w:t xml:space="preserve">?  </w:t>
                      </w:r>
                    </w:p>
                    <w:p w14:paraId="75084F67" w14:textId="595008D5" w:rsidR="00391156" w:rsidRDefault="00022739" w:rsidP="00391156">
                      <w:r>
                        <w:t>When and how do we m</w:t>
                      </w:r>
                      <w:r w:rsidR="00391156">
                        <w:t>onito</w:t>
                      </w:r>
                      <w:r>
                        <w:t xml:space="preserve">r </w:t>
                      </w:r>
                      <w:r w:rsidR="00391156">
                        <w:t>patterns in withdrawal points, particularly those that might indicate curriculum design issues</w:t>
                      </w:r>
                      <w:r w:rsidR="00B05A88">
                        <w:t>?</w:t>
                      </w:r>
                    </w:p>
                    <w:p w14:paraId="555A553A" w14:textId="6E6FC2DF" w:rsidR="00391156" w:rsidRDefault="00391156" w:rsidP="00391156">
                      <w:r>
                        <w:t xml:space="preserve">Ensure review documents </w:t>
                      </w:r>
                      <w:r w:rsidR="00E6469B">
                        <w:t xml:space="preserve">are of high quality </w:t>
                      </w:r>
                      <w:r w:rsidR="008333FB">
                        <w:t xml:space="preserve">and support the delivery of the </w:t>
                      </w:r>
                      <w:r w:rsidR="00022739">
                        <w:t>workplace</w:t>
                      </w:r>
                      <w:r w:rsidR="008333FB">
                        <w:t xml:space="preserve"> learning and reference the apprenticeship framework and pathway.</w:t>
                      </w:r>
                    </w:p>
                  </w:txbxContent>
                </v:textbox>
                <w10:wrap type="topAndBottom" anchorx="margin"/>
              </v:shape>
            </w:pict>
          </mc:Fallback>
        </mc:AlternateContent>
      </w:r>
    </w:p>
    <w:p w14:paraId="477F78D4" w14:textId="77777777" w:rsidR="00165672" w:rsidRDefault="00165672" w:rsidP="00A72D22">
      <w:pPr>
        <w:pStyle w:val="Heading2"/>
      </w:pPr>
    </w:p>
    <w:p w14:paraId="53E25511" w14:textId="2E2473E9" w:rsidR="00933A47" w:rsidRDefault="00933A47" w:rsidP="00A72D22">
      <w:pPr>
        <w:pStyle w:val="Heading2"/>
      </w:pPr>
      <w:bookmarkStart w:id="5" w:name="_Toc192492099"/>
      <w:r>
        <w:t>Complaints and Appeals</w:t>
      </w:r>
      <w:bookmarkEnd w:id="5"/>
    </w:p>
    <w:p w14:paraId="6BBFDB76" w14:textId="61A937E0" w:rsidR="00FC6B10" w:rsidRPr="00FC6B10" w:rsidRDefault="00FC6B10" w:rsidP="00FC6B10">
      <w:r>
        <w:t>In Wales complaints and appeals follow the traditional undergraduate process.  Apprentices have the s</w:t>
      </w:r>
      <w:r w:rsidR="00C242B4">
        <w:t xml:space="preserve">ame opportunities and support.  MEDR </w:t>
      </w:r>
      <w:r w:rsidR="00755750">
        <w:t>remains the regulatory body and will become involved as a result of an</w:t>
      </w:r>
      <w:r w:rsidR="00212B42">
        <w:t xml:space="preserve">y </w:t>
      </w:r>
      <w:r w:rsidR="00755750">
        <w:t xml:space="preserve">referral.  This is understood and accepted across the </w:t>
      </w:r>
      <w:r w:rsidR="00D9609C">
        <w:t>University</w:t>
      </w:r>
      <w:r w:rsidR="00755750">
        <w:t xml:space="preserve">.  </w:t>
      </w:r>
    </w:p>
    <w:p w14:paraId="5526A04D" w14:textId="21A0DC38" w:rsidR="00933A47" w:rsidRDefault="00A72D22" w:rsidP="00A72D22">
      <w:pPr>
        <w:pStyle w:val="Heading2"/>
      </w:pPr>
      <w:bookmarkStart w:id="6" w:name="_Toc192492100"/>
      <w:r w:rsidRPr="00A72D22">
        <w:t>Learning and Teaching</w:t>
      </w:r>
      <w:bookmarkEnd w:id="6"/>
    </w:p>
    <w:p w14:paraId="6E8EAD38" w14:textId="4243331E" w:rsidR="003C2A2A" w:rsidRDefault="0013462A" w:rsidP="00230834">
      <w:r>
        <w:t xml:space="preserve">The key in this area is recognising the difference between an apprentice and a traditional ungraduate learner.  </w:t>
      </w:r>
      <w:r w:rsidR="0075251A">
        <w:t>Consideration must be given, therefore, to h</w:t>
      </w:r>
      <w:r w:rsidR="00E11A53">
        <w:t>ow the apprenticeship</w:t>
      </w:r>
      <w:r w:rsidR="0075251A">
        <w:t>’s</w:t>
      </w:r>
      <w:r w:rsidR="00E11A53">
        <w:t xml:space="preserve"> </w:t>
      </w:r>
      <w:r w:rsidR="00E11A53">
        <w:lastRenderedPageBreak/>
        <w:t>training and assessment</w:t>
      </w:r>
      <w:r w:rsidR="003C16DB" w:rsidRPr="003C16DB">
        <w:t xml:space="preserve"> </w:t>
      </w:r>
      <w:r w:rsidR="003C16DB">
        <w:t>is recognised and is monitored</w:t>
      </w:r>
      <w:r w:rsidR="00E11A53">
        <w:t xml:space="preserve">, </w:t>
      </w:r>
      <w:r w:rsidR="003C16DB">
        <w:t>whilst remaining in line with current</w:t>
      </w:r>
      <w:r w:rsidR="00E11A53">
        <w:t xml:space="preserve"> policy and guidance .  </w:t>
      </w:r>
    </w:p>
    <w:p w14:paraId="67105B9E" w14:textId="55D1D96A" w:rsidR="00CF053A" w:rsidRDefault="00230834" w:rsidP="00230834">
      <w:r>
        <w:t xml:space="preserve">“The integration of on and off-the-job learning and training is fundamental for delivery of a high-quality apprenticeship. This integration, and the focus on delivering occupational competence, are what differentiates an apprenticeship from part-time learning while at work.”   </w:t>
      </w:r>
    </w:p>
    <w:p w14:paraId="1679C0CB" w14:textId="42C19336" w:rsidR="00230834" w:rsidRDefault="00CF053A" w:rsidP="00230834">
      <w:r>
        <w:t>“Apprentices should be provided with a plan that details the apprenticeship, what is expected and offered by the employer, training provider (and any sub-contractors/delivery partners) and the apprentice in order to achieve the apprenticeship.”</w:t>
      </w:r>
      <w:r w:rsidR="00A15417">
        <w:t xml:space="preserve">  </w:t>
      </w:r>
      <w:bookmarkStart w:id="7" w:name="_Hlk191904727"/>
      <w:r w:rsidR="00230834">
        <w:t>(Q</w:t>
      </w:r>
      <w:r w:rsidR="00DB0171">
        <w:t>AA toolkit Teaching and Learning 2024)</w:t>
      </w:r>
    </w:p>
    <w:bookmarkEnd w:id="7"/>
    <w:p w14:paraId="0CD85FA1" w14:textId="19F793ED" w:rsidR="00A15417" w:rsidRDefault="00A15417" w:rsidP="00A15417">
      <w:r>
        <w:t xml:space="preserve">The toolkit describes that it is common practice for training providers to use a shared delivery approach, where learners from undergrad mix with those in employment.  </w:t>
      </w:r>
      <w:r w:rsidR="007D5743">
        <w:t xml:space="preserve">This process can be </w:t>
      </w:r>
      <w:r w:rsidR="00637DD5">
        <w:t>advantageous</w:t>
      </w:r>
      <w:r w:rsidR="00A41DB7">
        <w:t>,</w:t>
      </w:r>
      <w:r w:rsidR="007D5743">
        <w:t xml:space="preserve"> allowing the sharing of practice between organisations and especially for those </w:t>
      </w:r>
      <w:r w:rsidR="00637DD5">
        <w:t xml:space="preserve">in full time traditional education.  </w:t>
      </w:r>
      <w:r w:rsidR="00852AAE">
        <w:t>However</w:t>
      </w:r>
      <w:r w:rsidR="00A41DB7">
        <w:t>,</w:t>
      </w:r>
      <w:r w:rsidR="00852AAE">
        <w:t xml:space="preserve"> </w:t>
      </w:r>
      <w:r w:rsidR="00637DD5">
        <w:t>It goes on to say</w:t>
      </w:r>
      <w:r w:rsidR="00A41DB7">
        <w:t>,</w:t>
      </w:r>
      <w:r w:rsidR="00637DD5">
        <w:t xml:space="preserve"> </w:t>
      </w:r>
      <w:r>
        <w:t xml:space="preserve">“the shared delivery approach may make it more challenging to focus on the employment links and connections between on and off-the-job training for apprentices, and potentially mean a less explicit focus on the knowledge, skills and behaviours/learning outcomes from the relevant framework/standard.” </w:t>
      </w:r>
      <w:r w:rsidRPr="00A15417">
        <w:t>(QAA toolkit Teaching and Learning 2024)</w:t>
      </w:r>
      <w:r w:rsidR="0099759E">
        <w:t>.</w:t>
      </w:r>
    </w:p>
    <w:p w14:paraId="727883E4" w14:textId="1603EB5E" w:rsidR="00165672" w:rsidRDefault="0099759E" w:rsidP="00A15417">
      <w:r>
        <w:t>The toolkit</w:t>
      </w:r>
      <w:r w:rsidR="00645ECD">
        <w:t xml:space="preserve"> advises a flexible </w:t>
      </w:r>
      <w:r w:rsidR="007B338A">
        <w:t>curriculum</w:t>
      </w:r>
      <w:r w:rsidR="00645ECD">
        <w:t xml:space="preserve"> </w:t>
      </w:r>
      <w:r w:rsidR="007B338A">
        <w:t xml:space="preserve">that supports learning and assessment </w:t>
      </w:r>
      <w:r w:rsidR="00982D0D">
        <w:t xml:space="preserve">in multiple locations using a variety of modes of delivery.  This approach </w:t>
      </w:r>
      <w:r w:rsidR="00852AAE">
        <w:t>ensures</w:t>
      </w:r>
      <w:r w:rsidR="00982D0D">
        <w:t xml:space="preserve"> the embedding of</w:t>
      </w:r>
      <w:r w:rsidR="00C20A35">
        <w:t xml:space="preserve"> the</w:t>
      </w:r>
      <w:r w:rsidR="00982D0D">
        <w:t xml:space="preserve"> workplace and the activity </w:t>
      </w:r>
      <w:r w:rsidR="00C20A35">
        <w:t xml:space="preserve">undertaken whilst in </w:t>
      </w:r>
      <w:r w:rsidR="00B23CA9">
        <w:t xml:space="preserve">the </w:t>
      </w:r>
      <w:r w:rsidR="00C20A35">
        <w:t xml:space="preserve">work </w:t>
      </w:r>
      <w:r w:rsidR="00852AAE">
        <w:t>environment</w:t>
      </w:r>
      <w:r w:rsidR="00EA3660">
        <w:t xml:space="preserve">.  The recommendations </w:t>
      </w:r>
      <w:r w:rsidR="00290EFD">
        <w:t>go further and recognise what is good practice regarding the skills and roles required to support a high standard Degree Apprenticeship</w:t>
      </w:r>
      <w:r w:rsidR="00BA47FD">
        <w:t xml:space="preserve"> an</w:t>
      </w:r>
      <w:r w:rsidR="00BF219F">
        <w:t>d</w:t>
      </w:r>
      <w:r w:rsidR="00BA47FD">
        <w:t xml:space="preserve"> how the Tripartite meeting is integral to the support, progress and retention of the apprentice.  </w:t>
      </w:r>
    </w:p>
    <w:p w14:paraId="2A98D52A" w14:textId="0F66B69E" w:rsidR="0058358A" w:rsidRPr="00230834" w:rsidRDefault="0058358A" w:rsidP="00A15417">
      <w:r>
        <w:rPr>
          <w:noProof/>
        </w:rPr>
        <mc:AlternateContent>
          <mc:Choice Requires="wps">
            <w:drawing>
              <wp:anchor distT="45720" distB="45720" distL="114300" distR="114300" simplePos="0" relativeHeight="251659264" behindDoc="0" locked="0" layoutInCell="1" allowOverlap="1" wp14:anchorId="218CD1AB" wp14:editId="2FC8AE29">
                <wp:simplePos x="0" y="0"/>
                <wp:positionH relativeFrom="margin">
                  <wp:posOffset>0</wp:posOffset>
                </wp:positionH>
                <wp:positionV relativeFrom="paragraph">
                  <wp:posOffset>327660</wp:posOffset>
                </wp:positionV>
                <wp:extent cx="5705475" cy="1404620"/>
                <wp:effectExtent l="0" t="0" r="28575" b="27305"/>
                <wp:wrapTopAndBottom/>
                <wp:docPr id="13072124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404620"/>
                        </a:xfrm>
                        <a:prstGeom prst="rect">
                          <a:avLst/>
                        </a:prstGeom>
                        <a:solidFill>
                          <a:srgbClr val="E97132">
                            <a:lumMod val="20000"/>
                            <a:lumOff val="80000"/>
                          </a:srgbClr>
                        </a:solidFill>
                        <a:ln w="9525">
                          <a:solidFill>
                            <a:srgbClr val="000000"/>
                          </a:solidFill>
                          <a:miter lim="800000"/>
                          <a:headEnd/>
                          <a:tailEnd/>
                        </a:ln>
                      </wps:spPr>
                      <wps:txbx>
                        <w:txbxContent>
                          <w:p w14:paraId="18DD2176" w14:textId="2348230A" w:rsidR="00374A18" w:rsidRDefault="00374A18" w:rsidP="00374A18">
                            <w:r>
                              <w:t>When planning and designing a DA how do we differentiate the learning modes from those in part time study?</w:t>
                            </w:r>
                          </w:p>
                          <w:p w14:paraId="61717030" w14:textId="780DADB3" w:rsidR="0058358A" w:rsidRDefault="00EB2AAD" w:rsidP="0058358A">
                            <w:r>
                              <w:t xml:space="preserve">Whilst we know the </w:t>
                            </w:r>
                            <w:r w:rsidR="003A71EC">
                              <w:t>AU</w:t>
                            </w:r>
                            <w:r>
                              <w:t xml:space="preserve"> undertake tripartite reviews</w:t>
                            </w:r>
                            <w:r w:rsidR="00C02C19">
                              <w:t>,</w:t>
                            </w:r>
                            <w:r>
                              <w:t xml:space="preserve"> do they inform the progress of the apprentices thought the apprenticeship</w:t>
                            </w:r>
                            <w:r w:rsidR="00C02C19">
                              <w:t>?</w:t>
                            </w:r>
                            <w:r>
                              <w:t xml:space="preserve"> </w:t>
                            </w:r>
                            <w:r w:rsidR="00C02C19">
                              <w:t>D</w:t>
                            </w:r>
                            <w:r>
                              <w:t xml:space="preserve">o the people undertaking the review add to the support and quality of the </w:t>
                            </w:r>
                            <w:r w:rsidR="00C02C19">
                              <w:t>course</w:t>
                            </w:r>
                            <w:r w:rsidR="004C6909">
                              <w:t xml:space="preserve">?  </w:t>
                            </w:r>
                          </w:p>
                          <w:p w14:paraId="5AE82408" w14:textId="7AD420A8" w:rsidR="009A1B80" w:rsidRDefault="009A1B80" w:rsidP="0058358A">
                            <w:r>
                              <w:t xml:space="preserve">Can we produce </w:t>
                            </w:r>
                            <w:r w:rsidR="008364C3">
                              <w:t xml:space="preserve">data to support the undertaking of the 61 day review and </w:t>
                            </w:r>
                            <w:r w:rsidR="0016320A">
                              <w:t>engagement</w:t>
                            </w:r>
                            <w:r w:rsidR="008364C3">
                              <w:t>?</w:t>
                            </w:r>
                            <w:r w:rsidR="00BC3C7D">
                              <w:t xml:space="preserve">  Is there data to support engagement and participation in planned learning sessions.</w:t>
                            </w:r>
                          </w:p>
                          <w:p w14:paraId="3641A745" w14:textId="71A4929A" w:rsidR="005C0A6F" w:rsidRDefault="005C0A6F" w:rsidP="0058358A">
                            <w:r>
                              <w:t xml:space="preserve">Have we reviewed module content and captured all opportunities to assess </w:t>
                            </w:r>
                            <w:r w:rsidR="0036441D">
                              <w:t xml:space="preserve">in multiple environments?  </w:t>
                            </w:r>
                          </w:p>
                          <w:p w14:paraId="79B36EB9" w14:textId="4A32A519" w:rsidR="0036441D" w:rsidRDefault="0036441D" w:rsidP="0058358A">
                            <w:r>
                              <w:t xml:space="preserve">Do we have the internal skills in the organisation to undertake </w:t>
                            </w:r>
                            <w:r w:rsidR="0016320A">
                              <w:t>work-based</w:t>
                            </w:r>
                            <w:r>
                              <w:t xml:space="preserve"> assessment?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18CD1AB" id="_x0000_t202" coordsize="21600,21600" o:spt="202" path="m,l,21600r21600,l21600,xe">
                <v:stroke joinstyle="miter"/>
                <v:path gradientshapeok="t" o:connecttype="rect"/>
              </v:shapetype>
              <v:shape id="_x0000_s1029" type="#_x0000_t202" style="position:absolute;margin-left:0;margin-top:25.8pt;width:449.25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" fillcolor="#fbe3d6">
                <v:textbox style="mso-fit-shape-to-text:t">
                  <w:txbxContent>
                    <w:p w14:paraId="18DD2176" w14:textId="2348230A" w:rsidR="00374A18" w:rsidRDefault="00374A18" w:rsidP="00374A18">
                      <w:r>
                        <w:t>When planning and designing a DA how do we differentiate the learning modes from those in part time study?</w:t>
                      </w:r>
                    </w:p>
                    <w:p w14:paraId="61717030" w14:textId="780DADB3" w:rsidR="0058358A" w:rsidRDefault="00EB2AAD" w:rsidP="0058358A">
                      <w:r>
                        <w:t xml:space="preserve">Whilst we know the </w:t>
                      </w:r>
                      <w:r w:rsidR="003A71EC">
                        <w:t>AU</w:t>
                      </w:r>
                      <w:r>
                        <w:t xml:space="preserve"> undertake tripartite reviews</w:t>
                      </w:r>
                      <w:r w:rsidR="00C02C19">
                        <w:t>,</w:t>
                      </w:r>
                      <w:r>
                        <w:t xml:space="preserve"> do they inform the progress of the apprentices thought the apprenticeship</w:t>
                      </w:r>
                      <w:r w:rsidR="00C02C19">
                        <w:t>?</w:t>
                      </w:r>
                      <w:r>
                        <w:t xml:space="preserve"> </w:t>
                      </w:r>
                      <w:r w:rsidR="00C02C19">
                        <w:t>D</w:t>
                      </w:r>
                      <w:r>
                        <w:t xml:space="preserve">o the people undertaking the review add to the support and quality of the </w:t>
                      </w:r>
                      <w:r w:rsidR="00C02C19">
                        <w:t>course</w:t>
                      </w:r>
                      <w:r w:rsidR="004C6909">
                        <w:t xml:space="preserve">?  </w:t>
                      </w:r>
                    </w:p>
                    <w:p w14:paraId="5AE82408" w14:textId="7AD420A8" w:rsidR="009A1B80" w:rsidRDefault="009A1B80" w:rsidP="0058358A">
                      <w:r>
                        <w:t xml:space="preserve">Can we produce </w:t>
                      </w:r>
                      <w:r w:rsidR="008364C3">
                        <w:t xml:space="preserve">data to support the undertaking of the </w:t>
                      </w:r>
                      <w:proofErr w:type="gramStart"/>
                      <w:r w:rsidR="008364C3">
                        <w:t>61 day</w:t>
                      </w:r>
                      <w:proofErr w:type="gramEnd"/>
                      <w:r w:rsidR="008364C3">
                        <w:t xml:space="preserve"> review and </w:t>
                      </w:r>
                      <w:r w:rsidR="0016320A">
                        <w:t>engagement</w:t>
                      </w:r>
                      <w:r w:rsidR="008364C3">
                        <w:t>?</w:t>
                      </w:r>
                      <w:r w:rsidR="00BC3C7D">
                        <w:t xml:space="preserve">  Is there data to support engagement and participation in planned learning sessions.</w:t>
                      </w:r>
                    </w:p>
                    <w:p w14:paraId="3641A745" w14:textId="71A4929A" w:rsidR="005C0A6F" w:rsidRDefault="005C0A6F" w:rsidP="0058358A">
                      <w:r>
                        <w:t xml:space="preserve">Have we reviewed module content and captured all opportunities to assess </w:t>
                      </w:r>
                      <w:r w:rsidR="0036441D">
                        <w:t xml:space="preserve">in multiple environments?  </w:t>
                      </w:r>
                    </w:p>
                    <w:p w14:paraId="79B36EB9" w14:textId="4A32A519" w:rsidR="0036441D" w:rsidRDefault="0036441D" w:rsidP="0058358A">
                      <w:r>
                        <w:t xml:space="preserve">Do we have the internal skills in the organisation to undertake </w:t>
                      </w:r>
                      <w:r w:rsidR="0016320A">
                        <w:t>work-based</w:t>
                      </w:r>
                      <w:r>
                        <w:t xml:space="preserve"> assessment?</w:t>
                      </w:r>
                    </w:p>
                  </w:txbxContent>
                </v:textbox>
                <w10:wrap type="topAndBottom" anchorx="margin"/>
              </v:shape>
            </w:pict>
          </mc:Fallback>
        </mc:AlternateContent>
      </w:r>
    </w:p>
    <w:p w14:paraId="11A94180" w14:textId="77777777" w:rsidR="00165672" w:rsidRDefault="00165672" w:rsidP="00A72D22">
      <w:pPr>
        <w:pStyle w:val="Heading2"/>
      </w:pPr>
    </w:p>
    <w:p w14:paraId="69870777" w14:textId="1468C063" w:rsidR="00A72D22" w:rsidRDefault="00A72D22" w:rsidP="00A72D22">
      <w:pPr>
        <w:pStyle w:val="Heading2"/>
      </w:pPr>
      <w:bookmarkStart w:id="8" w:name="_Toc192492101"/>
      <w:r w:rsidRPr="00A72D22">
        <w:t>Recruitment and Admissions</w:t>
      </w:r>
      <w:bookmarkEnd w:id="8"/>
    </w:p>
    <w:p w14:paraId="32262A5A" w14:textId="4C1761CE" w:rsidR="009A1B80" w:rsidRDefault="00F44173" w:rsidP="009A1B80">
      <w:r>
        <w:t>Recruitment and selection is undertaken in partnership with an employer</w:t>
      </w:r>
      <w:r w:rsidR="00E16556">
        <w:t>. T</w:t>
      </w:r>
      <w:r w:rsidR="00B6530E">
        <w:t xml:space="preserve">he apprenticeship </w:t>
      </w:r>
      <w:r w:rsidR="00E16556">
        <w:t xml:space="preserve">course </w:t>
      </w:r>
      <w:r w:rsidR="00B6530E">
        <w:t xml:space="preserve">should support widening participation and </w:t>
      </w:r>
      <w:r w:rsidR="00FF38CF">
        <w:t xml:space="preserve">provide an alternative for those who might </w:t>
      </w:r>
      <w:r w:rsidR="00FF38CF">
        <w:lastRenderedPageBreak/>
        <w:t xml:space="preserve">not have otherwise accessed higher education, </w:t>
      </w:r>
      <w:r w:rsidR="00E16556">
        <w:t xml:space="preserve">and </w:t>
      </w:r>
      <w:r w:rsidR="00FF38CF">
        <w:t xml:space="preserve">those in the work place with considerable experience but not the accreditation to progress.  </w:t>
      </w:r>
    </w:p>
    <w:p w14:paraId="2B240174" w14:textId="6BD568E0" w:rsidR="0037610E" w:rsidRPr="00BC3C7D" w:rsidRDefault="0037610E" w:rsidP="00BC3C7D">
      <w:pPr>
        <w:rPr>
          <w:rFonts w:cs="Manrope ExtraLight"/>
          <w:color w:val="000000"/>
        </w:rPr>
      </w:pPr>
      <w:r>
        <w:t xml:space="preserve">Providers are expected to understand and have processes in place to consider </w:t>
      </w:r>
      <w:r w:rsidR="00C225FE">
        <w:t>different entry requirements and form</w:t>
      </w:r>
      <w:r w:rsidR="00112398">
        <w:t>s</w:t>
      </w:r>
      <w:r w:rsidR="00C225FE">
        <w:t xml:space="preserve"> of evidence.  Recognised Prior learning and </w:t>
      </w:r>
      <w:r w:rsidR="006A1FE1">
        <w:t xml:space="preserve">Experiential learning are key to apprenticeship </w:t>
      </w:r>
      <w:r w:rsidR="008E5CEA">
        <w:t xml:space="preserve">methodology supporting both business, industry and individuals.  </w:t>
      </w:r>
      <w:r w:rsidR="002E5A93">
        <w:rPr>
          <w:rStyle w:val="A3"/>
        </w:rPr>
        <w:t xml:space="preserve">Where apprentices have relevant Knowledge, Skills and Behaviours, these should be recognised via the University’s RPL policy and process. This recognition may result in the duration of their apprenticeship being shortened/adapted accordingly although, in considering how courses might be adapted, it is also important to keep in mind the overall coherence of the apprenticeship and any higher education qualification, to ensure that the course is structured in an appropriate way. </w:t>
      </w:r>
      <w:r w:rsidR="002559D5">
        <w:rPr>
          <w:rStyle w:val="A3"/>
        </w:rPr>
        <w:t>The University’s responsibilities to funding bodies are also key to any decision making here.</w:t>
      </w:r>
    </w:p>
    <w:p w14:paraId="4D4743FC" w14:textId="37C711A3" w:rsidR="009C27B3" w:rsidRDefault="009C27B3" w:rsidP="009C27B3">
      <w:r>
        <w:t>“An initial assessment of prior learning is completed before an individual starts a higher education apprenticeship to:</w:t>
      </w:r>
    </w:p>
    <w:p w14:paraId="0C3CC62B" w14:textId="07EC9972" w:rsidR="00255D95" w:rsidRDefault="009C27B3" w:rsidP="009C27B3">
      <w:r>
        <w:t>Ensure that (as appropriate) public money is not used to fund the development of knowledge, skills and behaviours/learning outcomes that an individual has already achieved, and that prior experience and qualifications are appropriately considered/recognised.” (QAA, 2024)</w:t>
      </w:r>
    </w:p>
    <w:p w14:paraId="4DD90570" w14:textId="4412AD4E" w:rsidR="00986D70" w:rsidRPr="009A1B80" w:rsidRDefault="00AB5F9A" w:rsidP="009A1B80">
      <w:r>
        <w:rPr>
          <w:noProof/>
        </w:rPr>
        <mc:AlternateContent>
          <mc:Choice Requires="wps">
            <w:drawing>
              <wp:anchor distT="45720" distB="45720" distL="114300" distR="114300" simplePos="0" relativeHeight="251669504" behindDoc="0" locked="0" layoutInCell="1" allowOverlap="1" wp14:anchorId="1B8F7217" wp14:editId="69188D48">
                <wp:simplePos x="0" y="0"/>
                <wp:positionH relativeFrom="margin">
                  <wp:posOffset>0</wp:posOffset>
                </wp:positionH>
                <wp:positionV relativeFrom="paragraph">
                  <wp:posOffset>330835</wp:posOffset>
                </wp:positionV>
                <wp:extent cx="5705475" cy="1404620"/>
                <wp:effectExtent l="0" t="0" r="28575" b="20955"/>
                <wp:wrapTopAndBottom/>
                <wp:docPr id="10598310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404620"/>
                        </a:xfrm>
                        <a:prstGeom prst="rect">
                          <a:avLst/>
                        </a:prstGeom>
                        <a:solidFill>
                          <a:srgbClr val="E97132">
                            <a:lumMod val="20000"/>
                            <a:lumOff val="80000"/>
                          </a:srgbClr>
                        </a:solidFill>
                        <a:ln w="9525">
                          <a:solidFill>
                            <a:srgbClr val="000000"/>
                          </a:solidFill>
                          <a:miter lim="800000"/>
                          <a:headEnd/>
                          <a:tailEnd/>
                        </a:ln>
                      </wps:spPr>
                      <wps:txbx>
                        <w:txbxContent>
                          <w:p w14:paraId="7E0DFE94" w14:textId="77777777" w:rsidR="0032090E" w:rsidRDefault="00FF6611" w:rsidP="00AB5F9A">
                            <w:r>
                              <w:t>Initial assessment must be undertaken before the start of the apprenticeship</w:t>
                            </w:r>
                            <w:r w:rsidR="00FE43A7">
                              <w:t xml:space="preserve"> or risk funding compliance </w:t>
                            </w:r>
                            <w:r w:rsidR="0032090E">
                              <w:t>repercussions.</w:t>
                            </w:r>
                          </w:p>
                          <w:p w14:paraId="63428979" w14:textId="0A0AD65E" w:rsidR="0032090E" w:rsidRDefault="0032090E" w:rsidP="00AB5F9A">
                            <w:r w:rsidRPr="0062222C">
                              <w:t>The majority of skills</w:t>
                            </w:r>
                            <w:r w:rsidR="0062222C" w:rsidRPr="0062222C">
                              <w:t>,</w:t>
                            </w:r>
                            <w:r w:rsidRPr="0062222C">
                              <w:t xml:space="preserve"> it would see</w:t>
                            </w:r>
                            <w:r w:rsidR="0062222C" w:rsidRPr="0062222C">
                              <w:t>m,</w:t>
                            </w:r>
                            <w:r w:rsidRPr="0062222C">
                              <w:t xml:space="preserve"> happen in the final year of the </w:t>
                            </w:r>
                            <w:r w:rsidR="0045687C" w:rsidRPr="0062222C">
                              <w:t>apprenticeship</w:t>
                            </w:r>
                            <w:r w:rsidRPr="0062222C">
                              <w:t xml:space="preserve">, how can we insure that </w:t>
                            </w:r>
                            <w:r w:rsidR="0045687C" w:rsidRPr="0062222C">
                              <w:t>progress is being made against these skills if multiple opportunities are not identified to assess skills in the work place?</w:t>
                            </w:r>
                          </w:p>
                          <w:p w14:paraId="7CD0B8CA" w14:textId="01C60EEF" w:rsidR="0062222C" w:rsidRDefault="0062222C" w:rsidP="00AB5F9A">
                            <w:r>
                              <w:t>How do we monitor progress through the Skills and behaviours of the pathway from the point of induction, removing the reliance of the capstone project at the end of the program? (continual progress monitoring – Tripartite)</w:t>
                            </w:r>
                          </w:p>
                          <w:p w14:paraId="38312840" w14:textId="6474BF3F" w:rsidR="0045687C" w:rsidRDefault="009A76CF" w:rsidP="00AB5F9A">
                            <w:r>
                              <w:t xml:space="preserve">Does the training plan include all the essential information and can these </w:t>
                            </w:r>
                            <w:r w:rsidR="00294AE8">
                              <w:t>be reviewed for accuracy and quality of content</w:t>
                            </w:r>
                            <w:r w:rsidR="00304ED2">
                              <w:t>?</w:t>
                            </w:r>
                          </w:p>
                          <w:p w14:paraId="3CBFFDD0" w14:textId="63B8EB06" w:rsidR="0062222C" w:rsidRDefault="0062222C" w:rsidP="00AB5F9A">
                            <w:r>
                              <w:t>What are the milestone of the apprenticeship program?  PSRB requirements?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8F7217" id="_x0000_s1030" type="#_x0000_t202" style="position:absolute;margin-left:0;margin-top:26.05pt;width:449.25pt;height:110.6pt;z-index:2516695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" fillcolor="#fbe3d6">
                <v:textbox style="mso-fit-shape-to-text:t">
                  <w:txbxContent>
                    <w:p w14:paraId="7E0DFE94" w14:textId="77777777" w:rsidR="0032090E" w:rsidRDefault="00FF6611" w:rsidP="00AB5F9A">
                      <w:r>
                        <w:t>Initial assessment must be undertaken before the start of the apprenticeship</w:t>
                      </w:r>
                      <w:r w:rsidR="00FE43A7">
                        <w:t xml:space="preserve"> or risk funding compliance </w:t>
                      </w:r>
                      <w:r w:rsidR="0032090E">
                        <w:t>repercussions.</w:t>
                      </w:r>
                    </w:p>
                    <w:p w14:paraId="63428979" w14:textId="0A0AD65E" w:rsidR="0032090E" w:rsidRDefault="0032090E" w:rsidP="00AB5F9A">
                      <w:proofErr w:type="gramStart"/>
                      <w:r w:rsidRPr="0062222C">
                        <w:t>The majority of</w:t>
                      </w:r>
                      <w:proofErr w:type="gramEnd"/>
                      <w:r w:rsidRPr="0062222C">
                        <w:t xml:space="preserve"> skills</w:t>
                      </w:r>
                      <w:r w:rsidR="0062222C" w:rsidRPr="0062222C">
                        <w:t>,</w:t>
                      </w:r>
                      <w:r w:rsidRPr="0062222C">
                        <w:t xml:space="preserve"> it would see</w:t>
                      </w:r>
                      <w:r w:rsidR="0062222C" w:rsidRPr="0062222C">
                        <w:t>m,</w:t>
                      </w:r>
                      <w:r w:rsidRPr="0062222C">
                        <w:t xml:space="preserve"> happen in the final year of the </w:t>
                      </w:r>
                      <w:r w:rsidR="0045687C" w:rsidRPr="0062222C">
                        <w:t>apprenticeship</w:t>
                      </w:r>
                      <w:r w:rsidRPr="0062222C">
                        <w:t xml:space="preserve">, how can we </w:t>
                      </w:r>
                      <w:proofErr w:type="gramStart"/>
                      <w:r w:rsidRPr="0062222C">
                        <w:t>insure</w:t>
                      </w:r>
                      <w:proofErr w:type="gramEnd"/>
                      <w:r w:rsidRPr="0062222C">
                        <w:t xml:space="preserve"> that </w:t>
                      </w:r>
                      <w:r w:rsidR="0045687C" w:rsidRPr="0062222C">
                        <w:t xml:space="preserve">progress is being made against these skills if multiple opportunities are not identified to assess skills in the </w:t>
                      </w:r>
                      <w:proofErr w:type="gramStart"/>
                      <w:r w:rsidR="0045687C" w:rsidRPr="0062222C">
                        <w:t>work place</w:t>
                      </w:r>
                      <w:proofErr w:type="gramEnd"/>
                      <w:r w:rsidR="0045687C" w:rsidRPr="0062222C">
                        <w:t>?</w:t>
                      </w:r>
                    </w:p>
                    <w:p w14:paraId="7CD0B8CA" w14:textId="01C60EEF" w:rsidR="0062222C" w:rsidRDefault="0062222C" w:rsidP="00AB5F9A">
                      <w:r>
                        <w:t>How do we monitor progress through the Skills and behaviours of the pathway from the point of induction, removing the reliance of the capstone project at the end of the program? (continual progress monitoring – Tripartite)</w:t>
                      </w:r>
                    </w:p>
                    <w:p w14:paraId="38312840" w14:textId="6474BF3F" w:rsidR="0045687C" w:rsidRDefault="009A76CF" w:rsidP="00AB5F9A">
                      <w:r>
                        <w:t xml:space="preserve">Does the training plan include all the essential </w:t>
                      </w:r>
                      <w:proofErr w:type="gramStart"/>
                      <w:r>
                        <w:t>information</w:t>
                      </w:r>
                      <w:proofErr w:type="gramEnd"/>
                      <w:r>
                        <w:t xml:space="preserve"> and can these </w:t>
                      </w:r>
                      <w:r w:rsidR="00294AE8">
                        <w:t>be reviewed for accuracy and quality of content</w:t>
                      </w:r>
                      <w:r w:rsidR="00304ED2">
                        <w:t>?</w:t>
                      </w:r>
                    </w:p>
                    <w:p w14:paraId="3CBFFDD0" w14:textId="63B8EB06" w:rsidR="0062222C" w:rsidRDefault="0062222C" w:rsidP="00AB5F9A">
                      <w:r>
                        <w:t xml:space="preserve">What </w:t>
                      </w:r>
                      <w:proofErr w:type="gramStart"/>
                      <w:r>
                        <w:t>are</w:t>
                      </w:r>
                      <w:proofErr w:type="gramEnd"/>
                      <w:r>
                        <w:t xml:space="preserve"> the milestone of the apprenticeship program?  PSRB requirements?</w:t>
                      </w:r>
                    </w:p>
                  </w:txbxContent>
                </v:textbox>
                <w10:wrap type="topAndBottom" anchorx="margin"/>
              </v:shape>
            </w:pict>
          </mc:Fallback>
        </mc:AlternateContent>
      </w:r>
    </w:p>
    <w:p w14:paraId="629452F1" w14:textId="77777777" w:rsidR="00AB5F9A" w:rsidRDefault="00AB5F9A" w:rsidP="00A72D22">
      <w:pPr>
        <w:pStyle w:val="Heading2"/>
      </w:pPr>
    </w:p>
    <w:p w14:paraId="6BF8CB8A" w14:textId="3639CDAE" w:rsidR="00A72D22" w:rsidRDefault="00A72D22" w:rsidP="00A72D22">
      <w:pPr>
        <w:pStyle w:val="Heading2"/>
      </w:pPr>
      <w:bookmarkStart w:id="9" w:name="_Toc192492102"/>
      <w:r w:rsidRPr="00A72D22">
        <w:t>The Apprentice Experience</w:t>
      </w:r>
      <w:bookmarkEnd w:id="9"/>
    </w:p>
    <w:p w14:paraId="12454016" w14:textId="77777777" w:rsidR="007063E8" w:rsidRDefault="007063E8" w:rsidP="007063E8">
      <w:pPr>
        <w:rPr>
          <w:rFonts w:cstheme="minorHAnsi"/>
        </w:rPr>
      </w:pPr>
      <w:r w:rsidRPr="00A41951">
        <w:rPr>
          <w:rFonts w:cstheme="minorHAnsi"/>
        </w:rPr>
        <w:t xml:space="preserve">It is acknowledged within the sector that the </w:t>
      </w:r>
      <w:r w:rsidRPr="00A41951">
        <w:rPr>
          <w:rFonts w:eastAsia="Times New Roman" w:cstheme="minorHAnsi"/>
          <w:color w:val="202020"/>
        </w:rPr>
        <w:t>Individualised Learner Record (ILR) that is established for each apprentice does not cover all qualitative data pertaining to the apprentice experience, and that elements such as skills gaps and satisfaction rates (i.e. apprentice and employer) are not measurable in data collected for the ILR (SDN Insights, 13</w:t>
      </w:r>
      <w:r w:rsidRPr="00A41951">
        <w:rPr>
          <w:rFonts w:eastAsia="Times New Roman" w:cstheme="minorHAnsi"/>
          <w:color w:val="202020"/>
          <w:vertAlign w:val="superscript"/>
        </w:rPr>
        <w:t>th</w:t>
      </w:r>
      <w:r w:rsidRPr="00A41951">
        <w:rPr>
          <w:rFonts w:eastAsia="Times New Roman" w:cstheme="minorHAnsi"/>
          <w:color w:val="202020"/>
        </w:rPr>
        <w:t xml:space="preserve"> November 2024). </w:t>
      </w:r>
      <w:r w:rsidRPr="00A41951">
        <w:rPr>
          <w:rFonts w:cstheme="minorHAnsi"/>
        </w:rPr>
        <w:t>In line with sector expectations – including those of regulatory bodies – that there are effective mechanisms in place to listen to – and act upon, where possible – apprentice feedback, this paper</w:t>
      </w:r>
      <w:r>
        <w:rPr>
          <w:rFonts w:cstheme="minorHAnsi"/>
        </w:rPr>
        <w:t xml:space="preserve"> therefore</w:t>
      </w:r>
      <w:r w:rsidRPr="00A41951">
        <w:rPr>
          <w:rFonts w:cstheme="minorHAnsi"/>
        </w:rPr>
        <w:t xml:space="preserve"> explores the current Apprentice and Employer Voice mechanisms in place and potential enhancements. </w:t>
      </w:r>
    </w:p>
    <w:p w14:paraId="5ED5917F" w14:textId="30D4CE2A" w:rsidR="00205861" w:rsidRDefault="00084483" w:rsidP="0097528C">
      <w:pPr>
        <w:rPr>
          <w:rFonts w:cstheme="minorHAnsi"/>
        </w:rPr>
      </w:pPr>
      <w:r>
        <w:rPr>
          <w:rFonts w:cstheme="minorHAnsi"/>
        </w:rPr>
        <w:lastRenderedPageBreak/>
        <w:t>The Medr strategic plan</w:t>
      </w:r>
      <w:r w:rsidR="00ED2E25">
        <w:rPr>
          <w:rFonts w:cstheme="minorHAnsi"/>
        </w:rPr>
        <w:t>,</w:t>
      </w:r>
      <w:r>
        <w:rPr>
          <w:rFonts w:cstheme="minorHAnsi"/>
        </w:rPr>
        <w:t xml:space="preserve"> in its first </w:t>
      </w:r>
      <w:r w:rsidR="00691934">
        <w:rPr>
          <w:rFonts w:cstheme="minorHAnsi"/>
        </w:rPr>
        <w:t>strategic aim</w:t>
      </w:r>
      <w:r w:rsidR="00ED2E25">
        <w:rPr>
          <w:rFonts w:cstheme="minorHAnsi"/>
        </w:rPr>
        <w:t>,</w:t>
      </w:r>
      <w:r w:rsidR="00691934">
        <w:rPr>
          <w:rFonts w:cstheme="minorHAnsi"/>
        </w:rPr>
        <w:t xml:space="preserve"> </w:t>
      </w:r>
      <w:r w:rsidR="00780ED0">
        <w:rPr>
          <w:rFonts w:cstheme="minorHAnsi"/>
        </w:rPr>
        <w:t>refers</w:t>
      </w:r>
      <w:r w:rsidR="00691934">
        <w:rPr>
          <w:rFonts w:cstheme="minorHAnsi"/>
        </w:rPr>
        <w:t xml:space="preserve"> to Encouraging participation</w:t>
      </w:r>
      <w:r w:rsidR="00ED2E25">
        <w:rPr>
          <w:rFonts w:cstheme="minorHAnsi"/>
        </w:rPr>
        <w:t>.</w:t>
      </w:r>
      <w:r w:rsidR="00780ED0">
        <w:rPr>
          <w:rFonts w:cstheme="minorHAnsi"/>
        </w:rPr>
        <w:t xml:space="preserve"> </w:t>
      </w:r>
      <w:r w:rsidR="00ED2E25">
        <w:rPr>
          <w:rFonts w:cstheme="minorHAnsi"/>
        </w:rPr>
        <w:t>I</w:t>
      </w:r>
      <w:r w:rsidR="00780ED0">
        <w:rPr>
          <w:rFonts w:cstheme="minorHAnsi"/>
        </w:rPr>
        <w:t xml:space="preserve">t further describes its aspiration to </w:t>
      </w:r>
      <w:r w:rsidR="0097528C" w:rsidRPr="0097528C">
        <w:rPr>
          <w:rFonts w:cstheme="minorHAnsi"/>
        </w:rPr>
        <w:t xml:space="preserve"> </w:t>
      </w:r>
      <w:r w:rsidR="0097528C">
        <w:rPr>
          <w:rFonts w:cstheme="minorHAnsi"/>
        </w:rPr>
        <w:t>“</w:t>
      </w:r>
      <w:r w:rsidR="0097528C" w:rsidRPr="0097528C">
        <w:rPr>
          <w:rFonts w:cstheme="minorHAnsi"/>
        </w:rPr>
        <w:t>provide opportunities that</w:t>
      </w:r>
      <w:r w:rsidR="0097528C">
        <w:rPr>
          <w:rFonts w:cstheme="minorHAnsi"/>
        </w:rPr>
        <w:t xml:space="preserve"> </w:t>
      </w:r>
      <w:r w:rsidR="0097528C" w:rsidRPr="0097528C">
        <w:rPr>
          <w:rFonts w:cstheme="minorHAnsi"/>
        </w:rPr>
        <w:t>recognise the diversity of our learners and we are committed to removing barriers to learning.</w:t>
      </w:r>
      <w:r w:rsidR="0097528C">
        <w:rPr>
          <w:rFonts w:cstheme="minorHAnsi"/>
        </w:rPr>
        <w:t>”  (Medr – strategic plan 2025 – 30).</w:t>
      </w:r>
    </w:p>
    <w:p w14:paraId="427784B2" w14:textId="30DF8B83" w:rsidR="0097528C" w:rsidRDefault="0014521E" w:rsidP="0097528C">
      <w:pPr>
        <w:rPr>
          <w:rFonts w:cstheme="minorHAnsi"/>
        </w:rPr>
      </w:pPr>
      <w:r>
        <w:rPr>
          <w:rFonts w:cstheme="minorHAnsi"/>
        </w:rPr>
        <w:t>The plans describes it intention to develop a</w:t>
      </w:r>
      <w:r w:rsidR="00ED2E25">
        <w:rPr>
          <w:rFonts w:cstheme="minorHAnsi"/>
        </w:rPr>
        <w:t>n</w:t>
      </w:r>
      <w:r>
        <w:rPr>
          <w:rFonts w:cstheme="minorHAnsi"/>
        </w:rPr>
        <w:t xml:space="preserve"> engagement c</w:t>
      </w:r>
      <w:r w:rsidR="00B838A9">
        <w:rPr>
          <w:rFonts w:cstheme="minorHAnsi"/>
        </w:rPr>
        <w:t>ode and guidance , supporting diversity, involvement and representation.  Medr itself will create a learner voice forum and its intent to monitor learner voice and include learner contributions to shape the service they are accessing.</w:t>
      </w:r>
    </w:p>
    <w:p w14:paraId="64DE69F2" w14:textId="309EF95D" w:rsidR="00B565D6" w:rsidRPr="00A41951" w:rsidRDefault="00B565D6" w:rsidP="0097528C">
      <w:pPr>
        <w:rPr>
          <w:rFonts w:cstheme="minorHAnsi"/>
        </w:rPr>
      </w:pPr>
      <w:r>
        <w:rPr>
          <w:rFonts w:cstheme="minorHAnsi"/>
        </w:rPr>
        <w:t>Supporting this increased</w:t>
      </w:r>
      <w:r w:rsidR="00FE2D36">
        <w:rPr>
          <w:rFonts w:cstheme="minorHAnsi"/>
        </w:rPr>
        <w:t>,</w:t>
      </w:r>
      <w:r>
        <w:rPr>
          <w:rFonts w:cstheme="minorHAnsi"/>
        </w:rPr>
        <w:t xml:space="preserve"> focus Ofsted in England have included participation in their supporting toolkits to the Education Inspection Framework</w:t>
      </w:r>
      <w:r w:rsidR="00EC4202">
        <w:rPr>
          <w:rFonts w:cstheme="minorHAnsi"/>
        </w:rPr>
        <w:t>.  This will become a focus area of the inspection visits and will be key to the overall outcomes.</w:t>
      </w:r>
    </w:p>
    <w:p w14:paraId="05B85919" w14:textId="6EF5F21A" w:rsidR="007063E8" w:rsidRDefault="007063E8" w:rsidP="007063E8">
      <w:r>
        <w:t>The monitoring of feedback obtained via Apprentice Voice, as well as taking opportunities to feedback to apprentices via ‘You Said, We Listened’ mechanisms, is crucial.</w:t>
      </w:r>
    </w:p>
    <w:p w14:paraId="5A0CF249" w14:textId="56848874" w:rsidR="007059DC" w:rsidRDefault="00C83B8C" w:rsidP="007059DC">
      <w:r>
        <w:rPr>
          <w:noProof/>
        </w:rPr>
        <mc:AlternateContent>
          <mc:Choice Requires="wps">
            <w:drawing>
              <wp:anchor distT="45720" distB="45720" distL="114300" distR="114300" simplePos="0" relativeHeight="251665408" behindDoc="0" locked="0" layoutInCell="1" allowOverlap="1" wp14:anchorId="3573A1E2" wp14:editId="45CCDE27">
                <wp:simplePos x="0" y="0"/>
                <wp:positionH relativeFrom="margin">
                  <wp:posOffset>0</wp:posOffset>
                </wp:positionH>
                <wp:positionV relativeFrom="paragraph">
                  <wp:posOffset>331470</wp:posOffset>
                </wp:positionV>
                <wp:extent cx="5705475" cy="1404620"/>
                <wp:effectExtent l="0" t="0" r="28575" b="20955"/>
                <wp:wrapTopAndBottom/>
                <wp:docPr id="18685004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404620"/>
                        </a:xfrm>
                        <a:prstGeom prst="rect">
                          <a:avLst/>
                        </a:prstGeom>
                        <a:solidFill>
                          <a:srgbClr val="E97132">
                            <a:lumMod val="20000"/>
                            <a:lumOff val="80000"/>
                          </a:srgbClr>
                        </a:solidFill>
                        <a:ln w="9525">
                          <a:solidFill>
                            <a:srgbClr val="000000"/>
                          </a:solidFill>
                          <a:miter lim="800000"/>
                          <a:headEnd/>
                          <a:tailEnd/>
                        </a:ln>
                      </wps:spPr>
                      <wps:txbx>
                        <w:txbxContent>
                          <w:p w14:paraId="4185869C" w14:textId="56C774C2" w:rsidR="00C83B8C" w:rsidRDefault="00FE2D36" w:rsidP="00C83B8C">
                            <w:r>
                              <w:t>How do we m</w:t>
                            </w:r>
                            <w:r w:rsidR="00C83B8C" w:rsidRPr="00C83B8C">
                              <w:t>onitor how explicitly we use the Apprentice Voice feedback that we receive (including, for example, module-level feedback)</w:t>
                            </w:r>
                            <w:r>
                              <w:t>?</w:t>
                            </w:r>
                          </w:p>
                          <w:p w14:paraId="4661A3C5" w14:textId="31970B79" w:rsidR="00764C28" w:rsidRDefault="007A2348" w:rsidP="00C83B8C">
                            <w:r>
                              <w:t>How do we monitor engagement and participation in feedback opportunities?</w:t>
                            </w:r>
                          </w:p>
                          <w:p w14:paraId="07B8F4A7" w14:textId="77777777" w:rsidR="001D7809" w:rsidRDefault="005F72FC" w:rsidP="00C83B8C">
                            <w:r>
                              <w:t xml:space="preserve">Do we understand our own occupancy and have we done enough to ensure all our apprentices have access to </w:t>
                            </w:r>
                            <w:r w:rsidR="001D7809">
                              <w:t>opportunity to engage in feedback and consultation?</w:t>
                            </w:r>
                          </w:p>
                          <w:p w14:paraId="345FCD10" w14:textId="5D8E6D81" w:rsidR="007A2348" w:rsidRDefault="001D7809" w:rsidP="00C83B8C">
                            <w: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573A1E2" id="_x0000_s1031" type="#_x0000_t202" style="position:absolute;margin-left:0;margin-top:26.1pt;width:449.25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" fillcolor="#fbe3d6">
                <v:textbox style="mso-fit-shape-to-text:t">
                  <w:txbxContent>
                    <w:p w14:paraId="4185869C" w14:textId="56C774C2" w:rsidR="00C83B8C" w:rsidRDefault="00FE2D36" w:rsidP="00C83B8C">
                      <w:r>
                        <w:t>How do we m</w:t>
                      </w:r>
                      <w:r w:rsidR="00C83B8C" w:rsidRPr="00C83B8C">
                        <w:t>onitor how explicitly we use the Apprentice Voice feedback that we receive (including, for example, module-level feedback)</w:t>
                      </w:r>
                      <w:r>
                        <w:t>?</w:t>
                      </w:r>
                    </w:p>
                    <w:p w14:paraId="4661A3C5" w14:textId="31970B79" w:rsidR="00764C28" w:rsidRDefault="007A2348" w:rsidP="00C83B8C">
                      <w:r>
                        <w:t>How do we monitor engagement and participation in feedback opportunities?</w:t>
                      </w:r>
                    </w:p>
                    <w:p w14:paraId="07B8F4A7" w14:textId="77777777" w:rsidR="001D7809" w:rsidRDefault="005F72FC" w:rsidP="00C83B8C">
                      <w:r>
                        <w:t xml:space="preserve">Do we understand our own </w:t>
                      </w:r>
                      <w:proofErr w:type="gramStart"/>
                      <w:r>
                        <w:t>occupancy</w:t>
                      </w:r>
                      <w:proofErr w:type="gramEnd"/>
                      <w:r>
                        <w:t xml:space="preserve"> and have we done enough to ensure all our apprentices have access to </w:t>
                      </w:r>
                      <w:r w:rsidR="001D7809">
                        <w:t>opportunity to engage in feedback and consultation?</w:t>
                      </w:r>
                    </w:p>
                    <w:p w14:paraId="345FCD10" w14:textId="5D8E6D81" w:rsidR="007A2348" w:rsidRDefault="001D7809" w:rsidP="00C83B8C">
                      <w:r>
                        <w:t xml:space="preserve">  </w:t>
                      </w:r>
                    </w:p>
                  </w:txbxContent>
                </v:textbox>
                <w10:wrap type="topAndBottom" anchorx="margin"/>
              </v:shape>
            </w:pict>
          </mc:Fallback>
        </mc:AlternateContent>
      </w:r>
    </w:p>
    <w:p w14:paraId="3121D586" w14:textId="77777777" w:rsidR="00D75B58" w:rsidRDefault="00D75B58" w:rsidP="00D75B58"/>
    <w:p w14:paraId="5CF0B047" w14:textId="77777777" w:rsidR="00D75B58" w:rsidRDefault="00D75B58" w:rsidP="00D75B58">
      <w:pPr>
        <w:pStyle w:val="Heading2"/>
      </w:pPr>
      <w:bookmarkStart w:id="10" w:name="_Toc192159091"/>
      <w:r>
        <w:t>Considerations and Recommendations</w:t>
      </w:r>
      <w:bookmarkEnd w:id="10"/>
    </w:p>
    <w:p w14:paraId="18A78277" w14:textId="77777777" w:rsidR="00D75B58" w:rsidRPr="0044384E" w:rsidRDefault="00D75B58" w:rsidP="00D75B58"/>
    <w:p w14:paraId="6D44CD92" w14:textId="77777777" w:rsidR="00D75B58" w:rsidRDefault="00D75B58" w:rsidP="00D75B58">
      <w:pPr>
        <w:pStyle w:val="Heading2"/>
      </w:pPr>
      <w:bookmarkStart w:id="11" w:name="_Toc192159092"/>
      <w:r>
        <w:t>References:</w:t>
      </w:r>
      <w:bookmarkEnd w:id="11"/>
    </w:p>
    <w:p w14:paraId="038F38AD" w14:textId="77777777" w:rsidR="00D75B58" w:rsidRDefault="00D75B58" w:rsidP="00D75B58">
      <w:pPr>
        <w:pStyle w:val="ListParagraph"/>
        <w:numPr>
          <w:ilvl w:val="0"/>
          <w:numId w:val="15"/>
        </w:numPr>
        <w:spacing w:line="360" w:lineRule="auto"/>
      </w:pPr>
      <w:hyperlink r:id="rId18" w:history="1">
        <w:r w:rsidRPr="005978C8">
          <w:rPr>
            <w:color w:val="0000FF"/>
            <w:u w:val="single"/>
          </w:rPr>
          <w:t>W19/05HE: Procedures for assessing the quality of education</w:t>
        </w:r>
      </w:hyperlink>
      <w:r>
        <w:t xml:space="preserve">  Procedures for assessing the quality of education, Hefcw, March 2019</w:t>
      </w:r>
    </w:p>
    <w:p w14:paraId="287E0836" w14:textId="77777777" w:rsidR="00D75B58" w:rsidRDefault="00D75B58" w:rsidP="00D75B58">
      <w:pPr>
        <w:pStyle w:val="ListParagraph"/>
        <w:numPr>
          <w:ilvl w:val="0"/>
          <w:numId w:val="15"/>
        </w:numPr>
        <w:spacing w:line="360" w:lineRule="auto"/>
      </w:pPr>
      <w:hyperlink r:id="rId19" w:history="1">
        <w:r w:rsidRPr="005978C8">
          <w:rPr>
            <w:color w:val="0000FF"/>
            <w:u w:val="single"/>
          </w:rPr>
          <w:t>Quality Assessment Framework for Wales</w:t>
        </w:r>
      </w:hyperlink>
      <w:r>
        <w:t xml:space="preserve">  </w:t>
      </w:r>
      <w:r w:rsidRPr="00AF7332">
        <w:t>Quality Assessment Framework for Wales</w:t>
      </w:r>
      <w:r>
        <w:t>, Hefcw, July 2022</w:t>
      </w:r>
    </w:p>
    <w:p w14:paraId="060DBE69" w14:textId="77777777" w:rsidR="00D75B58" w:rsidRDefault="00D75B58" w:rsidP="00D75B58">
      <w:pPr>
        <w:pStyle w:val="ListParagraph"/>
        <w:numPr>
          <w:ilvl w:val="0"/>
          <w:numId w:val="15"/>
        </w:numPr>
        <w:spacing w:line="360" w:lineRule="auto"/>
      </w:pPr>
      <w:hyperlink r:id="rId20" w:history="1">
        <w:r w:rsidRPr="005978C8">
          <w:rPr>
            <w:color w:val="0000FF"/>
            <w:u w:val="single"/>
          </w:rPr>
          <w:t>Apprenticeships, Skills, Children and Learning Act 2009</w:t>
        </w:r>
      </w:hyperlink>
    </w:p>
    <w:p w14:paraId="584E7DDC" w14:textId="77777777" w:rsidR="00D75B58" w:rsidRDefault="00D75B58" w:rsidP="00D75B58">
      <w:pPr>
        <w:pStyle w:val="ListParagraph"/>
        <w:numPr>
          <w:ilvl w:val="0"/>
          <w:numId w:val="15"/>
        </w:numPr>
        <w:spacing w:line="360" w:lineRule="auto"/>
      </w:pPr>
      <w:hyperlink r:id="rId21" w:history="1">
        <w:r w:rsidRPr="005978C8">
          <w:rPr>
            <w:color w:val="0000FF"/>
            <w:u w:val="single"/>
          </w:rPr>
          <w:t>the-specification-of-apprenticeship-standards-for-wales-sasw.pdf</w:t>
        </w:r>
      </w:hyperlink>
      <w:r>
        <w:t xml:space="preserve">  Welsh Government, October 2016</w:t>
      </w:r>
    </w:p>
    <w:p w14:paraId="563F5835" w14:textId="77777777" w:rsidR="00D75B58" w:rsidRDefault="00D75B58" w:rsidP="00D75B58">
      <w:pPr>
        <w:pStyle w:val="ListParagraph"/>
        <w:numPr>
          <w:ilvl w:val="0"/>
          <w:numId w:val="15"/>
        </w:numPr>
        <w:spacing w:line="360" w:lineRule="auto"/>
      </w:pPr>
      <w:hyperlink r:id="rId22" w:history="1">
        <w:r w:rsidRPr="005978C8">
          <w:rPr>
            <w:color w:val="0000FF"/>
            <w:u w:val="single"/>
          </w:rPr>
          <w:t>sasw-guidance.pdf</w:t>
        </w:r>
      </w:hyperlink>
      <w:r>
        <w:t xml:space="preserve">  Welsh Government Jan 2017</w:t>
      </w:r>
    </w:p>
    <w:p w14:paraId="5727C9AF" w14:textId="77777777" w:rsidR="00D75B58" w:rsidRDefault="00D75B58" w:rsidP="00D75B58">
      <w:pPr>
        <w:pStyle w:val="ListParagraph"/>
        <w:numPr>
          <w:ilvl w:val="0"/>
          <w:numId w:val="15"/>
        </w:numPr>
        <w:spacing w:line="360" w:lineRule="auto"/>
      </w:pPr>
      <w:hyperlink r:id="rId23" w:history="1">
        <w:r w:rsidRPr="005978C8">
          <w:rPr>
            <w:color w:val="0000FF"/>
            <w:u w:val="single"/>
          </w:rPr>
          <w:t>Higher Education Apprenticeships Toolkit</w:t>
        </w:r>
      </w:hyperlink>
      <w:r>
        <w:t xml:space="preserve">  QAA Apprenticeship toolkit, March 2024</w:t>
      </w:r>
    </w:p>
    <w:p w14:paraId="2C713603" w14:textId="77777777" w:rsidR="00D75B58" w:rsidRDefault="00D75B58" w:rsidP="00D75B58">
      <w:pPr>
        <w:pStyle w:val="ListParagraph"/>
        <w:numPr>
          <w:ilvl w:val="0"/>
          <w:numId w:val="15"/>
        </w:numPr>
        <w:spacing w:line="360" w:lineRule="auto"/>
      </w:pPr>
      <w:hyperlink r:id="rId24" w:history="1">
        <w:r w:rsidRPr="005978C8">
          <w:rPr>
            <w:color w:val="0000FF"/>
            <w:u w:val="single"/>
          </w:rPr>
          <w:t>Draft Strategic Plan 2025-2030 - Medr</w:t>
        </w:r>
      </w:hyperlink>
      <w:r>
        <w:t xml:space="preserve"> MEDR, 2024/25</w:t>
      </w:r>
    </w:p>
    <w:p w14:paraId="5D5D0468" w14:textId="41287BB7" w:rsidR="0023524D" w:rsidRDefault="0023524D" w:rsidP="00D75B58">
      <w:pPr>
        <w:pStyle w:val="ListParagraph"/>
        <w:numPr>
          <w:ilvl w:val="0"/>
          <w:numId w:val="15"/>
        </w:numPr>
        <w:spacing w:line="360" w:lineRule="auto"/>
      </w:pPr>
      <w:hyperlink r:id="rId25" w:history="1">
        <w:r w:rsidRPr="0023524D">
          <w:rPr>
            <w:color w:val="0000FF"/>
            <w:u w:val="single"/>
          </w:rPr>
          <w:t>Regulatory Framework</w:t>
        </w:r>
      </w:hyperlink>
      <w:r>
        <w:t xml:space="preserve"> </w:t>
      </w:r>
      <w:r w:rsidR="007E5CE4">
        <w:t xml:space="preserve"> </w:t>
      </w:r>
      <w:r w:rsidR="003A71EC">
        <w:t>MEDR regulatory Framework</w:t>
      </w:r>
    </w:p>
    <w:p w14:paraId="0E31D919" w14:textId="77777777" w:rsidR="00D75B58" w:rsidRDefault="00D75B58" w:rsidP="00D75B58">
      <w:pPr>
        <w:pStyle w:val="ListParagraph"/>
        <w:numPr>
          <w:ilvl w:val="0"/>
          <w:numId w:val="15"/>
        </w:numPr>
        <w:spacing w:line="360" w:lineRule="auto"/>
      </w:pPr>
      <w:hyperlink r:id="rId26" w:history="1">
        <w:r w:rsidRPr="00A6138F">
          <w:rPr>
            <w:color w:val="0000FF"/>
            <w:u w:val="single"/>
          </w:rPr>
          <w:t>W16/13HE: Guidance on partnership arrangements for franchise education on behalf of regulated instituions in Wales</w:t>
        </w:r>
      </w:hyperlink>
      <w:r>
        <w:t xml:space="preserve"> Hefcw 2016</w:t>
      </w:r>
    </w:p>
    <w:p w14:paraId="5AA134F2" w14:textId="77777777" w:rsidR="00D75B58" w:rsidRPr="00D75B58" w:rsidRDefault="00D75B58" w:rsidP="00D75B58"/>
    <w:p w14:paraId="409DD42B" w14:textId="77777777" w:rsidR="00D75B58" w:rsidRPr="00D75B58" w:rsidRDefault="00D75B58" w:rsidP="00D75B58"/>
    <w:p w14:paraId="3D69FFC1" w14:textId="77777777" w:rsidR="00D75B58" w:rsidRPr="00D75B58" w:rsidRDefault="00D75B58" w:rsidP="00D75B58"/>
    <w:p w14:paraId="6485FEEE" w14:textId="77777777" w:rsidR="00D75B58" w:rsidRPr="00D75B58" w:rsidRDefault="00D75B58" w:rsidP="00D75B58"/>
    <w:p w14:paraId="0D10265F" w14:textId="77777777" w:rsidR="00D75B58" w:rsidRPr="00D75B58" w:rsidRDefault="00D75B58" w:rsidP="00D75B58"/>
    <w:p w14:paraId="7931BB99" w14:textId="77777777" w:rsidR="00D75B58" w:rsidRPr="00D75B58" w:rsidRDefault="00D75B58" w:rsidP="00D75B58"/>
    <w:sectPr w:rsidR="00D75B58" w:rsidRPr="00D75B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88270A" w14:textId="77777777" w:rsidR="00FC13EA" w:rsidRDefault="00FC13EA" w:rsidP="00E73771">
      <w:pPr>
        <w:spacing w:after="0" w:line="240" w:lineRule="auto"/>
      </w:pPr>
      <w:r>
        <w:separator/>
      </w:r>
    </w:p>
  </w:endnote>
  <w:endnote w:type="continuationSeparator" w:id="0">
    <w:p w14:paraId="0F7ED926" w14:textId="77777777" w:rsidR="00FC13EA" w:rsidRDefault="00FC13EA" w:rsidP="00E73771">
      <w:pPr>
        <w:spacing w:after="0" w:line="240" w:lineRule="auto"/>
      </w:pPr>
      <w:r>
        <w:continuationSeparator/>
      </w:r>
    </w:p>
  </w:endnote>
  <w:endnote w:type="continuationNotice" w:id="1">
    <w:p w14:paraId="6358306A" w14:textId="77777777" w:rsidR="00FC13EA" w:rsidRDefault="00FC13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anrope ExtraLight">
    <w:altName w:val="Calibri"/>
    <w:panose1 w:val="00000000000000000000"/>
    <w:charset w:val="00"/>
    <w:family w:val="swiss"/>
    <w:notTrueType/>
    <w:pitch w:val="default"/>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7D629C" w14:textId="77777777" w:rsidR="00FC13EA" w:rsidRDefault="00FC13EA" w:rsidP="00E73771">
      <w:pPr>
        <w:spacing w:after="0" w:line="240" w:lineRule="auto"/>
      </w:pPr>
      <w:r>
        <w:separator/>
      </w:r>
    </w:p>
  </w:footnote>
  <w:footnote w:type="continuationSeparator" w:id="0">
    <w:p w14:paraId="4F7B5C40" w14:textId="77777777" w:rsidR="00FC13EA" w:rsidRDefault="00FC13EA" w:rsidP="00E73771">
      <w:pPr>
        <w:spacing w:after="0" w:line="240" w:lineRule="auto"/>
      </w:pPr>
      <w:r>
        <w:continuationSeparator/>
      </w:r>
    </w:p>
  </w:footnote>
  <w:footnote w:type="continuationNotice" w:id="1">
    <w:p w14:paraId="641B202A" w14:textId="77777777" w:rsidR="00FC13EA" w:rsidRDefault="00FC13E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4C5F2A2"/>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68134B4"/>
    <w:multiLevelType w:val="hybridMultilevel"/>
    <w:tmpl w:val="F47A7740"/>
    <w:lvl w:ilvl="0" w:tplc="08090001">
      <w:start w:val="1"/>
      <w:numFmt w:val="bullet"/>
      <w:lvlText w:val=""/>
      <w:lvlJc w:val="left"/>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B7D6588"/>
    <w:multiLevelType w:val="hybridMultilevel"/>
    <w:tmpl w:val="A6BE2FEE"/>
    <w:lvl w:ilvl="0" w:tplc="46C0AA96">
      <w:start w:val="1"/>
      <w:numFmt w:val="bullet"/>
      <w:lvlText w:val=""/>
      <w:lvlJc w:val="left"/>
      <w:pPr>
        <w:ind w:left="1800" w:hanging="360"/>
      </w:pPr>
      <w:rPr>
        <w:rFonts w:ascii="Symbol" w:hAnsi="Symbol"/>
      </w:rPr>
    </w:lvl>
    <w:lvl w:ilvl="1" w:tplc="EFE6DC78">
      <w:start w:val="1"/>
      <w:numFmt w:val="bullet"/>
      <w:lvlText w:val=""/>
      <w:lvlJc w:val="left"/>
      <w:pPr>
        <w:ind w:left="1800" w:hanging="360"/>
      </w:pPr>
      <w:rPr>
        <w:rFonts w:ascii="Symbol" w:hAnsi="Symbol"/>
      </w:rPr>
    </w:lvl>
    <w:lvl w:ilvl="2" w:tplc="655025C4">
      <w:start w:val="1"/>
      <w:numFmt w:val="bullet"/>
      <w:lvlText w:val=""/>
      <w:lvlJc w:val="left"/>
      <w:pPr>
        <w:ind w:left="1800" w:hanging="360"/>
      </w:pPr>
      <w:rPr>
        <w:rFonts w:ascii="Symbol" w:hAnsi="Symbol"/>
      </w:rPr>
    </w:lvl>
    <w:lvl w:ilvl="3" w:tplc="14C08174">
      <w:start w:val="1"/>
      <w:numFmt w:val="bullet"/>
      <w:lvlText w:val=""/>
      <w:lvlJc w:val="left"/>
      <w:pPr>
        <w:ind w:left="1800" w:hanging="360"/>
      </w:pPr>
      <w:rPr>
        <w:rFonts w:ascii="Symbol" w:hAnsi="Symbol"/>
      </w:rPr>
    </w:lvl>
    <w:lvl w:ilvl="4" w:tplc="CD360FB2">
      <w:start w:val="1"/>
      <w:numFmt w:val="bullet"/>
      <w:lvlText w:val=""/>
      <w:lvlJc w:val="left"/>
      <w:pPr>
        <w:ind w:left="1800" w:hanging="360"/>
      </w:pPr>
      <w:rPr>
        <w:rFonts w:ascii="Symbol" w:hAnsi="Symbol"/>
      </w:rPr>
    </w:lvl>
    <w:lvl w:ilvl="5" w:tplc="739A4466">
      <w:start w:val="1"/>
      <w:numFmt w:val="bullet"/>
      <w:lvlText w:val=""/>
      <w:lvlJc w:val="left"/>
      <w:pPr>
        <w:ind w:left="1800" w:hanging="360"/>
      </w:pPr>
      <w:rPr>
        <w:rFonts w:ascii="Symbol" w:hAnsi="Symbol"/>
      </w:rPr>
    </w:lvl>
    <w:lvl w:ilvl="6" w:tplc="6D306758">
      <w:start w:val="1"/>
      <w:numFmt w:val="bullet"/>
      <w:lvlText w:val=""/>
      <w:lvlJc w:val="left"/>
      <w:pPr>
        <w:ind w:left="1800" w:hanging="360"/>
      </w:pPr>
      <w:rPr>
        <w:rFonts w:ascii="Symbol" w:hAnsi="Symbol"/>
      </w:rPr>
    </w:lvl>
    <w:lvl w:ilvl="7" w:tplc="2F94B92E">
      <w:start w:val="1"/>
      <w:numFmt w:val="bullet"/>
      <w:lvlText w:val=""/>
      <w:lvlJc w:val="left"/>
      <w:pPr>
        <w:ind w:left="1800" w:hanging="360"/>
      </w:pPr>
      <w:rPr>
        <w:rFonts w:ascii="Symbol" w:hAnsi="Symbol"/>
      </w:rPr>
    </w:lvl>
    <w:lvl w:ilvl="8" w:tplc="A68E11C0">
      <w:start w:val="1"/>
      <w:numFmt w:val="bullet"/>
      <w:lvlText w:val=""/>
      <w:lvlJc w:val="left"/>
      <w:pPr>
        <w:ind w:left="1800" w:hanging="360"/>
      </w:pPr>
      <w:rPr>
        <w:rFonts w:ascii="Symbol" w:hAnsi="Symbol"/>
      </w:rPr>
    </w:lvl>
  </w:abstractNum>
  <w:abstractNum w:abstractNumId="3" w15:restartNumberingAfterBreak="0">
    <w:nsid w:val="16B01357"/>
    <w:multiLevelType w:val="hybridMultilevel"/>
    <w:tmpl w:val="4CEEA068"/>
    <w:lvl w:ilvl="0" w:tplc="3C7CAEC8">
      <w:start w:val="1"/>
      <w:numFmt w:val="bullet"/>
      <w:lvlText w:val=""/>
      <w:lvlJc w:val="left"/>
      <w:pPr>
        <w:ind w:left="1800" w:hanging="360"/>
      </w:pPr>
      <w:rPr>
        <w:rFonts w:ascii="Symbol" w:hAnsi="Symbol"/>
      </w:rPr>
    </w:lvl>
    <w:lvl w:ilvl="1" w:tplc="D6DE8826">
      <w:start w:val="1"/>
      <w:numFmt w:val="bullet"/>
      <w:lvlText w:val=""/>
      <w:lvlJc w:val="left"/>
      <w:pPr>
        <w:ind w:left="1800" w:hanging="360"/>
      </w:pPr>
      <w:rPr>
        <w:rFonts w:ascii="Symbol" w:hAnsi="Symbol"/>
      </w:rPr>
    </w:lvl>
    <w:lvl w:ilvl="2" w:tplc="AB207898">
      <w:start w:val="1"/>
      <w:numFmt w:val="bullet"/>
      <w:lvlText w:val=""/>
      <w:lvlJc w:val="left"/>
      <w:pPr>
        <w:ind w:left="1800" w:hanging="360"/>
      </w:pPr>
      <w:rPr>
        <w:rFonts w:ascii="Symbol" w:hAnsi="Symbol"/>
      </w:rPr>
    </w:lvl>
    <w:lvl w:ilvl="3" w:tplc="DB805E36">
      <w:start w:val="1"/>
      <w:numFmt w:val="bullet"/>
      <w:lvlText w:val=""/>
      <w:lvlJc w:val="left"/>
      <w:pPr>
        <w:ind w:left="1800" w:hanging="360"/>
      </w:pPr>
      <w:rPr>
        <w:rFonts w:ascii="Symbol" w:hAnsi="Symbol"/>
      </w:rPr>
    </w:lvl>
    <w:lvl w:ilvl="4" w:tplc="DB2CE1AE">
      <w:start w:val="1"/>
      <w:numFmt w:val="bullet"/>
      <w:lvlText w:val=""/>
      <w:lvlJc w:val="left"/>
      <w:pPr>
        <w:ind w:left="1800" w:hanging="360"/>
      </w:pPr>
      <w:rPr>
        <w:rFonts w:ascii="Symbol" w:hAnsi="Symbol"/>
      </w:rPr>
    </w:lvl>
    <w:lvl w:ilvl="5" w:tplc="7964522C">
      <w:start w:val="1"/>
      <w:numFmt w:val="bullet"/>
      <w:lvlText w:val=""/>
      <w:lvlJc w:val="left"/>
      <w:pPr>
        <w:ind w:left="1800" w:hanging="360"/>
      </w:pPr>
      <w:rPr>
        <w:rFonts w:ascii="Symbol" w:hAnsi="Symbol"/>
      </w:rPr>
    </w:lvl>
    <w:lvl w:ilvl="6" w:tplc="D0E683CE">
      <w:start w:val="1"/>
      <w:numFmt w:val="bullet"/>
      <w:lvlText w:val=""/>
      <w:lvlJc w:val="left"/>
      <w:pPr>
        <w:ind w:left="1800" w:hanging="360"/>
      </w:pPr>
      <w:rPr>
        <w:rFonts w:ascii="Symbol" w:hAnsi="Symbol"/>
      </w:rPr>
    </w:lvl>
    <w:lvl w:ilvl="7" w:tplc="E350EF9A">
      <w:start w:val="1"/>
      <w:numFmt w:val="bullet"/>
      <w:lvlText w:val=""/>
      <w:lvlJc w:val="left"/>
      <w:pPr>
        <w:ind w:left="1800" w:hanging="360"/>
      </w:pPr>
      <w:rPr>
        <w:rFonts w:ascii="Symbol" w:hAnsi="Symbol"/>
      </w:rPr>
    </w:lvl>
    <w:lvl w:ilvl="8" w:tplc="6F34A9CC">
      <w:start w:val="1"/>
      <w:numFmt w:val="bullet"/>
      <w:lvlText w:val=""/>
      <w:lvlJc w:val="left"/>
      <w:pPr>
        <w:ind w:left="1800" w:hanging="360"/>
      </w:pPr>
      <w:rPr>
        <w:rFonts w:ascii="Symbol" w:hAnsi="Symbol"/>
      </w:rPr>
    </w:lvl>
  </w:abstractNum>
  <w:abstractNum w:abstractNumId="4" w15:restartNumberingAfterBreak="0">
    <w:nsid w:val="1BA5F9AE"/>
    <w:multiLevelType w:val="hybridMultilevel"/>
    <w:tmpl w:val="287C9494"/>
    <w:lvl w:ilvl="0" w:tplc="08090001">
      <w:start w:val="1"/>
      <w:numFmt w:val="bullet"/>
      <w:lvlText w:val=""/>
      <w:lvlJc w:val="left"/>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299F6FD1"/>
    <w:multiLevelType w:val="hybridMultilevel"/>
    <w:tmpl w:val="F8209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D22660"/>
    <w:multiLevelType w:val="hybridMultilevel"/>
    <w:tmpl w:val="DCAAEF18"/>
    <w:lvl w:ilvl="0" w:tplc="FBDA8038">
      <w:start w:val="1"/>
      <w:numFmt w:val="bullet"/>
      <w:lvlText w:val=""/>
      <w:lvlJc w:val="left"/>
      <w:pPr>
        <w:ind w:left="1800" w:hanging="360"/>
      </w:pPr>
      <w:rPr>
        <w:rFonts w:ascii="Symbol" w:hAnsi="Symbol"/>
      </w:rPr>
    </w:lvl>
    <w:lvl w:ilvl="1" w:tplc="787227C4">
      <w:start w:val="1"/>
      <w:numFmt w:val="bullet"/>
      <w:lvlText w:val=""/>
      <w:lvlJc w:val="left"/>
      <w:pPr>
        <w:ind w:left="1800" w:hanging="360"/>
      </w:pPr>
      <w:rPr>
        <w:rFonts w:ascii="Symbol" w:hAnsi="Symbol"/>
      </w:rPr>
    </w:lvl>
    <w:lvl w:ilvl="2" w:tplc="DF208AEE">
      <w:start w:val="1"/>
      <w:numFmt w:val="bullet"/>
      <w:lvlText w:val=""/>
      <w:lvlJc w:val="left"/>
      <w:pPr>
        <w:ind w:left="1800" w:hanging="360"/>
      </w:pPr>
      <w:rPr>
        <w:rFonts w:ascii="Symbol" w:hAnsi="Symbol"/>
      </w:rPr>
    </w:lvl>
    <w:lvl w:ilvl="3" w:tplc="3F5893B6">
      <w:start w:val="1"/>
      <w:numFmt w:val="bullet"/>
      <w:lvlText w:val=""/>
      <w:lvlJc w:val="left"/>
      <w:pPr>
        <w:ind w:left="1800" w:hanging="360"/>
      </w:pPr>
      <w:rPr>
        <w:rFonts w:ascii="Symbol" w:hAnsi="Symbol"/>
      </w:rPr>
    </w:lvl>
    <w:lvl w:ilvl="4" w:tplc="182A7D72">
      <w:start w:val="1"/>
      <w:numFmt w:val="bullet"/>
      <w:lvlText w:val=""/>
      <w:lvlJc w:val="left"/>
      <w:pPr>
        <w:ind w:left="1800" w:hanging="360"/>
      </w:pPr>
      <w:rPr>
        <w:rFonts w:ascii="Symbol" w:hAnsi="Symbol"/>
      </w:rPr>
    </w:lvl>
    <w:lvl w:ilvl="5" w:tplc="EEE206EA">
      <w:start w:val="1"/>
      <w:numFmt w:val="bullet"/>
      <w:lvlText w:val=""/>
      <w:lvlJc w:val="left"/>
      <w:pPr>
        <w:ind w:left="1800" w:hanging="360"/>
      </w:pPr>
      <w:rPr>
        <w:rFonts w:ascii="Symbol" w:hAnsi="Symbol"/>
      </w:rPr>
    </w:lvl>
    <w:lvl w:ilvl="6" w:tplc="9384B116">
      <w:start w:val="1"/>
      <w:numFmt w:val="bullet"/>
      <w:lvlText w:val=""/>
      <w:lvlJc w:val="left"/>
      <w:pPr>
        <w:ind w:left="1800" w:hanging="360"/>
      </w:pPr>
      <w:rPr>
        <w:rFonts w:ascii="Symbol" w:hAnsi="Symbol"/>
      </w:rPr>
    </w:lvl>
    <w:lvl w:ilvl="7" w:tplc="3506881E">
      <w:start w:val="1"/>
      <w:numFmt w:val="bullet"/>
      <w:lvlText w:val=""/>
      <w:lvlJc w:val="left"/>
      <w:pPr>
        <w:ind w:left="1800" w:hanging="360"/>
      </w:pPr>
      <w:rPr>
        <w:rFonts w:ascii="Symbol" w:hAnsi="Symbol"/>
      </w:rPr>
    </w:lvl>
    <w:lvl w:ilvl="8" w:tplc="83AA971A">
      <w:start w:val="1"/>
      <w:numFmt w:val="bullet"/>
      <w:lvlText w:val=""/>
      <w:lvlJc w:val="left"/>
      <w:pPr>
        <w:ind w:left="1800" w:hanging="360"/>
      </w:pPr>
      <w:rPr>
        <w:rFonts w:ascii="Symbol" w:hAnsi="Symbol"/>
      </w:rPr>
    </w:lvl>
  </w:abstractNum>
  <w:abstractNum w:abstractNumId="7" w15:restartNumberingAfterBreak="0">
    <w:nsid w:val="2CB5522D"/>
    <w:multiLevelType w:val="hybridMultilevel"/>
    <w:tmpl w:val="BDD04EA8"/>
    <w:lvl w:ilvl="0" w:tplc="FDD6A262">
      <w:start w:val="1"/>
      <w:numFmt w:val="bullet"/>
      <w:lvlText w:val=""/>
      <w:lvlJc w:val="left"/>
      <w:pPr>
        <w:ind w:left="1800" w:hanging="360"/>
      </w:pPr>
      <w:rPr>
        <w:rFonts w:ascii="Symbol" w:hAnsi="Symbol"/>
      </w:rPr>
    </w:lvl>
    <w:lvl w:ilvl="1" w:tplc="0ECAB38C">
      <w:start w:val="1"/>
      <w:numFmt w:val="bullet"/>
      <w:lvlText w:val=""/>
      <w:lvlJc w:val="left"/>
      <w:pPr>
        <w:ind w:left="1800" w:hanging="360"/>
      </w:pPr>
      <w:rPr>
        <w:rFonts w:ascii="Symbol" w:hAnsi="Symbol"/>
      </w:rPr>
    </w:lvl>
    <w:lvl w:ilvl="2" w:tplc="B2643434">
      <w:start w:val="1"/>
      <w:numFmt w:val="bullet"/>
      <w:lvlText w:val=""/>
      <w:lvlJc w:val="left"/>
      <w:pPr>
        <w:ind w:left="1800" w:hanging="360"/>
      </w:pPr>
      <w:rPr>
        <w:rFonts w:ascii="Symbol" w:hAnsi="Symbol"/>
      </w:rPr>
    </w:lvl>
    <w:lvl w:ilvl="3" w:tplc="FD347AA8">
      <w:start w:val="1"/>
      <w:numFmt w:val="bullet"/>
      <w:lvlText w:val=""/>
      <w:lvlJc w:val="left"/>
      <w:pPr>
        <w:ind w:left="1800" w:hanging="360"/>
      </w:pPr>
      <w:rPr>
        <w:rFonts w:ascii="Symbol" w:hAnsi="Symbol"/>
      </w:rPr>
    </w:lvl>
    <w:lvl w:ilvl="4" w:tplc="01C67942">
      <w:start w:val="1"/>
      <w:numFmt w:val="bullet"/>
      <w:lvlText w:val=""/>
      <w:lvlJc w:val="left"/>
      <w:pPr>
        <w:ind w:left="1800" w:hanging="360"/>
      </w:pPr>
      <w:rPr>
        <w:rFonts w:ascii="Symbol" w:hAnsi="Symbol"/>
      </w:rPr>
    </w:lvl>
    <w:lvl w:ilvl="5" w:tplc="71F42D8A">
      <w:start w:val="1"/>
      <w:numFmt w:val="bullet"/>
      <w:lvlText w:val=""/>
      <w:lvlJc w:val="left"/>
      <w:pPr>
        <w:ind w:left="1800" w:hanging="360"/>
      </w:pPr>
      <w:rPr>
        <w:rFonts w:ascii="Symbol" w:hAnsi="Symbol"/>
      </w:rPr>
    </w:lvl>
    <w:lvl w:ilvl="6" w:tplc="4BE04ED8">
      <w:start w:val="1"/>
      <w:numFmt w:val="bullet"/>
      <w:lvlText w:val=""/>
      <w:lvlJc w:val="left"/>
      <w:pPr>
        <w:ind w:left="1800" w:hanging="360"/>
      </w:pPr>
      <w:rPr>
        <w:rFonts w:ascii="Symbol" w:hAnsi="Symbol"/>
      </w:rPr>
    </w:lvl>
    <w:lvl w:ilvl="7" w:tplc="0504AA02">
      <w:start w:val="1"/>
      <w:numFmt w:val="bullet"/>
      <w:lvlText w:val=""/>
      <w:lvlJc w:val="left"/>
      <w:pPr>
        <w:ind w:left="1800" w:hanging="360"/>
      </w:pPr>
      <w:rPr>
        <w:rFonts w:ascii="Symbol" w:hAnsi="Symbol"/>
      </w:rPr>
    </w:lvl>
    <w:lvl w:ilvl="8" w:tplc="BA46A6B0">
      <w:start w:val="1"/>
      <w:numFmt w:val="bullet"/>
      <w:lvlText w:val=""/>
      <w:lvlJc w:val="left"/>
      <w:pPr>
        <w:ind w:left="1800" w:hanging="360"/>
      </w:pPr>
      <w:rPr>
        <w:rFonts w:ascii="Symbol" w:hAnsi="Symbol"/>
      </w:rPr>
    </w:lvl>
  </w:abstractNum>
  <w:abstractNum w:abstractNumId="8" w15:restartNumberingAfterBreak="0">
    <w:nsid w:val="36B16314"/>
    <w:multiLevelType w:val="hybridMultilevel"/>
    <w:tmpl w:val="2DB86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B9346C"/>
    <w:multiLevelType w:val="hybridMultilevel"/>
    <w:tmpl w:val="9D3C8C4A"/>
    <w:lvl w:ilvl="0" w:tplc="76BEE732">
      <w:start w:val="1"/>
      <w:numFmt w:val="bullet"/>
      <w:lvlText w:val=""/>
      <w:lvlJc w:val="left"/>
      <w:pPr>
        <w:ind w:left="1800" w:hanging="360"/>
      </w:pPr>
      <w:rPr>
        <w:rFonts w:ascii="Symbol" w:hAnsi="Symbol"/>
      </w:rPr>
    </w:lvl>
    <w:lvl w:ilvl="1" w:tplc="25EC14D8">
      <w:start w:val="1"/>
      <w:numFmt w:val="bullet"/>
      <w:lvlText w:val=""/>
      <w:lvlJc w:val="left"/>
      <w:pPr>
        <w:ind w:left="1800" w:hanging="360"/>
      </w:pPr>
      <w:rPr>
        <w:rFonts w:ascii="Symbol" w:hAnsi="Symbol"/>
      </w:rPr>
    </w:lvl>
    <w:lvl w:ilvl="2" w:tplc="11EE5AE6">
      <w:start w:val="1"/>
      <w:numFmt w:val="bullet"/>
      <w:lvlText w:val=""/>
      <w:lvlJc w:val="left"/>
      <w:pPr>
        <w:ind w:left="1800" w:hanging="360"/>
      </w:pPr>
      <w:rPr>
        <w:rFonts w:ascii="Symbol" w:hAnsi="Symbol"/>
      </w:rPr>
    </w:lvl>
    <w:lvl w:ilvl="3" w:tplc="8548A89E">
      <w:start w:val="1"/>
      <w:numFmt w:val="bullet"/>
      <w:lvlText w:val=""/>
      <w:lvlJc w:val="left"/>
      <w:pPr>
        <w:ind w:left="1800" w:hanging="360"/>
      </w:pPr>
      <w:rPr>
        <w:rFonts w:ascii="Symbol" w:hAnsi="Symbol"/>
      </w:rPr>
    </w:lvl>
    <w:lvl w:ilvl="4" w:tplc="2EF26AC6">
      <w:start w:val="1"/>
      <w:numFmt w:val="bullet"/>
      <w:lvlText w:val=""/>
      <w:lvlJc w:val="left"/>
      <w:pPr>
        <w:ind w:left="1800" w:hanging="360"/>
      </w:pPr>
      <w:rPr>
        <w:rFonts w:ascii="Symbol" w:hAnsi="Symbol"/>
      </w:rPr>
    </w:lvl>
    <w:lvl w:ilvl="5" w:tplc="BC22E10A">
      <w:start w:val="1"/>
      <w:numFmt w:val="bullet"/>
      <w:lvlText w:val=""/>
      <w:lvlJc w:val="left"/>
      <w:pPr>
        <w:ind w:left="1800" w:hanging="360"/>
      </w:pPr>
      <w:rPr>
        <w:rFonts w:ascii="Symbol" w:hAnsi="Symbol"/>
      </w:rPr>
    </w:lvl>
    <w:lvl w:ilvl="6" w:tplc="C72C937E">
      <w:start w:val="1"/>
      <w:numFmt w:val="bullet"/>
      <w:lvlText w:val=""/>
      <w:lvlJc w:val="left"/>
      <w:pPr>
        <w:ind w:left="1800" w:hanging="360"/>
      </w:pPr>
      <w:rPr>
        <w:rFonts w:ascii="Symbol" w:hAnsi="Symbol"/>
      </w:rPr>
    </w:lvl>
    <w:lvl w:ilvl="7" w:tplc="D9263E5C">
      <w:start w:val="1"/>
      <w:numFmt w:val="bullet"/>
      <w:lvlText w:val=""/>
      <w:lvlJc w:val="left"/>
      <w:pPr>
        <w:ind w:left="1800" w:hanging="360"/>
      </w:pPr>
      <w:rPr>
        <w:rFonts w:ascii="Symbol" w:hAnsi="Symbol"/>
      </w:rPr>
    </w:lvl>
    <w:lvl w:ilvl="8" w:tplc="A808B1C8">
      <w:start w:val="1"/>
      <w:numFmt w:val="bullet"/>
      <w:lvlText w:val=""/>
      <w:lvlJc w:val="left"/>
      <w:pPr>
        <w:ind w:left="1800" w:hanging="360"/>
      </w:pPr>
      <w:rPr>
        <w:rFonts w:ascii="Symbol" w:hAnsi="Symbol"/>
      </w:rPr>
    </w:lvl>
  </w:abstractNum>
  <w:abstractNum w:abstractNumId="10" w15:restartNumberingAfterBreak="0">
    <w:nsid w:val="3D563C11"/>
    <w:multiLevelType w:val="hybridMultilevel"/>
    <w:tmpl w:val="1CF41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3B025F"/>
    <w:multiLevelType w:val="hybridMultilevel"/>
    <w:tmpl w:val="F0F81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4E4726"/>
    <w:multiLevelType w:val="hybridMultilevel"/>
    <w:tmpl w:val="7B389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EB19C8"/>
    <w:multiLevelType w:val="hybridMultilevel"/>
    <w:tmpl w:val="A0349C8C"/>
    <w:lvl w:ilvl="0" w:tplc="2396A3AC">
      <w:start w:val="1"/>
      <w:numFmt w:val="bullet"/>
      <w:lvlText w:val=""/>
      <w:lvlJc w:val="left"/>
      <w:pPr>
        <w:ind w:left="1080" w:hanging="360"/>
      </w:pPr>
      <w:rPr>
        <w:rFonts w:ascii="Symbol" w:hAnsi="Symbol"/>
      </w:rPr>
    </w:lvl>
    <w:lvl w:ilvl="1" w:tplc="6E2CEBA8">
      <w:start w:val="1"/>
      <w:numFmt w:val="bullet"/>
      <w:lvlText w:val=""/>
      <w:lvlJc w:val="left"/>
      <w:pPr>
        <w:ind w:left="1080" w:hanging="360"/>
      </w:pPr>
      <w:rPr>
        <w:rFonts w:ascii="Symbol" w:hAnsi="Symbol"/>
      </w:rPr>
    </w:lvl>
    <w:lvl w:ilvl="2" w:tplc="47247F74">
      <w:start w:val="1"/>
      <w:numFmt w:val="bullet"/>
      <w:lvlText w:val=""/>
      <w:lvlJc w:val="left"/>
      <w:pPr>
        <w:ind w:left="1080" w:hanging="360"/>
      </w:pPr>
      <w:rPr>
        <w:rFonts w:ascii="Symbol" w:hAnsi="Symbol"/>
      </w:rPr>
    </w:lvl>
    <w:lvl w:ilvl="3" w:tplc="05FC0AD4">
      <w:start w:val="1"/>
      <w:numFmt w:val="bullet"/>
      <w:lvlText w:val=""/>
      <w:lvlJc w:val="left"/>
      <w:pPr>
        <w:ind w:left="1080" w:hanging="360"/>
      </w:pPr>
      <w:rPr>
        <w:rFonts w:ascii="Symbol" w:hAnsi="Symbol"/>
      </w:rPr>
    </w:lvl>
    <w:lvl w:ilvl="4" w:tplc="D292DC8E">
      <w:start w:val="1"/>
      <w:numFmt w:val="bullet"/>
      <w:lvlText w:val=""/>
      <w:lvlJc w:val="left"/>
      <w:pPr>
        <w:ind w:left="1080" w:hanging="360"/>
      </w:pPr>
      <w:rPr>
        <w:rFonts w:ascii="Symbol" w:hAnsi="Symbol"/>
      </w:rPr>
    </w:lvl>
    <w:lvl w:ilvl="5" w:tplc="DFEE63B4">
      <w:start w:val="1"/>
      <w:numFmt w:val="bullet"/>
      <w:lvlText w:val=""/>
      <w:lvlJc w:val="left"/>
      <w:pPr>
        <w:ind w:left="1080" w:hanging="360"/>
      </w:pPr>
      <w:rPr>
        <w:rFonts w:ascii="Symbol" w:hAnsi="Symbol"/>
      </w:rPr>
    </w:lvl>
    <w:lvl w:ilvl="6" w:tplc="7662005E">
      <w:start w:val="1"/>
      <w:numFmt w:val="bullet"/>
      <w:lvlText w:val=""/>
      <w:lvlJc w:val="left"/>
      <w:pPr>
        <w:ind w:left="1080" w:hanging="360"/>
      </w:pPr>
      <w:rPr>
        <w:rFonts w:ascii="Symbol" w:hAnsi="Symbol"/>
      </w:rPr>
    </w:lvl>
    <w:lvl w:ilvl="7" w:tplc="704EFBEE">
      <w:start w:val="1"/>
      <w:numFmt w:val="bullet"/>
      <w:lvlText w:val=""/>
      <w:lvlJc w:val="left"/>
      <w:pPr>
        <w:ind w:left="1080" w:hanging="360"/>
      </w:pPr>
      <w:rPr>
        <w:rFonts w:ascii="Symbol" w:hAnsi="Symbol"/>
      </w:rPr>
    </w:lvl>
    <w:lvl w:ilvl="8" w:tplc="9E5A4CB6">
      <w:start w:val="1"/>
      <w:numFmt w:val="bullet"/>
      <w:lvlText w:val=""/>
      <w:lvlJc w:val="left"/>
      <w:pPr>
        <w:ind w:left="1080" w:hanging="360"/>
      </w:pPr>
      <w:rPr>
        <w:rFonts w:ascii="Symbol" w:hAnsi="Symbol"/>
      </w:rPr>
    </w:lvl>
  </w:abstractNum>
  <w:abstractNum w:abstractNumId="14" w15:restartNumberingAfterBreak="0">
    <w:nsid w:val="6B1270FD"/>
    <w:multiLevelType w:val="multilevel"/>
    <w:tmpl w:val="D66A3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2598013">
    <w:abstractNumId w:val="4"/>
  </w:num>
  <w:num w:numId="2" w16cid:durableId="411895928">
    <w:abstractNumId w:val="7"/>
  </w:num>
  <w:num w:numId="3" w16cid:durableId="1419252983">
    <w:abstractNumId w:val="3"/>
  </w:num>
  <w:num w:numId="4" w16cid:durableId="623149027">
    <w:abstractNumId w:val="2"/>
  </w:num>
  <w:num w:numId="5" w16cid:durableId="961838381">
    <w:abstractNumId w:val="13"/>
  </w:num>
  <w:num w:numId="6" w16cid:durableId="2122066440">
    <w:abstractNumId w:val="9"/>
  </w:num>
  <w:num w:numId="7" w16cid:durableId="566376028">
    <w:abstractNumId w:val="6"/>
  </w:num>
  <w:num w:numId="8" w16cid:durableId="135149883">
    <w:abstractNumId w:val="10"/>
  </w:num>
  <w:num w:numId="9" w16cid:durableId="493767551">
    <w:abstractNumId w:val="14"/>
  </w:num>
  <w:num w:numId="10" w16cid:durableId="1862743268">
    <w:abstractNumId w:val="12"/>
  </w:num>
  <w:num w:numId="11" w16cid:durableId="1781339021">
    <w:abstractNumId w:val="8"/>
  </w:num>
  <w:num w:numId="12" w16cid:durableId="572588812">
    <w:abstractNumId w:val="0"/>
  </w:num>
  <w:num w:numId="13" w16cid:durableId="1096754559">
    <w:abstractNumId w:val="5"/>
  </w:num>
  <w:num w:numId="14" w16cid:durableId="319309464">
    <w:abstractNumId w:val="1"/>
  </w:num>
  <w:num w:numId="15" w16cid:durableId="16929384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9DC"/>
    <w:rsid w:val="00003B8E"/>
    <w:rsid w:val="0000502B"/>
    <w:rsid w:val="00007234"/>
    <w:rsid w:val="00011A89"/>
    <w:rsid w:val="0002104C"/>
    <w:rsid w:val="00021E8F"/>
    <w:rsid w:val="00022739"/>
    <w:rsid w:val="000332C4"/>
    <w:rsid w:val="00037FBF"/>
    <w:rsid w:val="000411B1"/>
    <w:rsid w:val="0005353F"/>
    <w:rsid w:val="00055231"/>
    <w:rsid w:val="00073133"/>
    <w:rsid w:val="00084483"/>
    <w:rsid w:val="000859C6"/>
    <w:rsid w:val="00096A39"/>
    <w:rsid w:val="000C0C6C"/>
    <w:rsid w:val="000E54D0"/>
    <w:rsid w:val="000F3AD3"/>
    <w:rsid w:val="000F65BE"/>
    <w:rsid w:val="000F7D92"/>
    <w:rsid w:val="00104CDA"/>
    <w:rsid w:val="00105BF8"/>
    <w:rsid w:val="00112398"/>
    <w:rsid w:val="00122D03"/>
    <w:rsid w:val="00131218"/>
    <w:rsid w:val="0013462A"/>
    <w:rsid w:val="00141E07"/>
    <w:rsid w:val="0014521E"/>
    <w:rsid w:val="00154960"/>
    <w:rsid w:val="0015711A"/>
    <w:rsid w:val="0016320A"/>
    <w:rsid w:val="00165672"/>
    <w:rsid w:val="00171514"/>
    <w:rsid w:val="00186945"/>
    <w:rsid w:val="00191FCA"/>
    <w:rsid w:val="00193E2D"/>
    <w:rsid w:val="001A264E"/>
    <w:rsid w:val="001A62CD"/>
    <w:rsid w:val="001B202A"/>
    <w:rsid w:val="001B5FBC"/>
    <w:rsid w:val="001D4E89"/>
    <w:rsid w:val="001D5F0E"/>
    <w:rsid w:val="001D7809"/>
    <w:rsid w:val="001E08E2"/>
    <w:rsid w:val="002025DC"/>
    <w:rsid w:val="00205861"/>
    <w:rsid w:val="002068EA"/>
    <w:rsid w:val="00207E4F"/>
    <w:rsid w:val="00212B42"/>
    <w:rsid w:val="002168C3"/>
    <w:rsid w:val="00221DFE"/>
    <w:rsid w:val="00230834"/>
    <w:rsid w:val="0023524D"/>
    <w:rsid w:val="002460C0"/>
    <w:rsid w:val="002519AB"/>
    <w:rsid w:val="002559D5"/>
    <w:rsid w:val="00255D95"/>
    <w:rsid w:val="0026133A"/>
    <w:rsid w:val="00263D51"/>
    <w:rsid w:val="00275DEC"/>
    <w:rsid w:val="00286853"/>
    <w:rsid w:val="00290EFD"/>
    <w:rsid w:val="002910DA"/>
    <w:rsid w:val="00294AE8"/>
    <w:rsid w:val="002D64D8"/>
    <w:rsid w:val="002E5A93"/>
    <w:rsid w:val="002E6222"/>
    <w:rsid w:val="002E78EA"/>
    <w:rsid w:val="0030484A"/>
    <w:rsid w:val="00304ED2"/>
    <w:rsid w:val="00311D41"/>
    <w:rsid w:val="00317DC3"/>
    <w:rsid w:val="0032090E"/>
    <w:rsid w:val="00327AAD"/>
    <w:rsid w:val="00330882"/>
    <w:rsid w:val="00336742"/>
    <w:rsid w:val="00342591"/>
    <w:rsid w:val="0034496C"/>
    <w:rsid w:val="0036441D"/>
    <w:rsid w:val="00372BDB"/>
    <w:rsid w:val="00374A18"/>
    <w:rsid w:val="0037610E"/>
    <w:rsid w:val="00391047"/>
    <w:rsid w:val="00391156"/>
    <w:rsid w:val="0039588D"/>
    <w:rsid w:val="003A4ED5"/>
    <w:rsid w:val="003A71EC"/>
    <w:rsid w:val="003B4473"/>
    <w:rsid w:val="003C16DB"/>
    <w:rsid w:val="003C2A2A"/>
    <w:rsid w:val="003C2F36"/>
    <w:rsid w:val="003D6F39"/>
    <w:rsid w:val="003F0932"/>
    <w:rsid w:val="003F799C"/>
    <w:rsid w:val="0040215E"/>
    <w:rsid w:val="00402AB9"/>
    <w:rsid w:val="00426D59"/>
    <w:rsid w:val="00430B58"/>
    <w:rsid w:val="00446294"/>
    <w:rsid w:val="00447028"/>
    <w:rsid w:val="0045687C"/>
    <w:rsid w:val="00470A84"/>
    <w:rsid w:val="004750C8"/>
    <w:rsid w:val="00484931"/>
    <w:rsid w:val="00491944"/>
    <w:rsid w:val="0049448F"/>
    <w:rsid w:val="004A1D94"/>
    <w:rsid w:val="004A2296"/>
    <w:rsid w:val="004C1757"/>
    <w:rsid w:val="004C1FAE"/>
    <w:rsid w:val="004C436B"/>
    <w:rsid w:val="004C589B"/>
    <w:rsid w:val="004C6909"/>
    <w:rsid w:val="004C7536"/>
    <w:rsid w:val="004D4732"/>
    <w:rsid w:val="004D50E5"/>
    <w:rsid w:val="004E78F8"/>
    <w:rsid w:val="004F4CE9"/>
    <w:rsid w:val="00503717"/>
    <w:rsid w:val="005234B6"/>
    <w:rsid w:val="005246E6"/>
    <w:rsid w:val="005400FC"/>
    <w:rsid w:val="005450BE"/>
    <w:rsid w:val="0055432A"/>
    <w:rsid w:val="0055436E"/>
    <w:rsid w:val="005555E2"/>
    <w:rsid w:val="00570316"/>
    <w:rsid w:val="00573C71"/>
    <w:rsid w:val="00577F78"/>
    <w:rsid w:val="0058358A"/>
    <w:rsid w:val="00590F1A"/>
    <w:rsid w:val="00592780"/>
    <w:rsid w:val="005A13CC"/>
    <w:rsid w:val="005C0A6F"/>
    <w:rsid w:val="005C501C"/>
    <w:rsid w:val="005D53CB"/>
    <w:rsid w:val="005E419E"/>
    <w:rsid w:val="005E6A6D"/>
    <w:rsid w:val="005F72FC"/>
    <w:rsid w:val="006126A2"/>
    <w:rsid w:val="0062222C"/>
    <w:rsid w:val="006244BB"/>
    <w:rsid w:val="00637DD5"/>
    <w:rsid w:val="006431E0"/>
    <w:rsid w:val="00645ECD"/>
    <w:rsid w:val="0065429B"/>
    <w:rsid w:val="00657397"/>
    <w:rsid w:val="00691934"/>
    <w:rsid w:val="006A1FE1"/>
    <w:rsid w:val="006D52C9"/>
    <w:rsid w:val="006F2411"/>
    <w:rsid w:val="00700C97"/>
    <w:rsid w:val="00702B8F"/>
    <w:rsid w:val="007059DC"/>
    <w:rsid w:val="007063E8"/>
    <w:rsid w:val="00717351"/>
    <w:rsid w:val="007317BD"/>
    <w:rsid w:val="00737B43"/>
    <w:rsid w:val="0075251A"/>
    <w:rsid w:val="00752FEB"/>
    <w:rsid w:val="00753A5E"/>
    <w:rsid w:val="00753B2D"/>
    <w:rsid w:val="00754989"/>
    <w:rsid w:val="007555F4"/>
    <w:rsid w:val="00755750"/>
    <w:rsid w:val="00764C28"/>
    <w:rsid w:val="00770E14"/>
    <w:rsid w:val="00780ED0"/>
    <w:rsid w:val="00784FD5"/>
    <w:rsid w:val="007A2348"/>
    <w:rsid w:val="007A693A"/>
    <w:rsid w:val="007B0698"/>
    <w:rsid w:val="007B0B42"/>
    <w:rsid w:val="007B24EC"/>
    <w:rsid w:val="007B338A"/>
    <w:rsid w:val="007B53F1"/>
    <w:rsid w:val="007C23C8"/>
    <w:rsid w:val="007C2B6B"/>
    <w:rsid w:val="007D20CF"/>
    <w:rsid w:val="007D5743"/>
    <w:rsid w:val="007E30F3"/>
    <w:rsid w:val="007E4C14"/>
    <w:rsid w:val="007E597A"/>
    <w:rsid w:val="007E5CE4"/>
    <w:rsid w:val="007E7914"/>
    <w:rsid w:val="007F078D"/>
    <w:rsid w:val="0082167D"/>
    <w:rsid w:val="00825503"/>
    <w:rsid w:val="008333FB"/>
    <w:rsid w:val="008364C3"/>
    <w:rsid w:val="00836CFA"/>
    <w:rsid w:val="00852AAE"/>
    <w:rsid w:val="00853B61"/>
    <w:rsid w:val="008B6AEB"/>
    <w:rsid w:val="008C554F"/>
    <w:rsid w:val="008D01B6"/>
    <w:rsid w:val="008D3E18"/>
    <w:rsid w:val="008E3932"/>
    <w:rsid w:val="008E5CEA"/>
    <w:rsid w:val="008E7E61"/>
    <w:rsid w:val="008F481D"/>
    <w:rsid w:val="008F67CF"/>
    <w:rsid w:val="00913632"/>
    <w:rsid w:val="009251F7"/>
    <w:rsid w:val="00927B0D"/>
    <w:rsid w:val="00933A47"/>
    <w:rsid w:val="009478E6"/>
    <w:rsid w:val="00954B58"/>
    <w:rsid w:val="00954B91"/>
    <w:rsid w:val="00957BC9"/>
    <w:rsid w:val="0096218E"/>
    <w:rsid w:val="0097528C"/>
    <w:rsid w:val="00982D0D"/>
    <w:rsid w:val="00985C86"/>
    <w:rsid w:val="00986D70"/>
    <w:rsid w:val="0099459E"/>
    <w:rsid w:val="0099759E"/>
    <w:rsid w:val="009A032C"/>
    <w:rsid w:val="009A1B80"/>
    <w:rsid w:val="009A76CF"/>
    <w:rsid w:val="009C27B3"/>
    <w:rsid w:val="009D34E6"/>
    <w:rsid w:val="009D770C"/>
    <w:rsid w:val="009E5384"/>
    <w:rsid w:val="009E79DF"/>
    <w:rsid w:val="00A10C88"/>
    <w:rsid w:val="00A13499"/>
    <w:rsid w:val="00A15417"/>
    <w:rsid w:val="00A30D4C"/>
    <w:rsid w:val="00A30E76"/>
    <w:rsid w:val="00A41DB7"/>
    <w:rsid w:val="00A51917"/>
    <w:rsid w:val="00A6490F"/>
    <w:rsid w:val="00A65D54"/>
    <w:rsid w:val="00A7110F"/>
    <w:rsid w:val="00A723FC"/>
    <w:rsid w:val="00A72D22"/>
    <w:rsid w:val="00A82AE1"/>
    <w:rsid w:val="00A85A1F"/>
    <w:rsid w:val="00A90403"/>
    <w:rsid w:val="00A965B6"/>
    <w:rsid w:val="00AA298A"/>
    <w:rsid w:val="00AB32E1"/>
    <w:rsid w:val="00AB4442"/>
    <w:rsid w:val="00AB5F9A"/>
    <w:rsid w:val="00AB6032"/>
    <w:rsid w:val="00AD52D0"/>
    <w:rsid w:val="00AE6382"/>
    <w:rsid w:val="00AF7454"/>
    <w:rsid w:val="00B04E00"/>
    <w:rsid w:val="00B05A88"/>
    <w:rsid w:val="00B07AF2"/>
    <w:rsid w:val="00B10263"/>
    <w:rsid w:val="00B112C9"/>
    <w:rsid w:val="00B17BC3"/>
    <w:rsid w:val="00B23CA9"/>
    <w:rsid w:val="00B24594"/>
    <w:rsid w:val="00B2674A"/>
    <w:rsid w:val="00B414D4"/>
    <w:rsid w:val="00B41C40"/>
    <w:rsid w:val="00B45388"/>
    <w:rsid w:val="00B47083"/>
    <w:rsid w:val="00B51B98"/>
    <w:rsid w:val="00B565D6"/>
    <w:rsid w:val="00B6530E"/>
    <w:rsid w:val="00B73073"/>
    <w:rsid w:val="00B838A9"/>
    <w:rsid w:val="00B838F2"/>
    <w:rsid w:val="00B8789F"/>
    <w:rsid w:val="00B93B69"/>
    <w:rsid w:val="00BA47FD"/>
    <w:rsid w:val="00BB54E7"/>
    <w:rsid w:val="00BB7250"/>
    <w:rsid w:val="00BC2AAF"/>
    <w:rsid w:val="00BC3C7D"/>
    <w:rsid w:val="00BC5AB5"/>
    <w:rsid w:val="00BD4187"/>
    <w:rsid w:val="00BE33DA"/>
    <w:rsid w:val="00BF0E50"/>
    <w:rsid w:val="00BF219F"/>
    <w:rsid w:val="00BF55CB"/>
    <w:rsid w:val="00C000A0"/>
    <w:rsid w:val="00C02C19"/>
    <w:rsid w:val="00C06142"/>
    <w:rsid w:val="00C103F5"/>
    <w:rsid w:val="00C20A35"/>
    <w:rsid w:val="00C2183A"/>
    <w:rsid w:val="00C225FE"/>
    <w:rsid w:val="00C242B4"/>
    <w:rsid w:val="00C42540"/>
    <w:rsid w:val="00C45946"/>
    <w:rsid w:val="00C45B1B"/>
    <w:rsid w:val="00C52232"/>
    <w:rsid w:val="00C536D9"/>
    <w:rsid w:val="00C539B4"/>
    <w:rsid w:val="00C60124"/>
    <w:rsid w:val="00C63597"/>
    <w:rsid w:val="00C642D0"/>
    <w:rsid w:val="00C83B8C"/>
    <w:rsid w:val="00C84A93"/>
    <w:rsid w:val="00C85885"/>
    <w:rsid w:val="00C87FE9"/>
    <w:rsid w:val="00C93AF5"/>
    <w:rsid w:val="00CB674A"/>
    <w:rsid w:val="00CE7EE8"/>
    <w:rsid w:val="00CF053A"/>
    <w:rsid w:val="00D126D0"/>
    <w:rsid w:val="00D12723"/>
    <w:rsid w:val="00D13EE3"/>
    <w:rsid w:val="00D5235A"/>
    <w:rsid w:val="00D55A20"/>
    <w:rsid w:val="00D56400"/>
    <w:rsid w:val="00D57BFF"/>
    <w:rsid w:val="00D67DD3"/>
    <w:rsid w:val="00D75B58"/>
    <w:rsid w:val="00D81145"/>
    <w:rsid w:val="00D83637"/>
    <w:rsid w:val="00D9587D"/>
    <w:rsid w:val="00D9609C"/>
    <w:rsid w:val="00D97DC2"/>
    <w:rsid w:val="00DA20D4"/>
    <w:rsid w:val="00DA350F"/>
    <w:rsid w:val="00DA4CAE"/>
    <w:rsid w:val="00DB0171"/>
    <w:rsid w:val="00DB7417"/>
    <w:rsid w:val="00DC1052"/>
    <w:rsid w:val="00DC365C"/>
    <w:rsid w:val="00DD303C"/>
    <w:rsid w:val="00DD3A7C"/>
    <w:rsid w:val="00E007D7"/>
    <w:rsid w:val="00E05DFD"/>
    <w:rsid w:val="00E11602"/>
    <w:rsid w:val="00E11A53"/>
    <w:rsid w:val="00E126C8"/>
    <w:rsid w:val="00E16556"/>
    <w:rsid w:val="00E357C3"/>
    <w:rsid w:val="00E430AE"/>
    <w:rsid w:val="00E44825"/>
    <w:rsid w:val="00E6189D"/>
    <w:rsid w:val="00E63A6C"/>
    <w:rsid w:val="00E6469B"/>
    <w:rsid w:val="00E64F3A"/>
    <w:rsid w:val="00E65BB9"/>
    <w:rsid w:val="00E73771"/>
    <w:rsid w:val="00E7744E"/>
    <w:rsid w:val="00E77DDB"/>
    <w:rsid w:val="00E92052"/>
    <w:rsid w:val="00E95F09"/>
    <w:rsid w:val="00EA3660"/>
    <w:rsid w:val="00EB2AAD"/>
    <w:rsid w:val="00EC4202"/>
    <w:rsid w:val="00EC7EEE"/>
    <w:rsid w:val="00ED2E25"/>
    <w:rsid w:val="00ED6279"/>
    <w:rsid w:val="00EF3F3E"/>
    <w:rsid w:val="00F02D12"/>
    <w:rsid w:val="00F037EB"/>
    <w:rsid w:val="00F05E21"/>
    <w:rsid w:val="00F25DF7"/>
    <w:rsid w:val="00F3308C"/>
    <w:rsid w:val="00F44173"/>
    <w:rsid w:val="00F51E72"/>
    <w:rsid w:val="00F618CB"/>
    <w:rsid w:val="00F80A07"/>
    <w:rsid w:val="00F8530B"/>
    <w:rsid w:val="00F87D25"/>
    <w:rsid w:val="00FA27DC"/>
    <w:rsid w:val="00FC13EA"/>
    <w:rsid w:val="00FC695B"/>
    <w:rsid w:val="00FC6B10"/>
    <w:rsid w:val="00FC74CB"/>
    <w:rsid w:val="00FD5D9D"/>
    <w:rsid w:val="00FD7EB4"/>
    <w:rsid w:val="00FE2D36"/>
    <w:rsid w:val="00FE43A7"/>
    <w:rsid w:val="00FE4458"/>
    <w:rsid w:val="00FF1475"/>
    <w:rsid w:val="00FF38CF"/>
    <w:rsid w:val="00FF5CC7"/>
    <w:rsid w:val="00FF6611"/>
    <w:rsid w:val="3B6C94F9"/>
    <w:rsid w:val="4DD4FAAC"/>
    <w:rsid w:val="704A2E36"/>
    <w:rsid w:val="70D67CE5"/>
    <w:rsid w:val="727C57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DA8C3D"/>
  <w15:chartTrackingRefBased/>
  <w15:docId w15:val="{86F32213-0CBA-449B-8EBC-D17739206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59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59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59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59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59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59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59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59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59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9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59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059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59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59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59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59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59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59DC"/>
    <w:rPr>
      <w:rFonts w:eastAsiaTheme="majorEastAsia" w:cstheme="majorBidi"/>
      <w:color w:val="272727" w:themeColor="text1" w:themeTint="D8"/>
    </w:rPr>
  </w:style>
  <w:style w:type="paragraph" w:styleId="Title">
    <w:name w:val="Title"/>
    <w:basedOn w:val="Normal"/>
    <w:next w:val="Normal"/>
    <w:link w:val="TitleChar"/>
    <w:uiPriority w:val="10"/>
    <w:qFormat/>
    <w:rsid w:val="007059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59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59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59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59DC"/>
    <w:pPr>
      <w:spacing w:before="160"/>
      <w:jc w:val="center"/>
    </w:pPr>
    <w:rPr>
      <w:i/>
      <w:iCs/>
      <w:color w:val="404040" w:themeColor="text1" w:themeTint="BF"/>
    </w:rPr>
  </w:style>
  <w:style w:type="character" w:customStyle="1" w:styleId="QuoteChar">
    <w:name w:val="Quote Char"/>
    <w:basedOn w:val="DefaultParagraphFont"/>
    <w:link w:val="Quote"/>
    <w:uiPriority w:val="29"/>
    <w:rsid w:val="007059DC"/>
    <w:rPr>
      <w:i/>
      <w:iCs/>
      <w:color w:val="404040" w:themeColor="text1" w:themeTint="BF"/>
    </w:rPr>
  </w:style>
  <w:style w:type="paragraph" w:styleId="ListParagraph">
    <w:name w:val="List Paragraph"/>
    <w:basedOn w:val="Normal"/>
    <w:uiPriority w:val="34"/>
    <w:qFormat/>
    <w:rsid w:val="007059DC"/>
    <w:pPr>
      <w:ind w:left="720"/>
      <w:contextualSpacing/>
    </w:pPr>
  </w:style>
  <w:style w:type="character" w:styleId="IntenseEmphasis">
    <w:name w:val="Intense Emphasis"/>
    <w:basedOn w:val="DefaultParagraphFont"/>
    <w:uiPriority w:val="21"/>
    <w:qFormat/>
    <w:rsid w:val="007059DC"/>
    <w:rPr>
      <w:i/>
      <w:iCs/>
      <w:color w:val="0F4761" w:themeColor="accent1" w:themeShade="BF"/>
    </w:rPr>
  </w:style>
  <w:style w:type="paragraph" w:styleId="IntenseQuote">
    <w:name w:val="Intense Quote"/>
    <w:basedOn w:val="Normal"/>
    <w:next w:val="Normal"/>
    <w:link w:val="IntenseQuoteChar"/>
    <w:uiPriority w:val="30"/>
    <w:qFormat/>
    <w:rsid w:val="007059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59DC"/>
    <w:rPr>
      <w:i/>
      <w:iCs/>
      <w:color w:val="0F4761" w:themeColor="accent1" w:themeShade="BF"/>
    </w:rPr>
  </w:style>
  <w:style w:type="character" w:styleId="IntenseReference">
    <w:name w:val="Intense Reference"/>
    <w:basedOn w:val="DefaultParagraphFont"/>
    <w:uiPriority w:val="32"/>
    <w:qFormat/>
    <w:rsid w:val="007059DC"/>
    <w:rPr>
      <w:b/>
      <w:bCs/>
      <w:smallCaps/>
      <w:color w:val="0F4761" w:themeColor="accent1" w:themeShade="BF"/>
      <w:spacing w:val="5"/>
    </w:rPr>
  </w:style>
  <w:style w:type="paragraph" w:styleId="TOCHeading">
    <w:name w:val="TOC Heading"/>
    <w:basedOn w:val="Heading1"/>
    <w:next w:val="Normal"/>
    <w:uiPriority w:val="39"/>
    <w:unhideWhenUsed/>
    <w:qFormat/>
    <w:rsid w:val="00E73771"/>
    <w:pPr>
      <w:spacing w:before="240" w:after="0"/>
      <w:outlineLvl w:val="9"/>
    </w:pPr>
    <w:rPr>
      <w:kern w:val="0"/>
      <w:sz w:val="32"/>
      <w:szCs w:val="32"/>
      <w:lang w:val="en-US"/>
    </w:rPr>
  </w:style>
  <w:style w:type="paragraph" w:styleId="TOC1">
    <w:name w:val="toc 1"/>
    <w:basedOn w:val="Normal"/>
    <w:next w:val="Normal"/>
    <w:autoRedefine/>
    <w:uiPriority w:val="39"/>
    <w:unhideWhenUsed/>
    <w:rsid w:val="00E73771"/>
    <w:pPr>
      <w:spacing w:after="100"/>
    </w:pPr>
  </w:style>
  <w:style w:type="paragraph" w:styleId="TOC2">
    <w:name w:val="toc 2"/>
    <w:basedOn w:val="Normal"/>
    <w:next w:val="Normal"/>
    <w:autoRedefine/>
    <w:uiPriority w:val="39"/>
    <w:unhideWhenUsed/>
    <w:rsid w:val="00E73771"/>
    <w:pPr>
      <w:spacing w:after="100"/>
      <w:ind w:left="220"/>
    </w:pPr>
  </w:style>
  <w:style w:type="character" w:styleId="Hyperlink">
    <w:name w:val="Hyperlink"/>
    <w:basedOn w:val="DefaultParagraphFont"/>
    <w:uiPriority w:val="99"/>
    <w:unhideWhenUsed/>
    <w:rsid w:val="00E73771"/>
    <w:rPr>
      <w:color w:val="467886" w:themeColor="hyperlink"/>
      <w:u w:val="single"/>
    </w:rPr>
  </w:style>
  <w:style w:type="paragraph" w:styleId="Header">
    <w:name w:val="header"/>
    <w:basedOn w:val="Normal"/>
    <w:link w:val="HeaderChar"/>
    <w:uiPriority w:val="99"/>
    <w:unhideWhenUsed/>
    <w:rsid w:val="00E73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771"/>
  </w:style>
  <w:style w:type="character" w:styleId="CommentReference">
    <w:name w:val="annotation reference"/>
    <w:basedOn w:val="DefaultParagraphFont"/>
    <w:uiPriority w:val="99"/>
    <w:semiHidden/>
    <w:unhideWhenUsed/>
    <w:rsid w:val="002025DC"/>
    <w:rPr>
      <w:sz w:val="16"/>
      <w:szCs w:val="16"/>
    </w:rPr>
  </w:style>
  <w:style w:type="paragraph" w:styleId="CommentText">
    <w:name w:val="annotation text"/>
    <w:basedOn w:val="Normal"/>
    <w:link w:val="CommentTextChar"/>
    <w:uiPriority w:val="99"/>
    <w:unhideWhenUsed/>
    <w:rsid w:val="002025DC"/>
    <w:pPr>
      <w:spacing w:line="240" w:lineRule="auto"/>
    </w:pPr>
    <w:rPr>
      <w:sz w:val="20"/>
      <w:szCs w:val="20"/>
    </w:rPr>
  </w:style>
  <w:style w:type="character" w:customStyle="1" w:styleId="CommentTextChar">
    <w:name w:val="Comment Text Char"/>
    <w:basedOn w:val="DefaultParagraphFont"/>
    <w:link w:val="CommentText"/>
    <w:uiPriority w:val="99"/>
    <w:rsid w:val="002025DC"/>
    <w:rPr>
      <w:sz w:val="20"/>
      <w:szCs w:val="20"/>
    </w:rPr>
  </w:style>
  <w:style w:type="paragraph" w:styleId="CommentSubject">
    <w:name w:val="annotation subject"/>
    <w:basedOn w:val="CommentText"/>
    <w:next w:val="CommentText"/>
    <w:link w:val="CommentSubjectChar"/>
    <w:uiPriority w:val="99"/>
    <w:semiHidden/>
    <w:unhideWhenUsed/>
    <w:rsid w:val="002025DC"/>
    <w:rPr>
      <w:b/>
      <w:bCs/>
    </w:rPr>
  </w:style>
  <w:style w:type="character" w:customStyle="1" w:styleId="CommentSubjectChar">
    <w:name w:val="Comment Subject Char"/>
    <w:basedOn w:val="CommentTextChar"/>
    <w:link w:val="CommentSubject"/>
    <w:uiPriority w:val="99"/>
    <w:semiHidden/>
    <w:rsid w:val="002025DC"/>
    <w:rPr>
      <w:b/>
      <w:bCs/>
      <w:sz w:val="20"/>
      <w:szCs w:val="20"/>
    </w:rPr>
  </w:style>
  <w:style w:type="character" w:styleId="UnresolvedMention">
    <w:name w:val="Unresolved Mention"/>
    <w:basedOn w:val="DefaultParagraphFont"/>
    <w:uiPriority w:val="99"/>
    <w:semiHidden/>
    <w:unhideWhenUsed/>
    <w:rsid w:val="002E78EA"/>
    <w:rPr>
      <w:color w:val="605E5C"/>
      <w:shd w:val="clear" w:color="auto" w:fill="E1DFDD"/>
    </w:rPr>
  </w:style>
  <w:style w:type="paragraph" w:styleId="Footer">
    <w:name w:val="footer"/>
    <w:basedOn w:val="Normal"/>
    <w:link w:val="FooterChar"/>
    <w:uiPriority w:val="99"/>
    <w:unhideWhenUsed/>
    <w:rsid w:val="002460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0C0"/>
  </w:style>
  <w:style w:type="character" w:customStyle="1" w:styleId="A3">
    <w:name w:val="A3"/>
    <w:uiPriority w:val="99"/>
    <w:rsid w:val="00E44825"/>
    <w:rPr>
      <w:rFonts w:cs="Manrope ExtraLight"/>
      <w:color w:val="000000"/>
      <w:sz w:val="22"/>
      <w:szCs w:val="22"/>
    </w:rPr>
  </w:style>
  <w:style w:type="paragraph" w:customStyle="1" w:styleId="Default">
    <w:name w:val="Default"/>
    <w:rsid w:val="00BF55CB"/>
    <w:pPr>
      <w:autoSpaceDE w:val="0"/>
      <w:autoSpaceDN w:val="0"/>
      <w:adjustRightInd w:val="0"/>
      <w:spacing w:after="0" w:line="240" w:lineRule="auto"/>
    </w:pPr>
    <w:rPr>
      <w:rFonts w:ascii="Manrope ExtraLight" w:hAnsi="Manrope ExtraLight" w:cs="Manrope ExtraLight"/>
      <w:color w:val="000000"/>
      <w:kern w:val="0"/>
      <w:sz w:val="24"/>
      <w:szCs w:val="24"/>
    </w:rPr>
  </w:style>
  <w:style w:type="paragraph" w:styleId="Revision">
    <w:name w:val="Revision"/>
    <w:hidden/>
    <w:uiPriority w:val="99"/>
    <w:semiHidden/>
    <w:rsid w:val="00141E0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774071">
      <w:bodyDiv w:val="1"/>
      <w:marLeft w:val="0"/>
      <w:marRight w:val="0"/>
      <w:marTop w:val="0"/>
      <w:marBottom w:val="0"/>
      <w:divBdr>
        <w:top w:val="none" w:sz="0" w:space="0" w:color="auto"/>
        <w:left w:val="none" w:sz="0" w:space="0" w:color="auto"/>
        <w:bottom w:val="none" w:sz="0" w:space="0" w:color="auto"/>
        <w:right w:val="none" w:sz="0" w:space="0" w:color="auto"/>
      </w:divBdr>
    </w:div>
    <w:div w:id="1189635728">
      <w:bodyDiv w:val="1"/>
      <w:marLeft w:val="0"/>
      <w:marRight w:val="0"/>
      <w:marTop w:val="0"/>
      <w:marBottom w:val="0"/>
      <w:divBdr>
        <w:top w:val="none" w:sz="0" w:space="0" w:color="auto"/>
        <w:left w:val="none" w:sz="0" w:space="0" w:color="auto"/>
        <w:bottom w:val="none" w:sz="0" w:space="0" w:color="auto"/>
        <w:right w:val="none" w:sz="0" w:space="0" w:color="auto"/>
      </w:divBdr>
    </w:div>
    <w:div w:id="2141265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edr.cymru/wp-content/uploads/2024/09/HEFCW-External-Quality-Review-2022-English.pdf" TargetMode="External"/><Relationship Id="rId18" Type="http://schemas.openxmlformats.org/officeDocument/2006/relationships/hyperlink" Target="https://www.medr.cymru/wp-content/uploads/2024/07/W19-05HE-Procedures-for-assessing-the-quality-of-education.pdf" TargetMode="External"/><Relationship Id="rId26" Type="http://schemas.openxmlformats.org/officeDocument/2006/relationships/hyperlink" Target="https://www.medr.cymru/wp-content/uploads/2024/07/W16-13HE-Guidance-on-partnership-arrangements.pdf" TargetMode="External"/><Relationship Id="rId3" Type="http://schemas.openxmlformats.org/officeDocument/2006/relationships/customXml" Target="../customXml/item3.xml"/><Relationship Id="rId21" Type="http://schemas.openxmlformats.org/officeDocument/2006/relationships/hyperlink" Target="https://www.gov.wales/sites/default/files/publications/2018-03/the-specification-of-apprenticeship-standards-for-wales-sasw.pdf" TargetMode="External"/><Relationship Id="rId7" Type="http://schemas.openxmlformats.org/officeDocument/2006/relationships/settings" Target="settings.xml"/><Relationship Id="rId12" Type="http://schemas.openxmlformats.org/officeDocument/2006/relationships/hyperlink" Target="https://www.medr.cymru/wp-content/uploads/2024/07/Quality-Assessment-Framework-July-2022-English.pdf" TargetMode="External"/><Relationship Id="rId17" Type="http://schemas.openxmlformats.org/officeDocument/2006/relationships/hyperlink" Target="https://www.qaa.ac.uk/docs/qaa/quality-code/higher-education-in-apprenticeships-characteristics-statement.pdf?sfvrsn=1438a081_6" TargetMode="External"/><Relationship Id="rId25" Type="http://schemas.openxmlformats.org/officeDocument/2006/relationships/hyperlink" Target="https://www.medr.cymru/wp-content/uploads/2026/03/Regulatory-Framework-English.pdf" TargetMode="External"/><Relationship Id="rId2" Type="http://schemas.openxmlformats.org/officeDocument/2006/relationships/customXml" Target="../customXml/item2.xml"/><Relationship Id="rId16" Type="http://schemas.openxmlformats.org/officeDocument/2006/relationships/hyperlink" Target="https://www.medr.cymru/wp-content/uploads/2024/09/External-quality-review-Mar2022-English.pdf" TargetMode="External"/><Relationship Id="rId20" Type="http://schemas.openxmlformats.org/officeDocument/2006/relationships/hyperlink" Target="https://www.legislation.gov.uk/ukpga/2009/22/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medr.cymru/wp-content/uploads/2024/07/W19-05HE-Procedures-for-assessing-the-quality-of-education.pdf" TargetMode="External"/><Relationship Id="rId24" Type="http://schemas.openxmlformats.org/officeDocument/2006/relationships/hyperlink" Target="https://www.medr.cymru/en/draft-strategic-plan-2025-2030/" TargetMode="External"/><Relationship Id="rId5" Type="http://schemas.openxmlformats.org/officeDocument/2006/relationships/numbering" Target="numbering.xml"/><Relationship Id="rId15" Type="http://schemas.openxmlformats.org/officeDocument/2006/relationships/hyperlink" Target="https://www.medr.cymru/wp-content/uploads/2024/09/Quality-assessment-framework-Sep2024-English.pdf" TargetMode="External"/><Relationship Id="rId23" Type="http://schemas.openxmlformats.org/officeDocument/2006/relationships/hyperlink" Target="https://www.membershipresources.qaa.ac.uk/teaching-learning-and-assessment/work-based-learning-and-apprenticeships/higher-education-apprenticeships-toolkit"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medr.cymru/wp-content/uploads/2024/07/Quality-Assessment-Framework-July-2022-English.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qaa.ac.uk/reviewing-higher-education/types-of-review/quality-enhancement-review" TargetMode="External"/><Relationship Id="rId22" Type="http://schemas.openxmlformats.org/officeDocument/2006/relationships/hyperlink" Target="https://www.gov.wales/sites/default/files/publications/2018-03/sasw-guidance.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19391f-2189-404c-b48d-070b7f762f6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B4A4E9D8D29CE40BA45B08C4549571E" ma:contentTypeVersion="17" ma:contentTypeDescription="Create a new document." ma:contentTypeScope="" ma:versionID="c51a4574ce04ad5a2780ecfabe214072">
  <xsd:schema xmlns:xsd="http://www.w3.org/2001/XMLSchema" xmlns:xs="http://www.w3.org/2001/XMLSchema" xmlns:p="http://schemas.microsoft.com/office/2006/metadata/properties" xmlns:ns3="e430f26e-24a3-47d6-88b5-297a2476bb10" xmlns:ns4="d819391f-2189-404c-b48d-070b7f762f65" targetNamespace="http://schemas.microsoft.com/office/2006/metadata/properties" ma:root="true" ma:fieldsID="b1e7e5722af04e44ca993ad5815e97fc" ns3:_="" ns4:_="">
    <xsd:import namespace="e430f26e-24a3-47d6-88b5-297a2476bb10"/>
    <xsd:import namespace="d819391f-2189-404c-b48d-070b7f762f6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DateTaken" minOccurs="0"/>
                <xsd:element ref="ns4:MediaServiceAutoKeyPoints" minOccurs="0"/>
                <xsd:element ref="ns4:MediaServiceKeyPoints" minOccurs="0"/>
                <xsd:element ref="ns4:MediaLengthInSeconds" minOccurs="0"/>
                <xsd:element ref="ns4:MediaServiceOCR" minOccurs="0"/>
                <xsd:element ref="ns4:_activity" minOccurs="0"/>
                <xsd:element ref="ns4:MediaServiceObjectDetectorVersions" minOccurs="0"/>
                <xsd:element ref="ns4:MediaServiceSearchPropertie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30f26e-24a3-47d6-88b5-297a2476bb10"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819391f-2189-404c-b48d-070b7f762f65"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E1EE51-7AE5-4F97-B491-2E9FD40C3CCF}">
  <ds:schemaRefs>
    <ds:schemaRef ds:uri="http://schemas.openxmlformats.org/officeDocument/2006/bibliography"/>
  </ds:schemaRefs>
</ds:datastoreItem>
</file>

<file path=customXml/itemProps2.xml><?xml version="1.0" encoding="utf-8"?>
<ds:datastoreItem xmlns:ds="http://schemas.openxmlformats.org/officeDocument/2006/customXml" ds:itemID="{D9E79985-50AD-4426-B3FD-1537F92F008A}">
  <ds:schemaRefs>
    <ds:schemaRef ds:uri="http://schemas.microsoft.com/sharepoint/v3/contenttype/forms"/>
  </ds:schemaRefs>
</ds:datastoreItem>
</file>

<file path=customXml/itemProps3.xml><?xml version="1.0" encoding="utf-8"?>
<ds:datastoreItem xmlns:ds="http://schemas.openxmlformats.org/officeDocument/2006/customXml" ds:itemID="{BBA2EAB7-70AF-4D6E-83E2-185AEF8BA7EF}">
  <ds:schemaRefs>
    <ds:schemaRef ds:uri="http://schemas.microsoft.com/office/2006/metadata/properties"/>
    <ds:schemaRef ds:uri="http://schemas.microsoft.com/office/infopath/2007/PartnerControls"/>
    <ds:schemaRef ds:uri="d819391f-2189-404c-b48d-070b7f762f65"/>
  </ds:schemaRefs>
</ds:datastoreItem>
</file>

<file path=customXml/itemProps4.xml><?xml version="1.0" encoding="utf-8"?>
<ds:datastoreItem xmlns:ds="http://schemas.openxmlformats.org/officeDocument/2006/customXml" ds:itemID="{7C7FEA56-A4DE-4489-9C9D-F6E4AB4091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30f26e-24a3-47d6-88b5-297a2476bb10"/>
    <ds:schemaRef ds:uri="d819391f-2189-404c-b48d-070b7f762f6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553f0066-c24e-444c-9c2a-7427c31ebeab}" enabled="1" method="Standard" siteId="{e5aafe7c-971b-4ab7-b039-141ad36acec0}" removed="0"/>
</clbl:labelList>
</file>

<file path=docProps/app.xml><?xml version="1.0" encoding="utf-8"?>
<Properties xmlns="http://schemas.openxmlformats.org/officeDocument/2006/extended-properties" xmlns:vt="http://schemas.openxmlformats.org/officeDocument/2006/docPropsVTypes">
  <Template>Normal</Template>
  <TotalTime>2</TotalTime>
  <Pages>9</Pages>
  <Words>2840</Words>
  <Characters>16192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South Wales</Company>
  <LinksUpToDate>false</LinksUpToDate>
  <CharactersWithSpaces>18995</CharactersWithSpaces>
  <SharedDoc>false</SharedDoc>
  <HLinks>
    <vt:vector size="96" baseType="variant">
      <vt:variant>
        <vt:i4>4784240</vt:i4>
      </vt:variant>
      <vt:variant>
        <vt:i4>75</vt:i4>
      </vt:variant>
      <vt:variant>
        <vt:i4>0</vt:i4>
      </vt:variant>
      <vt:variant>
        <vt:i4>5</vt:i4>
      </vt:variant>
      <vt:variant>
        <vt:lpwstr>https://www.qaa.ac.uk/docs/qaa/quality-code/higher-education-in-apprenticeships-characteristics-statement.pdf?sfvrsn=1438a081_6</vt:lpwstr>
      </vt:variant>
      <vt:variant>
        <vt:lpwstr/>
      </vt:variant>
      <vt:variant>
        <vt:i4>5177416</vt:i4>
      </vt:variant>
      <vt:variant>
        <vt:i4>72</vt:i4>
      </vt:variant>
      <vt:variant>
        <vt:i4>0</vt:i4>
      </vt:variant>
      <vt:variant>
        <vt:i4>5</vt:i4>
      </vt:variant>
      <vt:variant>
        <vt:lpwstr>https://www.medr.cymru/wp-content/uploads/2024/09/External-quality-review-Mar2022-English.pdf</vt:lpwstr>
      </vt:variant>
      <vt:variant>
        <vt:lpwstr/>
      </vt:variant>
      <vt:variant>
        <vt:i4>2818105</vt:i4>
      </vt:variant>
      <vt:variant>
        <vt:i4>69</vt:i4>
      </vt:variant>
      <vt:variant>
        <vt:i4>0</vt:i4>
      </vt:variant>
      <vt:variant>
        <vt:i4>5</vt:i4>
      </vt:variant>
      <vt:variant>
        <vt:lpwstr>https://www.medr.cymru/wp-content/uploads/2024/09/Quality-assessment-framework-Sep2024-English.pdf</vt:lpwstr>
      </vt:variant>
      <vt:variant>
        <vt:lpwstr/>
      </vt:variant>
      <vt:variant>
        <vt:i4>6553635</vt:i4>
      </vt:variant>
      <vt:variant>
        <vt:i4>66</vt:i4>
      </vt:variant>
      <vt:variant>
        <vt:i4>0</vt:i4>
      </vt:variant>
      <vt:variant>
        <vt:i4>5</vt:i4>
      </vt:variant>
      <vt:variant>
        <vt:lpwstr>http://www.qaa.ac.uk/reviewing-higher-education/types-of-review/quality-enhancement-review</vt:lpwstr>
      </vt:variant>
      <vt:variant>
        <vt:lpwstr/>
      </vt:variant>
      <vt:variant>
        <vt:i4>262217</vt:i4>
      </vt:variant>
      <vt:variant>
        <vt:i4>63</vt:i4>
      </vt:variant>
      <vt:variant>
        <vt:i4>0</vt:i4>
      </vt:variant>
      <vt:variant>
        <vt:i4>5</vt:i4>
      </vt:variant>
      <vt:variant>
        <vt:lpwstr>https://www.medr.cymru/wp-content/uploads/2024/09/HEFCW-External-Quality-Review-2022-English.pdf</vt:lpwstr>
      </vt:variant>
      <vt:variant>
        <vt:lpwstr/>
      </vt:variant>
      <vt:variant>
        <vt:i4>327774</vt:i4>
      </vt:variant>
      <vt:variant>
        <vt:i4>60</vt:i4>
      </vt:variant>
      <vt:variant>
        <vt:i4>0</vt:i4>
      </vt:variant>
      <vt:variant>
        <vt:i4>5</vt:i4>
      </vt:variant>
      <vt:variant>
        <vt:lpwstr>https://www.medr.cymru/wp-content/uploads/2024/07/Quality-Assessment-Framework-July-2022-English.pdf</vt:lpwstr>
      </vt:variant>
      <vt:variant>
        <vt:lpwstr/>
      </vt:variant>
      <vt:variant>
        <vt:i4>458765</vt:i4>
      </vt:variant>
      <vt:variant>
        <vt:i4>57</vt:i4>
      </vt:variant>
      <vt:variant>
        <vt:i4>0</vt:i4>
      </vt:variant>
      <vt:variant>
        <vt:i4>5</vt:i4>
      </vt:variant>
      <vt:variant>
        <vt:lpwstr>https://www.medr.cymru/wp-content/uploads/2024/07/W19-05HE-Procedures-for-assessing-the-quality-of-education.pdf</vt:lpwstr>
      </vt:variant>
      <vt:variant>
        <vt:lpwstr/>
      </vt:variant>
      <vt:variant>
        <vt:i4>2031673</vt:i4>
      </vt:variant>
      <vt:variant>
        <vt:i4>50</vt:i4>
      </vt:variant>
      <vt:variant>
        <vt:i4>0</vt:i4>
      </vt:variant>
      <vt:variant>
        <vt:i4>5</vt:i4>
      </vt:variant>
      <vt:variant>
        <vt:lpwstr/>
      </vt:variant>
      <vt:variant>
        <vt:lpwstr>_Toc188888801</vt:lpwstr>
      </vt:variant>
      <vt:variant>
        <vt:i4>2031673</vt:i4>
      </vt:variant>
      <vt:variant>
        <vt:i4>44</vt:i4>
      </vt:variant>
      <vt:variant>
        <vt:i4>0</vt:i4>
      </vt:variant>
      <vt:variant>
        <vt:i4>5</vt:i4>
      </vt:variant>
      <vt:variant>
        <vt:lpwstr/>
      </vt:variant>
      <vt:variant>
        <vt:lpwstr>_Toc188888800</vt:lpwstr>
      </vt:variant>
      <vt:variant>
        <vt:i4>1441846</vt:i4>
      </vt:variant>
      <vt:variant>
        <vt:i4>38</vt:i4>
      </vt:variant>
      <vt:variant>
        <vt:i4>0</vt:i4>
      </vt:variant>
      <vt:variant>
        <vt:i4>5</vt:i4>
      </vt:variant>
      <vt:variant>
        <vt:lpwstr/>
      </vt:variant>
      <vt:variant>
        <vt:lpwstr>_Toc188888799</vt:lpwstr>
      </vt:variant>
      <vt:variant>
        <vt:i4>1441846</vt:i4>
      </vt:variant>
      <vt:variant>
        <vt:i4>32</vt:i4>
      </vt:variant>
      <vt:variant>
        <vt:i4>0</vt:i4>
      </vt:variant>
      <vt:variant>
        <vt:i4>5</vt:i4>
      </vt:variant>
      <vt:variant>
        <vt:lpwstr/>
      </vt:variant>
      <vt:variant>
        <vt:lpwstr>_Toc188888798</vt:lpwstr>
      </vt:variant>
      <vt:variant>
        <vt:i4>1441846</vt:i4>
      </vt:variant>
      <vt:variant>
        <vt:i4>26</vt:i4>
      </vt:variant>
      <vt:variant>
        <vt:i4>0</vt:i4>
      </vt:variant>
      <vt:variant>
        <vt:i4>5</vt:i4>
      </vt:variant>
      <vt:variant>
        <vt:lpwstr/>
      </vt:variant>
      <vt:variant>
        <vt:lpwstr>_Toc188888797</vt:lpwstr>
      </vt:variant>
      <vt:variant>
        <vt:i4>1441846</vt:i4>
      </vt:variant>
      <vt:variant>
        <vt:i4>20</vt:i4>
      </vt:variant>
      <vt:variant>
        <vt:i4>0</vt:i4>
      </vt:variant>
      <vt:variant>
        <vt:i4>5</vt:i4>
      </vt:variant>
      <vt:variant>
        <vt:lpwstr/>
      </vt:variant>
      <vt:variant>
        <vt:lpwstr>_Toc188888796</vt:lpwstr>
      </vt:variant>
      <vt:variant>
        <vt:i4>1441846</vt:i4>
      </vt:variant>
      <vt:variant>
        <vt:i4>14</vt:i4>
      </vt:variant>
      <vt:variant>
        <vt:i4>0</vt:i4>
      </vt:variant>
      <vt:variant>
        <vt:i4>5</vt:i4>
      </vt:variant>
      <vt:variant>
        <vt:lpwstr/>
      </vt:variant>
      <vt:variant>
        <vt:lpwstr>_Toc188888795</vt:lpwstr>
      </vt:variant>
      <vt:variant>
        <vt:i4>1441846</vt:i4>
      </vt:variant>
      <vt:variant>
        <vt:i4>8</vt:i4>
      </vt:variant>
      <vt:variant>
        <vt:i4>0</vt:i4>
      </vt:variant>
      <vt:variant>
        <vt:i4>5</vt:i4>
      </vt:variant>
      <vt:variant>
        <vt:lpwstr/>
      </vt:variant>
      <vt:variant>
        <vt:lpwstr>_Toc188888794</vt:lpwstr>
      </vt:variant>
      <vt:variant>
        <vt:i4>1441846</vt:i4>
      </vt:variant>
      <vt:variant>
        <vt:i4>2</vt:i4>
      </vt:variant>
      <vt:variant>
        <vt:i4>0</vt:i4>
      </vt:variant>
      <vt:variant>
        <vt:i4>5</vt:i4>
      </vt:variant>
      <vt:variant>
        <vt:lpwstr/>
      </vt:variant>
      <vt:variant>
        <vt:lpwstr>_Toc188888793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Wicker</dc:creator>
  <cp:keywords/>
  <dc:description/>
  <cp:lastModifiedBy>Matthew Wicker</cp:lastModifiedBy>
  <cp:revision>26</cp:revision>
  <cp:lastPrinted>2025-03-11T09:12:00Z</cp:lastPrinted>
  <dcterms:created xsi:type="dcterms:W3CDTF">2025-08-08T11:38:00Z</dcterms:created>
  <dcterms:modified xsi:type="dcterms:W3CDTF">2026-06-09T09:48:00Z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0x0101002B4A4E9D8D29CE40BA45B08C4549571E</vt:lpwstr>
  </property>
</Properties>
</file>