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CAF" w:rsidRPr="00272CAF" w:rsidRDefault="00DE5823" w:rsidP="00272CAF">
      <w:pPr>
        <w:pBdr>
          <w:top w:val="nil"/>
          <w:left w:val="nil"/>
          <w:bottom w:val="nil"/>
          <w:right w:val="nil"/>
          <w:between w:val="nil"/>
        </w:pBdr>
        <w:jc w:val="center"/>
        <w:rPr>
          <w:b/>
          <w:sz w:val="36"/>
          <w:szCs w:val="36"/>
        </w:rPr>
      </w:pPr>
      <w:bookmarkStart w:id="0" w:name="_gjdgxs" w:colFirst="0" w:colLast="0"/>
      <w:bookmarkEnd w:id="0"/>
      <w:r w:rsidRPr="00272CAF">
        <w:rPr>
          <w:b/>
          <w:sz w:val="36"/>
          <w:szCs w:val="36"/>
        </w:rPr>
        <w:t xml:space="preserve">The Role of a Crown Prosecutor and Identifying the Tests used when </w:t>
      </w:r>
      <w:r w:rsidR="00272CAF" w:rsidRPr="00272CAF">
        <w:rPr>
          <w:b/>
          <w:sz w:val="36"/>
          <w:szCs w:val="36"/>
        </w:rPr>
        <w:t>making</w:t>
      </w:r>
      <w:r w:rsidRPr="00272CAF">
        <w:rPr>
          <w:b/>
          <w:sz w:val="36"/>
          <w:szCs w:val="36"/>
        </w:rPr>
        <w:t xml:space="preserve"> Charging Decisions</w:t>
      </w:r>
    </w:p>
    <w:p w:rsidR="00272CAF" w:rsidRPr="00272CAF" w:rsidRDefault="00272CAF" w:rsidP="00272CAF">
      <w:pPr>
        <w:pBdr>
          <w:top w:val="nil"/>
          <w:left w:val="nil"/>
          <w:bottom w:val="nil"/>
          <w:right w:val="nil"/>
          <w:between w:val="nil"/>
        </w:pBdr>
        <w:rPr>
          <w:b/>
          <w:sz w:val="24"/>
        </w:rPr>
      </w:pPr>
      <w:bookmarkStart w:id="1" w:name="_GoBack"/>
      <w:bookmarkEnd w:id="1"/>
    </w:p>
    <w:p w:rsidR="00272CAF" w:rsidRPr="00272CAF" w:rsidRDefault="00272CAF" w:rsidP="00272CAF">
      <w:pPr>
        <w:pBdr>
          <w:top w:val="nil"/>
          <w:left w:val="nil"/>
          <w:bottom w:val="nil"/>
          <w:right w:val="nil"/>
          <w:between w:val="nil"/>
        </w:pBdr>
        <w:rPr>
          <w:b/>
          <w:sz w:val="24"/>
        </w:rPr>
      </w:pPr>
    </w:p>
    <w:p w:rsidR="00272CAF" w:rsidRPr="00272CAF" w:rsidRDefault="00272CAF" w:rsidP="00272CAF">
      <w:pPr>
        <w:pBdr>
          <w:top w:val="nil"/>
          <w:left w:val="nil"/>
          <w:bottom w:val="nil"/>
          <w:right w:val="nil"/>
          <w:between w:val="nil"/>
        </w:pBdr>
        <w:rPr>
          <w:sz w:val="24"/>
        </w:rPr>
      </w:pPr>
      <w:r w:rsidRPr="00272CAF">
        <w:rPr>
          <w:b/>
          <w:sz w:val="24"/>
        </w:rPr>
        <w:t>Student name :</w:t>
      </w:r>
      <w:r w:rsidRPr="00272CAF">
        <w:rPr>
          <w:sz w:val="24"/>
        </w:rPr>
        <w:t xml:space="preserve"> Md Ibrahim Khalil</w:t>
      </w:r>
    </w:p>
    <w:p w:rsidR="00272CAF" w:rsidRPr="00272CAF" w:rsidRDefault="00272CAF" w:rsidP="00272CAF">
      <w:pPr>
        <w:pBdr>
          <w:top w:val="nil"/>
          <w:left w:val="nil"/>
          <w:bottom w:val="nil"/>
          <w:right w:val="nil"/>
          <w:between w:val="nil"/>
        </w:pBdr>
        <w:rPr>
          <w:sz w:val="24"/>
        </w:rPr>
      </w:pPr>
      <w:r w:rsidRPr="00272CAF">
        <w:rPr>
          <w:b/>
          <w:sz w:val="24"/>
        </w:rPr>
        <w:t>Student ID :</w:t>
      </w:r>
      <w:r w:rsidRPr="00272CAF">
        <w:rPr>
          <w:sz w:val="24"/>
        </w:rPr>
        <w:t xml:space="preserve"> 2212007</w:t>
      </w:r>
    </w:p>
    <w:p w:rsidR="00272CAF" w:rsidRPr="00272CAF" w:rsidRDefault="00272CAF" w:rsidP="00272CAF">
      <w:pPr>
        <w:pBdr>
          <w:top w:val="nil"/>
          <w:left w:val="nil"/>
          <w:bottom w:val="nil"/>
          <w:right w:val="nil"/>
          <w:between w:val="nil"/>
        </w:pBdr>
        <w:rPr>
          <w:sz w:val="24"/>
        </w:rPr>
      </w:pPr>
    </w:p>
    <w:p w:rsidR="002C605E" w:rsidRPr="00272CAF" w:rsidRDefault="002C605E">
      <w:pPr>
        <w:pBdr>
          <w:top w:val="nil"/>
          <w:left w:val="nil"/>
          <w:bottom w:val="nil"/>
          <w:right w:val="nil"/>
          <w:between w:val="nil"/>
        </w:pBdr>
        <w:jc w:val="center"/>
        <w:rPr>
          <w:b/>
          <w:color w:val="000000"/>
          <w:sz w:val="24"/>
        </w:rPr>
      </w:pPr>
      <w:bookmarkStart w:id="2" w:name="_30j0zll" w:colFirst="0" w:colLast="0"/>
      <w:bookmarkEnd w:id="2"/>
    </w:p>
    <w:p w:rsidR="002C605E" w:rsidRPr="00272CAF" w:rsidRDefault="002C605E" w:rsidP="00272CAF">
      <w:pPr>
        <w:pStyle w:val="Heading1"/>
      </w:pPr>
    </w:p>
    <w:p w:rsidR="002C605E" w:rsidRPr="00272CAF" w:rsidRDefault="002C605E">
      <w:pPr>
        <w:pStyle w:val="Heading1"/>
        <w:jc w:val="center"/>
      </w:pPr>
    </w:p>
    <w:p w:rsidR="002C605E" w:rsidRPr="00272CAF" w:rsidRDefault="002C605E">
      <w:pPr>
        <w:pStyle w:val="Heading1"/>
        <w:jc w:val="center"/>
      </w:pPr>
    </w:p>
    <w:p w:rsidR="002C605E" w:rsidRPr="00272CAF" w:rsidRDefault="002C605E">
      <w:pPr>
        <w:pStyle w:val="Heading1"/>
        <w:jc w:val="center"/>
      </w:pPr>
    </w:p>
    <w:p w:rsidR="002C605E" w:rsidRPr="00272CAF" w:rsidRDefault="002C605E">
      <w:pPr>
        <w:pStyle w:val="Heading1"/>
        <w:jc w:val="center"/>
      </w:pPr>
    </w:p>
    <w:p w:rsidR="002C605E" w:rsidRPr="00272CAF" w:rsidRDefault="002C605E">
      <w:pPr>
        <w:pStyle w:val="Heading1"/>
        <w:jc w:val="center"/>
      </w:pPr>
    </w:p>
    <w:p w:rsidR="002C605E" w:rsidRPr="00272CAF" w:rsidRDefault="002C605E">
      <w:pPr>
        <w:pStyle w:val="Heading1"/>
        <w:jc w:val="center"/>
      </w:pPr>
    </w:p>
    <w:p w:rsidR="002C605E" w:rsidRPr="00272CAF" w:rsidRDefault="002C605E">
      <w:pPr>
        <w:rPr>
          <w:sz w:val="24"/>
        </w:rPr>
        <w:sectPr w:rsidR="002C605E" w:rsidRPr="00272CAF">
          <w:headerReference w:type="even" r:id="rId6"/>
          <w:headerReference w:type="default" r:id="rId7"/>
          <w:footerReference w:type="even" r:id="rId8"/>
          <w:footerReference w:type="default" r:id="rId9"/>
          <w:headerReference w:type="first" r:id="rId10"/>
          <w:pgSz w:w="12240" w:h="15840"/>
          <w:pgMar w:top="1440" w:right="1800" w:bottom="1440" w:left="1800" w:header="708" w:footer="708" w:gutter="0"/>
          <w:pgNumType w:start="1"/>
          <w:cols w:space="720"/>
        </w:sectPr>
      </w:pPr>
    </w:p>
    <w:p w:rsidR="002C605E" w:rsidRPr="00272CAF" w:rsidRDefault="002C605E">
      <w:pPr>
        <w:pStyle w:val="Heading1"/>
      </w:pPr>
      <w:bookmarkStart w:id="3" w:name="_1fob9te" w:colFirst="0" w:colLast="0"/>
      <w:bookmarkEnd w:id="3"/>
    </w:p>
    <w:p w:rsidR="002C605E" w:rsidRPr="00272CAF" w:rsidRDefault="00DE5823">
      <w:pPr>
        <w:pStyle w:val="Heading1"/>
        <w:rPr>
          <w:rFonts w:ascii="Calibri" w:eastAsia="Calibri" w:hAnsi="Calibri" w:cs="Calibri"/>
          <w:b w:val="0"/>
        </w:rPr>
      </w:pPr>
      <w:bookmarkStart w:id="4" w:name="_3znysh7" w:colFirst="0" w:colLast="0"/>
      <w:bookmarkEnd w:id="4"/>
      <w:r w:rsidRPr="00272CAF">
        <w:t>Table of Contents</w:t>
      </w:r>
    </w:p>
    <w:p w:rsidR="002C605E" w:rsidRPr="00272CAF" w:rsidRDefault="00DE5823">
      <w:pPr>
        <w:tabs>
          <w:tab w:val="right" w:pos="12000"/>
        </w:tabs>
        <w:spacing w:before="60" w:after="0" w:line="240" w:lineRule="auto"/>
        <w:jc w:val="left"/>
        <w:rPr>
          <w:rFonts w:ascii="Arial" w:eastAsia="Arial" w:hAnsi="Arial" w:cs="Arial"/>
          <w:color w:val="000000"/>
          <w:sz w:val="24"/>
        </w:rPr>
      </w:pPr>
      <w:r w:rsidRPr="00272CAF">
        <w:rPr>
          <w:sz w:val="24"/>
        </w:rPr>
        <w:fldChar w:fldCharType="begin"/>
      </w:r>
      <w:r w:rsidRPr="00272CAF">
        <w:rPr>
          <w:sz w:val="24"/>
        </w:rPr>
        <w:instrText xml:space="preserve"> TOC \h \u \z \t "</w:instrText>
      </w:r>
      <w:r w:rsidRPr="00272CAF">
        <w:rPr>
          <w:sz w:val="24"/>
        </w:rPr>
        <w:instrText>Heading 1,1,Heading 2,2,Heading 3,3,"</w:instrText>
      </w:r>
      <w:r w:rsidRPr="00272CAF">
        <w:rPr>
          <w:sz w:val="24"/>
        </w:rPr>
        <w:fldChar w:fldCharType="separate"/>
      </w:r>
      <w:hyperlink w:anchor="_3dy6vkm" w:history="1">
        <w:r w:rsidRPr="00272CAF">
          <w:rPr>
            <w:rFonts w:ascii="Arial" w:eastAsia="Arial" w:hAnsi="Arial" w:cs="Arial"/>
            <w:color w:val="000000"/>
            <w:sz w:val="24"/>
          </w:rPr>
          <w:t>Introduction</w:t>
        </w:r>
        <w:r w:rsidRPr="00272CAF">
          <w:rPr>
            <w:rFonts w:ascii="Arial" w:eastAsia="Arial" w:hAnsi="Arial" w:cs="Arial"/>
            <w:color w:val="000000"/>
            <w:sz w:val="24"/>
          </w:rPr>
          <w:tab/>
          <w:t>2</w:t>
        </w:r>
      </w:hyperlink>
    </w:p>
    <w:p w:rsidR="002C605E" w:rsidRPr="00272CAF" w:rsidRDefault="00DE5823">
      <w:pPr>
        <w:tabs>
          <w:tab w:val="right" w:pos="12000"/>
        </w:tabs>
        <w:spacing w:before="60" w:after="0" w:line="240" w:lineRule="auto"/>
        <w:jc w:val="left"/>
        <w:rPr>
          <w:rFonts w:ascii="Arial" w:eastAsia="Arial" w:hAnsi="Arial" w:cs="Arial"/>
          <w:color w:val="000000"/>
          <w:sz w:val="24"/>
        </w:rPr>
      </w:pPr>
      <w:hyperlink w:anchor="_1t3h5sf" w:history="1">
        <w:r w:rsidRPr="00272CAF">
          <w:rPr>
            <w:rFonts w:ascii="Arial" w:eastAsia="Arial" w:hAnsi="Arial" w:cs="Arial"/>
            <w:color w:val="000000"/>
            <w:sz w:val="24"/>
          </w:rPr>
          <w:t>The Key Concepts of the Structure of the Courts, Criminal Jurisdiction and the Role of the Police</w:t>
        </w:r>
        <w:r w:rsidRPr="00272CAF">
          <w:rPr>
            <w:rFonts w:ascii="Arial" w:eastAsia="Arial" w:hAnsi="Arial" w:cs="Arial"/>
            <w:color w:val="000000"/>
            <w:sz w:val="24"/>
          </w:rPr>
          <w:tab/>
          <w:t>2</w:t>
        </w:r>
      </w:hyperlink>
    </w:p>
    <w:p w:rsidR="002C605E" w:rsidRPr="00272CAF" w:rsidRDefault="00DE5823">
      <w:pPr>
        <w:tabs>
          <w:tab w:val="right" w:pos="12000"/>
        </w:tabs>
        <w:spacing w:before="60" w:after="0" w:line="240" w:lineRule="auto"/>
        <w:ind w:left="360"/>
        <w:jc w:val="left"/>
        <w:rPr>
          <w:rFonts w:ascii="Arial" w:eastAsia="Arial" w:hAnsi="Arial" w:cs="Arial"/>
          <w:color w:val="000000"/>
          <w:sz w:val="24"/>
        </w:rPr>
      </w:pPr>
      <w:hyperlink w:anchor="_4d34og8" w:history="1">
        <w:r w:rsidRPr="00272CAF">
          <w:rPr>
            <w:rFonts w:ascii="Arial" w:eastAsia="Arial" w:hAnsi="Arial" w:cs="Arial"/>
            <w:color w:val="000000"/>
            <w:sz w:val="24"/>
          </w:rPr>
          <w:t>Role of a Crown Prosecu</w:t>
        </w:r>
        <w:r w:rsidRPr="00272CAF">
          <w:rPr>
            <w:rFonts w:ascii="Arial" w:eastAsia="Arial" w:hAnsi="Arial" w:cs="Arial"/>
            <w:color w:val="000000"/>
            <w:sz w:val="24"/>
          </w:rPr>
          <w:t>tor and Charging Decisions</w:t>
        </w:r>
        <w:r w:rsidRPr="00272CAF">
          <w:rPr>
            <w:rFonts w:ascii="Arial" w:eastAsia="Arial" w:hAnsi="Arial" w:cs="Arial"/>
            <w:color w:val="000000"/>
            <w:sz w:val="24"/>
          </w:rPr>
          <w:tab/>
          <w:t>2</w:t>
        </w:r>
      </w:hyperlink>
    </w:p>
    <w:p w:rsidR="002C605E" w:rsidRPr="00272CAF" w:rsidRDefault="00DE5823">
      <w:pPr>
        <w:tabs>
          <w:tab w:val="right" w:pos="12000"/>
        </w:tabs>
        <w:spacing w:before="60" w:after="0" w:line="240" w:lineRule="auto"/>
        <w:ind w:left="360"/>
        <w:jc w:val="left"/>
        <w:rPr>
          <w:rFonts w:ascii="Arial" w:eastAsia="Arial" w:hAnsi="Arial" w:cs="Arial"/>
          <w:color w:val="000000"/>
          <w:sz w:val="24"/>
        </w:rPr>
      </w:pPr>
      <w:hyperlink w:anchor="_2s8eyo1" w:history="1">
        <w:r w:rsidRPr="00272CAF">
          <w:rPr>
            <w:rFonts w:ascii="Arial" w:eastAsia="Arial" w:hAnsi="Arial" w:cs="Arial"/>
            <w:color w:val="000000"/>
            <w:sz w:val="24"/>
          </w:rPr>
          <w:t>Tests Used when Making Charging Decisions</w:t>
        </w:r>
        <w:r w:rsidRPr="00272CAF">
          <w:rPr>
            <w:rFonts w:ascii="Arial" w:eastAsia="Arial" w:hAnsi="Arial" w:cs="Arial"/>
            <w:color w:val="000000"/>
            <w:sz w:val="24"/>
          </w:rPr>
          <w:tab/>
          <w:t>3</w:t>
        </w:r>
      </w:hyperlink>
    </w:p>
    <w:p w:rsidR="002C605E" w:rsidRPr="00272CAF" w:rsidRDefault="00DE5823">
      <w:pPr>
        <w:tabs>
          <w:tab w:val="right" w:pos="12000"/>
        </w:tabs>
        <w:spacing w:before="60" w:after="0" w:line="240" w:lineRule="auto"/>
        <w:ind w:left="360"/>
        <w:jc w:val="left"/>
        <w:rPr>
          <w:rFonts w:ascii="Arial" w:eastAsia="Arial" w:hAnsi="Arial" w:cs="Arial"/>
          <w:color w:val="000000"/>
          <w:sz w:val="24"/>
        </w:rPr>
      </w:pPr>
      <w:hyperlink w:anchor="_17dp8vu" w:history="1">
        <w:r w:rsidRPr="00272CAF">
          <w:rPr>
            <w:rFonts w:ascii="Arial" w:eastAsia="Arial" w:hAnsi="Arial" w:cs="Arial"/>
            <w:color w:val="000000"/>
            <w:sz w:val="24"/>
          </w:rPr>
          <w:t>The role of the Police, Criminal Jurisdiction, and Court Structure</w:t>
        </w:r>
        <w:r w:rsidRPr="00272CAF">
          <w:rPr>
            <w:rFonts w:ascii="Arial" w:eastAsia="Arial" w:hAnsi="Arial" w:cs="Arial"/>
            <w:color w:val="000000"/>
            <w:sz w:val="24"/>
          </w:rPr>
          <w:tab/>
          <w:t>4</w:t>
        </w:r>
      </w:hyperlink>
    </w:p>
    <w:p w:rsidR="002C605E" w:rsidRPr="00272CAF" w:rsidRDefault="00DE5823">
      <w:pPr>
        <w:tabs>
          <w:tab w:val="right" w:pos="12000"/>
        </w:tabs>
        <w:spacing w:before="60" w:after="0" w:line="240" w:lineRule="auto"/>
        <w:ind w:left="720"/>
        <w:jc w:val="left"/>
        <w:rPr>
          <w:rFonts w:ascii="Arial" w:eastAsia="Arial" w:hAnsi="Arial" w:cs="Arial"/>
          <w:color w:val="000000"/>
          <w:sz w:val="24"/>
        </w:rPr>
      </w:pPr>
      <w:hyperlink w:anchor="_3rdcrjn" w:history="1">
        <w:r w:rsidRPr="00272CAF">
          <w:rPr>
            <w:rFonts w:ascii="Arial" w:eastAsia="Arial" w:hAnsi="Arial" w:cs="Arial"/>
            <w:color w:val="000000"/>
            <w:sz w:val="24"/>
          </w:rPr>
          <w:t>The Courts' Structure</w:t>
        </w:r>
        <w:r w:rsidRPr="00272CAF">
          <w:rPr>
            <w:rFonts w:ascii="Arial" w:eastAsia="Arial" w:hAnsi="Arial" w:cs="Arial"/>
            <w:color w:val="000000"/>
            <w:sz w:val="24"/>
          </w:rPr>
          <w:tab/>
          <w:t>4</w:t>
        </w:r>
      </w:hyperlink>
    </w:p>
    <w:p w:rsidR="002C605E" w:rsidRPr="00272CAF" w:rsidRDefault="00DE5823">
      <w:pPr>
        <w:tabs>
          <w:tab w:val="right" w:pos="12000"/>
        </w:tabs>
        <w:spacing w:before="60" w:after="0" w:line="240" w:lineRule="auto"/>
        <w:ind w:left="720"/>
        <w:jc w:val="left"/>
        <w:rPr>
          <w:rFonts w:ascii="Arial" w:eastAsia="Arial" w:hAnsi="Arial" w:cs="Arial"/>
          <w:color w:val="000000"/>
          <w:sz w:val="24"/>
        </w:rPr>
      </w:pPr>
      <w:hyperlink w:anchor="_26in1rg" w:history="1">
        <w:r w:rsidRPr="00272CAF">
          <w:rPr>
            <w:rFonts w:ascii="Arial" w:eastAsia="Arial" w:hAnsi="Arial" w:cs="Arial"/>
            <w:color w:val="000000"/>
            <w:sz w:val="24"/>
          </w:rPr>
          <w:t>Criminal Jurisdiction</w:t>
        </w:r>
        <w:r w:rsidRPr="00272CAF">
          <w:rPr>
            <w:rFonts w:ascii="Arial" w:eastAsia="Arial" w:hAnsi="Arial" w:cs="Arial"/>
            <w:color w:val="000000"/>
            <w:sz w:val="24"/>
          </w:rPr>
          <w:tab/>
          <w:t>4</w:t>
        </w:r>
      </w:hyperlink>
    </w:p>
    <w:p w:rsidR="002C605E" w:rsidRPr="00272CAF" w:rsidRDefault="00DE5823">
      <w:pPr>
        <w:tabs>
          <w:tab w:val="right" w:pos="12000"/>
        </w:tabs>
        <w:spacing w:before="60" w:after="0" w:line="240" w:lineRule="auto"/>
        <w:ind w:left="720"/>
        <w:jc w:val="left"/>
        <w:rPr>
          <w:rFonts w:ascii="Arial" w:eastAsia="Arial" w:hAnsi="Arial" w:cs="Arial"/>
          <w:color w:val="000000"/>
          <w:sz w:val="24"/>
        </w:rPr>
      </w:pPr>
      <w:hyperlink w:anchor="_lnxbz9" w:history="1">
        <w:r w:rsidRPr="00272CAF">
          <w:rPr>
            <w:rFonts w:ascii="Arial" w:eastAsia="Arial" w:hAnsi="Arial" w:cs="Arial"/>
            <w:color w:val="000000"/>
            <w:sz w:val="24"/>
          </w:rPr>
          <w:t>Role of the Police</w:t>
        </w:r>
        <w:r w:rsidRPr="00272CAF">
          <w:rPr>
            <w:rFonts w:ascii="Arial" w:eastAsia="Arial" w:hAnsi="Arial" w:cs="Arial"/>
            <w:color w:val="000000"/>
            <w:sz w:val="24"/>
          </w:rPr>
          <w:tab/>
          <w:t>5</w:t>
        </w:r>
      </w:hyperlink>
    </w:p>
    <w:p w:rsidR="002C605E" w:rsidRPr="00272CAF" w:rsidRDefault="00DE5823">
      <w:pPr>
        <w:tabs>
          <w:tab w:val="right" w:pos="12000"/>
        </w:tabs>
        <w:spacing w:before="60" w:after="0" w:line="240" w:lineRule="auto"/>
        <w:jc w:val="left"/>
        <w:rPr>
          <w:rFonts w:ascii="Arial" w:eastAsia="Arial" w:hAnsi="Arial" w:cs="Arial"/>
          <w:color w:val="000000"/>
          <w:sz w:val="24"/>
        </w:rPr>
      </w:pPr>
      <w:hyperlink w:anchor="_35nkun2" w:history="1">
        <w:r w:rsidRPr="00272CAF">
          <w:rPr>
            <w:rFonts w:ascii="Arial" w:eastAsia="Arial" w:hAnsi="Arial" w:cs="Arial"/>
            <w:color w:val="000000"/>
            <w:sz w:val="24"/>
          </w:rPr>
          <w:t>Understanding the Various Stages of Criminal Proceedings, Bail and Funding to Prepare for and to advise a Client for Criminal Proce</w:t>
        </w:r>
        <w:r w:rsidRPr="00272CAF">
          <w:rPr>
            <w:rFonts w:ascii="Arial" w:eastAsia="Arial" w:hAnsi="Arial" w:cs="Arial"/>
            <w:color w:val="000000"/>
            <w:sz w:val="24"/>
          </w:rPr>
          <w:t>edings</w:t>
        </w:r>
        <w:r w:rsidRPr="00272CAF">
          <w:rPr>
            <w:rFonts w:ascii="Arial" w:eastAsia="Arial" w:hAnsi="Arial" w:cs="Arial"/>
            <w:color w:val="000000"/>
            <w:sz w:val="24"/>
          </w:rPr>
          <w:tab/>
          <w:t>5</w:t>
        </w:r>
      </w:hyperlink>
    </w:p>
    <w:p w:rsidR="002C605E" w:rsidRPr="00272CAF" w:rsidRDefault="00DE5823">
      <w:pPr>
        <w:tabs>
          <w:tab w:val="right" w:pos="12000"/>
        </w:tabs>
        <w:spacing w:before="60" w:after="0" w:line="240" w:lineRule="auto"/>
        <w:ind w:left="360"/>
        <w:jc w:val="left"/>
        <w:rPr>
          <w:rFonts w:ascii="Arial" w:eastAsia="Arial" w:hAnsi="Arial" w:cs="Arial"/>
          <w:color w:val="000000"/>
          <w:sz w:val="24"/>
        </w:rPr>
      </w:pPr>
      <w:hyperlink w:anchor="_1ksv4uv" w:history="1">
        <w:r w:rsidRPr="00272CAF">
          <w:rPr>
            <w:rFonts w:ascii="Arial" w:eastAsia="Arial" w:hAnsi="Arial" w:cs="Arial"/>
            <w:color w:val="000000"/>
            <w:sz w:val="24"/>
          </w:rPr>
          <w:t>Phases of Criminal Procedures</w:t>
        </w:r>
        <w:r w:rsidRPr="00272CAF">
          <w:rPr>
            <w:rFonts w:ascii="Arial" w:eastAsia="Arial" w:hAnsi="Arial" w:cs="Arial"/>
            <w:color w:val="000000"/>
            <w:sz w:val="24"/>
          </w:rPr>
          <w:tab/>
          <w:t>6</w:t>
        </w:r>
      </w:hyperlink>
    </w:p>
    <w:p w:rsidR="002C605E" w:rsidRPr="00272CAF" w:rsidRDefault="00DE5823">
      <w:pPr>
        <w:tabs>
          <w:tab w:val="right" w:pos="12000"/>
        </w:tabs>
        <w:spacing w:before="60" w:after="0" w:line="240" w:lineRule="auto"/>
        <w:ind w:left="360"/>
        <w:jc w:val="left"/>
        <w:rPr>
          <w:rFonts w:ascii="Arial" w:eastAsia="Arial" w:hAnsi="Arial" w:cs="Arial"/>
          <w:color w:val="000000"/>
          <w:sz w:val="24"/>
        </w:rPr>
      </w:pPr>
      <w:hyperlink w:anchor="_44sinio" w:history="1">
        <w:r w:rsidRPr="00272CAF">
          <w:rPr>
            <w:rFonts w:ascii="Arial" w:eastAsia="Arial" w:hAnsi="Arial" w:cs="Arial"/>
            <w:color w:val="000000"/>
            <w:sz w:val="24"/>
          </w:rPr>
          <w:t>Bail and Funding for Legal Representation</w:t>
        </w:r>
        <w:r w:rsidRPr="00272CAF">
          <w:rPr>
            <w:rFonts w:ascii="Arial" w:eastAsia="Arial" w:hAnsi="Arial" w:cs="Arial"/>
            <w:color w:val="000000"/>
            <w:sz w:val="24"/>
          </w:rPr>
          <w:tab/>
          <w:t>7</w:t>
        </w:r>
      </w:hyperlink>
    </w:p>
    <w:p w:rsidR="002C605E" w:rsidRPr="00272CAF" w:rsidRDefault="00DE5823">
      <w:pPr>
        <w:tabs>
          <w:tab w:val="right" w:pos="12000"/>
        </w:tabs>
        <w:spacing w:before="60" w:after="0" w:line="240" w:lineRule="auto"/>
        <w:ind w:left="720"/>
        <w:jc w:val="left"/>
        <w:rPr>
          <w:rFonts w:ascii="Arial" w:eastAsia="Arial" w:hAnsi="Arial" w:cs="Arial"/>
          <w:color w:val="000000"/>
          <w:sz w:val="24"/>
        </w:rPr>
      </w:pPr>
      <w:hyperlink w:anchor="_2jxsxqh" w:history="1">
        <w:r w:rsidRPr="00272CAF">
          <w:rPr>
            <w:rFonts w:ascii="Arial" w:eastAsia="Arial" w:hAnsi="Arial" w:cs="Arial"/>
            <w:color w:val="000000"/>
            <w:sz w:val="24"/>
          </w:rPr>
          <w:t>Bail</w:t>
        </w:r>
        <w:r w:rsidRPr="00272CAF">
          <w:rPr>
            <w:rFonts w:ascii="Arial" w:eastAsia="Arial" w:hAnsi="Arial" w:cs="Arial"/>
            <w:color w:val="000000"/>
            <w:sz w:val="24"/>
          </w:rPr>
          <w:tab/>
          <w:t>7</w:t>
        </w:r>
      </w:hyperlink>
    </w:p>
    <w:p w:rsidR="002C605E" w:rsidRPr="00272CAF" w:rsidRDefault="00DE5823">
      <w:pPr>
        <w:tabs>
          <w:tab w:val="right" w:pos="12000"/>
        </w:tabs>
        <w:spacing w:before="60" w:after="0" w:line="240" w:lineRule="auto"/>
        <w:ind w:left="720"/>
        <w:jc w:val="left"/>
        <w:rPr>
          <w:rFonts w:ascii="Arial" w:eastAsia="Arial" w:hAnsi="Arial" w:cs="Arial"/>
          <w:color w:val="000000"/>
          <w:sz w:val="24"/>
        </w:rPr>
      </w:pPr>
      <w:hyperlink w:anchor="_z337ya" w:history="1">
        <w:r w:rsidRPr="00272CAF">
          <w:rPr>
            <w:rFonts w:ascii="Arial" w:eastAsia="Arial" w:hAnsi="Arial" w:cs="Arial"/>
            <w:color w:val="000000"/>
            <w:sz w:val="24"/>
          </w:rPr>
          <w:t>Funding for Legal Representation</w:t>
        </w:r>
        <w:r w:rsidRPr="00272CAF">
          <w:rPr>
            <w:rFonts w:ascii="Arial" w:eastAsia="Arial" w:hAnsi="Arial" w:cs="Arial"/>
            <w:color w:val="000000"/>
            <w:sz w:val="24"/>
          </w:rPr>
          <w:tab/>
          <w:t>7</w:t>
        </w:r>
      </w:hyperlink>
    </w:p>
    <w:p w:rsidR="002C605E" w:rsidRPr="00272CAF" w:rsidRDefault="00DE5823">
      <w:pPr>
        <w:tabs>
          <w:tab w:val="right" w:pos="12000"/>
        </w:tabs>
        <w:spacing w:before="60" w:after="0" w:line="240" w:lineRule="auto"/>
        <w:jc w:val="left"/>
        <w:rPr>
          <w:rFonts w:ascii="Arial" w:eastAsia="Arial" w:hAnsi="Arial" w:cs="Arial"/>
          <w:color w:val="000000"/>
          <w:sz w:val="24"/>
        </w:rPr>
      </w:pPr>
      <w:hyperlink w:anchor="_3j2qqm3" w:history="1">
        <w:r w:rsidRPr="00272CAF">
          <w:rPr>
            <w:rFonts w:ascii="Arial" w:eastAsia="Arial" w:hAnsi="Arial" w:cs="Arial"/>
            <w:color w:val="000000"/>
            <w:sz w:val="24"/>
          </w:rPr>
          <w:t>Conclusion</w:t>
        </w:r>
        <w:r w:rsidRPr="00272CAF">
          <w:rPr>
            <w:rFonts w:ascii="Arial" w:eastAsia="Arial" w:hAnsi="Arial" w:cs="Arial"/>
            <w:color w:val="000000"/>
            <w:sz w:val="24"/>
          </w:rPr>
          <w:tab/>
          <w:t>8</w:t>
        </w:r>
      </w:hyperlink>
    </w:p>
    <w:p w:rsidR="002C605E" w:rsidRPr="00272CAF" w:rsidRDefault="00DE5823">
      <w:pPr>
        <w:tabs>
          <w:tab w:val="right" w:pos="12000"/>
        </w:tabs>
        <w:spacing w:before="60" w:after="0" w:line="240" w:lineRule="auto"/>
        <w:jc w:val="left"/>
        <w:rPr>
          <w:rFonts w:ascii="Arial" w:eastAsia="Arial" w:hAnsi="Arial" w:cs="Arial"/>
          <w:color w:val="000000"/>
          <w:sz w:val="24"/>
        </w:rPr>
      </w:pPr>
      <w:hyperlink w:anchor="_1y810tw" w:history="1">
        <w:r w:rsidRPr="00272CAF">
          <w:rPr>
            <w:rFonts w:ascii="Arial" w:eastAsia="Arial" w:hAnsi="Arial" w:cs="Arial"/>
            <w:color w:val="000000"/>
            <w:sz w:val="24"/>
          </w:rPr>
          <w:t>References</w:t>
        </w:r>
        <w:r w:rsidRPr="00272CAF">
          <w:rPr>
            <w:rFonts w:ascii="Arial" w:eastAsia="Arial" w:hAnsi="Arial" w:cs="Arial"/>
            <w:color w:val="000000"/>
            <w:sz w:val="24"/>
          </w:rPr>
          <w:tab/>
          <w:t>9</w:t>
        </w:r>
      </w:hyperlink>
      <w:r w:rsidRPr="00272CAF">
        <w:rPr>
          <w:sz w:val="24"/>
        </w:rPr>
        <w:fldChar w:fldCharType="end"/>
      </w:r>
    </w:p>
    <w:p w:rsidR="002C605E" w:rsidRPr="00272CAF" w:rsidRDefault="002C605E">
      <w:pPr>
        <w:pStyle w:val="Heading1"/>
        <w:rPr>
          <w:b w:val="0"/>
        </w:rPr>
      </w:pPr>
      <w:bookmarkStart w:id="5" w:name="_2et92p0" w:colFirst="0" w:colLast="0"/>
      <w:bookmarkEnd w:id="5"/>
    </w:p>
    <w:p w:rsidR="002C605E" w:rsidRPr="00272CAF" w:rsidRDefault="00DE5823">
      <w:pPr>
        <w:pStyle w:val="Heading1"/>
      </w:pPr>
      <w:bookmarkStart w:id="6" w:name="_tyjcwt" w:colFirst="0" w:colLast="0"/>
      <w:bookmarkEnd w:id="6"/>
      <w:r w:rsidRPr="00272CAF">
        <w:br w:type="page"/>
      </w:r>
    </w:p>
    <w:p w:rsidR="002C605E" w:rsidRPr="00272CAF" w:rsidRDefault="00DE5823">
      <w:pPr>
        <w:pStyle w:val="Heading1"/>
      </w:pPr>
      <w:bookmarkStart w:id="7" w:name="_3dy6vkm" w:colFirst="0" w:colLast="0"/>
      <w:bookmarkEnd w:id="7"/>
      <w:r w:rsidRPr="00272CAF">
        <w:lastRenderedPageBreak/>
        <w:t>Introduction</w:t>
      </w:r>
    </w:p>
    <w:p w:rsidR="002C605E" w:rsidRPr="00272CAF" w:rsidRDefault="00DE5823">
      <w:pPr>
        <w:rPr>
          <w:sz w:val="24"/>
        </w:rPr>
      </w:pPr>
      <w:r w:rsidRPr="00272CAF">
        <w:rPr>
          <w:sz w:val="24"/>
        </w:rPr>
        <w:t>A society's foundation is the criminal justice system, which ensures that people are held accountable for their actions and provides a just and equitable resolution to cr</w:t>
      </w:r>
      <w:r w:rsidRPr="00272CAF">
        <w:rPr>
          <w:sz w:val="24"/>
        </w:rPr>
        <w:t>iminal cases. The various stages of criminal proceedings, which provide a structured path from the investigation to the final verdict, are central to this system. Additionally, the availability of funds for legal representation and the concept of bail both</w:t>
      </w:r>
      <w:r w:rsidRPr="00272CAF">
        <w:rPr>
          <w:sz w:val="24"/>
        </w:rPr>
        <w:t xml:space="preserve"> play important roles in ensuring that everyone, regardless of their financial situation, has access to justice. This paper delves into an investigation of the phases of criminal procedures, the meaning of bail, and the subsidizing choices accessible for c</w:t>
      </w:r>
      <w:r w:rsidRPr="00272CAF">
        <w:rPr>
          <w:sz w:val="24"/>
        </w:rPr>
        <w:t>lients looking for legitimate portrayal.</w:t>
      </w:r>
    </w:p>
    <w:p w:rsidR="002C605E" w:rsidRPr="00272CAF" w:rsidRDefault="00DE5823">
      <w:pPr>
        <w:pStyle w:val="Heading1"/>
      </w:pPr>
      <w:bookmarkStart w:id="8" w:name="_1t3h5sf" w:colFirst="0" w:colLast="0"/>
      <w:bookmarkEnd w:id="8"/>
      <w:r w:rsidRPr="00272CAF">
        <w:t>The Key Concepts of the Structure of the Courts, Criminal Jurisdiction and the Role of the Police</w:t>
      </w:r>
    </w:p>
    <w:p w:rsidR="002C605E" w:rsidRPr="00272CAF" w:rsidRDefault="00DE5823">
      <w:pPr>
        <w:pStyle w:val="Heading2"/>
      </w:pPr>
      <w:bookmarkStart w:id="9" w:name="_4d34og8" w:colFirst="0" w:colLast="0"/>
      <w:bookmarkEnd w:id="9"/>
      <w:r w:rsidRPr="00272CAF">
        <w:t>Role of a Crown Prosecutor and Charging Decisions</w:t>
      </w:r>
    </w:p>
    <w:p w:rsidR="002C605E" w:rsidRPr="00272CAF" w:rsidRDefault="00DE5823">
      <w:pPr>
        <w:rPr>
          <w:sz w:val="24"/>
        </w:rPr>
      </w:pPr>
      <w:r w:rsidRPr="00272CAF">
        <w:rPr>
          <w:sz w:val="24"/>
        </w:rPr>
        <w:t xml:space="preserve">In the criminal justice system, a Crown Prosecutor plays a crucial </w:t>
      </w:r>
      <w:r w:rsidRPr="00272CAF">
        <w:rPr>
          <w:sz w:val="24"/>
        </w:rPr>
        <w:t>role. Crown Examiners, otherwise called Crown Guidance or Crown Lawyers in certain purviews, address the state or the Crown in criminal cases. Their essential obligation is to introduce the proof against the accused in court and look for a conviction for t</w:t>
      </w:r>
      <w:r w:rsidRPr="00272CAF">
        <w:rPr>
          <w:sz w:val="24"/>
        </w:rPr>
        <w:t>he supposed wrongdoing (Newton, 2023). There are a number of important tasks that they perform.</w:t>
      </w:r>
    </w:p>
    <w:p w:rsidR="002C605E" w:rsidRPr="00272CAF" w:rsidRDefault="00DE5823">
      <w:pPr>
        <w:rPr>
          <w:b/>
          <w:sz w:val="24"/>
        </w:rPr>
      </w:pPr>
      <w:r w:rsidRPr="00272CAF">
        <w:rPr>
          <w:b/>
          <w:sz w:val="24"/>
        </w:rPr>
        <w:t>Gathering Evidence</w:t>
      </w:r>
    </w:p>
    <w:p w:rsidR="002C605E" w:rsidRPr="00272CAF" w:rsidRDefault="00DE5823">
      <w:pPr>
        <w:rPr>
          <w:sz w:val="24"/>
        </w:rPr>
      </w:pPr>
      <w:r w:rsidRPr="00272CAF">
        <w:rPr>
          <w:sz w:val="24"/>
        </w:rPr>
        <w:t xml:space="preserve">Crown Investigators work intimately with policing to accumulate and audit proof connected with the case. Statements from witnesses, forensic </w:t>
      </w:r>
      <w:r w:rsidRPr="00272CAF">
        <w:rPr>
          <w:sz w:val="24"/>
        </w:rPr>
        <w:t>reports, physical evidence, and any other information related to the alleged crime are all included in this (Alkrisheh et al., 2021).</w:t>
      </w:r>
    </w:p>
    <w:p w:rsidR="002C605E" w:rsidRPr="00272CAF" w:rsidRDefault="00DE5823">
      <w:pPr>
        <w:rPr>
          <w:sz w:val="24"/>
        </w:rPr>
      </w:pPr>
      <w:r w:rsidRPr="00272CAF">
        <w:rPr>
          <w:b/>
          <w:sz w:val="24"/>
        </w:rPr>
        <w:t>Evaluating Evidence</w:t>
      </w:r>
      <w:r w:rsidRPr="00272CAF">
        <w:rPr>
          <w:sz w:val="24"/>
        </w:rPr>
        <w:t xml:space="preserve"> </w:t>
      </w:r>
    </w:p>
    <w:p w:rsidR="002C605E" w:rsidRPr="00272CAF" w:rsidRDefault="00DE5823">
      <w:pPr>
        <w:rPr>
          <w:sz w:val="24"/>
        </w:rPr>
      </w:pPr>
      <w:r w:rsidRPr="00272CAF">
        <w:rPr>
          <w:sz w:val="24"/>
        </w:rPr>
        <w:t>When the proof is gathered, Crown Examiners evaluate its solidarity and believability. They should de</w:t>
      </w:r>
      <w:r w:rsidRPr="00272CAF">
        <w:rPr>
          <w:sz w:val="24"/>
        </w:rPr>
        <w:t>cide whether there is sufficient proof to continue with criminal allegations and whether a sensible opportunity of conviction exists (Kapooria, 2019).</w:t>
      </w:r>
    </w:p>
    <w:p w:rsidR="002C605E" w:rsidRPr="00272CAF" w:rsidRDefault="00DE5823">
      <w:pPr>
        <w:rPr>
          <w:sz w:val="24"/>
        </w:rPr>
      </w:pPr>
      <w:r w:rsidRPr="00272CAF">
        <w:rPr>
          <w:b/>
          <w:sz w:val="24"/>
        </w:rPr>
        <w:lastRenderedPageBreak/>
        <w:t>Making Charging Decisions</w:t>
      </w:r>
      <w:r w:rsidRPr="00272CAF">
        <w:rPr>
          <w:sz w:val="24"/>
        </w:rPr>
        <w:t xml:space="preserve"> </w:t>
      </w:r>
    </w:p>
    <w:p w:rsidR="002C605E" w:rsidRPr="00272CAF" w:rsidRDefault="00DE5823">
      <w:pPr>
        <w:rPr>
          <w:sz w:val="24"/>
        </w:rPr>
      </w:pPr>
      <w:r w:rsidRPr="00272CAF">
        <w:rPr>
          <w:sz w:val="24"/>
        </w:rPr>
        <w:t>In view of the assessment of proof, Crown Examiners choose whether to lay char</w:t>
      </w:r>
      <w:r w:rsidRPr="00272CAF">
        <w:rPr>
          <w:sz w:val="24"/>
        </w:rPr>
        <w:t>ges against the denounced (Leonard, 2022). This choice is significant and ought to be fair and just, taking into account the reality of the supposed wrongdoing and the public premium.</w:t>
      </w:r>
    </w:p>
    <w:p w:rsidR="002C605E" w:rsidRPr="00272CAF" w:rsidRDefault="00DE5823">
      <w:pPr>
        <w:rPr>
          <w:b/>
          <w:sz w:val="24"/>
        </w:rPr>
      </w:pPr>
      <w:r w:rsidRPr="00272CAF">
        <w:rPr>
          <w:b/>
          <w:sz w:val="24"/>
        </w:rPr>
        <w:t xml:space="preserve">Conducting Prosecutions </w:t>
      </w:r>
    </w:p>
    <w:p w:rsidR="002C605E" w:rsidRPr="00272CAF" w:rsidRDefault="00DE5823">
      <w:pPr>
        <w:rPr>
          <w:sz w:val="24"/>
        </w:rPr>
      </w:pPr>
      <w:r w:rsidRPr="00272CAF">
        <w:rPr>
          <w:sz w:val="24"/>
        </w:rPr>
        <w:t xml:space="preserve">Crown Prosecutors represent the accused in </w:t>
      </w:r>
      <w:r w:rsidRPr="00272CAF">
        <w:rPr>
          <w:sz w:val="24"/>
        </w:rPr>
        <w:t>court if charges are filed (Oladele et al., 2022). They present the proof, analyze observers, and contend the case in the interest of the state.</w:t>
      </w:r>
    </w:p>
    <w:p w:rsidR="002C605E" w:rsidRPr="00272CAF" w:rsidRDefault="00DE5823">
      <w:pPr>
        <w:rPr>
          <w:b/>
          <w:sz w:val="24"/>
        </w:rPr>
      </w:pPr>
      <w:r w:rsidRPr="00272CAF">
        <w:rPr>
          <w:b/>
          <w:sz w:val="24"/>
        </w:rPr>
        <w:t xml:space="preserve">Promoting Public Interest </w:t>
      </w:r>
    </w:p>
    <w:p w:rsidR="002C605E" w:rsidRPr="00272CAF" w:rsidRDefault="00DE5823">
      <w:pPr>
        <w:rPr>
          <w:sz w:val="24"/>
        </w:rPr>
      </w:pPr>
      <w:r w:rsidRPr="00272CAF">
        <w:rPr>
          <w:sz w:val="24"/>
        </w:rPr>
        <w:t>Crown Investigators are committed to think about the public premium while settling o</w:t>
      </w:r>
      <w:r w:rsidRPr="00272CAF">
        <w:rPr>
          <w:sz w:val="24"/>
        </w:rPr>
        <w:t>n choices regarding arraignments (Li et al., 2019). This implies weighing factors like the reality of the offense, the effect on the person in question, and the more extensive ramifications for society.</w:t>
      </w:r>
    </w:p>
    <w:p w:rsidR="002C605E" w:rsidRPr="00272CAF" w:rsidRDefault="00DE5823">
      <w:pPr>
        <w:pStyle w:val="Heading2"/>
      </w:pPr>
      <w:bookmarkStart w:id="10" w:name="_2s8eyo1" w:colFirst="0" w:colLast="0"/>
      <w:bookmarkEnd w:id="10"/>
      <w:r w:rsidRPr="00272CAF">
        <w:t>Tests Used when Making Charging Decisions</w:t>
      </w:r>
    </w:p>
    <w:p w:rsidR="002C605E" w:rsidRPr="00272CAF" w:rsidRDefault="00DE5823">
      <w:pPr>
        <w:rPr>
          <w:sz w:val="24"/>
        </w:rPr>
      </w:pPr>
      <w:r w:rsidRPr="00272CAF">
        <w:rPr>
          <w:sz w:val="24"/>
        </w:rPr>
        <w:t>The chargin</w:t>
      </w:r>
      <w:r w:rsidRPr="00272CAF">
        <w:rPr>
          <w:sz w:val="24"/>
        </w:rPr>
        <w:t>g choice cycle is directed by lawful tests intended to guarantee that main cases with adequate proof continue to court. Two normal tests utilized are the "evidential test" and the "public interest test.</w:t>
      </w:r>
    </w:p>
    <w:p w:rsidR="002C605E" w:rsidRPr="00272CAF" w:rsidRDefault="00DE5823">
      <w:pPr>
        <w:rPr>
          <w:b/>
          <w:sz w:val="24"/>
        </w:rPr>
      </w:pPr>
      <w:r w:rsidRPr="00272CAF">
        <w:rPr>
          <w:b/>
          <w:sz w:val="24"/>
        </w:rPr>
        <w:t>Evidential Test</w:t>
      </w:r>
    </w:p>
    <w:p w:rsidR="002C605E" w:rsidRPr="00272CAF" w:rsidRDefault="00DE5823">
      <w:pPr>
        <w:rPr>
          <w:sz w:val="24"/>
        </w:rPr>
      </w:pPr>
      <w:r w:rsidRPr="00272CAF">
        <w:rPr>
          <w:sz w:val="24"/>
        </w:rPr>
        <w:t>This test evaluates whether the acces</w:t>
      </w:r>
      <w:r w:rsidRPr="00272CAF">
        <w:rPr>
          <w:sz w:val="24"/>
        </w:rPr>
        <w:t>sible proof is sufficiently able to give a practical possibility of conviction. Crown Investigators should cautiously think about the quality and amount of proof (Slobogin, 2020). The case may not proceed if there is insufficient evidence to prove guilt be</w:t>
      </w:r>
      <w:r w:rsidRPr="00272CAF">
        <w:rPr>
          <w:sz w:val="24"/>
        </w:rPr>
        <w:t>yond a reasonable doubt.</w:t>
      </w:r>
    </w:p>
    <w:p w:rsidR="002C605E" w:rsidRPr="00272CAF" w:rsidRDefault="00DE5823">
      <w:pPr>
        <w:rPr>
          <w:b/>
          <w:sz w:val="24"/>
        </w:rPr>
      </w:pPr>
      <w:r w:rsidRPr="00272CAF">
        <w:rPr>
          <w:b/>
          <w:sz w:val="24"/>
        </w:rPr>
        <w:t>Public Interest Test</w:t>
      </w:r>
    </w:p>
    <w:p w:rsidR="002C605E" w:rsidRPr="00272CAF" w:rsidRDefault="00DE5823">
      <w:pPr>
        <w:rPr>
          <w:sz w:val="24"/>
        </w:rPr>
      </w:pPr>
      <w:r w:rsidRPr="00272CAF">
        <w:rPr>
          <w:sz w:val="24"/>
        </w:rPr>
        <w:t xml:space="preserve">The strength of proof, Crown Examiners should likewise think about the public interest in continuing with an indictment. Factors like the earnestness of the offense, influence on </w:t>
      </w:r>
      <w:r w:rsidRPr="00272CAF">
        <w:rPr>
          <w:sz w:val="24"/>
        </w:rPr>
        <w:lastRenderedPageBreak/>
        <w:t xml:space="preserve">casualties, and expected </w:t>
      </w:r>
      <w:r w:rsidRPr="00272CAF">
        <w:rPr>
          <w:sz w:val="24"/>
        </w:rPr>
        <w:t>mischief to society are considered (Koenig and Freeman, 2022). If arraigning the case isn't in the public interest, charges may not be laid.</w:t>
      </w:r>
    </w:p>
    <w:p w:rsidR="002C605E" w:rsidRPr="00272CAF" w:rsidRDefault="00DE5823">
      <w:pPr>
        <w:pStyle w:val="Heading2"/>
      </w:pPr>
      <w:bookmarkStart w:id="11" w:name="_17dp8vu" w:colFirst="0" w:colLast="0"/>
      <w:bookmarkEnd w:id="11"/>
      <w:r w:rsidRPr="00272CAF">
        <w:t>The role of the Police, Criminal Jurisdiction, and Court Structure</w:t>
      </w:r>
    </w:p>
    <w:p w:rsidR="002C605E" w:rsidRPr="00272CAF" w:rsidRDefault="00DE5823">
      <w:pPr>
        <w:pStyle w:val="Heading3"/>
      </w:pPr>
      <w:bookmarkStart w:id="12" w:name="_3rdcrjn" w:colFirst="0" w:colLast="0"/>
      <w:bookmarkEnd w:id="12"/>
      <w:r w:rsidRPr="00272CAF">
        <w:t>The Courts' Structure</w:t>
      </w:r>
    </w:p>
    <w:p w:rsidR="002C605E" w:rsidRPr="00272CAF" w:rsidRDefault="00DE5823">
      <w:pPr>
        <w:rPr>
          <w:sz w:val="24"/>
        </w:rPr>
      </w:pPr>
      <w:r w:rsidRPr="00272CAF">
        <w:rPr>
          <w:sz w:val="24"/>
        </w:rPr>
        <w:t>Each level of a jurisdicti</w:t>
      </w:r>
      <w:r w:rsidRPr="00272CAF">
        <w:rPr>
          <w:sz w:val="24"/>
        </w:rPr>
        <w:t>on's courts is organized in a hierarchical manner, with specific responsibilities and authority over various types of cases at each level (Chen, 2020). Typically, the structure includes.</w:t>
      </w:r>
    </w:p>
    <w:p w:rsidR="002C605E" w:rsidRPr="00272CAF" w:rsidRDefault="00DE5823">
      <w:pPr>
        <w:rPr>
          <w:b/>
          <w:sz w:val="24"/>
        </w:rPr>
      </w:pPr>
      <w:r w:rsidRPr="00272CAF">
        <w:rPr>
          <w:b/>
          <w:sz w:val="24"/>
        </w:rPr>
        <w:t xml:space="preserve">Lower Courts </w:t>
      </w:r>
    </w:p>
    <w:p w:rsidR="002C605E" w:rsidRPr="00272CAF" w:rsidRDefault="00DE5823">
      <w:pPr>
        <w:rPr>
          <w:sz w:val="24"/>
        </w:rPr>
      </w:pPr>
      <w:r w:rsidRPr="00272CAF">
        <w:rPr>
          <w:sz w:val="24"/>
        </w:rPr>
        <w:t>These handle less serious offenses and fundamental hear</w:t>
      </w:r>
      <w:r w:rsidRPr="00272CAF">
        <w:rPr>
          <w:sz w:val="24"/>
        </w:rPr>
        <w:t>ings. Models incorporate Officers' Courts and Metropolitan Courts.</w:t>
      </w:r>
    </w:p>
    <w:p w:rsidR="002C605E" w:rsidRPr="00272CAF" w:rsidRDefault="00DE5823">
      <w:pPr>
        <w:rPr>
          <w:sz w:val="24"/>
        </w:rPr>
      </w:pPr>
      <w:r w:rsidRPr="00272CAF">
        <w:rPr>
          <w:b/>
          <w:sz w:val="24"/>
        </w:rPr>
        <w:t>Intermediate Courts</w:t>
      </w:r>
    </w:p>
    <w:p w:rsidR="002C605E" w:rsidRPr="00272CAF" w:rsidRDefault="00DE5823">
      <w:pPr>
        <w:rPr>
          <w:sz w:val="24"/>
        </w:rPr>
      </w:pPr>
      <w:r w:rsidRPr="00272CAF">
        <w:rPr>
          <w:sz w:val="24"/>
        </w:rPr>
        <w:t>They still fall under the jurisdiction of the lower courts, despite being referred to as County Courts or District Courts.</w:t>
      </w:r>
    </w:p>
    <w:p w:rsidR="002C605E" w:rsidRPr="00272CAF" w:rsidRDefault="00DE5823">
      <w:pPr>
        <w:rPr>
          <w:sz w:val="24"/>
        </w:rPr>
      </w:pPr>
      <w:r w:rsidRPr="00272CAF">
        <w:rPr>
          <w:b/>
          <w:sz w:val="24"/>
        </w:rPr>
        <w:t>Higher Courts</w:t>
      </w:r>
      <w:r w:rsidRPr="00272CAF">
        <w:rPr>
          <w:sz w:val="24"/>
        </w:rPr>
        <w:t xml:space="preserve"> </w:t>
      </w:r>
    </w:p>
    <w:p w:rsidR="002C605E" w:rsidRPr="00272CAF" w:rsidRDefault="00DE5823">
      <w:pPr>
        <w:rPr>
          <w:sz w:val="24"/>
        </w:rPr>
      </w:pPr>
      <w:r w:rsidRPr="00272CAF">
        <w:rPr>
          <w:sz w:val="24"/>
        </w:rPr>
        <w:t>These are the prevalent or re-a</w:t>
      </w:r>
      <w:r w:rsidRPr="00272CAF">
        <w:rPr>
          <w:sz w:val="24"/>
        </w:rPr>
        <w:t>ppraising courts, liable for hearing requests and attempting the most serious lawbreaker cases. Models incorporate High Courts and High Courts (Chen, 2020).</w:t>
      </w:r>
    </w:p>
    <w:p w:rsidR="002C605E" w:rsidRPr="00272CAF" w:rsidRDefault="00DE5823">
      <w:pPr>
        <w:pStyle w:val="Heading3"/>
      </w:pPr>
      <w:bookmarkStart w:id="13" w:name="_26in1rg" w:colFirst="0" w:colLast="0"/>
      <w:bookmarkEnd w:id="13"/>
      <w:r w:rsidRPr="00272CAF">
        <w:t>Criminal Jurisdiction</w:t>
      </w:r>
    </w:p>
    <w:p w:rsidR="002C605E" w:rsidRPr="00272CAF" w:rsidRDefault="00DE5823">
      <w:pPr>
        <w:rPr>
          <w:sz w:val="24"/>
        </w:rPr>
      </w:pPr>
      <w:r w:rsidRPr="00272CAF">
        <w:rPr>
          <w:sz w:val="24"/>
        </w:rPr>
        <w:t>Criminal ward alludes to the power of a court to hear and choose criminal cas</w:t>
      </w:r>
      <w:r w:rsidRPr="00272CAF">
        <w:rPr>
          <w:sz w:val="24"/>
        </w:rPr>
        <w:t>es. Still up in the air by the kind of offense, the seriousness of the wrongdoing, and the geological place where the wrongdoing happened (Ruolin, 2023). Various courts have differing levels of criminal ward, and cases should be brought under the steady ga</w:t>
      </w:r>
      <w:r w:rsidRPr="00272CAF">
        <w:rPr>
          <w:sz w:val="24"/>
        </w:rPr>
        <w:t>ze of the fitting court.</w:t>
      </w:r>
    </w:p>
    <w:p w:rsidR="002C605E" w:rsidRPr="00272CAF" w:rsidRDefault="00DE5823">
      <w:pPr>
        <w:pStyle w:val="Heading3"/>
      </w:pPr>
      <w:bookmarkStart w:id="14" w:name="_lnxbz9" w:colFirst="0" w:colLast="0"/>
      <w:bookmarkEnd w:id="14"/>
      <w:r w:rsidRPr="00272CAF">
        <w:lastRenderedPageBreak/>
        <w:t>Role of the Police</w:t>
      </w:r>
    </w:p>
    <w:p w:rsidR="002C605E" w:rsidRPr="00272CAF" w:rsidRDefault="00DE5823">
      <w:pPr>
        <w:rPr>
          <w:sz w:val="24"/>
        </w:rPr>
      </w:pPr>
      <w:r w:rsidRPr="00272CAF">
        <w:rPr>
          <w:sz w:val="24"/>
        </w:rPr>
        <w:t xml:space="preserve">The police assume an urgent part in the law enforcement framework. Their obligations include here. </w:t>
      </w:r>
    </w:p>
    <w:p w:rsidR="002C605E" w:rsidRPr="00272CAF" w:rsidRDefault="00DE5823">
      <w:pPr>
        <w:rPr>
          <w:b/>
          <w:sz w:val="24"/>
        </w:rPr>
      </w:pPr>
      <w:r w:rsidRPr="00272CAF">
        <w:rPr>
          <w:b/>
          <w:sz w:val="24"/>
        </w:rPr>
        <w:t xml:space="preserve">Law Enforcement </w:t>
      </w:r>
    </w:p>
    <w:p w:rsidR="002C605E" w:rsidRPr="00272CAF" w:rsidRDefault="00DE5823">
      <w:pPr>
        <w:rPr>
          <w:sz w:val="24"/>
        </w:rPr>
      </w:pPr>
      <w:r w:rsidRPr="00272CAF">
        <w:rPr>
          <w:sz w:val="24"/>
        </w:rPr>
        <w:t>The police are liable for authorizing the law, forestalling wrongdoing, and keeping public cont</w:t>
      </w:r>
      <w:r w:rsidRPr="00272CAF">
        <w:rPr>
          <w:sz w:val="24"/>
        </w:rPr>
        <w:t>rol (Ruolin, 2023).</w:t>
      </w:r>
    </w:p>
    <w:p w:rsidR="002C605E" w:rsidRPr="00272CAF" w:rsidRDefault="00DE5823">
      <w:pPr>
        <w:rPr>
          <w:sz w:val="24"/>
        </w:rPr>
      </w:pPr>
      <w:r w:rsidRPr="00272CAF">
        <w:rPr>
          <w:b/>
          <w:sz w:val="24"/>
        </w:rPr>
        <w:t>Investigation</w:t>
      </w:r>
      <w:r w:rsidRPr="00272CAF">
        <w:rPr>
          <w:sz w:val="24"/>
        </w:rPr>
        <w:t xml:space="preserve"> </w:t>
      </w:r>
    </w:p>
    <w:p w:rsidR="002C605E" w:rsidRPr="00272CAF" w:rsidRDefault="00DE5823">
      <w:pPr>
        <w:rPr>
          <w:sz w:val="24"/>
        </w:rPr>
      </w:pPr>
      <w:r w:rsidRPr="00272CAF">
        <w:rPr>
          <w:sz w:val="24"/>
        </w:rPr>
        <w:t>At the point when wrongdoing is accounted for, the police lead examinations to accumulate proof, recognize suspects, and fabricate a case (Berova, 2019).</w:t>
      </w:r>
    </w:p>
    <w:p w:rsidR="002C605E" w:rsidRPr="00272CAF" w:rsidRDefault="00DE5823">
      <w:pPr>
        <w:rPr>
          <w:b/>
          <w:sz w:val="24"/>
        </w:rPr>
      </w:pPr>
      <w:r w:rsidRPr="00272CAF">
        <w:rPr>
          <w:b/>
          <w:sz w:val="24"/>
        </w:rPr>
        <w:t xml:space="preserve">Arrest and Detention </w:t>
      </w:r>
    </w:p>
    <w:p w:rsidR="002C605E" w:rsidRPr="00272CAF" w:rsidRDefault="00DE5823">
      <w:pPr>
        <w:rPr>
          <w:sz w:val="24"/>
        </w:rPr>
      </w:pPr>
      <w:r w:rsidRPr="00272CAF">
        <w:rPr>
          <w:sz w:val="24"/>
        </w:rPr>
        <w:t>On the off chance that the police have sensib</w:t>
      </w:r>
      <w:r w:rsidRPr="00272CAF">
        <w:rPr>
          <w:sz w:val="24"/>
        </w:rPr>
        <w:t>le grounds to accept somebody has perpetrated a wrongdoing, they can capture and confine the suspect for addressing (Lei, 2019).</w:t>
      </w:r>
    </w:p>
    <w:p w:rsidR="002C605E" w:rsidRPr="00272CAF" w:rsidRDefault="00DE5823">
      <w:pPr>
        <w:rPr>
          <w:b/>
          <w:sz w:val="24"/>
        </w:rPr>
      </w:pPr>
      <w:r w:rsidRPr="00272CAF">
        <w:rPr>
          <w:b/>
          <w:sz w:val="24"/>
        </w:rPr>
        <w:t xml:space="preserve">Handover to Prosecution </w:t>
      </w:r>
    </w:p>
    <w:p w:rsidR="002C605E" w:rsidRPr="00272CAF" w:rsidRDefault="00DE5823">
      <w:pPr>
        <w:rPr>
          <w:sz w:val="24"/>
        </w:rPr>
      </w:pPr>
      <w:r w:rsidRPr="00272CAF">
        <w:rPr>
          <w:sz w:val="24"/>
        </w:rPr>
        <w:t>Subsequent to directing their examination, the police hand over the case to the Crown Investigators fo</w:t>
      </w:r>
      <w:r w:rsidRPr="00272CAF">
        <w:rPr>
          <w:sz w:val="24"/>
        </w:rPr>
        <w:t>r charging choices and court procedures (Phelps et al., 2021).</w:t>
      </w:r>
    </w:p>
    <w:p w:rsidR="002C605E" w:rsidRPr="00272CAF" w:rsidRDefault="00DE5823">
      <w:pPr>
        <w:pStyle w:val="Heading1"/>
      </w:pPr>
      <w:bookmarkStart w:id="15" w:name="_35nkun2" w:colFirst="0" w:colLast="0"/>
      <w:bookmarkEnd w:id="15"/>
      <w:r w:rsidRPr="00272CAF">
        <w:t>Understanding the Various Stages of Criminal Proceedings, Bail and Funding to Prepare for and to advise a Client for Criminal Proceedings</w:t>
      </w:r>
    </w:p>
    <w:p w:rsidR="002C605E" w:rsidRPr="00272CAF" w:rsidRDefault="00DE5823">
      <w:pPr>
        <w:rPr>
          <w:sz w:val="24"/>
        </w:rPr>
      </w:pPr>
      <w:r w:rsidRPr="00272CAF">
        <w:rPr>
          <w:sz w:val="24"/>
        </w:rPr>
        <w:t>In the criminal justice system, criminal procedures inc</w:t>
      </w:r>
      <w:r w:rsidRPr="00272CAF">
        <w:rPr>
          <w:sz w:val="24"/>
        </w:rPr>
        <w:t>lude a progression of stages that are basic for the fair and only goal of criminal cases (Berova, 2019). This article expects to give an outline of the different phases of criminal procedures, the idea of bail, and financing choices for clients looking for</w:t>
      </w:r>
      <w:r w:rsidRPr="00272CAF">
        <w:rPr>
          <w:sz w:val="24"/>
        </w:rPr>
        <w:t xml:space="preserve"> legitimate portrayal.</w:t>
      </w:r>
    </w:p>
    <w:p w:rsidR="002C605E" w:rsidRPr="00272CAF" w:rsidRDefault="00DE5823">
      <w:pPr>
        <w:pStyle w:val="Heading2"/>
      </w:pPr>
      <w:bookmarkStart w:id="16" w:name="_1ksv4uv" w:colFirst="0" w:colLast="0"/>
      <w:bookmarkEnd w:id="16"/>
      <w:r w:rsidRPr="00272CAF">
        <w:t>Phases of Criminal Procedures</w:t>
      </w:r>
    </w:p>
    <w:p w:rsidR="002C605E" w:rsidRPr="00272CAF" w:rsidRDefault="00DE5823">
      <w:pPr>
        <w:rPr>
          <w:b/>
          <w:sz w:val="24"/>
        </w:rPr>
      </w:pPr>
      <w:r w:rsidRPr="00272CAF">
        <w:rPr>
          <w:b/>
          <w:sz w:val="24"/>
        </w:rPr>
        <w:t>Investigation</w:t>
      </w:r>
    </w:p>
    <w:p w:rsidR="002C605E" w:rsidRPr="00272CAF" w:rsidRDefault="00DE5823">
      <w:pPr>
        <w:rPr>
          <w:sz w:val="24"/>
        </w:rPr>
      </w:pPr>
      <w:r w:rsidRPr="00272CAF">
        <w:rPr>
          <w:sz w:val="24"/>
        </w:rPr>
        <w:lastRenderedPageBreak/>
        <w:t>The interaction starts with the police directing an examination concerning the supposed wrongdoing (Ma, 2019). They assemble proof, interview observers, and recognize likely suspects.</w:t>
      </w:r>
    </w:p>
    <w:p w:rsidR="002C605E" w:rsidRPr="00272CAF" w:rsidRDefault="00DE5823">
      <w:pPr>
        <w:rPr>
          <w:sz w:val="24"/>
        </w:rPr>
      </w:pPr>
      <w:r w:rsidRPr="00272CAF">
        <w:rPr>
          <w:b/>
          <w:sz w:val="24"/>
        </w:rPr>
        <w:t>Arrest</w:t>
      </w:r>
      <w:r w:rsidRPr="00272CAF">
        <w:rPr>
          <w:sz w:val="24"/>
        </w:rPr>
        <w:t xml:space="preserve"> </w:t>
      </w:r>
    </w:p>
    <w:p w:rsidR="002C605E" w:rsidRPr="00272CAF" w:rsidRDefault="00DE5823">
      <w:pPr>
        <w:rPr>
          <w:sz w:val="24"/>
        </w:rPr>
      </w:pPr>
      <w:r w:rsidRPr="00272CAF">
        <w:rPr>
          <w:sz w:val="24"/>
        </w:rPr>
        <w:t>Assuming the police have sensible grounds to accept that an individual carried out a wrongdoing, they might capture the suspect (Lei, 2019). After the capture, the police advise the suspect regarding their privileges, including the option to stay q</w:t>
      </w:r>
      <w:r w:rsidRPr="00272CAF">
        <w:rPr>
          <w:sz w:val="24"/>
        </w:rPr>
        <w:t>uiet and the right to lawful portrayal.</w:t>
      </w:r>
    </w:p>
    <w:p w:rsidR="002C605E" w:rsidRPr="00272CAF" w:rsidRDefault="00DE5823">
      <w:pPr>
        <w:rPr>
          <w:b/>
          <w:sz w:val="24"/>
        </w:rPr>
      </w:pPr>
      <w:r w:rsidRPr="00272CAF">
        <w:rPr>
          <w:b/>
          <w:sz w:val="24"/>
        </w:rPr>
        <w:t xml:space="preserve">First Appearance </w:t>
      </w:r>
    </w:p>
    <w:p w:rsidR="002C605E" w:rsidRPr="00272CAF" w:rsidRDefault="00DE5823">
      <w:pPr>
        <w:rPr>
          <w:sz w:val="24"/>
        </w:rPr>
      </w:pPr>
      <w:r w:rsidRPr="00272CAF">
        <w:rPr>
          <w:sz w:val="24"/>
        </w:rPr>
        <w:t xml:space="preserve">After the capture, the suspect is brought under the steady gaze of a court for their most memorable appearance (Phelps et al., 2021). During this stage, the charges are perused, and the accused can </w:t>
      </w:r>
      <w:r w:rsidRPr="00272CAF">
        <w:rPr>
          <w:sz w:val="24"/>
        </w:rPr>
        <w:t>apply for bail.</w:t>
      </w:r>
    </w:p>
    <w:p w:rsidR="002C605E" w:rsidRPr="00272CAF" w:rsidRDefault="00DE5823">
      <w:pPr>
        <w:rPr>
          <w:sz w:val="24"/>
        </w:rPr>
      </w:pPr>
      <w:r w:rsidRPr="00272CAF">
        <w:rPr>
          <w:b/>
          <w:sz w:val="24"/>
        </w:rPr>
        <w:t>Bail Hearing</w:t>
      </w:r>
      <w:r w:rsidRPr="00272CAF">
        <w:rPr>
          <w:sz w:val="24"/>
        </w:rPr>
        <w:t xml:space="preserve"> </w:t>
      </w:r>
    </w:p>
    <w:p w:rsidR="002C605E" w:rsidRPr="00272CAF" w:rsidRDefault="00DE5823">
      <w:pPr>
        <w:rPr>
          <w:sz w:val="24"/>
        </w:rPr>
      </w:pPr>
      <w:r w:rsidRPr="00272CAF">
        <w:rPr>
          <w:sz w:val="24"/>
        </w:rPr>
        <w:t>A bail hearing is held if the accused is not released after the first appearance. The court decides if the charge ought to be delivered on bail or kept in guardianship until the preliminary (Ma, 2019). Bail is conceded in ligh</w:t>
      </w:r>
      <w:r w:rsidRPr="00272CAF">
        <w:rPr>
          <w:sz w:val="24"/>
        </w:rPr>
        <w:t>t of elements like the reality of the offence, the gamble of flight, and public security concerns.</w:t>
      </w:r>
    </w:p>
    <w:p w:rsidR="002C605E" w:rsidRPr="00272CAF" w:rsidRDefault="00DE5823">
      <w:pPr>
        <w:rPr>
          <w:b/>
          <w:sz w:val="24"/>
        </w:rPr>
      </w:pPr>
      <w:r w:rsidRPr="00272CAF">
        <w:rPr>
          <w:b/>
          <w:sz w:val="24"/>
        </w:rPr>
        <w:t>Plea</w:t>
      </w:r>
    </w:p>
    <w:p w:rsidR="002C605E" w:rsidRPr="00272CAF" w:rsidRDefault="00DE5823">
      <w:pPr>
        <w:rPr>
          <w:sz w:val="24"/>
        </w:rPr>
      </w:pPr>
      <w:r w:rsidRPr="00272CAF">
        <w:rPr>
          <w:sz w:val="24"/>
        </w:rPr>
        <w:t>During the arraignment, the blame enters a request for liable or not blameworthy. On the off chance that the denounced confesses, a condemning hearing i</w:t>
      </w:r>
      <w:r w:rsidRPr="00272CAF">
        <w:rPr>
          <w:sz w:val="24"/>
        </w:rPr>
        <w:t>s booked (Wendel and Davis, 2022). In the event that they argue not blameworthy, the case continues to be preliminary.</w:t>
      </w:r>
    </w:p>
    <w:p w:rsidR="002C605E" w:rsidRPr="00272CAF" w:rsidRDefault="00DE5823">
      <w:pPr>
        <w:rPr>
          <w:sz w:val="24"/>
        </w:rPr>
      </w:pPr>
      <w:r w:rsidRPr="00272CAF">
        <w:rPr>
          <w:b/>
          <w:sz w:val="24"/>
        </w:rPr>
        <w:t>Trial</w:t>
      </w:r>
      <w:r w:rsidRPr="00272CAF">
        <w:rPr>
          <w:sz w:val="24"/>
        </w:rPr>
        <w:t xml:space="preserve"> </w:t>
      </w:r>
    </w:p>
    <w:p w:rsidR="002C605E" w:rsidRPr="00272CAF" w:rsidRDefault="00DE5823">
      <w:pPr>
        <w:rPr>
          <w:sz w:val="24"/>
        </w:rPr>
      </w:pPr>
      <w:r w:rsidRPr="00272CAF">
        <w:rPr>
          <w:sz w:val="24"/>
        </w:rPr>
        <w:t>The preliminary is the stage where proof is introduced, witnesses are analyzed, and lawful contentions are made (Oladele et al., 2</w:t>
      </w:r>
      <w:r w:rsidRPr="00272CAF">
        <w:rPr>
          <w:sz w:val="24"/>
        </w:rPr>
        <w:t xml:space="preserve">022). The indictment should demonstrate the </w:t>
      </w:r>
      <w:r w:rsidRPr="00272CAF">
        <w:rPr>
          <w:sz w:val="24"/>
        </w:rPr>
        <w:lastRenderedPageBreak/>
        <w:t>denounced responsibility for certain.</w:t>
      </w:r>
    </w:p>
    <w:p w:rsidR="002C605E" w:rsidRPr="00272CAF" w:rsidRDefault="00DE5823">
      <w:pPr>
        <w:rPr>
          <w:sz w:val="24"/>
        </w:rPr>
      </w:pPr>
      <w:r w:rsidRPr="00272CAF">
        <w:rPr>
          <w:b/>
          <w:sz w:val="24"/>
        </w:rPr>
        <w:t>Sentencing</w:t>
      </w:r>
      <w:r w:rsidRPr="00272CAF">
        <w:rPr>
          <w:sz w:val="24"/>
        </w:rPr>
        <w:t xml:space="preserve"> </w:t>
      </w:r>
    </w:p>
    <w:p w:rsidR="002C605E" w:rsidRPr="00272CAF" w:rsidRDefault="00DE5823">
      <w:pPr>
        <w:rPr>
          <w:sz w:val="24"/>
        </w:rPr>
      </w:pPr>
      <w:r w:rsidRPr="00272CAF">
        <w:rPr>
          <w:sz w:val="24"/>
        </w:rPr>
        <w:t>In the event that the accused is viewed as blameworthy or confesses, a condemning hearing is held to decide the proper discipline or restoration measures (Newton,</w:t>
      </w:r>
      <w:r w:rsidRPr="00272CAF">
        <w:rPr>
          <w:sz w:val="24"/>
        </w:rPr>
        <w:t xml:space="preserve"> 2023).</w:t>
      </w:r>
    </w:p>
    <w:p w:rsidR="002C605E" w:rsidRPr="00272CAF" w:rsidRDefault="00DE5823">
      <w:pPr>
        <w:rPr>
          <w:sz w:val="24"/>
        </w:rPr>
      </w:pPr>
      <w:r w:rsidRPr="00272CAF">
        <w:rPr>
          <w:b/>
          <w:sz w:val="24"/>
        </w:rPr>
        <w:t>Appeal</w:t>
      </w:r>
      <w:r w:rsidRPr="00272CAF">
        <w:rPr>
          <w:sz w:val="24"/>
        </w:rPr>
        <w:t xml:space="preserve"> </w:t>
      </w:r>
    </w:p>
    <w:p w:rsidR="002C605E" w:rsidRPr="00272CAF" w:rsidRDefault="00DE5823">
      <w:pPr>
        <w:rPr>
          <w:sz w:val="24"/>
        </w:rPr>
      </w:pPr>
      <w:r w:rsidRPr="00272CAF">
        <w:rPr>
          <w:sz w:val="24"/>
        </w:rPr>
        <w:t>After the preliminary, the accused may reserve the privilege to pursue the conviction or sentence assuming they accept there were mistakes in the legitimate cycle (Alkrisheh et al., 2021).</w:t>
      </w:r>
    </w:p>
    <w:p w:rsidR="002C605E" w:rsidRPr="00272CAF" w:rsidRDefault="00DE5823">
      <w:pPr>
        <w:pStyle w:val="Heading2"/>
      </w:pPr>
      <w:bookmarkStart w:id="17" w:name="_44sinio" w:colFirst="0" w:colLast="0"/>
      <w:bookmarkEnd w:id="17"/>
      <w:r w:rsidRPr="00272CAF">
        <w:t>Bail and Funding for Legal Representation</w:t>
      </w:r>
    </w:p>
    <w:p w:rsidR="002C605E" w:rsidRPr="00272CAF" w:rsidRDefault="00DE5823">
      <w:pPr>
        <w:pStyle w:val="Heading3"/>
      </w:pPr>
      <w:bookmarkStart w:id="18" w:name="_2jxsxqh" w:colFirst="0" w:colLast="0"/>
      <w:bookmarkEnd w:id="18"/>
      <w:r w:rsidRPr="00272CAF">
        <w:t>Bail</w:t>
      </w:r>
    </w:p>
    <w:p w:rsidR="002C605E" w:rsidRPr="00272CAF" w:rsidRDefault="00DE5823">
      <w:pPr>
        <w:rPr>
          <w:sz w:val="24"/>
        </w:rPr>
      </w:pPr>
      <w:r w:rsidRPr="00272CAF">
        <w:rPr>
          <w:sz w:val="24"/>
        </w:rPr>
        <w:t xml:space="preserve">The </w:t>
      </w:r>
      <w:r w:rsidRPr="00272CAF">
        <w:rPr>
          <w:sz w:val="24"/>
        </w:rPr>
        <w:t>provision of an accused person with temporary bail while they await trial or other criminal proceedings A key right is the guideline of "free of guilt by default." In the event that a charge can't bear to pay bail, they might look for the administrations o</w:t>
      </w:r>
      <w:r w:rsidRPr="00272CAF">
        <w:rPr>
          <w:sz w:val="24"/>
        </w:rPr>
        <w:t xml:space="preserve">f a bail bondsman, who posts abandon their benefit for an expense (Kapooria, 2019). Inability to show up in court can bring about the relinquishment of bail cash. </w:t>
      </w:r>
    </w:p>
    <w:p w:rsidR="002C605E" w:rsidRPr="00272CAF" w:rsidRDefault="00DE5823">
      <w:pPr>
        <w:pStyle w:val="Heading3"/>
      </w:pPr>
      <w:bookmarkStart w:id="19" w:name="_z337ya" w:colFirst="0" w:colLast="0"/>
      <w:bookmarkEnd w:id="19"/>
      <w:r w:rsidRPr="00272CAF">
        <w:t xml:space="preserve">Funding for Legal Representation </w:t>
      </w:r>
    </w:p>
    <w:p w:rsidR="002C605E" w:rsidRPr="00272CAF" w:rsidRDefault="00DE5823">
      <w:pPr>
        <w:rPr>
          <w:sz w:val="24"/>
        </w:rPr>
      </w:pPr>
      <w:r w:rsidRPr="00272CAF">
        <w:rPr>
          <w:sz w:val="24"/>
        </w:rPr>
        <w:t>Legitimate portrayal is vital for the blame to explore the</w:t>
      </w:r>
      <w:r w:rsidRPr="00272CAF">
        <w:rPr>
          <w:sz w:val="24"/>
        </w:rPr>
        <w:t xml:space="preserve"> intricacies for the law enforcement framework. A private attorney, on the other hand, isn't affordable for everyone (Leonard, 2022). There are a few subsidizing choices accessible below. </w:t>
      </w:r>
    </w:p>
    <w:p w:rsidR="002C605E" w:rsidRPr="00272CAF" w:rsidRDefault="00DE5823">
      <w:pPr>
        <w:rPr>
          <w:b/>
          <w:sz w:val="24"/>
        </w:rPr>
      </w:pPr>
      <w:r w:rsidRPr="00272CAF">
        <w:rPr>
          <w:b/>
          <w:sz w:val="24"/>
        </w:rPr>
        <w:t xml:space="preserve">Legal Aid </w:t>
      </w:r>
    </w:p>
    <w:p w:rsidR="002C605E" w:rsidRPr="00272CAF" w:rsidRDefault="00DE5823">
      <w:pPr>
        <w:rPr>
          <w:sz w:val="24"/>
        </w:rPr>
      </w:pPr>
      <w:r w:rsidRPr="00272CAF">
        <w:rPr>
          <w:sz w:val="24"/>
        </w:rPr>
        <w:t xml:space="preserve">Numerous locales offer legitimate guide administrations </w:t>
      </w:r>
      <w:r w:rsidRPr="00272CAF">
        <w:rPr>
          <w:sz w:val="24"/>
        </w:rPr>
        <w:t>for people who can't manage the cost of private portrayal (Li et al., 2019). Legitimate guide gives free or sponsored lawful help in light of monetary qualification standards.</w:t>
      </w:r>
    </w:p>
    <w:p w:rsidR="002C605E" w:rsidRPr="00272CAF" w:rsidRDefault="00DE5823">
      <w:pPr>
        <w:rPr>
          <w:b/>
          <w:sz w:val="24"/>
        </w:rPr>
      </w:pPr>
      <w:r w:rsidRPr="00272CAF">
        <w:rPr>
          <w:b/>
          <w:sz w:val="24"/>
        </w:rPr>
        <w:t>Free Services</w:t>
      </w:r>
    </w:p>
    <w:p w:rsidR="002C605E" w:rsidRPr="00272CAF" w:rsidRDefault="00DE5823">
      <w:pPr>
        <w:rPr>
          <w:sz w:val="24"/>
        </w:rPr>
      </w:pPr>
      <w:r w:rsidRPr="00272CAF">
        <w:rPr>
          <w:sz w:val="24"/>
        </w:rPr>
        <w:lastRenderedPageBreak/>
        <w:t>A few legal counselors offer free administrations, addressing clie</w:t>
      </w:r>
      <w:r w:rsidRPr="00272CAF">
        <w:rPr>
          <w:sz w:val="24"/>
        </w:rPr>
        <w:t>nts free of charge or at decreased expenses (Wendel and Davis, 2022).</w:t>
      </w:r>
    </w:p>
    <w:p w:rsidR="002C605E" w:rsidRPr="00272CAF" w:rsidRDefault="00DE5823">
      <w:pPr>
        <w:rPr>
          <w:b/>
          <w:sz w:val="24"/>
        </w:rPr>
      </w:pPr>
      <w:r w:rsidRPr="00272CAF">
        <w:rPr>
          <w:b/>
          <w:sz w:val="24"/>
        </w:rPr>
        <w:t xml:space="preserve">Public Defender </w:t>
      </w:r>
    </w:p>
    <w:p w:rsidR="002C605E" w:rsidRPr="00272CAF" w:rsidRDefault="00DE5823">
      <w:pPr>
        <w:rPr>
          <w:sz w:val="24"/>
        </w:rPr>
      </w:pPr>
      <w:r w:rsidRPr="00272CAF">
        <w:rPr>
          <w:sz w:val="24"/>
        </w:rPr>
        <w:t>In</w:t>
      </w:r>
      <w:r w:rsidRPr="00272CAF">
        <w:rPr>
          <w:color w:val="FF0000"/>
          <w:sz w:val="24"/>
        </w:rPr>
        <w:t xml:space="preserve"> </w:t>
      </w:r>
      <w:r w:rsidRPr="00272CAF">
        <w:rPr>
          <w:sz w:val="24"/>
        </w:rPr>
        <w:t xml:space="preserve">situations where the accused can't bear the cost of private portrayal and doesn't meet all requirements for legitimate guide, the court might name a public safeguard </w:t>
      </w:r>
      <w:r w:rsidRPr="00272CAF">
        <w:rPr>
          <w:sz w:val="24"/>
        </w:rPr>
        <w:t>to address them at no expense (Slobogin, 2020).</w:t>
      </w:r>
    </w:p>
    <w:p w:rsidR="002C605E" w:rsidRPr="00272CAF" w:rsidRDefault="00DE5823">
      <w:pPr>
        <w:rPr>
          <w:sz w:val="24"/>
        </w:rPr>
      </w:pPr>
      <w:r w:rsidRPr="00272CAF">
        <w:rPr>
          <w:b/>
          <w:sz w:val="24"/>
        </w:rPr>
        <w:t>Self-Representation</w:t>
      </w:r>
      <w:r w:rsidRPr="00272CAF">
        <w:rPr>
          <w:sz w:val="24"/>
        </w:rPr>
        <w:t xml:space="preserve"> </w:t>
      </w:r>
    </w:p>
    <w:p w:rsidR="002C605E" w:rsidRPr="00272CAF" w:rsidRDefault="00DE5823">
      <w:pPr>
        <w:rPr>
          <w:sz w:val="24"/>
        </w:rPr>
      </w:pPr>
      <w:r w:rsidRPr="00272CAF">
        <w:rPr>
          <w:sz w:val="24"/>
        </w:rPr>
        <w:t>In certain occasions, the denounced may decide to address themselves, going about as their own lawyer (Koenig and Freeman, 2022). However, this is by and large deterred because of the int</w:t>
      </w:r>
      <w:r w:rsidRPr="00272CAF">
        <w:rPr>
          <w:sz w:val="24"/>
        </w:rPr>
        <w:t>ricacy of judicial actions.</w:t>
      </w:r>
    </w:p>
    <w:p w:rsidR="002C605E" w:rsidRPr="00272CAF" w:rsidRDefault="00DE5823">
      <w:pPr>
        <w:pStyle w:val="Heading1"/>
      </w:pPr>
      <w:bookmarkStart w:id="20" w:name="_3j2qqm3" w:colFirst="0" w:colLast="0"/>
      <w:bookmarkEnd w:id="20"/>
      <w:r w:rsidRPr="00272CAF">
        <w:t>Conclusion</w:t>
      </w:r>
    </w:p>
    <w:p w:rsidR="002C605E" w:rsidRPr="00272CAF" w:rsidRDefault="00DE5823">
      <w:pPr>
        <w:rPr>
          <w:color w:val="000000"/>
          <w:sz w:val="24"/>
        </w:rPr>
        <w:sectPr w:rsidR="002C605E" w:rsidRPr="00272CAF">
          <w:pgSz w:w="12240" w:h="15840"/>
          <w:pgMar w:top="1440" w:right="1800" w:bottom="1440" w:left="1800" w:header="708" w:footer="708" w:gutter="0"/>
          <w:pgNumType w:start="1"/>
          <w:cols w:space="720"/>
        </w:sectPr>
      </w:pPr>
      <w:r w:rsidRPr="00272CAF">
        <w:rPr>
          <w:sz w:val="24"/>
        </w:rPr>
        <w:t xml:space="preserve">A well-working law enforcement framework depends on the consistent execution of the different phases of criminal procedures, beginning from examination and finishing in a fair and just goal. The idea </w:t>
      </w:r>
      <w:r w:rsidRPr="00272CAF">
        <w:rPr>
          <w:sz w:val="24"/>
        </w:rPr>
        <w:t xml:space="preserve">of bail upholds the presumption of innocence until proven guilty, granting accused individuals temporary freedom. Besides, admittance to lawful portrayal is crucial for protecting the freedoms of the denounced and guarantee a fair preliminary. Subsidizing </w:t>
      </w:r>
      <w:r w:rsidRPr="00272CAF">
        <w:rPr>
          <w:sz w:val="24"/>
        </w:rPr>
        <w:t>choices like lawful guide, free administrations, and public safeguards overcome any issues, giving a road to those without monetary means to get capable legitimate portrayal.</w:t>
      </w:r>
    </w:p>
    <w:p w:rsidR="002C605E" w:rsidRPr="00272CAF" w:rsidRDefault="00DE5823">
      <w:pPr>
        <w:pStyle w:val="Heading1"/>
      </w:pPr>
      <w:bookmarkStart w:id="21" w:name="_1y810tw" w:colFirst="0" w:colLast="0"/>
      <w:bookmarkEnd w:id="21"/>
      <w:r w:rsidRPr="00272CAF">
        <w:lastRenderedPageBreak/>
        <w:t>References</w:t>
      </w:r>
    </w:p>
    <w:p w:rsidR="002C605E" w:rsidRPr="00272CAF" w:rsidRDefault="00DE5823">
      <w:pPr>
        <w:pBdr>
          <w:top w:val="nil"/>
          <w:left w:val="nil"/>
          <w:bottom w:val="nil"/>
          <w:right w:val="nil"/>
          <w:between w:val="nil"/>
        </w:pBdr>
        <w:ind w:left="480" w:hanging="480"/>
        <w:rPr>
          <w:sz w:val="24"/>
        </w:rPr>
      </w:pPr>
      <w:r w:rsidRPr="00272CAF">
        <w:rPr>
          <w:sz w:val="24"/>
        </w:rPr>
        <w:t>Newton, B.e. (2023) Criminal Litigation and Legal Issues in Criminal P</w:t>
      </w:r>
      <w:r w:rsidRPr="00272CAF">
        <w:rPr>
          <w:sz w:val="24"/>
        </w:rPr>
        <w:t xml:space="preserve">rocedure: </w:t>
      </w:r>
      <w:r w:rsidRPr="00272CAF">
        <w:rPr>
          <w:i/>
          <w:sz w:val="24"/>
        </w:rPr>
        <w:t>Readings and Hypothetical Exercises.</w:t>
      </w:r>
      <w:r w:rsidRPr="00272CAF">
        <w:rPr>
          <w:sz w:val="24"/>
        </w:rPr>
        <w:t xml:space="preserve"> Aspen Publishing.</w:t>
      </w:r>
    </w:p>
    <w:p w:rsidR="002C605E" w:rsidRPr="00272CAF" w:rsidRDefault="00DE5823">
      <w:pPr>
        <w:pBdr>
          <w:top w:val="nil"/>
          <w:left w:val="nil"/>
          <w:bottom w:val="nil"/>
          <w:right w:val="nil"/>
          <w:between w:val="nil"/>
        </w:pBdr>
        <w:ind w:left="480" w:hanging="480"/>
        <w:rPr>
          <w:sz w:val="24"/>
        </w:rPr>
      </w:pPr>
      <w:r w:rsidRPr="00272CAF">
        <w:rPr>
          <w:sz w:val="24"/>
        </w:rPr>
        <w:t xml:space="preserve">Alkrisheh, M., Alhajaya, N.h. And Massadeh, F. (2021) Time Limitations for Intellectual Property in Criminal and Civil Litigation: a Comparative Study of England and Jordan. </w:t>
      </w:r>
      <w:r w:rsidRPr="00272CAF">
        <w:rPr>
          <w:i/>
          <w:sz w:val="24"/>
        </w:rPr>
        <w:t>International Jou</w:t>
      </w:r>
      <w:r w:rsidRPr="00272CAF">
        <w:rPr>
          <w:i/>
          <w:sz w:val="24"/>
        </w:rPr>
        <w:t>rnal of Private Law,</w:t>
      </w:r>
      <w:r w:rsidRPr="00272CAF">
        <w:rPr>
          <w:sz w:val="24"/>
        </w:rPr>
        <w:t xml:space="preserve"> 10(1), Pp.18-30.</w:t>
      </w:r>
    </w:p>
    <w:p w:rsidR="002C605E" w:rsidRPr="00272CAF" w:rsidRDefault="00DE5823">
      <w:pPr>
        <w:pBdr>
          <w:top w:val="nil"/>
          <w:left w:val="nil"/>
          <w:bottom w:val="nil"/>
          <w:right w:val="nil"/>
          <w:between w:val="nil"/>
        </w:pBdr>
        <w:ind w:left="480" w:hanging="480"/>
        <w:rPr>
          <w:sz w:val="24"/>
        </w:rPr>
      </w:pPr>
      <w:r w:rsidRPr="00272CAF">
        <w:rPr>
          <w:sz w:val="24"/>
        </w:rPr>
        <w:t xml:space="preserve">Kapooria, M. (2019) </w:t>
      </w:r>
      <w:r w:rsidRPr="00272CAF">
        <w:rPr>
          <w:i/>
          <w:sz w:val="24"/>
        </w:rPr>
        <w:t>Statutory and Structural Measures to Reduce Criminal Litigation</w:t>
      </w:r>
      <w:r w:rsidRPr="00272CAF">
        <w:rPr>
          <w:sz w:val="24"/>
        </w:rPr>
        <w:t>.</w:t>
      </w:r>
    </w:p>
    <w:p w:rsidR="002C605E" w:rsidRPr="00272CAF" w:rsidRDefault="00DE5823">
      <w:pPr>
        <w:pBdr>
          <w:top w:val="nil"/>
          <w:left w:val="nil"/>
          <w:bottom w:val="nil"/>
          <w:right w:val="nil"/>
          <w:between w:val="nil"/>
        </w:pBdr>
        <w:ind w:left="480" w:hanging="480"/>
        <w:rPr>
          <w:sz w:val="24"/>
        </w:rPr>
      </w:pPr>
      <w:r w:rsidRPr="00272CAF">
        <w:rPr>
          <w:sz w:val="24"/>
        </w:rPr>
        <w:t>Leonard, a.s. (2022) Criminal Litigation-notes (April 2022).</w:t>
      </w:r>
    </w:p>
    <w:p w:rsidR="002C605E" w:rsidRPr="00272CAF" w:rsidRDefault="00DE5823">
      <w:pPr>
        <w:pBdr>
          <w:top w:val="nil"/>
          <w:left w:val="nil"/>
          <w:bottom w:val="nil"/>
          <w:right w:val="nil"/>
          <w:between w:val="nil"/>
        </w:pBdr>
        <w:ind w:left="480" w:hanging="480"/>
        <w:rPr>
          <w:sz w:val="24"/>
        </w:rPr>
      </w:pPr>
      <w:r w:rsidRPr="00272CAF">
        <w:rPr>
          <w:sz w:val="24"/>
        </w:rPr>
        <w:t>Li, N., Wang, Z. And Dear, K., 2019. Violence Against Health Professiona</w:t>
      </w:r>
      <w:r w:rsidRPr="00272CAF">
        <w:rPr>
          <w:sz w:val="24"/>
        </w:rPr>
        <w:t xml:space="preserve">ls and Facilities in China: </w:t>
      </w:r>
      <w:r w:rsidRPr="00272CAF">
        <w:rPr>
          <w:i/>
          <w:sz w:val="24"/>
        </w:rPr>
        <w:t>Evidence From Criminal Litigation Records.</w:t>
      </w:r>
      <w:r w:rsidRPr="00272CAF">
        <w:rPr>
          <w:sz w:val="24"/>
        </w:rPr>
        <w:t xml:space="preserve"> Journal of Forensic and Legal Medicine, 67, Pp.1-6.</w:t>
      </w:r>
    </w:p>
    <w:p w:rsidR="002C605E" w:rsidRPr="00272CAF" w:rsidRDefault="00DE5823">
      <w:pPr>
        <w:pBdr>
          <w:top w:val="nil"/>
          <w:left w:val="nil"/>
          <w:bottom w:val="nil"/>
          <w:right w:val="nil"/>
          <w:between w:val="nil"/>
        </w:pBdr>
        <w:ind w:left="480" w:hanging="480"/>
        <w:rPr>
          <w:sz w:val="24"/>
        </w:rPr>
      </w:pPr>
      <w:r w:rsidRPr="00272CAF">
        <w:rPr>
          <w:sz w:val="24"/>
        </w:rPr>
        <w:t xml:space="preserve">Slobogin, C. (2020) The Case for a Federal Criminal Court System (and Sentencing Reform). </w:t>
      </w:r>
      <w:r w:rsidRPr="00272CAF">
        <w:rPr>
          <w:i/>
          <w:sz w:val="24"/>
        </w:rPr>
        <w:t>California Law Review</w:t>
      </w:r>
      <w:r w:rsidRPr="00272CAF">
        <w:rPr>
          <w:sz w:val="24"/>
        </w:rPr>
        <w:t>, 108, Pp.20-27.</w:t>
      </w:r>
    </w:p>
    <w:p w:rsidR="002C605E" w:rsidRPr="00272CAF" w:rsidRDefault="00DE5823">
      <w:pPr>
        <w:pBdr>
          <w:top w:val="nil"/>
          <w:left w:val="nil"/>
          <w:bottom w:val="nil"/>
          <w:right w:val="nil"/>
          <w:between w:val="nil"/>
        </w:pBdr>
        <w:ind w:left="480" w:hanging="480"/>
        <w:rPr>
          <w:sz w:val="24"/>
        </w:rPr>
      </w:pPr>
      <w:r w:rsidRPr="00272CAF">
        <w:rPr>
          <w:sz w:val="24"/>
        </w:rPr>
        <w:t>Koeni</w:t>
      </w:r>
      <w:r w:rsidRPr="00272CAF">
        <w:rPr>
          <w:sz w:val="24"/>
        </w:rPr>
        <w:t xml:space="preserve">g, a. And Freeman, L. (2022) Cutting-edge Evidence: </w:t>
      </w:r>
      <w:r w:rsidRPr="00272CAF">
        <w:rPr>
          <w:i/>
          <w:sz w:val="24"/>
        </w:rPr>
        <w:t>Strengths and Weaknesses of New Digital Investigation Methods in Litigation.</w:t>
      </w:r>
      <w:r w:rsidRPr="00272CAF">
        <w:rPr>
          <w:sz w:val="24"/>
        </w:rPr>
        <w:t xml:space="preserve"> Hastings Lj, 73, P.1233.</w:t>
      </w:r>
    </w:p>
    <w:p w:rsidR="002C605E" w:rsidRPr="00272CAF" w:rsidRDefault="00DE5823">
      <w:pPr>
        <w:pBdr>
          <w:top w:val="nil"/>
          <w:left w:val="nil"/>
          <w:bottom w:val="nil"/>
          <w:right w:val="nil"/>
          <w:between w:val="nil"/>
        </w:pBdr>
        <w:ind w:left="480" w:hanging="480"/>
        <w:rPr>
          <w:sz w:val="24"/>
        </w:rPr>
      </w:pPr>
      <w:r w:rsidRPr="00272CAF">
        <w:rPr>
          <w:sz w:val="24"/>
        </w:rPr>
        <w:t xml:space="preserve">Chen, W. (2020) Litigation Explosion and Reactions From Courts in China. </w:t>
      </w:r>
      <w:r w:rsidRPr="00272CAF">
        <w:rPr>
          <w:i/>
          <w:sz w:val="24"/>
        </w:rPr>
        <w:t>In Courts in Evolving Societi</w:t>
      </w:r>
      <w:r w:rsidRPr="00272CAF">
        <w:rPr>
          <w:i/>
          <w:sz w:val="24"/>
        </w:rPr>
        <w:t>es</w:t>
      </w:r>
      <w:r w:rsidRPr="00272CAF">
        <w:rPr>
          <w:sz w:val="24"/>
        </w:rPr>
        <w:t xml:space="preserve"> (Pp. 103-121). Brill Nijhoff.</w:t>
      </w:r>
    </w:p>
    <w:p w:rsidR="002C605E" w:rsidRPr="00272CAF" w:rsidRDefault="00DE5823">
      <w:pPr>
        <w:pBdr>
          <w:top w:val="nil"/>
          <w:left w:val="nil"/>
          <w:bottom w:val="nil"/>
          <w:right w:val="nil"/>
          <w:between w:val="nil"/>
        </w:pBdr>
        <w:ind w:left="480" w:hanging="480"/>
        <w:rPr>
          <w:sz w:val="24"/>
        </w:rPr>
      </w:pPr>
      <w:r w:rsidRPr="00272CAF">
        <w:rPr>
          <w:sz w:val="24"/>
        </w:rPr>
        <w:t xml:space="preserve">Ruolin, T.a.n. (2023) From the Sentencing Recommendations’ Review and Adoption to See the Pleading Guilty and Accepting Punishment System and the Reform of the Trial-centered Litigation System. </w:t>
      </w:r>
      <w:r w:rsidRPr="00272CAF">
        <w:rPr>
          <w:i/>
          <w:sz w:val="24"/>
        </w:rPr>
        <w:t>Journal of Research in Social</w:t>
      </w:r>
      <w:r w:rsidRPr="00272CAF">
        <w:rPr>
          <w:i/>
          <w:sz w:val="24"/>
        </w:rPr>
        <w:t xml:space="preserve"> Science and Humanities,</w:t>
      </w:r>
      <w:r w:rsidRPr="00272CAF">
        <w:rPr>
          <w:sz w:val="24"/>
        </w:rPr>
        <w:t xml:space="preserve"> 2(2), Pp.24-32.</w:t>
      </w:r>
    </w:p>
    <w:p w:rsidR="002C605E" w:rsidRPr="00272CAF" w:rsidRDefault="00DE5823">
      <w:pPr>
        <w:pBdr>
          <w:top w:val="nil"/>
          <w:left w:val="nil"/>
          <w:bottom w:val="nil"/>
          <w:right w:val="nil"/>
          <w:between w:val="nil"/>
        </w:pBdr>
        <w:ind w:left="480" w:hanging="480"/>
        <w:rPr>
          <w:sz w:val="24"/>
        </w:rPr>
      </w:pPr>
      <w:r w:rsidRPr="00272CAF">
        <w:rPr>
          <w:sz w:val="24"/>
        </w:rPr>
        <w:t xml:space="preserve">Berova, J.m. (2019) Audio Protocoling of Criminal Sessions on Criminal Cases in the Context of Reform of Litigation in the Russian Federation. </w:t>
      </w:r>
      <w:r w:rsidRPr="00272CAF">
        <w:rPr>
          <w:i/>
          <w:sz w:val="24"/>
        </w:rPr>
        <w:t>Sociopolitical Sciences,</w:t>
      </w:r>
      <w:r w:rsidRPr="00272CAF">
        <w:rPr>
          <w:sz w:val="24"/>
        </w:rPr>
        <w:t xml:space="preserve"> 9(5), Pp.179-181.</w:t>
      </w:r>
    </w:p>
    <w:p w:rsidR="002C605E" w:rsidRPr="00272CAF" w:rsidRDefault="00DE5823">
      <w:pPr>
        <w:pBdr>
          <w:top w:val="nil"/>
          <w:left w:val="nil"/>
          <w:bottom w:val="nil"/>
          <w:right w:val="nil"/>
          <w:between w:val="nil"/>
        </w:pBdr>
        <w:ind w:left="480" w:hanging="480"/>
        <w:rPr>
          <w:sz w:val="24"/>
        </w:rPr>
      </w:pPr>
      <w:r w:rsidRPr="00272CAF">
        <w:rPr>
          <w:sz w:val="24"/>
        </w:rPr>
        <w:lastRenderedPageBreak/>
        <w:t xml:space="preserve">Lei, C. (2019) Legal Control </w:t>
      </w:r>
      <w:r w:rsidRPr="00272CAF">
        <w:rPr>
          <w:sz w:val="24"/>
        </w:rPr>
        <w:t xml:space="preserve">Over Big Data Criminal Investigation. </w:t>
      </w:r>
      <w:r w:rsidRPr="00272CAF">
        <w:rPr>
          <w:i/>
          <w:sz w:val="24"/>
        </w:rPr>
        <w:t>Social Sciences in China,</w:t>
      </w:r>
      <w:r w:rsidRPr="00272CAF">
        <w:rPr>
          <w:sz w:val="24"/>
        </w:rPr>
        <w:t xml:space="preserve"> 40(3), Pp.189-204.</w:t>
      </w:r>
    </w:p>
    <w:p w:rsidR="002C605E" w:rsidRPr="00272CAF" w:rsidRDefault="00DE5823">
      <w:pPr>
        <w:pBdr>
          <w:top w:val="nil"/>
          <w:left w:val="nil"/>
          <w:bottom w:val="nil"/>
          <w:right w:val="nil"/>
          <w:between w:val="nil"/>
        </w:pBdr>
        <w:ind w:left="480" w:hanging="480"/>
        <w:rPr>
          <w:sz w:val="24"/>
        </w:rPr>
      </w:pPr>
      <w:r w:rsidRPr="00272CAF">
        <w:rPr>
          <w:sz w:val="24"/>
        </w:rPr>
        <w:t>Phelps, J., Aravind, S., Cheyne, S., Dabrowski Pedrini, I., Fajrini, R., Jones, C.a., Lees, a.c., Mance, a., Nagara, G., Nugraha, T.p. And Pendergrass, J. (2021) Environment</w:t>
      </w:r>
      <w:r w:rsidRPr="00272CAF">
        <w:rPr>
          <w:sz w:val="24"/>
        </w:rPr>
        <w:t xml:space="preserve">al Liability Litigation Could Remedy Biodiversity Loss. </w:t>
      </w:r>
      <w:r w:rsidRPr="00272CAF">
        <w:rPr>
          <w:i/>
          <w:sz w:val="24"/>
        </w:rPr>
        <w:t>Conservation Letters,</w:t>
      </w:r>
      <w:r w:rsidRPr="00272CAF">
        <w:rPr>
          <w:sz w:val="24"/>
        </w:rPr>
        <w:t xml:space="preserve"> 14(6), P.e12821.</w:t>
      </w:r>
    </w:p>
    <w:p w:rsidR="002C605E" w:rsidRPr="00272CAF" w:rsidRDefault="00DE5823">
      <w:pPr>
        <w:pBdr>
          <w:top w:val="nil"/>
          <w:left w:val="nil"/>
          <w:bottom w:val="nil"/>
          <w:right w:val="nil"/>
          <w:between w:val="nil"/>
        </w:pBdr>
        <w:ind w:left="480" w:hanging="480"/>
        <w:rPr>
          <w:sz w:val="24"/>
        </w:rPr>
      </w:pPr>
      <w:r w:rsidRPr="00272CAF">
        <w:rPr>
          <w:sz w:val="24"/>
        </w:rPr>
        <w:t xml:space="preserve">Ma, Y. (2019) Vindicating Environmental Public Interests in China: a Balanced Approach to Institutional Interaction in Public Interest Litigation System. </w:t>
      </w:r>
      <w:r w:rsidRPr="00272CAF">
        <w:rPr>
          <w:i/>
          <w:sz w:val="24"/>
        </w:rPr>
        <w:t>Environmental Law Review,</w:t>
      </w:r>
      <w:r w:rsidRPr="00272CAF">
        <w:rPr>
          <w:sz w:val="24"/>
        </w:rPr>
        <w:t xml:space="preserve"> 21(4), Pp.269-291.</w:t>
      </w:r>
    </w:p>
    <w:p w:rsidR="002C605E" w:rsidRPr="00272CAF" w:rsidRDefault="00DE5823">
      <w:pPr>
        <w:pBdr>
          <w:top w:val="nil"/>
          <w:left w:val="nil"/>
          <w:bottom w:val="nil"/>
          <w:right w:val="nil"/>
          <w:between w:val="nil"/>
        </w:pBdr>
        <w:ind w:left="480" w:hanging="480"/>
        <w:rPr>
          <w:sz w:val="24"/>
        </w:rPr>
      </w:pPr>
      <w:r w:rsidRPr="00272CAF">
        <w:rPr>
          <w:sz w:val="24"/>
        </w:rPr>
        <w:t xml:space="preserve">Wendel, W.b. And Davis, J.p. (2022) Complex Litigation Funding: Ethical Problem or Ethical Solution? </w:t>
      </w:r>
      <w:r w:rsidRPr="00272CAF">
        <w:rPr>
          <w:i/>
          <w:sz w:val="24"/>
        </w:rPr>
        <w:t>Hastings</w:t>
      </w:r>
      <w:r w:rsidRPr="00272CAF">
        <w:rPr>
          <w:sz w:val="24"/>
        </w:rPr>
        <w:t xml:space="preserve"> Lj, 74, P.1459.</w:t>
      </w:r>
    </w:p>
    <w:p w:rsidR="002C605E" w:rsidRPr="00272CAF" w:rsidRDefault="00DE5823">
      <w:pPr>
        <w:pBdr>
          <w:top w:val="nil"/>
          <w:left w:val="nil"/>
          <w:bottom w:val="nil"/>
          <w:right w:val="nil"/>
          <w:between w:val="nil"/>
        </w:pBdr>
        <w:ind w:left="480" w:hanging="480"/>
        <w:rPr>
          <w:sz w:val="24"/>
        </w:rPr>
      </w:pPr>
      <w:r w:rsidRPr="00272CAF">
        <w:rPr>
          <w:sz w:val="24"/>
        </w:rPr>
        <w:t>Oladele, O.o., Aidonojie, P.a., Uzualu, J.e., Ikubanni, O.o. And Oyedeji, a.i. (2022)</w:t>
      </w:r>
      <w:r w:rsidRPr="00272CAF">
        <w:rPr>
          <w:sz w:val="24"/>
        </w:rPr>
        <w:t xml:space="preserve"> An Empirical Study of Criminalizing Minor Infractions of Tax Laws in Nigeria: </w:t>
      </w:r>
      <w:r w:rsidRPr="00272CAF">
        <w:rPr>
          <w:i/>
          <w:sz w:val="24"/>
        </w:rPr>
        <w:t>the Need for Negotiated Punishments.</w:t>
      </w:r>
      <w:r w:rsidRPr="00272CAF">
        <w:rPr>
          <w:sz w:val="24"/>
        </w:rPr>
        <w:t xml:space="preserve"> Kiu Journal of Humanities, 7(2), Pp.157-168.</w:t>
      </w:r>
    </w:p>
    <w:p w:rsidR="002C605E" w:rsidRPr="00272CAF" w:rsidRDefault="002C605E">
      <w:pPr>
        <w:pBdr>
          <w:top w:val="nil"/>
          <w:left w:val="nil"/>
          <w:bottom w:val="nil"/>
          <w:right w:val="nil"/>
          <w:between w:val="nil"/>
        </w:pBdr>
        <w:ind w:left="480" w:hanging="480"/>
        <w:rPr>
          <w:sz w:val="24"/>
        </w:rPr>
      </w:pPr>
    </w:p>
    <w:p w:rsidR="002C605E" w:rsidRPr="00272CAF" w:rsidRDefault="002C605E">
      <w:pPr>
        <w:pBdr>
          <w:top w:val="nil"/>
          <w:left w:val="nil"/>
          <w:bottom w:val="nil"/>
          <w:right w:val="nil"/>
          <w:between w:val="nil"/>
        </w:pBdr>
        <w:ind w:left="480" w:hanging="480"/>
        <w:rPr>
          <w:color w:val="000000"/>
          <w:sz w:val="24"/>
        </w:rPr>
      </w:pPr>
    </w:p>
    <w:sectPr w:rsidR="002C605E" w:rsidRPr="00272CAF">
      <w:pgSz w:w="12240" w:h="15840"/>
      <w:pgMar w:top="1440" w:right="1800" w:bottom="1440" w:left="180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823" w:rsidRDefault="00DE5823">
      <w:pPr>
        <w:spacing w:before="0" w:after="0" w:line="240" w:lineRule="auto"/>
      </w:pPr>
      <w:r>
        <w:separator/>
      </w:r>
    </w:p>
  </w:endnote>
  <w:endnote w:type="continuationSeparator" w:id="0">
    <w:p w:rsidR="00DE5823" w:rsidRDefault="00DE58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m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5E" w:rsidRDefault="002C605E">
    <w:pPr>
      <w:pBdr>
        <w:top w:val="nil"/>
        <w:left w:val="nil"/>
        <w:bottom w:val="nil"/>
        <w:right w:val="nil"/>
        <w:between w:val="nil"/>
      </w:pBdr>
      <w:tabs>
        <w:tab w:val="center" w:pos="4153"/>
        <w:tab w:val="right" w:pos="8306"/>
      </w:tabs>
      <w:jc w:val="left"/>
      <w:rPr>
        <w:color w:val="00000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5E" w:rsidRDefault="00DE5823">
    <w:pPr>
      <w:pBdr>
        <w:top w:val="nil"/>
        <w:left w:val="nil"/>
        <w:bottom w:val="nil"/>
        <w:right w:val="nil"/>
        <w:between w:val="nil"/>
      </w:pBdr>
      <w:tabs>
        <w:tab w:val="center" w:pos="4153"/>
        <w:tab w:val="right" w:pos="8306"/>
      </w:tabs>
      <w:jc w:val="center"/>
      <w:rPr>
        <w:rFonts w:ascii="Arimo" w:eastAsia="Arimo" w:hAnsi="Arimo" w:cs="Arimo"/>
        <w:color w:val="000000"/>
        <w:sz w:val="22"/>
        <w:szCs w:val="22"/>
      </w:rPr>
    </w:pPr>
    <w:r>
      <w:rPr>
        <w:rFonts w:ascii="Arimo" w:eastAsia="Arimo" w:hAnsi="Arimo" w:cs="Arimo"/>
        <w:color w:val="000000"/>
        <w:sz w:val="22"/>
        <w:szCs w:val="22"/>
      </w:rPr>
      <w:fldChar w:fldCharType="begin"/>
    </w:r>
    <w:r>
      <w:rPr>
        <w:rFonts w:ascii="Arimo" w:eastAsia="Arimo" w:hAnsi="Arimo" w:cs="Arimo"/>
        <w:color w:val="000000"/>
        <w:sz w:val="22"/>
        <w:szCs w:val="22"/>
      </w:rPr>
      <w:instrText>PAGE</w:instrText>
    </w:r>
    <w:r w:rsidR="00272CAF">
      <w:rPr>
        <w:rFonts w:ascii="Arimo" w:eastAsia="Arimo" w:hAnsi="Arimo" w:cs="Arimo"/>
        <w:color w:val="000000"/>
        <w:sz w:val="22"/>
        <w:szCs w:val="22"/>
      </w:rPr>
      <w:fldChar w:fldCharType="separate"/>
    </w:r>
    <w:r w:rsidR="00272CAF">
      <w:rPr>
        <w:rFonts w:ascii="Arimo" w:eastAsia="Arimo" w:hAnsi="Arimo" w:cs="Arimo"/>
        <w:noProof/>
        <w:color w:val="000000"/>
        <w:sz w:val="22"/>
        <w:szCs w:val="22"/>
      </w:rPr>
      <w:t>3</w:t>
    </w:r>
    <w:r>
      <w:rPr>
        <w:rFonts w:ascii="Arimo" w:eastAsia="Arimo" w:hAnsi="Arimo" w:cs="Arimo"/>
        <w:color w:val="000000"/>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823" w:rsidRDefault="00DE5823">
      <w:pPr>
        <w:spacing w:before="0" w:after="0" w:line="240" w:lineRule="auto"/>
      </w:pPr>
      <w:r>
        <w:separator/>
      </w:r>
    </w:p>
  </w:footnote>
  <w:footnote w:type="continuationSeparator" w:id="0">
    <w:p w:rsidR="00DE5823" w:rsidRDefault="00DE582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5E" w:rsidRDefault="002C605E">
    <w:pPr>
      <w:pBdr>
        <w:top w:val="nil"/>
        <w:left w:val="nil"/>
        <w:bottom w:val="single" w:sz="6" w:space="1" w:color="000000"/>
        <w:right w:val="nil"/>
        <w:between w:val="nil"/>
      </w:pBdr>
      <w:tabs>
        <w:tab w:val="center" w:pos="4153"/>
        <w:tab w:val="right" w:pos="8306"/>
      </w:tabs>
      <w:jc w:val="center"/>
      <w:rPr>
        <w:color w:val="0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5E" w:rsidRDefault="002C605E">
    <w:pPr>
      <w:pBdr>
        <w:top w:val="nil"/>
        <w:left w:val="nil"/>
        <w:bottom w:val="none" w:sz="0" w:space="0" w:color="000000"/>
        <w:right w:val="nil"/>
        <w:between w:val="nil"/>
      </w:pBdr>
      <w:tabs>
        <w:tab w:val="center" w:pos="4153"/>
        <w:tab w:val="right" w:pos="8306"/>
      </w:tabs>
      <w:jc w:val="center"/>
      <w:rPr>
        <w:color w:val="000000"/>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5E" w:rsidRDefault="002C605E">
    <w:pPr>
      <w:pBdr>
        <w:top w:val="nil"/>
        <w:left w:val="nil"/>
        <w:bottom w:val="none" w:sz="0" w:space="0" w:color="000000"/>
        <w:right w:val="nil"/>
        <w:between w:val="nil"/>
      </w:pBdr>
      <w:tabs>
        <w:tab w:val="center" w:pos="4153"/>
        <w:tab w:val="right" w:pos="8306"/>
      </w:tabs>
      <w:jc w:val="center"/>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05E"/>
    <w:rsid w:val="00272CAF"/>
    <w:rsid w:val="002C605E"/>
    <w:rsid w:val="00DE5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76E1C8-8B28-4637-BF89-2C337DA8B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GB" w:bidi="ar-SA"/>
      </w:rPr>
    </w:rPrDefault>
    <w:pPrDefault>
      <w:pPr>
        <w:widowControl w:val="0"/>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1"/>
    </w:rPr>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outlineLvl w:val="2"/>
    </w:pPr>
    <w:rPr>
      <w:b/>
      <w:i/>
    </w:rPr>
  </w:style>
  <w:style w:type="paragraph" w:styleId="Heading4">
    <w:name w:val="heading 4"/>
    <w:basedOn w:val="Normal1"/>
    <w:next w:val="Normal1"/>
    <w:pPr>
      <w:keepNext/>
      <w:keepLines/>
      <w:spacing w:before="280" w:after="290" w:line="376" w:lineRule="auto"/>
      <w:outlineLvl w:val="3"/>
    </w:pPr>
    <w:rPr>
      <w:rFonts w:ascii="Calibri" w:eastAsia="Calibri" w:hAnsi="Calibri" w:cs="Calibri"/>
      <w:b/>
      <w:sz w:val="28"/>
      <w:szCs w:val="28"/>
    </w:rPr>
  </w:style>
  <w:style w:type="paragraph" w:styleId="Heading5">
    <w:name w:val="heading 5"/>
    <w:basedOn w:val="Normal1"/>
    <w:next w:val="Normal1"/>
    <w:pPr>
      <w:keepNext/>
      <w:keepLines/>
      <w:spacing w:before="220" w:after="40"/>
      <w:outlineLvl w:val="4"/>
    </w:pPr>
    <w:rPr>
      <w:b/>
      <w:sz w:val="22"/>
      <w:szCs w:val="22"/>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jc w:val="center"/>
    </w:pPr>
    <w:rPr>
      <w:b/>
      <w:sz w:val="30"/>
      <w:szCs w:val="30"/>
    </w:rPr>
  </w:style>
  <w:style w:type="paragraph" w:styleId="Subtitle">
    <w:name w:val="Subtitle"/>
    <w:basedOn w:val="Normal1"/>
    <w:next w:val="Normal1"/>
    <w:pPr>
      <w:jc w:val="center"/>
    </w:pPr>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2110</Words>
  <Characters>12031</Characters>
  <Application>Microsoft Office Word</Application>
  <DocSecurity>0</DocSecurity>
  <Lines>100</Lines>
  <Paragraphs>28</Paragraphs>
  <ScaleCrop>false</ScaleCrop>
  <Company/>
  <LinksUpToDate>false</LinksUpToDate>
  <CharactersWithSpaces>14113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jj j</cp:lastModifiedBy>
  <cp:revision>2</cp:revision>
  <dcterms:created xsi:type="dcterms:W3CDTF">2023-08-10T18:57:00Z</dcterms:created>
  <dcterms:modified xsi:type="dcterms:W3CDTF">2023-08-13T22:12:00Z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a78f675aca834aa0b27d197f7a0ce483</vt:lpwstr>
  </property>
</Properties>
</file>