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19D77" w14:textId="77777777" w:rsidR="00FA5979" w:rsidRPr="005A01FE" w:rsidRDefault="00000000">
      <w:pPr>
        <w:pStyle w:val="Body"/>
        <w:numPr>
          <w:ilvl w:val="0"/>
          <w:numId w:val="3"/>
        </w:numPr>
        <w:rPr>
          <w:rFonts w:ascii="Times New Roman" w:eastAsia="Arial" w:hAnsi="Times New Roman" w:cs="Times New Roman"/>
          <w:sz w:val="28"/>
          <w:szCs w:val="28"/>
        </w:rPr>
      </w:pPr>
      <w:r w:rsidRPr="005A01FE">
        <w:rPr>
          <w:rFonts w:ascii="Times New Roman" w:hAnsi="Times New Roman" w:cs="Times New Roman"/>
          <w:sz w:val="28"/>
          <w:szCs w:val="28"/>
        </w:rPr>
        <w:t xml:space="preserve">There are two issues in this case. First, whether Hadley has committed the offence of burglary; and second, whether Hadley has committed the offence of criminal damage to property. The offence of burglary is defined in Section 9 of the Theft Act 1968 as entering ‘any building or part of a building as a trespasser and with intent to commit the offence of stealing.’ In this case, the facts of the case show that Hadley entered the house by using a piece of bamboo to put through the cat flap of Ronan’s house to hook the keys from inside to open the door. In </w:t>
      </w:r>
      <w:r w:rsidRPr="005A01FE">
        <w:rPr>
          <w:rFonts w:ascii="Times New Roman" w:hAnsi="Times New Roman" w:cs="Times New Roman"/>
          <w:i/>
          <w:iCs/>
          <w:sz w:val="28"/>
          <w:szCs w:val="28"/>
        </w:rPr>
        <w:t xml:space="preserve">R v Collins, </w:t>
      </w:r>
      <w:r w:rsidRPr="005A01FE">
        <w:rPr>
          <w:rFonts w:ascii="Times New Roman" w:hAnsi="Times New Roman" w:cs="Times New Roman"/>
          <w:sz w:val="28"/>
          <w:szCs w:val="28"/>
        </w:rPr>
        <w:t>the court held that the entry for the purpose of burglary should be ‘substantial and effective</w:t>
      </w:r>
      <w:r w:rsidRPr="005A01FE">
        <w:rPr>
          <w:rFonts w:ascii="Times New Roman" w:hAnsi="Times New Roman" w:cs="Times New Roman"/>
          <w:sz w:val="28"/>
          <w:szCs w:val="28"/>
          <w:lang w:val="fr-FR"/>
        </w:rPr>
        <w:t>’</w:t>
      </w:r>
      <w:r w:rsidRPr="005A01FE">
        <w:rPr>
          <w:rFonts w:ascii="Times New Roman" w:hAnsi="Times New Roman" w:cs="Times New Roman"/>
          <w:sz w:val="28"/>
          <w:szCs w:val="28"/>
        </w:rPr>
        <w:t>.</w:t>
      </w:r>
      <w:r w:rsidRPr="005A01FE">
        <w:rPr>
          <w:rFonts w:ascii="Times New Roman" w:eastAsia="Arial" w:hAnsi="Times New Roman" w:cs="Times New Roman"/>
          <w:sz w:val="28"/>
          <w:szCs w:val="28"/>
          <w:vertAlign w:val="superscript"/>
        </w:rPr>
        <w:footnoteReference w:id="2"/>
      </w:r>
      <w:r w:rsidRPr="005A01FE">
        <w:rPr>
          <w:rFonts w:ascii="Times New Roman" w:hAnsi="Times New Roman" w:cs="Times New Roman"/>
          <w:sz w:val="28"/>
          <w:szCs w:val="28"/>
        </w:rPr>
        <w:t xml:space="preserve"> In this case, the fact that Hadley entered the house the way he did can be considered to be substantial and effective. The entry was made into a house which is a part of the building for the purpose of Section 9.</w:t>
      </w:r>
      <w:r w:rsidRPr="005A01FE">
        <w:rPr>
          <w:rFonts w:ascii="Times New Roman" w:eastAsia="Arial" w:hAnsi="Times New Roman" w:cs="Times New Roman"/>
          <w:sz w:val="28"/>
          <w:szCs w:val="28"/>
          <w:vertAlign w:val="superscript"/>
        </w:rPr>
        <w:footnoteReference w:id="3"/>
      </w:r>
      <w:r w:rsidRPr="005A01FE">
        <w:rPr>
          <w:rFonts w:ascii="Times New Roman" w:hAnsi="Times New Roman" w:cs="Times New Roman"/>
          <w:sz w:val="28"/>
          <w:szCs w:val="28"/>
        </w:rPr>
        <w:t xml:space="preserve"> There is also trespass established in this case scenario because he entered without permission and with the intention of stealing the </w:t>
      </w:r>
      <w:proofErr w:type="spellStart"/>
      <w:r w:rsidRPr="005A01FE">
        <w:rPr>
          <w:rFonts w:ascii="Times New Roman" w:hAnsi="Times New Roman" w:cs="Times New Roman"/>
          <w:sz w:val="28"/>
          <w:szCs w:val="28"/>
        </w:rPr>
        <w:t>bucci</w:t>
      </w:r>
      <w:proofErr w:type="spellEnd"/>
      <w:r w:rsidRPr="005A01FE">
        <w:rPr>
          <w:rFonts w:ascii="Times New Roman" w:hAnsi="Times New Roman" w:cs="Times New Roman"/>
          <w:sz w:val="28"/>
          <w:szCs w:val="28"/>
        </w:rPr>
        <w:t xml:space="preserve"> sneakers.</w:t>
      </w:r>
      <w:r w:rsidRPr="005A01FE">
        <w:rPr>
          <w:rFonts w:ascii="Times New Roman" w:eastAsia="Arial" w:hAnsi="Times New Roman" w:cs="Times New Roman"/>
          <w:sz w:val="28"/>
          <w:szCs w:val="28"/>
          <w:vertAlign w:val="superscript"/>
        </w:rPr>
        <w:footnoteReference w:id="4"/>
      </w:r>
      <w:r w:rsidRPr="005A01FE">
        <w:rPr>
          <w:rFonts w:ascii="Times New Roman" w:hAnsi="Times New Roman" w:cs="Times New Roman"/>
          <w:sz w:val="28"/>
          <w:szCs w:val="28"/>
        </w:rPr>
        <w:t xml:space="preserve"> The second part of the discussion is that of damage to property. In this case, Hadley damaged a wooden bench which broke into half and also poured aftershave into the bin in the dressing room and set it on fire. Section 1(1) of the Criminal Damage Act 1971 is the offence of damaging any property belonging to another, either intentionally or recklessly. In this case, the destruction to the property is not minimal and this would therefore come within the scope of Section 1(1) because damage should be more than </w:t>
      </w:r>
      <w:r w:rsidRPr="005A01FE">
        <w:rPr>
          <w:rFonts w:ascii="Times New Roman" w:hAnsi="Times New Roman" w:cs="Times New Roman"/>
          <w:i/>
          <w:iCs/>
          <w:sz w:val="28"/>
          <w:szCs w:val="28"/>
        </w:rPr>
        <w:t>de minimis,</w:t>
      </w:r>
      <w:r w:rsidRPr="005A01FE">
        <w:rPr>
          <w:rFonts w:ascii="Times New Roman" w:eastAsia="Arial" w:hAnsi="Times New Roman" w:cs="Times New Roman"/>
          <w:sz w:val="28"/>
          <w:szCs w:val="28"/>
          <w:vertAlign w:val="superscript"/>
        </w:rPr>
        <w:footnoteReference w:id="5"/>
      </w:r>
      <w:r w:rsidRPr="005A01FE">
        <w:rPr>
          <w:rFonts w:ascii="Times New Roman" w:hAnsi="Times New Roman" w:cs="Times New Roman"/>
          <w:sz w:val="28"/>
          <w:szCs w:val="28"/>
        </w:rPr>
        <w:t xml:space="preserve"> and be of such nature that affects the value or usefulness of the thing.</w:t>
      </w:r>
      <w:r w:rsidRPr="005A01FE">
        <w:rPr>
          <w:rFonts w:ascii="Times New Roman" w:eastAsia="Arial" w:hAnsi="Times New Roman" w:cs="Times New Roman"/>
          <w:sz w:val="28"/>
          <w:szCs w:val="28"/>
          <w:vertAlign w:val="superscript"/>
        </w:rPr>
        <w:footnoteReference w:id="6"/>
      </w:r>
      <w:r w:rsidRPr="005A01FE">
        <w:rPr>
          <w:rFonts w:ascii="Times New Roman" w:hAnsi="Times New Roman" w:cs="Times New Roman"/>
          <w:sz w:val="28"/>
          <w:szCs w:val="28"/>
        </w:rPr>
        <w:t xml:space="preserve"> The damage may be of the nature that signifies permanent or temporary physical harm or impairment of value.</w:t>
      </w:r>
      <w:r w:rsidRPr="005A01FE">
        <w:rPr>
          <w:rFonts w:ascii="Times New Roman" w:eastAsia="Arial" w:hAnsi="Times New Roman" w:cs="Times New Roman"/>
          <w:sz w:val="28"/>
          <w:szCs w:val="28"/>
          <w:vertAlign w:val="superscript"/>
        </w:rPr>
        <w:footnoteReference w:id="7"/>
      </w:r>
      <w:r w:rsidRPr="005A01FE">
        <w:rPr>
          <w:rFonts w:ascii="Times New Roman" w:hAnsi="Times New Roman" w:cs="Times New Roman"/>
          <w:sz w:val="28"/>
          <w:szCs w:val="28"/>
        </w:rPr>
        <w:t xml:space="preserve"> The property that must be damaged must be a property of tangible nature as defined by Section 10 of the Criminal Damage Act 1971. The damage of the property could be of an intangible nature but the property itself should be tangible. The </w:t>
      </w:r>
      <w:proofErr w:type="spellStart"/>
      <w:r w:rsidRPr="005A01FE">
        <w:rPr>
          <w:rFonts w:ascii="Times New Roman" w:hAnsi="Times New Roman" w:cs="Times New Roman"/>
          <w:sz w:val="28"/>
          <w:szCs w:val="28"/>
        </w:rPr>
        <w:t>mens</w:t>
      </w:r>
      <w:proofErr w:type="spellEnd"/>
      <w:r w:rsidRPr="005A01FE">
        <w:rPr>
          <w:rFonts w:ascii="Times New Roman" w:hAnsi="Times New Roman" w:cs="Times New Roman"/>
          <w:sz w:val="28"/>
          <w:szCs w:val="28"/>
        </w:rPr>
        <w:t xml:space="preserve"> rea element of the offence is intention or recklessness. The House of Lords has defined recklessness as a state of mind where the defendant would be aware of the </w:t>
      </w:r>
      <w:r w:rsidRPr="005A01FE">
        <w:rPr>
          <w:rFonts w:ascii="Times New Roman" w:hAnsi="Times New Roman" w:cs="Times New Roman"/>
          <w:sz w:val="28"/>
          <w:szCs w:val="28"/>
          <w:lang w:val="da-DK"/>
        </w:rPr>
        <w:t>risk</w:t>
      </w:r>
      <w:r w:rsidRPr="005A01FE">
        <w:rPr>
          <w:rFonts w:ascii="Times New Roman" w:hAnsi="Times New Roman" w:cs="Times New Roman"/>
          <w:sz w:val="28"/>
          <w:szCs w:val="28"/>
        </w:rPr>
        <w:t xml:space="preserve"> but would take it anyway or where the defendant knows that it would be unreasonable on their part to take the risk.</w:t>
      </w:r>
      <w:r w:rsidRPr="005A01FE">
        <w:rPr>
          <w:rFonts w:ascii="Times New Roman" w:eastAsia="Arial" w:hAnsi="Times New Roman" w:cs="Times New Roman"/>
          <w:sz w:val="28"/>
          <w:szCs w:val="28"/>
          <w:vertAlign w:val="superscript"/>
        </w:rPr>
        <w:footnoteReference w:id="8"/>
      </w:r>
      <w:r w:rsidRPr="005A01FE">
        <w:rPr>
          <w:rFonts w:ascii="Times New Roman" w:hAnsi="Times New Roman" w:cs="Times New Roman"/>
          <w:sz w:val="28"/>
          <w:szCs w:val="28"/>
        </w:rPr>
        <w:t xml:space="preserve"> The damage to the property in this case has been done recklessly in the case of the wooden bench, and recklessly in the case of the dustbin. In both cases, the facts of the case show that the elements of the criminal damage of the property are met. The offence of burglary elements are also met in this case since the entry into the property was gained without permission and with the intention of stealing property. These two offences are therefore clearly engaged on facts.</w:t>
      </w:r>
    </w:p>
    <w:p w14:paraId="37E29D53" w14:textId="05DBF559" w:rsidR="00FA5979" w:rsidRDefault="00FA5979">
      <w:pPr>
        <w:pStyle w:val="Body"/>
        <w:rPr>
          <w:rFonts w:ascii="Times New Roman" w:eastAsia="Arial" w:hAnsi="Times New Roman" w:cs="Times New Roman"/>
          <w:sz w:val="28"/>
          <w:szCs w:val="28"/>
        </w:rPr>
      </w:pPr>
    </w:p>
    <w:p w14:paraId="62600BB5" w14:textId="77777777" w:rsidR="008C7DFC" w:rsidRPr="005A01FE" w:rsidRDefault="008C7DFC">
      <w:pPr>
        <w:pStyle w:val="Body"/>
        <w:rPr>
          <w:rFonts w:ascii="Times New Roman" w:eastAsia="Arial" w:hAnsi="Times New Roman" w:cs="Times New Roman"/>
          <w:sz w:val="28"/>
          <w:szCs w:val="28"/>
        </w:rPr>
      </w:pPr>
    </w:p>
    <w:p w14:paraId="0BBA4163" w14:textId="77777777" w:rsidR="00FA5979" w:rsidRPr="005A01FE" w:rsidRDefault="00000000">
      <w:pPr>
        <w:pStyle w:val="Body"/>
        <w:numPr>
          <w:ilvl w:val="0"/>
          <w:numId w:val="3"/>
        </w:numPr>
        <w:rPr>
          <w:rFonts w:ascii="Times New Roman" w:eastAsia="Arial" w:hAnsi="Times New Roman" w:cs="Times New Roman"/>
          <w:sz w:val="28"/>
          <w:szCs w:val="28"/>
        </w:rPr>
      </w:pPr>
      <w:r w:rsidRPr="005A01FE">
        <w:rPr>
          <w:rFonts w:ascii="Times New Roman" w:hAnsi="Times New Roman" w:cs="Times New Roman"/>
          <w:sz w:val="28"/>
          <w:szCs w:val="28"/>
        </w:rPr>
        <w:lastRenderedPageBreak/>
        <w:t>There is one issue in this case scenario, which is whether Freya is guilty of occasioning of actual bodily harm to Mike when she punched him in his face. The law related to this is located in Section 47 of the Offences Against the Person Act 1861, which makes an offence of ‘a</w:t>
      </w:r>
      <w:r w:rsidRPr="005A01FE">
        <w:rPr>
          <w:rFonts w:ascii="Times New Roman" w:hAnsi="Times New Roman" w:cs="Times New Roman"/>
          <w:sz w:val="28"/>
          <w:szCs w:val="28"/>
          <w:u w:color="000000"/>
        </w:rPr>
        <w:t xml:space="preserve">ssault occasioning actual bodily harm.’ There are actus reus and </w:t>
      </w:r>
      <w:proofErr w:type="spellStart"/>
      <w:r w:rsidRPr="005A01FE">
        <w:rPr>
          <w:rFonts w:ascii="Times New Roman" w:hAnsi="Times New Roman" w:cs="Times New Roman"/>
          <w:sz w:val="28"/>
          <w:szCs w:val="28"/>
          <w:u w:color="000000"/>
        </w:rPr>
        <w:t>mens</w:t>
      </w:r>
      <w:proofErr w:type="spellEnd"/>
      <w:r w:rsidRPr="005A01FE">
        <w:rPr>
          <w:rFonts w:ascii="Times New Roman" w:hAnsi="Times New Roman" w:cs="Times New Roman"/>
          <w:sz w:val="28"/>
          <w:szCs w:val="28"/>
          <w:u w:color="000000"/>
        </w:rPr>
        <w:t xml:space="preserve"> rea elements of this offence, which need to be established for Freya to be considered liable under the provision. </w:t>
      </w:r>
      <w:r w:rsidRPr="005A01FE">
        <w:rPr>
          <w:rFonts w:ascii="Times New Roman" w:hAnsi="Times New Roman" w:cs="Times New Roman"/>
          <w:sz w:val="28"/>
          <w:szCs w:val="28"/>
        </w:rPr>
        <w:t>The actus reus element of this provision is assault which causes actual bodily harm. Two concepts need to be explained here, which are assault and actual bodily harm. Assault is defined as a positive act on the part of the defendant which caused the victim to apprehend imminent harm to himself.</w:t>
      </w:r>
      <w:r w:rsidRPr="005A01FE">
        <w:rPr>
          <w:rFonts w:ascii="Times New Roman" w:eastAsia="Arial" w:hAnsi="Times New Roman" w:cs="Times New Roman"/>
          <w:sz w:val="28"/>
          <w:szCs w:val="28"/>
          <w:vertAlign w:val="superscript"/>
        </w:rPr>
        <w:footnoteReference w:id="9"/>
      </w:r>
      <w:r w:rsidRPr="005A01FE">
        <w:rPr>
          <w:rFonts w:ascii="Times New Roman" w:hAnsi="Times New Roman" w:cs="Times New Roman"/>
          <w:sz w:val="28"/>
          <w:szCs w:val="28"/>
        </w:rPr>
        <w:t xml:space="preserve"> Occasioning bodily harm is explained as causing of a significant injury to the victim by</w:t>
      </w:r>
      <w:r>
        <w:rPr>
          <w:rFonts w:ascii="Arial"/>
          <w:sz w:val="24"/>
          <w:szCs w:val="24"/>
        </w:rPr>
        <w:t xml:space="preserve"> </w:t>
      </w:r>
      <w:r w:rsidRPr="005A01FE">
        <w:rPr>
          <w:rFonts w:ascii="Times New Roman" w:hAnsi="Times New Roman" w:cs="Times New Roman"/>
          <w:sz w:val="28"/>
          <w:szCs w:val="28"/>
        </w:rPr>
        <w:t>the defendant.</w:t>
      </w:r>
      <w:r w:rsidRPr="005A01FE">
        <w:rPr>
          <w:rFonts w:ascii="Times New Roman" w:eastAsia="Arial" w:hAnsi="Times New Roman" w:cs="Times New Roman"/>
          <w:sz w:val="28"/>
          <w:szCs w:val="28"/>
          <w:u w:color="000000"/>
          <w:vertAlign w:val="superscript"/>
        </w:rPr>
        <w:footnoteReference w:id="10"/>
      </w:r>
      <w:r w:rsidRPr="005A01FE">
        <w:rPr>
          <w:rFonts w:ascii="Times New Roman" w:hAnsi="Times New Roman" w:cs="Times New Roman"/>
          <w:color w:val="222222"/>
          <w:sz w:val="28"/>
          <w:szCs w:val="28"/>
          <w:u w:color="222222"/>
          <w:shd w:val="clear" w:color="auto" w:fill="FFFFFF"/>
        </w:rPr>
        <w:t xml:space="preserve"> The </w:t>
      </w:r>
      <w:proofErr w:type="spellStart"/>
      <w:r w:rsidRPr="005A01FE">
        <w:rPr>
          <w:rFonts w:ascii="Times New Roman" w:hAnsi="Times New Roman" w:cs="Times New Roman"/>
          <w:color w:val="222222"/>
          <w:sz w:val="28"/>
          <w:szCs w:val="28"/>
          <w:u w:color="222222"/>
          <w:shd w:val="clear" w:color="auto" w:fill="FFFFFF"/>
        </w:rPr>
        <w:t>mens</w:t>
      </w:r>
      <w:proofErr w:type="spellEnd"/>
      <w:r w:rsidRPr="005A01FE">
        <w:rPr>
          <w:rFonts w:ascii="Times New Roman" w:hAnsi="Times New Roman" w:cs="Times New Roman"/>
          <w:color w:val="222222"/>
          <w:sz w:val="28"/>
          <w:szCs w:val="28"/>
          <w:u w:color="222222"/>
          <w:shd w:val="clear" w:color="auto" w:fill="FFFFFF"/>
        </w:rPr>
        <w:t xml:space="preserve"> rea elements of the offence under Section 47 are intentional actions or reckless actions on the part of the defendant.</w:t>
      </w:r>
      <w:r w:rsidRPr="005A01FE">
        <w:rPr>
          <w:rFonts w:ascii="Times New Roman" w:eastAsia="Arial" w:hAnsi="Times New Roman" w:cs="Times New Roman"/>
          <w:color w:val="222222"/>
          <w:sz w:val="28"/>
          <w:szCs w:val="28"/>
          <w:u w:color="222222"/>
          <w:vertAlign w:val="superscript"/>
        </w:rPr>
        <w:footnoteReference w:id="11"/>
      </w:r>
      <w:r w:rsidRPr="005A01FE">
        <w:rPr>
          <w:rFonts w:ascii="Times New Roman" w:hAnsi="Times New Roman" w:cs="Times New Roman"/>
          <w:i/>
          <w:iCs/>
          <w:color w:val="222222"/>
          <w:sz w:val="28"/>
          <w:szCs w:val="28"/>
          <w:u w:color="222222"/>
        </w:rPr>
        <w:t xml:space="preserve"> </w:t>
      </w:r>
      <w:r w:rsidRPr="005A01FE">
        <w:rPr>
          <w:rFonts w:ascii="Times New Roman" w:hAnsi="Times New Roman" w:cs="Times New Roman"/>
          <w:sz w:val="28"/>
          <w:szCs w:val="28"/>
        </w:rPr>
        <w:t xml:space="preserve">In this case, neither the actus reus nor </w:t>
      </w:r>
      <w:proofErr w:type="spellStart"/>
      <w:r w:rsidRPr="005A01FE">
        <w:rPr>
          <w:rFonts w:ascii="Times New Roman" w:hAnsi="Times New Roman" w:cs="Times New Roman"/>
          <w:sz w:val="28"/>
          <w:szCs w:val="28"/>
        </w:rPr>
        <w:t>mens</w:t>
      </w:r>
      <w:proofErr w:type="spellEnd"/>
      <w:r w:rsidRPr="005A01FE">
        <w:rPr>
          <w:rFonts w:ascii="Times New Roman" w:hAnsi="Times New Roman" w:cs="Times New Roman"/>
          <w:sz w:val="28"/>
          <w:szCs w:val="28"/>
        </w:rPr>
        <w:t xml:space="preserve"> rea elements are met by the situation since Freya’s actions do not amount to an assault since there was no threatening </w:t>
      </w:r>
      <w:proofErr w:type="spellStart"/>
      <w:r w:rsidRPr="005A01FE">
        <w:rPr>
          <w:rFonts w:ascii="Times New Roman" w:hAnsi="Times New Roman" w:cs="Times New Roman"/>
          <w:sz w:val="28"/>
          <w:szCs w:val="28"/>
        </w:rPr>
        <w:t>behaviour</w:t>
      </w:r>
      <w:proofErr w:type="spellEnd"/>
      <w:r w:rsidRPr="005A01FE">
        <w:rPr>
          <w:rFonts w:ascii="Times New Roman" w:hAnsi="Times New Roman" w:cs="Times New Roman"/>
          <w:sz w:val="28"/>
          <w:szCs w:val="28"/>
        </w:rPr>
        <w:t xml:space="preserve"> on her part to cause concerns of imminent harm. There is actual bodily harm, but the element of assault is missing. Also missing is the </w:t>
      </w:r>
      <w:proofErr w:type="spellStart"/>
      <w:r w:rsidRPr="005A01FE">
        <w:rPr>
          <w:rFonts w:ascii="Times New Roman" w:hAnsi="Times New Roman" w:cs="Times New Roman"/>
          <w:sz w:val="28"/>
          <w:szCs w:val="28"/>
        </w:rPr>
        <w:t>mens</w:t>
      </w:r>
      <w:proofErr w:type="spellEnd"/>
      <w:r w:rsidRPr="005A01FE">
        <w:rPr>
          <w:rFonts w:ascii="Times New Roman" w:hAnsi="Times New Roman" w:cs="Times New Roman"/>
          <w:sz w:val="28"/>
          <w:szCs w:val="28"/>
        </w:rPr>
        <w:t xml:space="preserve"> rea element of intentional or reckless actions. Furthermore, because Freya has epilepsy, and was intoxicated, the issue of what </w:t>
      </w:r>
      <w:proofErr w:type="spellStart"/>
      <w:r w:rsidRPr="005A01FE">
        <w:rPr>
          <w:rFonts w:ascii="Times New Roman" w:hAnsi="Times New Roman" w:cs="Times New Roman"/>
          <w:sz w:val="28"/>
          <w:szCs w:val="28"/>
        </w:rPr>
        <w:t>defences</w:t>
      </w:r>
      <w:proofErr w:type="spellEnd"/>
      <w:r w:rsidRPr="005A01FE">
        <w:rPr>
          <w:rFonts w:ascii="Times New Roman" w:hAnsi="Times New Roman" w:cs="Times New Roman"/>
          <w:sz w:val="28"/>
          <w:szCs w:val="28"/>
        </w:rPr>
        <w:t xml:space="preserve"> may be available to her also arises. Epilepsy can be related to the </w:t>
      </w:r>
      <w:proofErr w:type="spellStart"/>
      <w:r w:rsidRPr="005A01FE">
        <w:rPr>
          <w:rFonts w:ascii="Times New Roman" w:hAnsi="Times New Roman" w:cs="Times New Roman"/>
          <w:sz w:val="28"/>
          <w:szCs w:val="28"/>
        </w:rPr>
        <w:t>defence</w:t>
      </w:r>
      <w:proofErr w:type="spellEnd"/>
      <w:r w:rsidRPr="005A01FE">
        <w:rPr>
          <w:rFonts w:ascii="Times New Roman" w:hAnsi="Times New Roman" w:cs="Times New Roman"/>
          <w:sz w:val="28"/>
          <w:szCs w:val="28"/>
        </w:rPr>
        <w:t xml:space="preserve"> of automatism, which has been explained as involuntary actions of the defendant where the latter may have no control of the mind.</w:t>
      </w:r>
      <w:r w:rsidRPr="005A01FE">
        <w:rPr>
          <w:rFonts w:ascii="Times New Roman" w:eastAsia="Arial" w:hAnsi="Times New Roman" w:cs="Times New Roman"/>
          <w:i/>
          <w:iCs/>
          <w:sz w:val="28"/>
          <w:szCs w:val="28"/>
          <w:vertAlign w:val="superscript"/>
        </w:rPr>
        <w:footnoteReference w:id="12"/>
      </w:r>
      <w:r w:rsidRPr="005A01FE">
        <w:rPr>
          <w:rFonts w:ascii="Times New Roman" w:hAnsi="Times New Roman" w:cs="Times New Roman"/>
          <w:i/>
          <w:iCs/>
          <w:sz w:val="28"/>
          <w:szCs w:val="28"/>
        </w:rPr>
        <w:t xml:space="preserve"> </w:t>
      </w:r>
      <w:r w:rsidRPr="005A01FE">
        <w:rPr>
          <w:rFonts w:ascii="Times New Roman" w:hAnsi="Times New Roman" w:cs="Times New Roman"/>
          <w:sz w:val="28"/>
          <w:szCs w:val="28"/>
        </w:rPr>
        <w:t xml:space="preserve">Such actions can include a spasm or a convulsion of the body. The </w:t>
      </w:r>
      <w:proofErr w:type="spellStart"/>
      <w:r w:rsidRPr="005A01FE">
        <w:rPr>
          <w:rFonts w:ascii="Times New Roman" w:hAnsi="Times New Roman" w:cs="Times New Roman"/>
          <w:sz w:val="28"/>
          <w:szCs w:val="28"/>
        </w:rPr>
        <w:t>defence</w:t>
      </w:r>
      <w:proofErr w:type="spellEnd"/>
      <w:r w:rsidRPr="005A01FE">
        <w:rPr>
          <w:rFonts w:ascii="Times New Roman" w:hAnsi="Times New Roman" w:cs="Times New Roman"/>
          <w:sz w:val="28"/>
          <w:szCs w:val="28"/>
        </w:rPr>
        <w:t xml:space="preserve"> of automatism is applied by courts where the defendant has committed some actions or acts due to spasms or convulsions of the body because of some mental or bodily condition that makes such actions involuntary.</w:t>
      </w:r>
      <w:r w:rsidRPr="005A01FE">
        <w:rPr>
          <w:rFonts w:ascii="Times New Roman" w:eastAsia="Arial" w:hAnsi="Times New Roman" w:cs="Times New Roman"/>
          <w:sz w:val="28"/>
          <w:szCs w:val="28"/>
          <w:vertAlign w:val="superscript"/>
        </w:rPr>
        <w:footnoteReference w:id="13"/>
      </w:r>
      <w:r w:rsidRPr="005A01FE">
        <w:rPr>
          <w:rFonts w:ascii="Times New Roman" w:hAnsi="Times New Roman" w:cs="Times New Roman"/>
          <w:sz w:val="28"/>
          <w:szCs w:val="28"/>
        </w:rPr>
        <w:t xml:space="preserve"> Freya’s condition can be considered to be an </w:t>
      </w:r>
      <w:r w:rsidRPr="005A01FE">
        <w:rPr>
          <w:rFonts w:ascii="Times New Roman" w:hAnsi="Times New Roman" w:cs="Times New Roman"/>
          <w:color w:val="222222"/>
          <w:sz w:val="28"/>
          <w:szCs w:val="28"/>
          <w:u w:color="222222"/>
          <w:shd w:val="clear" w:color="auto" w:fill="FFFFFF"/>
        </w:rPr>
        <w:t>insane automatism that is caused because of some condition that the defendant has in his mind or related to his mind and can include a</w:t>
      </w:r>
      <w:r w:rsidRPr="005A01FE">
        <w:rPr>
          <w:rFonts w:ascii="Times New Roman" w:hAnsi="Times New Roman" w:cs="Times New Roman"/>
          <w:sz w:val="28"/>
          <w:szCs w:val="28"/>
          <w:u w:color="000000"/>
        </w:rPr>
        <w:t xml:space="preserve"> </w:t>
      </w:r>
      <w:r w:rsidRPr="005A01FE">
        <w:rPr>
          <w:rFonts w:ascii="Times New Roman" w:hAnsi="Times New Roman" w:cs="Times New Roman"/>
          <w:color w:val="222222"/>
          <w:sz w:val="28"/>
          <w:szCs w:val="28"/>
          <w:u w:color="222222"/>
          <w:shd w:val="clear" w:color="auto" w:fill="FFFFFF"/>
        </w:rPr>
        <w:t>disease that may lead to involuntary actions on the part of the defendant</w:t>
      </w:r>
      <w:r w:rsidRPr="005A01FE">
        <w:rPr>
          <w:rFonts w:ascii="Times New Roman" w:hAnsi="Times New Roman" w:cs="Times New Roman"/>
          <w:sz w:val="28"/>
          <w:szCs w:val="28"/>
          <w:u w:color="000000"/>
        </w:rPr>
        <w:t>.</w:t>
      </w:r>
      <w:r w:rsidRPr="005A01FE">
        <w:rPr>
          <w:rFonts w:ascii="Times New Roman" w:eastAsia="Arial" w:hAnsi="Times New Roman" w:cs="Times New Roman"/>
          <w:sz w:val="28"/>
          <w:szCs w:val="28"/>
          <w:u w:color="000000"/>
          <w:vertAlign w:val="superscript"/>
        </w:rPr>
        <w:footnoteReference w:id="14"/>
      </w:r>
      <w:r w:rsidRPr="005A01FE">
        <w:rPr>
          <w:rFonts w:ascii="Times New Roman" w:hAnsi="Times New Roman" w:cs="Times New Roman"/>
          <w:sz w:val="28"/>
          <w:szCs w:val="28"/>
          <w:u w:color="000000"/>
        </w:rPr>
        <w:t xml:space="preserve"> Although Freya was intoxicated at the time, the </w:t>
      </w:r>
      <w:proofErr w:type="spellStart"/>
      <w:r w:rsidRPr="005A01FE">
        <w:rPr>
          <w:rFonts w:ascii="Times New Roman" w:hAnsi="Times New Roman" w:cs="Times New Roman"/>
          <w:sz w:val="28"/>
          <w:szCs w:val="28"/>
          <w:u w:color="000000"/>
        </w:rPr>
        <w:t>defence</w:t>
      </w:r>
      <w:proofErr w:type="spellEnd"/>
      <w:r w:rsidRPr="005A01FE">
        <w:rPr>
          <w:rFonts w:ascii="Times New Roman" w:hAnsi="Times New Roman" w:cs="Times New Roman"/>
          <w:sz w:val="28"/>
          <w:szCs w:val="28"/>
          <w:u w:color="000000"/>
        </w:rPr>
        <w:t xml:space="preserve"> of intoxication may be considered. However, this is not a valid </w:t>
      </w:r>
      <w:proofErr w:type="spellStart"/>
      <w:r w:rsidRPr="005A01FE">
        <w:rPr>
          <w:rFonts w:ascii="Times New Roman" w:hAnsi="Times New Roman" w:cs="Times New Roman"/>
          <w:sz w:val="28"/>
          <w:szCs w:val="28"/>
          <w:u w:color="000000"/>
        </w:rPr>
        <w:t>defence</w:t>
      </w:r>
      <w:proofErr w:type="spellEnd"/>
      <w:r w:rsidRPr="005A01FE">
        <w:rPr>
          <w:rFonts w:ascii="Times New Roman" w:hAnsi="Times New Roman" w:cs="Times New Roman"/>
          <w:sz w:val="28"/>
          <w:szCs w:val="28"/>
          <w:u w:color="000000"/>
        </w:rPr>
        <w:t xml:space="preserve"> where the defendant has taken some stimulants voluntarily. This is per the decision in the case of </w:t>
      </w:r>
      <w:r w:rsidRPr="005A01FE">
        <w:rPr>
          <w:rFonts w:ascii="Times New Roman" w:hAnsi="Times New Roman" w:cs="Times New Roman"/>
          <w:i/>
          <w:iCs/>
          <w:sz w:val="28"/>
          <w:szCs w:val="28"/>
          <w:u w:color="000000"/>
        </w:rPr>
        <w:t>DPP v</w:t>
      </w:r>
      <w:r w:rsidRPr="005A01FE">
        <w:rPr>
          <w:rFonts w:ascii="Times New Roman" w:hAnsi="Times New Roman" w:cs="Times New Roman"/>
          <w:sz w:val="28"/>
          <w:szCs w:val="28"/>
          <w:u w:color="000000"/>
        </w:rPr>
        <w:t xml:space="preserve"> </w:t>
      </w:r>
      <w:r w:rsidRPr="005A01FE">
        <w:rPr>
          <w:rFonts w:ascii="Times New Roman" w:eastAsia="Calibri" w:hAnsi="Times New Roman" w:cs="Times New Roman"/>
          <w:i/>
          <w:iCs/>
          <w:sz w:val="28"/>
          <w:szCs w:val="28"/>
        </w:rPr>
        <w:t xml:space="preserve">Majewski, </w:t>
      </w:r>
      <w:r w:rsidRPr="005A01FE">
        <w:rPr>
          <w:rFonts w:ascii="Times New Roman" w:eastAsia="Calibri" w:hAnsi="Times New Roman" w:cs="Times New Roman"/>
          <w:sz w:val="28"/>
          <w:szCs w:val="28"/>
        </w:rPr>
        <w:t xml:space="preserve">where the court held that the defendant who voluntarily got intoxicated is not allowed to take a </w:t>
      </w:r>
      <w:proofErr w:type="spellStart"/>
      <w:r w:rsidRPr="005A01FE">
        <w:rPr>
          <w:rFonts w:ascii="Times New Roman" w:eastAsia="Calibri" w:hAnsi="Times New Roman" w:cs="Times New Roman"/>
          <w:sz w:val="28"/>
          <w:szCs w:val="28"/>
        </w:rPr>
        <w:t>defence</w:t>
      </w:r>
      <w:proofErr w:type="spellEnd"/>
      <w:r w:rsidRPr="005A01FE">
        <w:rPr>
          <w:rFonts w:ascii="Times New Roman" w:eastAsia="Calibri" w:hAnsi="Times New Roman" w:cs="Times New Roman"/>
          <w:sz w:val="28"/>
          <w:szCs w:val="28"/>
        </w:rPr>
        <w:t xml:space="preserve"> of intoxication when he commits some crime in that condition.</w:t>
      </w:r>
      <w:r w:rsidRPr="005A01FE">
        <w:rPr>
          <w:rFonts w:ascii="Times New Roman" w:eastAsia="Calibri" w:hAnsi="Times New Roman" w:cs="Times New Roman"/>
          <w:sz w:val="28"/>
          <w:szCs w:val="28"/>
          <w:vertAlign w:val="superscript"/>
        </w:rPr>
        <w:footnoteReference w:id="15"/>
      </w:r>
      <w:r w:rsidRPr="005A01FE">
        <w:rPr>
          <w:rFonts w:ascii="Times New Roman" w:eastAsia="Calibri" w:hAnsi="Times New Roman" w:cs="Times New Roman"/>
          <w:sz w:val="28"/>
          <w:szCs w:val="28"/>
        </w:rPr>
        <w:t xml:space="preserve"> Therefore, in this case scenario, Freya can argue that the </w:t>
      </w:r>
      <w:proofErr w:type="spellStart"/>
      <w:r w:rsidRPr="005A01FE">
        <w:rPr>
          <w:rFonts w:ascii="Times New Roman" w:eastAsia="Calibri" w:hAnsi="Times New Roman" w:cs="Times New Roman"/>
          <w:sz w:val="28"/>
          <w:szCs w:val="28"/>
        </w:rPr>
        <w:t>defence</w:t>
      </w:r>
      <w:proofErr w:type="spellEnd"/>
      <w:r w:rsidRPr="005A01FE">
        <w:rPr>
          <w:rFonts w:ascii="Times New Roman" w:eastAsia="Calibri" w:hAnsi="Times New Roman" w:cs="Times New Roman"/>
          <w:sz w:val="28"/>
          <w:szCs w:val="28"/>
        </w:rPr>
        <w:t xml:space="preserve"> of insane automatism would apply because she was in the fit of epilepsy when she punched Mike. The action was involuntary on her part. Finally, the offence in Section 47 is not made out in this case.</w:t>
      </w:r>
    </w:p>
    <w:p w14:paraId="036B2A57" w14:textId="77777777" w:rsidR="00FA5979" w:rsidRPr="005A01FE" w:rsidRDefault="00FA5979">
      <w:pPr>
        <w:pStyle w:val="Body"/>
        <w:rPr>
          <w:rFonts w:ascii="Times New Roman" w:eastAsia="Calibri" w:hAnsi="Times New Roman" w:cs="Times New Roman"/>
          <w:sz w:val="28"/>
          <w:szCs w:val="28"/>
        </w:rPr>
      </w:pPr>
    </w:p>
    <w:p w14:paraId="414407FF" w14:textId="77777777" w:rsidR="00FA5979" w:rsidRDefault="00FA5979">
      <w:pPr>
        <w:pStyle w:val="Body"/>
        <w:rPr>
          <w:rFonts w:ascii="Calibri" w:eastAsia="Calibri" w:hAnsi="Calibri" w:cs="Calibri"/>
          <w:sz w:val="24"/>
          <w:szCs w:val="24"/>
        </w:rPr>
      </w:pPr>
    </w:p>
    <w:p w14:paraId="69F3AAE9" w14:textId="77777777" w:rsidR="00FA5979" w:rsidRDefault="00FA5979">
      <w:pPr>
        <w:pStyle w:val="Body"/>
        <w:rPr>
          <w:rFonts w:ascii="Calibri" w:eastAsia="Calibri" w:hAnsi="Calibri" w:cs="Calibri"/>
          <w:sz w:val="24"/>
          <w:szCs w:val="24"/>
        </w:rPr>
      </w:pPr>
    </w:p>
    <w:p w14:paraId="43F08E5A" w14:textId="77777777" w:rsidR="00FA5979" w:rsidRDefault="00FA5979">
      <w:pPr>
        <w:pStyle w:val="Body"/>
        <w:rPr>
          <w:rFonts w:ascii="Calibri" w:eastAsia="Calibri" w:hAnsi="Calibri" w:cs="Calibri"/>
          <w:sz w:val="24"/>
          <w:szCs w:val="24"/>
        </w:rPr>
      </w:pPr>
    </w:p>
    <w:p w14:paraId="7E91E723" w14:textId="66EF974C" w:rsidR="00FA5979" w:rsidRPr="005A01FE" w:rsidRDefault="005A01FE">
      <w:pPr>
        <w:pStyle w:val="Body"/>
        <w:rPr>
          <w:rFonts w:ascii="Times New Roman" w:eastAsia="Calibri" w:hAnsi="Times New Roman" w:cs="Times New Roman"/>
          <w:sz w:val="48"/>
          <w:szCs w:val="48"/>
        </w:rPr>
      </w:pPr>
      <w:r w:rsidRPr="005A01FE">
        <w:rPr>
          <w:rFonts w:ascii="Times New Roman" w:eastAsia="Calibri" w:hAnsi="Times New Roman" w:cs="Times New Roman"/>
          <w:sz w:val="48"/>
          <w:szCs w:val="48"/>
        </w:rPr>
        <w:t>References</w:t>
      </w:r>
    </w:p>
    <w:p w14:paraId="1571A177" w14:textId="444589EB" w:rsidR="00FA5979" w:rsidRDefault="00FA5979">
      <w:pPr>
        <w:pStyle w:val="Body"/>
        <w:rPr>
          <w:rFonts w:ascii="Calibri" w:eastAsia="Calibri" w:hAnsi="Calibri" w:cs="Calibri"/>
          <w:sz w:val="24"/>
          <w:szCs w:val="24"/>
        </w:rPr>
      </w:pPr>
    </w:p>
    <w:p w14:paraId="434C136B" w14:textId="77777777" w:rsidR="00FA5979" w:rsidRDefault="00FA5979">
      <w:pPr>
        <w:pStyle w:val="Body"/>
        <w:rPr>
          <w:rFonts w:ascii="Calibri" w:eastAsia="Calibri" w:hAnsi="Calibri" w:cs="Calibri"/>
          <w:sz w:val="24"/>
          <w:szCs w:val="24"/>
        </w:rPr>
      </w:pPr>
    </w:p>
    <w:p w14:paraId="1A2E0369" w14:textId="77777777" w:rsidR="00FA5979" w:rsidRDefault="00000000">
      <w:pPr>
        <w:pStyle w:val="FootnoteText"/>
        <w:rPr>
          <w:rFonts w:ascii="Arial" w:eastAsia="Arial" w:hAnsi="Arial" w:cs="Arial"/>
          <w:sz w:val="20"/>
          <w:szCs w:val="20"/>
        </w:rPr>
      </w:pPr>
      <w:r>
        <w:rPr>
          <w:rFonts w:ascii="Arial"/>
          <w:i/>
          <w:iCs/>
          <w:sz w:val="20"/>
          <w:szCs w:val="20"/>
        </w:rPr>
        <w:t>A (A Juvenile) v R</w:t>
      </w:r>
      <w:r>
        <w:rPr>
          <w:rFonts w:ascii="Arial"/>
          <w:sz w:val="20"/>
          <w:szCs w:val="20"/>
        </w:rPr>
        <w:t xml:space="preserve"> [1978] Crim LR 689.</w:t>
      </w:r>
    </w:p>
    <w:p w14:paraId="7245A45D" w14:textId="77777777" w:rsidR="00FA5979" w:rsidRDefault="00000000">
      <w:pPr>
        <w:pStyle w:val="FootnoteText"/>
        <w:rPr>
          <w:rFonts w:ascii="Arial" w:eastAsia="Arial" w:hAnsi="Arial" w:cs="Arial"/>
          <w:sz w:val="20"/>
          <w:szCs w:val="20"/>
        </w:rPr>
      </w:pPr>
      <w:r>
        <w:rPr>
          <w:rFonts w:ascii="Arial"/>
          <w:i/>
          <w:iCs/>
          <w:sz w:val="20"/>
          <w:szCs w:val="20"/>
        </w:rPr>
        <w:t xml:space="preserve">Bratty v Attorney-General of Northern Ireland </w:t>
      </w:r>
      <w:r>
        <w:rPr>
          <w:rFonts w:ascii="Arial"/>
          <w:sz w:val="20"/>
          <w:szCs w:val="20"/>
        </w:rPr>
        <w:t>[1963] AC 386 (HL).</w:t>
      </w:r>
    </w:p>
    <w:p w14:paraId="74BF8017" w14:textId="77777777" w:rsidR="00FA5979" w:rsidRDefault="00000000">
      <w:pPr>
        <w:pStyle w:val="FootnoteText"/>
        <w:rPr>
          <w:rFonts w:ascii="Arial" w:eastAsia="Arial" w:hAnsi="Arial" w:cs="Arial"/>
          <w:sz w:val="20"/>
          <w:szCs w:val="20"/>
        </w:rPr>
      </w:pPr>
      <w:r>
        <w:rPr>
          <w:rFonts w:ascii="Arial"/>
          <w:i/>
          <w:iCs/>
          <w:sz w:val="20"/>
          <w:szCs w:val="20"/>
        </w:rPr>
        <w:t>DPP v Majewski</w:t>
      </w:r>
      <w:r>
        <w:rPr>
          <w:rFonts w:ascii="Arial"/>
          <w:sz w:val="20"/>
          <w:szCs w:val="20"/>
        </w:rPr>
        <w:t xml:space="preserve"> [1977] A.C. 443, [474].</w:t>
      </w:r>
    </w:p>
    <w:p w14:paraId="71A1D961" w14:textId="77777777" w:rsidR="00FA5979" w:rsidRDefault="00000000">
      <w:pPr>
        <w:pStyle w:val="FootnoteText"/>
        <w:rPr>
          <w:rFonts w:ascii="Arial" w:eastAsia="Arial" w:hAnsi="Arial" w:cs="Arial"/>
          <w:sz w:val="20"/>
          <w:szCs w:val="20"/>
          <w:shd w:val="clear" w:color="auto" w:fill="FFFFFF"/>
        </w:rPr>
      </w:pPr>
      <w:r>
        <w:rPr>
          <w:rFonts w:ascii="Arial"/>
          <w:i/>
          <w:iCs/>
          <w:color w:val="222222"/>
          <w:sz w:val="20"/>
          <w:szCs w:val="20"/>
          <w:u w:color="222222"/>
        </w:rPr>
        <w:t xml:space="preserve">DPP v Parmenter </w:t>
      </w:r>
      <w:r>
        <w:rPr>
          <w:rFonts w:ascii="Arial"/>
          <w:sz w:val="20"/>
          <w:szCs w:val="20"/>
          <w:shd w:val="clear" w:color="auto" w:fill="FFFFFF"/>
        </w:rPr>
        <w:t>[1991] 94 Cr App R 193.</w:t>
      </w:r>
    </w:p>
    <w:p w14:paraId="691D5526" w14:textId="77777777" w:rsidR="00FA5979" w:rsidRDefault="00000000">
      <w:pPr>
        <w:pStyle w:val="FootnoteText"/>
        <w:rPr>
          <w:rFonts w:ascii="Arial" w:eastAsia="Arial" w:hAnsi="Arial" w:cs="Arial"/>
          <w:sz w:val="20"/>
          <w:szCs w:val="20"/>
        </w:rPr>
      </w:pPr>
      <w:proofErr w:type="spellStart"/>
      <w:r>
        <w:rPr>
          <w:rFonts w:ascii="Arial"/>
          <w:i/>
          <w:iCs/>
          <w:sz w:val="20"/>
          <w:szCs w:val="20"/>
        </w:rPr>
        <w:t>M</w:t>
      </w:r>
      <w:r>
        <w:rPr>
          <w:rFonts w:hAnsi="Arial"/>
          <w:i/>
          <w:iCs/>
          <w:sz w:val="20"/>
          <w:szCs w:val="20"/>
        </w:rPr>
        <w:t>’</w:t>
      </w:r>
      <w:r>
        <w:rPr>
          <w:rFonts w:ascii="Arial"/>
          <w:i/>
          <w:iCs/>
          <w:sz w:val="20"/>
          <w:szCs w:val="20"/>
        </w:rPr>
        <w:t>Naghten's</w:t>
      </w:r>
      <w:proofErr w:type="spellEnd"/>
      <w:r>
        <w:rPr>
          <w:rFonts w:ascii="Arial"/>
          <w:i/>
          <w:iCs/>
          <w:sz w:val="20"/>
          <w:szCs w:val="20"/>
        </w:rPr>
        <w:t xml:space="preserve"> Case</w:t>
      </w:r>
      <w:r>
        <w:rPr>
          <w:rFonts w:ascii="Arial"/>
          <w:sz w:val="20"/>
          <w:szCs w:val="20"/>
        </w:rPr>
        <w:t xml:space="preserve"> [1843] All ER Rep 229.</w:t>
      </w:r>
    </w:p>
    <w:p w14:paraId="255876D6" w14:textId="77777777" w:rsidR="00FA5979" w:rsidRDefault="00000000">
      <w:pPr>
        <w:pStyle w:val="FootnoteText"/>
        <w:rPr>
          <w:rFonts w:ascii="Arial" w:eastAsia="Arial" w:hAnsi="Arial" w:cs="Arial"/>
          <w:sz w:val="20"/>
          <w:szCs w:val="20"/>
        </w:rPr>
      </w:pPr>
      <w:proofErr w:type="spellStart"/>
      <w:r>
        <w:rPr>
          <w:rFonts w:ascii="Arial"/>
          <w:i/>
          <w:iCs/>
          <w:sz w:val="20"/>
          <w:szCs w:val="20"/>
        </w:rPr>
        <w:t>Morphitis</w:t>
      </w:r>
      <w:proofErr w:type="spellEnd"/>
      <w:r>
        <w:rPr>
          <w:rFonts w:ascii="Arial"/>
          <w:i/>
          <w:iCs/>
          <w:sz w:val="20"/>
          <w:szCs w:val="20"/>
        </w:rPr>
        <w:t xml:space="preserve"> v Salmon</w:t>
      </w:r>
      <w:r>
        <w:rPr>
          <w:rFonts w:ascii="Arial"/>
          <w:sz w:val="20"/>
          <w:szCs w:val="20"/>
        </w:rPr>
        <w:t xml:space="preserve"> [1990] Crim LR 48.</w:t>
      </w:r>
    </w:p>
    <w:p w14:paraId="4DD3B606" w14:textId="77777777" w:rsidR="00FA5979" w:rsidRDefault="00000000">
      <w:pPr>
        <w:pStyle w:val="FootnoteText"/>
        <w:rPr>
          <w:rFonts w:ascii="Arial" w:eastAsia="Arial" w:hAnsi="Arial" w:cs="Arial"/>
          <w:sz w:val="20"/>
          <w:szCs w:val="20"/>
        </w:rPr>
      </w:pPr>
      <w:r>
        <w:rPr>
          <w:rFonts w:ascii="Arial"/>
          <w:i/>
          <w:iCs/>
          <w:sz w:val="20"/>
          <w:szCs w:val="20"/>
        </w:rPr>
        <w:t>R v Collins</w:t>
      </w:r>
      <w:r>
        <w:rPr>
          <w:rFonts w:ascii="Arial"/>
          <w:sz w:val="20"/>
          <w:szCs w:val="20"/>
        </w:rPr>
        <w:t xml:space="preserve"> (1973) QB 100.</w:t>
      </w:r>
    </w:p>
    <w:p w14:paraId="4DFAEC8E" w14:textId="77777777" w:rsidR="00FA5979" w:rsidRDefault="00000000">
      <w:pPr>
        <w:pStyle w:val="FootnoteText"/>
        <w:rPr>
          <w:rFonts w:ascii="Arial" w:eastAsia="Arial" w:hAnsi="Arial" w:cs="Arial"/>
          <w:sz w:val="20"/>
          <w:szCs w:val="20"/>
        </w:rPr>
      </w:pPr>
      <w:r>
        <w:rPr>
          <w:rFonts w:ascii="Arial"/>
          <w:i/>
          <w:iCs/>
          <w:sz w:val="20"/>
          <w:szCs w:val="20"/>
        </w:rPr>
        <w:t>R v G</w:t>
      </w:r>
      <w:r>
        <w:rPr>
          <w:rFonts w:ascii="Arial"/>
          <w:sz w:val="20"/>
          <w:szCs w:val="20"/>
        </w:rPr>
        <w:t xml:space="preserve"> [2004] 1 A.C. 1034.</w:t>
      </w:r>
    </w:p>
    <w:p w14:paraId="2E51DE67" w14:textId="77777777" w:rsidR="00FA5979" w:rsidRDefault="00000000">
      <w:pPr>
        <w:pStyle w:val="FootnoteText"/>
        <w:rPr>
          <w:rFonts w:ascii="Arial" w:eastAsia="Arial" w:hAnsi="Arial" w:cs="Arial"/>
          <w:sz w:val="20"/>
          <w:szCs w:val="20"/>
        </w:rPr>
      </w:pPr>
      <w:r>
        <w:rPr>
          <w:rFonts w:ascii="Arial"/>
          <w:i/>
          <w:iCs/>
          <w:sz w:val="20"/>
          <w:szCs w:val="20"/>
        </w:rPr>
        <w:t>R v Jones &amp; Smith</w:t>
      </w:r>
      <w:r>
        <w:rPr>
          <w:rFonts w:ascii="Arial"/>
          <w:sz w:val="20"/>
          <w:szCs w:val="20"/>
        </w:rPr>
        <w:t xml:space="preserve"> [1976]1 WLR 672.</w:t>
      </w:r>
    </w:p>
    <w:p w14:paraId="15CDCE97" w14:textId="77777777" w:rsidR="00FA5979" w:rsidRDefault="00000000">
      <w:pPr>
        <w:pStyle w:val="FootnoteText"/>
        <w:rPr>
          <w:rFonts w:ascii="Arial" w:eastAsia="Arial" w:hAnsi="Arial" w:cs="Arial"/>
          <w:sz w:val="20"/>
          <w:szCs w:val="20"/>
        </w:rPr>
      </w:pPr>
      <w:r>
        <w:rPr>
          <w:rFonts w:ascii="Arial"/>
          <w:i/>
          <w:iCs/>
          <w:sz w:val="20"/>
          <w:szCs w:val="20"/>
        </w:rPr>
        <w:t xml:space="preserve">R v Ireland </w:t>
      </w:r>
      <w:r>
        <w:rPr>
          <w:rFonts w:ascii="Arial"/>
          <w:sz w:val="20"/>
          <w:szCs w:val="20"/>
        </w:rPr>
        <w:t xml:space="preserve">[1982] AC 341. </w:t>
      </w:r>
    </w:p>
    <w:p w14:paraId="137B410A" w14:textId="77777777" w:rsidR="00FA5979" w:rsidRDefault="00000000">
      <w:pPr>
        <w:pStyle w:val="FootnoteText"/>
        <w:rPr>
          <w:rFonts w:ascii="Arial" w:eastAsia="Arial" w:hAnsi="Arial" w:cs="Arial"/>
          <w:sz w:val="20"/>
          <w:szCs w:val="20"/>
        </w:rPr>
      </w:pPr>
      <w:r>
        <w:rPr>
          <w:rFonts w:ascii="Arial"/>
          <w:i/>
          <w:iCs/>
          <w:sz w:val="20"/>
          <w:szCs w:val="20"/>
        </w:rPr>
        <w:t xml:space="preserve">R v Roberts, </w:t>
      </w:r>
      <w:r>
        <w:rPr>
          <w:rFonts w:ascii="Arial"/>
          <w:sz w:val="20"/>
          <w:szCs w:val="20"/>
        </w:rPr>
        <w:t>(1971) 56 Cr App R 95.</w:t>
      </w:r>
    </w:p>
    <w:p w14:paraId="7A7AC95D" w14:textId="77777777" w:rsidR="00FA5979" w:rsidRDefault="00000000">
      <w:pPr>
        <w:pStyle w:val="FootnoteText"/>
        <w:rPr>
          <w:rFonts w:ascii="Arial" w:eastAsia="Arial" w:hAnsi="Arial" w:cs="Arial"/>
          <w:sz w:val="20"/>
          <w:szCs w:val="20"/>
        </w:rPr>
      </w:pPr>
      <w:r>
        <w:rPr>
          <w:rFonts w:ascii="Arial"/>
          <w:i/>
          <w:iCs/>
          <w:sz w:val="20"/>
          <w:szCs w:val="20"/>
        </w:rPr>
        <w:t xml:space="preserve">R v </w:t>
      </w:r>
      <w:proofErr w:type="spellStart"/>
      <w:r>
        <w:rPr>
          <w:rFonts w:ascii="Arial"/>
          <w:i/>
          <w:iCs/>
          <w:sz w:val="20"/>
          <w:szCs w:val="20"/>
        </w:rPr>
        <w:t>Walkington</w:t>
      </w:r>
      <w:proofErr w:type="spellEnd"/>
      <w:r>
        <w:rPr>
          <w:rFonts w:ascii="Arial"/>
          <w:sz w:val="20"/>
          <w:szCs w:val="20"/>
        </w:rPr>
        <w:t xml:space="preserve"> [1979] 1WLR 1169.</w:t>
      </w:r>
    </w:p>
    <w:p w14:paraId="538BDF7B" w14:textId="77777777" w:rsidR="00FA5979" w:rsidRDefault="00000000">
      <w:pPr>
        <w:pStyle w:val="FootnoteText"/>
        <w:rPr>
          <w:rFonts w:ascii="Arial" w:eastAsia="Arial" w:hAnsi="Arial" w:cs="Arial"/>
          <w:sz w:val="20"/>
          <w:szCs w:val="20"/>
        </w:rPr>
      </w:pPr>
      <w:r>
        <w:rPr>
          <w:rFonts w:ascii="Arial"/>
          <w:i/>
          <w:iCs/>
          <w:sz w:val="20"/>
          <w:szCs w:val="20"/>
        </w:rPr>
        <w:t xml:space="preserve">R v </w:t>
      </w:r>
      <w:proofErr w:type="spellStart"/>
      <w:r>
        <w:rPr>
          <w:rFonts w:ascii="Arial"/>
          <w:i/>
          <w:iCs/>
          <w:sz w:val="20"/>
          <w:szCs w:val="20"/>
        </w:rPr>
        <w:t>Whiteley</w:t>
      </w:r>
      <w:proofErr w:type="spellEnd"/>
      <w:r>
        <w:rPr>
          <w:rFonts w:ascii="Arial"/>
          <w:sz w:val="20"/>
          <w:szCs w:val="20"/>
        </w:rPr>
        <w:t xml:space="preserve"> (1991) 93 Cr. App. R. 25.</w:t>
      </w:r>
    </w:p>
    <w:p w14:paraId="380964B3" w14:textId="77777777" w:rsidR="00FA5979" w:rsidRDefault="00000000">
      <w:pPr>
        <w:pStyle w:val="Footnote"/>
      </w:pPr>
      <w:r>
        <w:rPr>
          <w:rFonts w:ascii="Arial"/>
          <w:i/>
          <w:iCs/>
          <w:sz w:val="20"/>
          <w:szCs w:val="20"/>
          <w:lang w:val="de-DE"/>
        </w:rPr>
        <w:t>Regina v. Harrison-Owen</w:t>
      </w:r>
      <w:r>
        <w:rPr>
          <w:rFonts w:ascii="Arial"/>
          <w:i/>
          <w:iCs/>
          <w:sz w:val="20"/>
          <w:szCs w:val="20"/>
          <w:lang w:val="en-US"/>
        </w:rPr>
        <w:t xml:space="preserve">, </w:t>
      </w:r>
      <w:r>
        <w:rPr>
          <w:rFonts w:ascii="Arial"/>
          <w:sz w:val="20"/>
          <w:szCs w:val="20"/>
          <w:lang w:val="sv-SE"/>
        </w:rPr>
        <w:t>2 All E.R. 726 (Crim. App. 1951)</w:t>
      </w:r>
      <w:r>
        <w:rPr>
          <w:rFonts w:ascii="Arial"/>
          <w:sz w:val="20"/>
          <w:szCs w:val="20"/>
          <w:lang w:val="en-US"/>
        </w:rPr>
        <w:t>.</w:t>
      </w:r>
    </w:p>
    <w:sectPr w:rsidR="00FA5979">
      <w:footerReference w:type="default" r:id="rId7"/>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A038E" w14:textId="77777777" w:rsidR="008C67DB" w:rsidRDefault="008C67DB">
      <w:r>
        <w:separator/>
      </w:r>
    </w:p>
  </w:endnote>
  <w:endnote w:type="continuationSeparator" w:id="0">
    <w:p w14:paraId="107C3EF5" w14:textId="77777777" w:rsidR="008C67DB" w:rsidRDefault="008C67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268545"/>
      <w:docPartObj>
        <w:docPartGallery w:val="Page Numbers (Bottom of Page)"/>
        <w:docPartUnique/>
      </w:docPartObj>
    </w:sdtPr>
    <w:sdtEndPr>
      <w:rPr>
        <w:noProof/>
      </w:rPr>
    </w:sdtEndPr>
    <w:sdtContent>
      <w:p w14:paraId="3283B43A" w14:textId="65E262D2" w:rsidR="005A01FE" w:rsidRDefault="005A01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0C182D" w14:textId="77777777" w:rsidR="00FA5979" w:rsidRDefault="00FA597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E4806" w14:textId="77777777" w:rsidR="008C67DB" w:rsidRDefault="008C67DB">
      <w:r>
        <w:separator/>
      </w:r>
    </w:p>
  </w:footnote>
  <w:footnote w:type="continuationSeparator" w:id="0">
    <w:p w14:paraId="2C338567" w14:textId="77777777" w:rsidR="008C67DB" w:rsidRDefault="008C67DB">
      <w:r>
        <w:continuationSeparator/>
      </w:r>
    </w:p>
  </w:footnote>
  <w:footnote w:type="continuationNotice" w:id="1">
    <w:p w14:paraId="2019C4AD" w14:textId="77777777" w:rsidR="008C67DB" w:rsidRDefault="008C67DB"/>
  </w:footnote>
  <w:footnote w:id="2">
    <w:p w14:paraId="4673B1A3"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rPr>
        <w:t>R v Collins</w:t>
      </w:r>
      <w:r>
        <w:rPr>
          <w:rFonts w:ascii="Arial"/>
          <w:sz w:val="20"/>
          <w:szCs w:val="20"/>
        </w:rPr>
        <w:t xml:space="preserve"> (1973) QB 100.</w:t>
      </w:r>
    </w:p>
  </w:footnote>
  <w:footnote w:id="3">
    <w:p w14:paraId="5F728418"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rPr>
        <w:t xml:space="preserve">R v </w:t>
      </w:r>
      <w:proofErr w:type="spellStart"/>
      <w:r>
        <w:rPr>
          <w:rFonts w:ascii="Arial"/>
          <w:i/>
          <w:iCs/>
          <w:sz w:val="20"/>
          <w:szCs w:val="20"/>
        </w:rPr>
        <w:t>Walkington</w:t>
      </w:r>
      <w:proofErr w:type="spellEnd"/>
      <w:r>
        <w:rPr>
          <w:rFonts w:ascii="Arial"/>
          <w:sz w:val="20"/>
          <w:szCs w:val="20"/>
        </w:rPr>
        <w:t xml:space="preserve"> [1979] 1WLR 1169.</w:t>
      </w:r>
    </w:p>
  </w:footnote>
  <w:footnote w:id="4">
    <w:p w14:paraId="47426A4E"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rPr>
        <w:t>R v Jones &amp; Smith</w:t>
      </w:r>
      <w:r>
        <w:rPr>
          <w:rFonts w:ascii="Arial"/>
          <w:sz w:val="20"/>
          <w:szCs w:val="20"/>
        </w:rPr>
        <w:t xml:space="preserve"> [1976]1 WLR 672.</w:t>
      </w:r>
    </w:p>
  </w:footnote>
  <w:footnote w:id="5">
    <w:p w14:paraId="59F50727"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rPr>
        <w:t>A (A Juvenile) v R</w:t>
      </w:r>
      <w:r>
        <w:rPr>
          <w:rFonts w:ascii="Arial"/>
          <w:sz w:val="20"/>
          <w:szCs w:val="20"/>
        </w:rPr>
        <w:t xml:space="preserve"> [1978] Crim LR 689.</w:t>
      </w:r>
    </w:p>
  </w:footnote>
  <w:footnote w:id="6">
    <w:p w14:paraId="282054B0"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proofErr w:type="spellStart"/>
      <w:r>
        <w:rPr>
          <w:rFonts w:ascii="Arial"/>
          <w:i/>
          <w:iCs/>
          <w:sz w:val="20"/>
          <w:szCs w:val="20"/>
        </w:rPr>
        <w:t>Morphitis</w:t>
      </w:r>
      <w:proofErr w:type="spellEnd"/>
      <w:r>
        <w:rPr>
          <w:rFonts w:ascii="Arial"/>
          <w:i/>
          <w:iCs/>
          <w:sz w:val="20"/>
          <w:szCs w:val="20"/>
        </w:rPr>
        <w:t xml:space="preserve"> v Salmon</w:t>
      </w:r>
      <w:r>
        <w:rPr>
          <w:rFonts w:ascii="Arial"/>
          <w:sz w:val="20"/>
          <w:szCs w:val="20"/>
        </w:rPr>
        <w:t xml:space="preserve"> [1990] Crim LR 48.</w:t>
      </w:r>
    </w:p>
  </w:footnote>
  <w:footnote w:id="7">
    <w:p w14:paraId="7B5D9E87"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rPr>
        <w:t xml:space="preserve">R v </w:t>
      </w:r>
      <w:proofErr w:type="spellStart"/>
      <w:r>
        <w:rPr>
          <w:rFonts w:ascii="Arial"/>
          <w:i/>
          <w:iCs/>
          <w:sz w:val="20"/>
          <w:szCs w:val="20"/>
        </w:rPr>
        <w:t>Whiteley</w:t>
      </w:r>
      <w:proofErr w:type="spellEnd"/>
      <w:r>
        <w:rPr>
          <w:rFonts w:ascii="Arial"/>
          <w:sz w:val="20"/>
          <w:szCs w:val="20"/>
        </w:rPr>
        <w:t xml:space="preserve"> (1991) 93 Cr. App. R. 25.</w:t>
      </w:r>
    </w:p>
  </w:footnote>
  <w:footnote w:id="8">
    <w:p w14:paraId="5197A2E5"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rPr>
        <w:t>R v G</w:t>
      </w:r>
      <w:r>
        <w:rPr>
          <w:rFonts w:ascii="Arial"/>
          <w:sz w:val="20"/>
          <w:szCs w:val="20"/>
        </w:rPr>
        <w:t xml:space="preserve"> [2004] 1 A.C. 1034.</w:t>
      </w:r>
    </w:p>
  </w:footnote>
  <w:footnote w:id="9">
    <w:p w14:paraId="4150FCCA"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rPr>
        <w:t xml:space="preserve">R v Ireland </w:t>
      </w:r>
      <w:r>
        <w:rPr>
          <w:rFonts w:ascii="Arial"/>
          <w:sz w:val="20"/>
          <w:szCs w:val="20"/>
        </w:rPr>
        <w:t xml:space="preserve">[1982] AC 341. </w:t>
      </w:r>
    </w:p>
  </w:footnote>
  <w:footnote w:id="10">
    <w:p w14:paraId="5AFEA3CD"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rPr>
        <w:t xml:space="preserve">R v Roberts, </w:t>
      </w:r>
      <w:r>
        <w:rPr>
          <w:rFonts w:ascii="Arial"/>
          <w:sz w:val="20"/>
          <w:szCs w:val="20"/>
        </w:rPr>
        <w:t>(1971) 56 Cr App R 95, [102].</w:t>
      </w:r>
    </w:p>
  </w:footnote>
  <w:footnote w:id="11">
    <w:p w14:paraId="75DEE82E" w14:textId="77777777" w:rsidR="00FA5979" w:rsidRDefault="00000000">
      <w:pPr>
        <w:pStyle w:val="Body"/>
      </w:pPr>
      <w:r>
        <w:rPr>
          <w:rFonts w:ascii="Arial" w:eastAsia="Arial" w:hAnsi="Arial" w:cs="Arial"/>
          <w:color w:val="222222"/>
          <w:sz w:val="20"/>
          <w:szCs w:val="20"/>
          <w:u w:color="222222"/>
          <w:vertAlign w:val="superscript"/>
        </w:rPr>
        <w:footnoteRef/>
      </w:r>
      <w:r>
        <w:rPr>
          <w:rFonts w:ascii="Arial"/>
          <w:sz w:val="20"/>
          <w:szCs w:val="20"/>
          <w:u w:color="000000"/>
        </w:rPr>
        <w:t xml:space="preserve"> </w:t>
      </w:r>
      <w:r>
        <w:rPr>
          <w:rFonts w:ascii="Arial"/>
          <w:i/>
          <w:iCs/>
          <w:color w:val="222222"/>
          <w:sz w:val="20"/>
          <w:szCs w:val="20"/>
          <w:u w:color="222222"/>
        </w:rPr>
        <w:t xml:space="preserve">DPP v Parmenter </w:t>
      </w:r>
      <w:r>
        <w:rPr>
          <w:rFonts w:ascii="Arial"/>
          <w:sz w:val="20"/>
          <w:szCs w:val="20"/>
          <w:u w:color="000000"/>
          <w:shd w:val="clear" w:color="auto" w:fill="FFFFFF"/>
        </w:rPr>
        <w:t>[1991] 94 Cr App R 193.</w:t>
      </w:r>
    </w:p>
  </w:footnote>
  <w:footnote w:id="12">
    <w:p w14:paraId="037E1E75" w14:textId="77777777" w:rsidR="00FA5979" w:rsidRDefault="00000000">
      <w:pPr>
        <w:pStyle w:val="Footnote"/>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lang w:val="en-US"/>
        </w:rPr>
        <w:t xml:space="preserve">Bratty v Attorney-General of Northern Ireland </w:t>
      </w:r>
      <w:r>
        <w:rPr>
          <w:rFonts w:ascii="Arial"/>
          <w:sz w:val="20"/>
          <w:szCs w:val="20"/>
        </w:rPr>
        <w:t>[1963] AC 386 (HL)</w:t>
      </w:r>
      <w:r>
        <w:rPr>
          <w:rFonts w:ascii="Arial"/>
          <w:sz w:val="20"/>
          <w:szCs w:val="20"/>
          <w:lang w:val="en-US"/>
        </w:rPr>
        <w:t>.</w:t>
      </w:r>
    </w:p>
  </w:footnote>
  <w:footnote w:id="13">
    <w:p w14:paraId="186317CB" w14:textId="77777777" w:rsidR="00FA5979" w:rsidRDefault="00000000">
      <w:pPr>
        <w:pStyle w:val="Footnote"/>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lang w:val="de-DE"/>
        </w:rPr>
        <w:t>Regina v. Harrison-Owen</w:t>
      </w:r>
      <w:r>
        <w:rPr>
          <w:rFonts w:ascii="Arial"/>
          <w:i/>
          <w:iCs/>
          <w:sz w:val="20"/>
          <w:szCs w:val="20"/>
          <w:lang w:val="en-US"/>
        </w:rPr>
        <w:t xml:space="preserve">, </w:t>
      </w:r>
      <w:r>
        <w:rPr>
          <w:rFonts w:ascii="Arial"/>
          <w:sz w:val="20"/>
          <w:szCs w:val="20"/>
          <w:lang w:val="sv-SE"/>
        </w:rPr>
        <w:t>2 All E.R. 726 (Crim. App. 1951)</w:t>
      </w:r>
      <w:r>
        <w:rPr>
          <w:rFonts w:ascii="Arial"/>
          <w:sz w:val="20"/>
          <w:szCs w:val="20"/>
          <w:lang w:val="en-US"/>
        </w:rPr>
        <w:t>.</w:t>
      </w:r>
    </w:p>
  </w:footnote>
  <w:footnote w:id="14">
    <w:p w14:paraId="2C947D72"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proofErr w:type="spellStart"/>
      <w:r>
        <w:rPr>
          <w:rFonts w:ascii="Arial"/>
          <w:i/>
          <w:iCs/>
          <w:sz w:val="20"/>
          <w:szCs w:val="20"/>
        </w:rPr>
        <w:t>M</w:t>
      </w:r>
      <w:r>
        <w:rPr>
          <w:rFonts w:hAnsi="Arial"/>
          <w:i/>
          <w:iCs/>
          <w:sz w:val="20"/>
          <w:szCs w:val="20"/>
        </w:rPr>
        <w:t>’</w:t>
      </w:r>
      <w:r>
        <w:rPr>
          <w:rFonts w:ascii="Arial"/>
          <w:i/>
          <w:iCs/>
          <w:sz w:val="20"/>
          <w:szCs w:val="20"/>
        </w:rPr>
        <w:t>Naghten's</w:t>
      </w:r>
      <w:proofErr w:type="spellEnd"/>
      <w:r>
        <w:rPr>
          <w:rFonts w:ascii="Arial"/>
          <w:i/>
          <w:iCs/>
          <w:sz w:val="20"/>
          <w:szCs w:val="20"/>
        </w:rPr>
        <w:t xml:space="preserve"> Case</w:t>
      </w:r>
      <w:r>
        <w:rPr>
          <w:rFonts w:ascii="Arial"/>
          <w:sz w:val="20"/>
          <w:szCs w:val="20"/>
        </w:rPr>
        <w:t xml:space="preserve"> [1843] All ER Rep 229.</w:t>
      </w:r>
    </w:p>
  </w:footnote>
  <w:footnote w:id="15">
    <w:p w14:paraId="579D48D1" w14:textId="77777777" w:rsidR="00FA5979" w:rsidRDefault="00000000">
      <w:pPr>
        <w:pStyle w:val="FootnoteText"/>
      </w:pPr>
      <w:r>
        <w:rPr>
          <w:rFonts w:ascii="Arial" w:eastAsia="Arial" w:hAnsi="Arial" w:cs="Arial"/>
          <w:sz w:val="20"/>
          <w:szCs w:val="20"/>
          <w:vertAlign w:val="superscript"/>
        </w:rPr>
        <w:footnoteRef/>
      </w:r>
      <w:r>
        <w:rPr>
          <w:rFonts w:ascii="Arial"/>
          <w:sz w:val="20"/>
          <w:szCs w:val="20"/>
        </w:rPr>
        <w:t xml:space="preserve"> </w:t>
      </w:r>
      <w:r>
        <w:rPr>
          <w:rFonts w:ascii="Arial"/>
          <w:i/>
          <w:iCs/>
          <w:sz w:val="20"/>
          <w:szCs w:val="20"/>
        </w:rPr>
        <w:t>DPP v Majewski</w:t>
      </w:r>
      <w:r>
        <w:rPr>
          <w:rFonts w:ascii="Arial"/>
          <w:sz w:val="20"/>
          <w:szCs w:val="20"/>
        </w:rPr>
        <w:t xml:space="preserve"> [1977] A.C. 443, [474].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8043D8"/>
    <w:multiLevelType w:val="multilevel"/>
    <w:tmpl w:val="D414909E"/>
    <w:styleLink w:val="List0"/>
    <w:lvl w:ilvl="0">
      <w:start w:val="1"/>
      <w:numFmt w:val="lowerLetter"/>
      <w:lvlText w:val="%1)"/>
      <w:lvlJc w:val="left"/>
      <w:pPr>
        <w:tabs>
          <w:tab w:val="num" w:pos="393"/>
        </w:tabs>
        <w:ind w:left="393" w:hanging="393"/>
      </w:pPr>
      <w:rPr>
        <w:rFonts w:ascii="Arial" w:eastAsia="Arial" w:hAnsi="Arial" w:cs="Arial"/>
        <w:position w:val="0"/>
        <w:sz w:val="24"/>
        <w:szCs w:val="24"/>
      </w:rPr>
    </w:lvl>
    <w:lvl w:ilvl="1">
      <w:start w:val="1"/>
      <w:numFmt w:val="lowerLetter"/>
      <w:lvlText w:val="%2)"/>
      <w:lvlJc w:val="left"/>
      <w:pPr>
        <w:tabs>
          <w:tab w:val="num" w:pos="753"/>
        </w:tabs>
        <w:ind w:left="753" w:hanging="393"/>
      </w:pPr>
      <w:rPr>
        <w:rFonts w:ascii="Arial" w:eastAsia="Arial" w:hAnsi="Arial" w:cs="Arial"/>
        <w:position w:val="0"/>
        <w:sz w:val="24"/>
        <w:szCs w:val="24"/>
      </w:rPr>
    </w:lvl>
    <w:lvl w:ilvl="2">
      <w:start w:val="1"/>
      <w:numFmt w:val="lowerLetter"/>
      <w:lvlText w:val="%3)"/>
      <w:lvlJc w:val="left"/>
      <w:pPr>
        <w:tabs>
          <w:tab w:val="num" w:pos="1113"/>
        </w:tabs>
        <w:ind w:left="1113" w:hanging="393"/>
      </w:pPr>
      <w:rPr>
        <w:rFonts w:ascii="Arial" w:eastAsia="Arial" w:hAnsi="Arial" w:cs="Arial"/>
        <w:position w:val="0"/>
        <w:sz w:val="24"/>
        <w:szCs w:val="24"/>
      </w:rPr>
    </w:lvl>
    <w:lvl w:ilvl="3">
      <w:start w:val="1"/>
      <w:numFmt w:val="lowerLetter"/>
      <w:lvlText w:val="%4)"/>
      <w:lvlJc w:val="left"/>
      <w:pPr>
        <w:tabs>
          <w:tab w:val="num" w:pos="1473"/>
        </w:tabs>
        <w:ind w:left="1473" w:hanging="393"/>
      </w:pPr>
      <w:rPr>
        <w:rFonts w:ascii="Arial" w:eastAsia="Arial" w:hAnsi="Arial" w:cs="Arial"/>
        <w:position w:val="0"/>
        <w:sz w:val="24"/>
        <w:szCs w:val="24"/>
      </w:rPr>
    </w:lvl>
    <w:lvl w:ilvl="4">
      <w:start w:val="1"/>
      <w:numFmt w:val="lowerLetter"/>
      <w:lvlText w:val="%5)"/>
      <w:lvlJc w:val="left"/>
      <w:pPr>
        <w:tabs>
          <w:tab w:val="num" w:pos="1833"/>
        </w:tabs>
        <w:ind w:left="1833" w:hanging="393"/>
      </w:pPr>
      <w:rPr>
        <w:rFonts w:ascii="Arial" w:eastAsia="Arial" w:hAnsi="Arial" w:cs="Arial"/>
        <w:position w:val="0"/>
        <w:sz w:val="24"/>
        <w:szCs w:val="24"/>
      </w:rPr>
    </w:lvl>
    <w:lvl w:ilvl="5">
      <w:start w:val="1"/>
      <w:numFmt w:val="lowerLetter"/>
      <w:lvlText w:val="%6)"/>
      <w:lvlJc w:val="left"/>
      <w:pPr>
        <w:tabs>
          <w:tab w:val="num" w:pos="2193"/>
        </w:tabs>
        <w:ind w:left="2193" w:hanging="393"/>
      </w:pPr>
      <w:rPr>
        <w:rFonts w:ascii="Arial" w:eastAsia="Arial" w:hAnsi="Arial" w:cs="Arial"/>
        <w:position w:val="0"/>
        <w:sz w:val="24"/>
        <w:szCs w:val="24"/>
      </w:rPr>
    </w:lvl>
    <w:lvl w:ilvl="6">
      <w:start w:val="1"/>
      <w:numFmt w:val="lowerLetter"/>
      <w:lvlText w:val="%7)"/>
      <w:lvlJc w:val="left"/>
      <w:pPr>
        <w:tabs>
          <w:tab w:val="num" w:pos="2553"/>
        </w:tabs>
        <w:ind w:left="2553" w:hanging="393"/>
      </w:pPr>
      <w:rPr>
        <w:rFonts w:ascii="Arial" w:eastAsia="Arial" w:hAnsi="Arial" w:cs="Arial"/>
        <w:position w:val="0"/>
        <w:sz w:val="24"/>
        <w:szCs w:val="24"/>
      </w:rPr>
    </w:lvl>
    <w:lvl w:ilvl="7">
      <w:start w:val="1"/>
      <w:numFmt w:val="lowerLetter"/>
      <w:lvlText w:val="%8)"/>
      <w:lvlJc w:val="left"/>
      <w:pPr>
        <w:tabs>
          <w:tab w:val="num" w:pos="2913"/>
        </w:tabs>
        <w:ind w:left="2913" w:hanging="393"/>
      </w:pPr>
      <w:rPr>
        <w:rFonts w:ascii="Arial" w:eastAsia="Arial" w:hAnsi="Arial" w:cs="Arial"/>
        <w:position w:val="0"/>
        <w:sz w:val="24"/>
        <w:szCs w:val="24"/>
      </w:rPr>
    </w:lvl>
    <w:lvl w:ilvl="8">
      <w:start w:val="1"/>
      <w:numFmt w:val="lowerLetter"/>
      <w:lvlText w:val="%9)"/>
      <w:lvlJc w:val="left"/>
      <w:pPr>
        <w:tabs>
          <w:tab w:val="num" w:pos="3273"/>
        </w:tabs>
        <w:ind w:left="3273" w:hanging="393"/>
      </w:pPr>
      <w:rPr>
        <w:rFonts w:ascii="Arial" w:eastAsia="Arial" w:hAnsi="Arial" w:cs="Arial"/>
        <w:position w:val="0"/>
        <w:sz w:val="24"/>
        <w:szCs w:val="24"/>
      </w:rPr>
    </w:lvl>
  </w:abstractNum>
  <w:abstractNum w:abstractNumId="1" w15:restartNumberingAfterBreak="0">
    <w:nsid w:val="6125217B"/>
    <w:multiLevelType w:val="multilevel"/>
    <w:tmpl w:val="49D27B28"/>
    <w:lvl w:ilvl="0">
      <w:start w:val="1"/>
      <w:numFmt w:val="lowerLetter"/>
      <w:lvlText w:val="%1)"/>
      <w:lvlJc w:val="left"/>
      <w:pPr>
        <w:tabs>
          <w:tab w:val="num" w:pos="393"/>
        </w:tabs>
        <w:ind w:left="393" w:hanging="393"/>
      </w:pPr>
      <w:rPr>
        <w:rFonts w:ascii="Arial" w:eastAsia="Arial" w:hAnsi="Arial" w:cs="Arial"/>
        <w:position w:val="0"/>
        <w:sz w:val="24"/>
        <w:szCs w:val="24"/>
      </w:rPr>
    </w:lvl>
    <w:lvl w:ilvl="1">
      <w:start w:val="1"/>
      <w:numFmt w:val="lowerLetter"/>
      <w:lvlText w:val="%2)"/>
      <w:lvlJc w:val="left"/>
      <w:pPr>
        <w:tabs>
          <w:tab w:val="num" w:pos="753"/>
        </w:tabs>
        <w:ind w:left="753" w:hanging="393"/>
      </w:pPr>
      <w:rPr>
        <w:rFonts w:ascii="Arial" w:eastAsia="Arial" w:hAnsi="Arial" w:cs="Arial"/>
        <w:position w:val="0"/>
        <w:sz w:val="24"/>
        <w:szCs w:val="24"/>
      </w:rPr>
    </w:lvl>
    <w:lvl w:ilvl="2">
      <w:start w:val="1"/>
      <w:numFmt w:val="lowerLetter"/>
      <w:lvlText w:val="%3)"/>
      <w:lvlJc w:val="left"/>
      <w:pPr>
        <w:tabs>
          <w:tab w:val="num" w:pos="1113"/>
        </w:tabs>
        <w:ind w:left="1113" w:hanging="393"/>
      </w:pPr>
      <w:rPr>
        <w:rFonts w:ascii="Arial" w:eastAsia="Arial" w:hAnsi="Arial" w:cs="Arial"/>
        <w:position w:val="0"/>
        <w:sz w:val="24"/>
        <w:szCs w:val="24"/>
      </w:rPr>
    </w:lvl>
    <w:lvl w:ilvl="3">
      <w:start w:val="1"/>
      <w:numFmt w:val="lowerLetter"/>
      <w:lvlText w:val="%4)"/>
      <w:lvlJc w:val="left"/>
      <w:pPr>
        <w:tabs>
          <w:tab w:val="num" w:pos="1473"/>
        </w:tabs>
        <w:ind w:left="1473" w:hanging="393"/>
      </w:pPr>
      <w:rPr>
        <w:rFonts w:ascii="Arial" w:eastAsia="Arial" w:hAnsi="Arial" w:cs="Arial"/>
        <w:position w:val="0"/>
        <w:sz w:val="24"/>
        <w:szCs w:val="24"/>
      </w:rPr>
    </w:lvl>
    <w:lvl w:ilvl="4">
      <w:start w:val="1"/>
      <w:numFmt w:val="lowerLetter"/>
      <w:lvlText w:val="%5)"/>
      <w:lvlJc w:val="left"/>
      <w:pPr>
        <w:tabs>
          <w:tab w:val="num" w:pos="1833"/>
        </w:tabs>
        <w:ind w:left="1833" w:hanging="393"/>
      </w:pPr>
      <w:rPr>
        <w:rFonts w:ascii="Arial" w:eastAsia="Arial" w:hAnsi="Arial" w:cs="Arial"/>
        <w:position w:val="0"/>
        <w:sz w:val="24"/>
        <w:szCs w:val="24"/>
      </w:rPr>
    </w:lvl>
    <w:lvl w:ilvl="5">
      <w:start w:val="1"/>
      <w:numFmt w:val="lowerLetter"/>
      <w:lvlText w:val="%6)"/>
      <w:lvlJc w:val="left"/>
      <w:pPr>
        <w:tabs>
          <w:tab w:val="num" w:pos="2193"/>
        </w:tabs>
        <w:ind w:left="2193" w:hanging="393"/>
      </w:pPr>
      <w:rPr>
        <w:rFonts w:ascii="Arial" w:eastAsia="Arial" w:hAnsi="Arial" w:cs="Arial"/>
        <w:position w:val="0"/>
        <w:sz w:val="24"/>
        <w:szCs w:val="24"/>
      </w:rPr>
    </w:lvl>
    <w:lvl w:ilvl="6">
      <w:start w:val="1"/>
      <w:numFmt w:val="lowerLetter"/>
      <w:lvlText w:val="%7)"/>
      <w:lvlJc w:val="left"/>
      <w:pPr>
        <w:tabs>
          <w:tab w:val="num" w:pos="2553"/>
        </w:tabs>
        <w:ind w:left="2553" w:hanging="393"/>
      </w:pPr>
      <w:rPr>
        <w:rFonts w:ascii="Arial" w:eastAsia="Arial" w:hAnsi="Arial" w:cs="Arial"/>
        <w:position w:val="0"/>
        <w:sz w:val="24"/>
        <w:szCs w:val="24"/>
      </w:rPr>
    </w:lvl>
    <w:lvl w:ilvl="7">
      <w:start w:val="1"/>
      <w:numFmt w:val="lowerLetter"/>
      <w:lvlText w:val="%8)"/>
      <w:lvlJc w:val="left"/>
      <w:pPr>
        <w:tabs>
          <w:tab w:val="num" w:pos="2913"/>
        </w:tabs>
        <w:ind w:left="2913" w:hanging="393"/>
      </w:pPr>
      <w:rPr>
        <w:rFonts w:ascii="Arial" w:eastAsia="Arial" w:hAnsi="Arial" w:cs="Arial"/>
        <w:position w:val="0"/>
        <w:sz w:val="24"/>
        <w:szCs w:val="24"/>
      </w:rPr>
    </w:lvl>
    <w:lvl w:ilvl="8">
      <w:start w:val="1"/>
      <w:numFmt w:val="lowerLetter"/>
      <w:lvlText w:val="%9)"/>
      <w:lvlJc w:val="left"/>
      <w:pPr>
        <w:tabs>
          <w:tab w:val="num" w:pos="3273"/>
        </w:tabs>
        <w:ind w:left="3273" w:hanging="393"/>
      </w:pPr>
      <w:rPr>
        <w:rFonts w:ascii="Arial" w:eastAsia="Arial" w:hAnsi="Arial" w:cs="Arial"/>
        <w:position w:val="0"/>
        <w:sz w:val="24"/>
        <w:szCs w:val="24"/>
      </w:rPr>
    </w:lvl>
  </w:abstractNum>
  <w:abstractNum w:abstractNumId="2" w15:restartNumberingAfterBreak="0">
    <w:nsid w:val="61914D49"/>
    <w:multiLevelType w:val="multilevel"/>
    <w:tmpl w:val="6A14F3B0"/>
    <w:lvl w:ilvl="0">
      <w:start w:val="1"/>
      <w:numFmt w:val="upperLetter"/>
      <w:lvlText w:val="%1."/>
      <w:lvlJc w:val="left"/>
      <w:pPr>
        <w:tabs>
          <w:tab w:val="num" w:pos="360"/>
        </w:tabs>
        <w:ind w:left="360" w:hanging="360"/>
      </w:pPr>
      <w:rPr>
        <w:rFonts w:ascii="Helvetica" w:eastAsia="Helvetica" w:hAnsi="Helvetica" w:cs="Helvetica"/>
        <w:b w:val="0"/>
        <w:bCs w:val="0"/>
        <w:i w:val="0"/>
        <w:iCs w:val="0"/>
        <w:caps w:val="0"/>
        <w:smallCaps w:val="0"/>
        <w:strike w:val="0"/>
        <w:dstrike w:val="0"/>
        <w:outline w:val="0"/>
        <w:color w:val="000000"/>
        <w:spacing w:val="0"/>
        <w:kern w:val="0"/>
        <w:position w:val="0"/>
        <w:sz w:val="22"/>
        <w:szCs w:val="22"/>
        <w:u w:val="none"/>
        <w:vertAlign w:val="baseline"/>
      </w:rPr>
    </w:lvl>
    <w:lvl w:ilvl="1">
      <w:start w:val="1"/>
      <w:numFmt w:val="upperLetter"/>
      <w:lvlText w:val="%2."/>
      <w:lvlJc w:val="left"/>
      <w:pPr>
        <w:tabs>
          <w:tab w:val="num" w:pos="720"/>
        </w:tabs>
        <w:ind w:left="720" w:hanging="360"/>
      </w:pPr>
      <w:rPr>
        <w:rFonts w:ascii="Helvetica" w:eastAsia="Helvetica" w:hAnsi="Helvetica" w:cs="Helvetica"/>
        <w:b w:val="0"/>
        <w:bCs w:val="0"/>
        <w:i w:val="0"/>
        <w:iCs w:val="0"/>
        <w:caps w:val="0"/>
        <w:smallCaps w:val="0"/>
        <w:strike w:val="0"/>
        <w:dstrike w:val="0"/>
        <w:outline w:val="0"/>
        <w:color w:val="000000"/>
        <w:spacing w:val="0"/>
        <w:kern w:val="0"/>
        <w:position w:val="0"/>
        <w:sz w:val="22"/>
        <w:szCs w:val="22"/>
        <w:u w:val="none"/>
        <w:vertAlign w:val="baseline"/>
      </w:rPr>
    </w:lvl>
    <w:lvl w:ilvl="2">
      <w:start w:val="1"/>
      <w:numFmt w:val="upperLetter"/>
      <w:lvlText w:val="%3."/>
      <w:lvlJc w:val="left"/>
      <w:pPr>
        <w:tabs>
          <w:tab w:val="num" w:pos="1080"/>
        </w:tabs>
        <w:ind w:left="1080" w:hanging="360"/>
      </w:pPr>
      <w:rPr>
        <w:rFonts w:ascii="Helvetica" w:eastAsia="Helvetica" w:hAnsi="Helvetica" w:cs="Helvetica"/>
        <w:b w:val="0"/>
        <w:bCs w:val="0"/>
        <w:i w:val="0"/>
        <w:iCs w:val="0"/>
        <w:caps w:val="0"/>
        <w:smallCaps w:val="0"/>
        <w:strike w:val="0"/>
        <w:dstrike w:val="0"/>
        <w:outline w:val="0"/>
        <w:color w:val="000000"/>
        <w:spacing w:val="0"/>
        <w:kern w:val="0"/>
        <w:position w:val="0"/>
        <w:sz w:val="22"/>
        <w:szCs w:val="22"/>
        <w:u w:val="none"/>
        <w:vertAlign w:val="baseline"/>
      </w:rPr>
    </w:lvl>
    <w:lvl w:ilvl="3">
      <w:start w:val="1"/>
      <w:numFmt w:val="upperLetter"/>
      <w:lvlText w:val="%4."/>
      <w:lvlJc w:val="left"/>
      <w:pPr>
        <w:tabs>
          <w:tab w:val="num" w:pos="1440"/>
        </w:tabs>
        <w:ind w:left="1440" w:hanging="360"/>
      </w:pPr>
      <w:rPr>
        <w:rFonts w:ascii="Helvetica" w:eastAsia="Helvetica" w:hAnsi="Helvetica" w:cs="Helvetica"/>
        <w:b w:val="0"/>
        <w:bCs w:val="0"/>
        <w:i w:val="0"/>
        <w:iCs w:val="0"/>
        <w:caps w:val="0"/>
        <w:smallCaps w:val="0"/>
        <w:strike w:val="0"/>
        <w:dstrike w:val="0"/>
        <w:outline w:val="0"/>
        <w:color w:val="000000"/>
        <w:spacing w:val="0"/>
        <w:kern w:val="0"/>
        <w:position w:val="0"/>
        <w:sz w:val="22"/>
        <w:szCs w:val="22"/>
        <w:u w:val="none"/>
        <w:vertAlign w:val="baseline"/>
      </w:rPr>
    </w:lvl>
    <w:lvl w:ilvl="4">
      <w:start w:val="1"/>
      <w:numFmt w:val="upperLetter"/>
      <w:lvlText w:val="%5."/>
      <w:lvlJc w:val="left"/>
      <w:pPr>
        <w:tabs>
          <w:tab w:val="num" w:pos="1800"/>
        </w:tabs>
        <w:ind w:left="1800" w:hanging="360"/>
      </w:pPr>
      <w:rPr>
        <w:rFonts w:ascii="Helvetica" w:eastAsia="Helvetica" w:hAnsi="Helvetica" w:cs="Helvetica"/>
        <w:b w:val="0"/>
        <w:bCs w:val="0"/>
        <w:i w:val="0"/>
        <w:iCs w:val="0"/>
        <w:caps w:val="0"/>
        <w:smallCaps w:val="0"/>
        <w:strike w:val="0"/>
        <w:dstrike w:val="0"/>
        <w:outline w:val="0"/>
        <w:color w:val="000000"/>
        <w:spacing w:val="0"/>
        <w:kern w:val="0"/>
        <w:position w:val="0"/>
        <w:sz w:val="22"/>
        <w:szCs w:val="22"/>
        <w:u w:val="none"/>
        <w:vertAlign w:val="baseline"/>
      </w:rPr>
    </w:lvl>
    <w:lvl w:ilvl="5">
      <w:start w:val="1"/>
      <w:numFmt w:val="upperLetter"/>
      <w:lvlText w:val="%6."/>
      <w:lvlJc w:val="left"/>
      <w:pPr>
        <w:tabs>
          <w:tab w:val="num" w:pos="2160"/>
        </w:tabs>
        <w:ind w:left="2160" w:hanging="360"/>
      </w:pPr>
      <w:rPr>
        <w:rFonts w:ascii="Helvetica" w:eastAsia="Helvetica" w:hAnsi="Helvetica" w:cs="Helvetica"/>
        <w:b w:val="0"/>
        <w:bCs w:val="0"/>
        <w:i w:val="0"/>
        <w:iCs w:val="0"/>
        <w:caps w:val="0"/>
        <w:smallCaps w:val="0"/>
        <w:strike w:val="0"/>
        <w:dstrike w:val="0"/>
        <w:outline w:val="0"/>
        <w:color w:val="000000"/>
        <w:spacing w:val="0"/>
        <w:kern w:val="0"/>
        <w:position w:val="0"/>
        <w:sz w:val="22"/>
        <w:szCs w:val="22"/>
        <w:u w:val="none"/>
        <w:vertAlign w:val="baseline"/>
      </w:rPr>
    </w:lvl>
    <w:lvl w:ilvl="6">
      <w:start w:val="1"/>
      <w:numFmt w:val="upperLetter"/>
      <w:lvlText w:val="%7."/>
      <w:lvlJc w:val="left"/>
      <w:pPr>
        <w:tabs>
          <w:tab w:val="num" w:pos="2520"/>
        </w:tabs>
        <w:ind w:left="2520" w:hanging="360"/>
      </w:pPr>
      <w:rPr>
        <w:rFonts w:ascii="Helvetica" w:eastAsia="Helvetica" w:hAnsi="Helvetica" w:cs="Helvetica"/>
        <w:b w:val="0"/>
        <w:bCs w:val="0"/>
        <w:i w:val="0"/>
        <w:iCs w:val="0"/>
        <w:caps w:val="0"/>
        <w:smallCaps w:val="0"/>
        <w:strike w:val="0"/>
        <w:dstrike w:val="0"/>
        <w:outline w:val="0"/>
        <w:color w:val="000000"/>
        <w:spacing w:val="0"/>
        <w:kern w:val="0"/>
        <w:position w:val="0"/>
        <w:sz w:val="22"/>
        <w:szCs w:val="22"/>
        <w:u w:val="none"/>
        <w:vertAlign w:val="baseline"/>
      </w:rPr>
    </w:lvl>
    <w:lvl w:ilvl="7">
      <w:start w:val="1"/>
      <w:numFmt w:val="upperLetter"/>
      <w:lvlText w:val="%8."/>
      <w:lvlJc w:val="left"/>
      <w:pPr>
        <w:tabs>
          <w:tab w:val="num" w:pos="2880"/>
        </w:tabs>
        <w:ind w:left="2880" w:hanging="360"/>
      </w:pPr>
      <w:rPr>
        <w:rFonts w:ascii="Helvetica" w:eastAsia="Helvetica" w:hAnsi="Helvetica" w:cs="Helvetica"/>
        <w:b w:val="0"/>
        <w:bCs w:val="0"/>
        <w:i w:val="0"/>
        <w:iCs w:val="0"/>
        <w:caps w:val="0"/>
        <w:smallCaps w:val="0"/>
        <w:strike w:val="0"/>
        <w:dstrike w:val="0"/>
        <w:outline w:val="0"/>
        <w:color w:val="000000"/>
        <w:spacing w:val="0"/>
        <w:kern w:val="0"/>
        <w:position w:val="0"/>
        <w:sz w:val="22"/>
        <w:szCs w:val="22"/>
        <w:u w:val="none"/>
        <w:vertAlign w:val="baseline"/>
      </w:rPr>
    </w:lvl>
    <w:lvl w:ilvl="8">
      <w:start w:val="1"/>
      <w:numFmt w:val="upperLetter"/>
      <w:lvlText w:val="%9."/>
      <w:lvlJc w:val="left"/>
      <w:pPr>
        <w:tabs>
          <w:tab w:val="num" w:pos="3240"/>
        </w:tabs>
        <w:ind w:left="3240" w:hanging="360"/>
      </w:pPr>
      <w:rPr>
        <w:rFonts w:ascii="Helvetica" w:eastAsia="Helvetica" w:hAnsi="Helvetica" w:cs="Helvetica"/>
        <w:b w:val="0"/>
        <w:bCs w:val="0"/>
        <w:i w:val="0"/>
        <w:iCs w:val="0"/>
        <w:caps w:val="0"/>
        <w:smallCaps w:val="0"/>
        <w:strike w:val="0"/>
        <w:dstrike w:val="0"/>
        <w:outline w:val="0"/>
        <w:color w:val="000000"/>
        <w:spacing w:val="0"/>
        <w:kern w:val="0"/>
        <w:position w:val="0"/>
        <w:sz w:val="22"/>
        <w:szCs w:val="22"/>
        <w:u w:val="none"/>
        <w:vertAlign w:val="baseline"/>
      </w:rPr>
    </w:lvl>
  </w:abstractNum>
  <w:num w:numId="1" w16cid:durableId="1947151990">
    <w:abstractNumId w:val="1"/>
  </w:num>
  <w:num w:numId="2" w16cid:durableId="886071461">
    <w:abstractNumId w:val="2"/>
  </w:num>
  <w:num w:numId="3" w16cid:durableId="1114858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5979"/>
    <w:rsid w:val="005A01FE"/>
    <w:rsid w:val="0071729C"/>
    <w:rsid w:val="008C67DB"/>
    <w:rsid w:val="008C7DFC"/>
    <w:rsid w:val="00963B16"/>
    <w:rsid w:val="00DC51B6"/>
    <w:rsid w:val="00FA5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D331A"/>
  <w15:docId w15:val="{6716D46E-A7CB-4DB7-B083-936FBF06C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w:hAnsi="Arial Unicode MS" w:cs="Arial Unicode MS"/>
      <w:color w:val="000000"/>
      <w:sz w:val="22"/>
      <w:szCs w:val="22"/>
      <w:lang w:val="en-US"/>
    </w:rPr>
  </w:style>
  <w:style w:type="paragraph" w:styleId="FootnoteText">
    <w:name w:val="footnote text"/>
    <w:rPr>
      <w:rFonts w:ascii="Calibri" w:eastAsia="Calibri" w:hAnsi="Calibri" w:cs="Calibri"/>
      <w:color w:val="000000"/>
      <w:sz w:val="24"/>
      <w:szCs w:val="24"/>
      <w:u w:color="000000"/>
      <w:lang w:val="en-US"/>
    </w:rPr>
  </w:style>
  <w:style w:type="numbering" w:customStyle="1" w:styleId="List0">
    <w:name w:val="List 0"/>
    <w:basedOn w:val="Lettered"/>
    <w:pPr>
      <w:numPr>
        <w:numId w:val="3"/>
      </w:numPr>
    </w:pPr>
  </w:style>
  <w:style w:type="numbering" w:customStyle="1" w:styleId="Lettered">
    <w:name w:val="Lettered"/>
  </w:style>
  <w:style w:type="paragraph" w:customStyle="1" w:styleId="Footnote">
    <w:name w:val="Footnote"/>
    <w:rPr>
      <w:rFonts w:ascii="Helvetica" w:eastAsia="Helvetica" w:hAnsi="Helvetica" w:cs="Helvetica"/>
      <w:color w:val="000000"/>
      <w:sz w:val="22"/>
      <w:szCs w:val="22"/>
    </w:rPr>
  </w:style>
  <w:style w:type="paragraph" w:styleId="Header">
    <w:name w:val="header"/>
    <w:basedOn w:val="Normal"/>
    <w:link w:val="HeaderChar"/>
    <w:uiPriority w:val="99"/>
    <w:unhideWhenUsed/>
    <w:rsid w:val="005A01FE"/>
    <w:pPr>
      <w:tabs>
        <w:tab w:val="center" w:pos="4513"/>
        <w:tab w:val="right" w:pos="9026"/>
      </w:tabs>
    </w:pPr>
  </w:style>
  <w:style w:type="character" w:customStyle="1" w:styleId="HeaderChar">
    <w:name w:val="Header Char"/>
    <w:basedOn w:val="DefaultParagraphFont"/>
    <w:link w:val="Header"/>
    <w:uiPriority w:val="99"/>
    <w:rsid w:val="005A01FE"/>
    <w:rPr>
      <w:sz w:val="24"/>
      <w:szCs w:val="24"/>
      <w:lang w:val="en-US" w:eastAsia="en-US"/>
    </w:rPr>
  </w:style>
  <w:style w:type="paragraph" w:styleId="Footer">
    <w:name w:val="footer"/>
    <w:basedOn w:val="Normal"/>
    <w:link w:val="FooterChar"/>
    <w:uiPriority w:val="99"/>
    <w:unhideWhenUsed/>
    <w:rsid w:val="005A01FE"/>
    <w:pPr>
      <w:tabs>
        <w:tab w:val="center" w:pos="4513"/>
        <w:tab w:val="right" w:pos="9026"/>
      </w:tabs>
    </w:pPr>
  </w:style>
  <w:style w:type="character" w:customStyle="1" w:styleId="FooterChar">
    <w:name w:val="Footer Char"/>
    <w:basedOn w:val="DefaultParagraphFont"/>
    <w:link w:val="Footer"/>
    <w:uiPriority w:val="99"/>
    <w:rsid w:val="005A01FE"/>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1106</Words>
  <Characters>5078</Characters>
  <Application>Microsoft Office Word</Application>
  <DocSecurity>0</DocSecurity>
  <Lines>97</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dc:creator>
  <cp:lastModifiedBy>Denyss Nagy (2117506)</cp:lastModifiedBy>
  <cp:revision>2</cp:revision>
  <dcterms:created xsi:type="dcterms:W3CDTF">2023-01-13T20:45:00Z</dcterms:created>
  <dcterms:modified xsi:type="dcterms:W3CDTF">2023-01-13T20:45:00Z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2c04d2203033d357ac6563635c8026bf7f91e7645364eed23da5a30193c7b0e0</vt:lpwstr>
  </property>
</Properties>
</file>