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20FC0" w14:textId="793A0681" w:rsidR="007E4C54" w:rsidRPr="006A34AA" w:rsidRDefault="007E4C54" w:rsidP="007E4C54">
      <w:pPr>
        <w:jc w:val="center"/>
        <w:rPr>
          <w:sz w:val="32"/>
          <w:szCs w:val="32"/>
        </w:rPr>
      </w:pPr>
      <w:r>
        <w:t xml:space="preserve">PSYCHOLOGY ASSIGNMENT PART </w:t>
      </w:r>
      <w:r w:rsidR="008E5DA0">
        <w:t>(</w:t>
      </w:r>
      <w:r w:rsidR="0018373F">
        <w:t>II</w:t>
      </w:r>
      <w:r w:rsidR="008E5DA0">
        <w:t>)</w:t>
      </w:r>
    </w:p>
    <w:p w14:paraId="56E3270B" w14:textId="6DF9A88A" w:rsidR="007E4C54" w:rsidRDefault="007E4C54" w:rsidP="007E4C54">
      <w:pPr>
        <w:ind w:firstLine="0"/>
      </w:pPr>
      <w:r>
        <w:t xml:space="preserve">                                              STUDENT NAME:  Nicolette Robotham</w:t>
      </w:r>
    </w:p>
    <w:p w14:paraId="635DB938" w14:textId="3854CCE8" w:rsidR="007E4C54" w:rsidRDefault="007E4C54" w:rsidP="007E4C54">
      <w:r>
        <w:t xml:space="preserve">                                  STUDENT </w:t>
      </w:r>
      <w:r w:rsidR="00E83CF0">
        <w:t xml:space="preserve">ID </w:t>
      </w:r>
      <w:r>
        <w:t>NO: 1910056</w:t>
      </w:r>
    </w:p>
    <w:p w14:paraId="1D978C96" w14:textId="488D0FDD" w:rsidR="007E4C54" w:rsidRDefault="007E4C54" w:rsidP="007E4C54">
      <w:r>
        <w:t xml:space="preserve">                                   TUTOR NAME: DR. GULNAR ALI</w:t>
      </w:r>
    </w:p>
    <w:p w14:paraId="59F917E7" w14:textId="1BE69F97" w:rsidR="007E4C54" w:rsidRDefault="007E4C54" w:rsidP="007E4C54">
      <w:r>
        <w:t xml:space="preserve">                                    DUE DATE: 3 SEPTEMBER 2020</w:t>
      </w:r>
      <w:bookmarkStart w:id="0" w:name="_GoBack"/>
      <w:bookmarkEnd w:id="0"/>
    </w:p>
    <w:p w14:paraId="4416E8B6" w14:textId="77777777" w:rsidR="007E4C54" w:rsidRDefault="007E4C54" w:rsidP="007E4C54">
      <w:r>
        <w:t xml:space="preserve"> </w:t>
      </w:r>
    </w:p>
    <w:p w14:paraId="00B441D5" w14:textId="100425B3" w:rsidR="005535A7" w:rsidRDefault="005535A7"/>
    <w:p w14:paraId="0A2707C4" w14:textId="1661A579" w:rsidR="007E4C54" w:rsidRDefault="007E4C54"/>
    <w:p w14:paraId="3B15E06F" w14:textId="514FD51F" w:rsidR="007E4C54" w:rsidRDefault="007E4C54"/>
    <w:p w14:paraId="7EAFD515" w14:textId="3A8E8A21" w:rsidR="007E4C54" w:rsidRDefault="007E4C54"/>
    <w:p w14:paraId="0955E570" w14:textId="3F4FBE2C" w:rsidR="007E4C54" w:rsidRDefault="007E4C54"/>
    <w:p w14:paraId="713F7892" w14:textId="2B016A08" w:rsidR="007E4C54" w:rsidRDefault="007E4C54"/>
    <w:p w14:paraId="704D8B72" w14:textId="69EB8CBF" w:rsidR="007E4C54" w:rsidRDefault="007E4C54"/>
    <w:p w14:paraId="0C8370CE" w14:textId="298B3427" w:rsidR="007E4C54" w:rsidRDefault="007E4C54"/>
    <w:p w14:paraId="5C5C812D" w14:textId="63D48059" w:rsidR="007E4C54" w:rsidRDefault="007E4C54"/>
    <w:p w14:paraId="6A4CD0D6" w14:textId="1FF4A146" w:rsidR="007E4C54" w:rsidRDefault="007E4C54"/>
    <w:p w14:paraId="06DBB3C1" w14:textId="358BA4DE" w:rsidR="007E4C54" w:rsidRDefault="007E4C54"/>
    <w:p w14:paraId="4940A380" w14:textId="4FCD50F2" w:rsidR="007E4C54" w:rsidRDefault="007E4C54"/>
    <w:p w14:paraId="12A73FE4" w14:textId="16C667E4" w:rsidR="00262231" w:rsidRDefault="00262231"/>
    <w:p w14:paraId="00C3D127" w14:textId="58B4D068" w:rsidR="00784D47" w:rsidRDefault="00E83CF0" w:rsidP="00784D47">
      <w:pPr>
        <w:pStyle w:val="TOC1"/>
        <w:tabs>
          <w:tab w:val="right" w:leader="dot" w:pos="9350"/>
        </w:tabs>
        <w:rPr>
          <w:noProof/>
        </w:rPr>
      </w:pPr>
      <w:hyperlink w:anchor="_Toc49013902" w:history="1">
        <w:r w:rsidR="00784D47" w:rsidRPr="00041D43">
          <w:rPr>
            <w:rStyle w:val="Hyperlink"/>
            <w:b/>
            <w:noProof/>
          </w:rPr>
          <w:t>Part II</w:t>
        </w:r>
        <w:r w:rsidR="00784D47">
          <w:rPr>
            <w:noProof/>
            <w:webHidden/>
          </w:rPr>
          <w:tab/>
        </w:r>
        <w:r w:rsidR="00ED46A1">
          <w:rPr>
            <w:noProof/>
            <w:webHidden/>
          </w:rPr>
          <w:t>2</w:t>
        </w:r>
      </w:hyperlink>
    </w:p>
    <w:p w14:paraId="733B68C2" w14:textId="0D56E72F" w:rsidR="00784D47" w:rsidRDefault="00E83CF0" w:rsidP="00784D47">
      <w:pPr>
        <w:pStyle w:val="TOC1"/>
        <w:tabs>
          <w:tab w:val="right" w:leader="dot" w:pos="9350"/>
        </w:tabs>
        <w:rPr>
          <w:noProof/>
        </w:rPr>
      </w:pPr>
      <w:hyperlink w:anchor="_Toc49013903" w:history="1">
        <w:r w:rsidR="00784D47" w:rsidRPr="00A45131">
          <w:rPr>
            <w:rStyle w:val="Hyperlink"/>
            <w:noProof/>
          </w:rPr>
          <w:t>Introduction:</w:t>
        </w:r>
        <w:r w:rsidR="00784D47">
          <w:rPr>
            <w:noProof/>
            <w:webHidden/>
          </w:rPr>
          <w:tab/>
        </w:r>
        <w:r w:rsidR="00ED46A1">
          <w:rPr>
            <w:noProof/>
            <w:webHidden/>
          </w:rPr>
          <w:t>2</w:t>
        </w:r>
      </w:hyperlink>
    </w:p>
    <w:p w14:paraId="492EBF08" w14:textId="00C7E4F2" w:rsidR="00784D47" w:rsidRDefault="00E83CF0" w:rsidP="00784D47">
      <w:pPr>
        <w:pStyle w:val="TOC1"/>
        <w:tabs>
          <w:tab w:val="right" w:leader="dot" w:pos="9350"/>
        </w:tabs>
        <w:rPr>
          <w:noProof/>
        </w:rPr>
      </w:pPr>
      <w:hyperlink w:anchor="_Toc49013904" w:history="1">
        <w:r w:rsidR="00784D47" w:rsidRPr="00A45131">
          <w:rPr>
            <w:rStyle w:val="Hyperlink"/>
            <w:noProof/>
          </w:rPr>
          <w:t>Discussion:</w:t>
        </w:r>
        <w:r w:rsidR="00784D47">
          <w:rPr>
            <w:noProof/>
            <w:webHidden/>
          </w:rPr>
          <w:tab/>
        </w:r>
        <w:r w:rsidR="00ED46A1">
          <w:rPr>
            <w:noProof/>
            <w:webHidden/>
          </w:rPr>
          <w:t>3</w:t>
        </w:r>
      </w:hyperlink>
    </w:p>
    <w:p w14:paraId="21637225" w14:textId="5CE4A9D3" w:rsidR="00784D47" w:rsidRDefault="00F139BF" w:rsidP="00F139BF">
      <w:pPr>
        <w:pStyle w:val="TOC2"/>
        <w:tabs>
          <w:tab w:val="right" w:leader="dot" w:pos="9350"/>
        </w:tabs>
        <w:ind w:left="0" w:firstLine="0"/>
        <w:rPr>
          <w:noProof/>
        </w:rPr>
      </w:pPr>
      <w:r>
        <w:t xml:space="preserve">            </w:t>
      </w:r>
      <w:hyperlink w:anchor="_Toc49013905" w:history="1">
        <w:r w:rsidR="00784D47" w:rsidRPr="00A45131">
          <w:rPr>
            <w:rStyle w:val="Hyperlink"/>
            <w:noProof/>
          </w:rPr>
          <w:t>Reflection on theories</w:t>
        </w:r>
        <w:r w:rsidR="00784D47">
          <w:rPr>
            <w:noProof/>
            <w:webHidden/>
          </w:rPr>
          <w:tab/>
        </w:r>
        <w:r w:rsidR="00ED46A1">
          <w:rPr>
            <w:noProof/>
            <w:webHidden/>
          </w:rPr>
          <w:t>3</w:t>
        </w:r>
      </w:hyperlink>
    </w:p>
    <w:p w14:paraId="7F1EBFEB" w14:textId="6E58FA6E" w:rsidR="00784D47" w:rsidRDefault="00F139BF" w:rsidP="00F139BF">
      <w:pPr>
        <w:pStyle w:val="TOC2"/>
        <w:tabs>
          <w:tab w:val="right" w:leader="dot" w:pos="9350"/>
        </w:tabs>
        <w:ind w:left="0" w:firstLine="0"/>
        <w:rPr>
          <w:noProof/>
        </w:rPr>
      </w:pPr>
      <w:r>
        <w:t xml:space="preserve">             </w:t>
      </w:r>
      <w:hyperlink w:anchor="_Toc49013906" w:history="1">
        <w:r w:rsidR="00784D47" w:rsidRPr="00A45131">
          <w:rPr>
            <w:rStyle w:val="Hyperlink"/>
            <w:noProof/>
          </w:rPr>
          <w:t>Reflection on researches</w:t>
        </w:r>
        <w:r w:rsidR="00784D47">
          <w:rPr>
            <w:noProof/>
            <w:webHidden/>
          </w:rPr>
          <w:tab/>
        </w:r>
        <w:r w:rsidR="00ED46A1">
          <w:rPr>
            <w:noProof/>
            <w:webHidden/>
          </w:rPr>
          <w:t>5</w:t>
        </w:r>
      </w:hyperlink>
    </w:p>
    <w:p w14:paraId="59B58957" w14:textId="2E1B6464" w:rsidR="00784D47" w:rsidRDefault="00F139BF" w:rsidP="00F139BF">
      <w:pPr>
        <w:pStyle w:val="TOC2"/>
        <w:tabs>
          <w:tab w:val="right" w:leader="dot" w:pos="9350"/>
        </w:tabs>
        <w:ind w:left="0" w:firstLine="0"/>
        <w:rPr>
          <w:noProof/>
        </w:rPr>
      </w:pPr>
      <w:r>
        <w:t xml:space="preserve">             </w:t>
      </w:r>
      <w:hyperlink w:anchor="_Toc49013907" w:history="1">
        <w:r w:rsidR="00784D47" w:rsidRPr="00A45131">
          <w:rPr>
            <w:rStyle w:val="Hyperlink"/>
            <w:noProof/>
          </w:rPr>
          <w:t>Role as a health care professional</w:t>
        </w:r>
        <w:r w:rsidR="00784D47">
          <w:rPr>
            <w:noProof/>
            <w:webHidden/>
          </w:rPr>
          <w:tab/>
        </w:r>
        <w:r w:rsidR="00ED46A1">
          <w:rPr>
            <w:noProof/>
            <w:webHidden/>
          </w:rPr>
          <w:t>7</w:t>
        </w:r>
      </w:hyperlink>
    </w:p>
    <w:p w14:paraId="2462A8E5" w14:textId="4C99AC82" w:rsidR="00784D47" w:rsidRDefault="00F139BF" w:rsidP="00F139BF">
      <w:pPr>
        <w:pStyle w:val="TOC2"/>
        <w:tabs>
          <w:tab w:val="right" w:leader="dot" w:pos="9350"/>
        </w:tabs>
        <w:ind w:left="0" w:firstLine="0"/>
        <w:rPr>
          <w:noProof/>
        </w:rPr>
      </w:pPr>
      <w:r>
        <w:t xml:space="preserve">             </w:t>
      </w:r>
      <w:hyperlink w:anchor="_Toc49013908" w:history="1">
        <w:r w:rsidR="00784D47" w:rsidRPr="00A45131">
          <w:rPr>
            <w:rStyle w:val="Hyperlink"/>
            <w:noProof/>
          </w:rPr>
          <w:t>Relation of learning to health and social care practices</w:t>
        </w:r>
        <w:r w:rsidR="00784D47">
          <w:rPr>
            <w:noProof/>
            <w:webHidden/>
          </w:rPr>
          <w:tab/>
        </w:r>
        <w:r w:rsidR="00C17347">
          <w:rPr>
            <w:noProof/>
            <w:webHidden/>
          </w:rPr>
          <w:t>8</w:t>
        </w:r>
      </w:hyperlink>
    </w:p>
    <w:p w14:paraId="77F62E4F" w14:textId="5B9E5897" w:rsidR="00784D47" w:rsidRDefault="00F139BF" w:rsidP="00784D47">
      <w:pPr>
        <w:pStyle w:val="TOC1"/>
        <w:tabs>
          <w:tab w:val="right" w:leader="dot" w:pos="9350"/>
        </w:tabs>
        <w:rPr>
          <w:noProof/>
        </w:rPr>
      </w:pPr>
      <w:r>
        <w:t xml:space="preserve"> </w:t>
      </w:r>
      <w:hyperlink w:anchor="_Toc49013909" w:history="1">
        <w:r w:rsidR="00784D47" w:rsidRPr="00A45131">
          <w:rPr>
            <w:rStyle w:val="Hyperlink"/>
            <w:noProof/>
          </w:rPr>
          <w:t>Conclusion:</w:t>
        </w:r>
        <w:r w:rsidR="00784D47">
          <w:rPr>
            <w:noProof/>
            <w:webHidden/>
          </w:rPr>
          <w:tab/>
        </w:r>
        <w:r w:rsidR="00C17347">
          <w:rPr>
            <w:noProof/>
            <w:webHidden/>
          </w:rPr>
          <w:t>10</w:t>
        </w:r>
      </w:hyperlink>
    </w:p>
    <w:p w14:paraId="7AE22EBF" w14:textId="3253D164" w:rsidR="00F139BF" w:rsidRDefault="00E83CF0" w:rsidP="00F139BF">
      <w:pPr>
        <w:pStyle w:val="TOC1"/>
        <w:tabs>
          <w:tab w:val="right" w:leader="dot" w:pos="9350"/>
        </w:tabs>
        <w:rPr>
          <w:noProof/>
        </w:rPr>
      </w:pPr>
      <w:hyperlink w:anchor="_Toc49013910" w:history="1">
        <w:r w:rsidR="00F139BF" w:rsidRPr="00A45131">
          <w:rPr>
            <w:rStyle w:val="Hyperlink"/>
            <w:noProof/>
          </w:rPr>
          <w:t>References:</w:t>
        </w:r>
        <w:r w:rsidR="00F139BF">
          <w:rPr>
            <w:noProof/>
            <w:webHidden/>
          </w:rPr>
          <w:tab/>
        </w:r>
        <w:r w:rsidR="00C17347">
          <w:rPr>
            <w:noProof/>
            <w:webHidden/>
          </w:rPr>
          <w:t>11</w:t>
        </w:r>
      </w:hyperlink>
    </w:p>
    <w:p w14:paraId="4C58848F" w14:textId="77777777" w:rsidR="00F139BF" w:rsidRPr="00F139BF" w:rsidRDefault="00F139BF" w:rsidP="00F139BF"/>
    <w:p w14:paraId="548C669A" w14:textId="77777777" w:rsidR="00262231" w:rsidRDefault="00262231">
      <w:pPr>
        <w:spacing w:after="160" w:line="259" w:lineRule="auto"/>
        <w:ind w:firstLine="0"/>
        <w:jc w:val="left"/>
      </w:pPr>
      <w:r>
        <w:br w:type="page"/>
      </w:r>
    </w:p>
    <w:p w14:paraId="02ABE03E" w14:textId="77777777" w:rsidR="007E4C54" w:rsidRDefault="007E4C54"/>
    <w:p w14:paraId="0E6E0FF4" w14:textId="2F66B971" w:rsidR="007E4C54" w:rsidRDefault="007E4C54"/>
    <w:p w14:paraId="0297B8D6" w14:textId="77777777" w:rsidR="007E4C54" w:rsidRDefault="007E4C54" w:rsidP="007E4C54">
      <w:pPr>
        <w:pStyle w:val="Heading1"/>
      </w:pPr>
      <w:r>
        <w:t>Part II</w:t>
      </w:r>
    </w:p>
    <w:p w14:paraId="119A9AAC" w14:textId="77777777" w:rsidR="007E4C54" w:rsidRDefault="007E4C54" w:rsidP="007E4C54">
      <w:pPr>
        <w:pStyle w:val="Heading1"/>
      </w:pPr>
      <w:r>
        <w:t>Introduction:</w:t>
      </w:r>
    </w:p>
    <w:p w14:paraId="4CEFCF59" w14:textId="359C25C8" w:rsidR="00540C01" w:rsidRDefault="007E4C54" w:rsidP="00540C01">
      <w:r>
        <w:t>A reflective essay is an essay in which the personal experiences are reflected upon by the writer. These experiences guide the writer or author to explore how he has changed, or how the experiences have helped him to develop. It is also the essay in which the writer associates the preconceived notions and concepts with the real-life experiences. In the following reflective essay, there would be a discussion on how the psychological theories which have been discussed in Part I of the assignment can be applied to the health and social care practice. There also would be an honest criticism about the same. Further, there would be a discussion on how the core concepts of behaviorism theories and psychological perspectives can be applied to my duty to care, as a health care professional in the private care for elders.</w:t>
      </w:r>
    </w:p>
    <w:p w14:paraId="3A88CF88" w14:textId="77777777" w:rsidR="00540C01" w:rsidRDefault="00540C01" w:rsidP="007E4C54">
      <w:pPr>
        <w:pStyle w:val="Heading1"/>
      </w:pPr>
    </w:p>
    <w:p w14:paraId="485F8424" w14:textId="77777777" w:rsidR="00540C01" w:rsidRDefault="00540C01" w:rsidP="007E4C54">
      <w:pPr>
        <w:pStyle w:val="Heading1"/>
      </w:pPr>
    </w:p>
    <w:p w14:paraId="3350AA6C" w14:textId="77777777" w:rsidR="00540C01" w:rsidRDefault="00540C01" w:rsidP="007E4C54">
      <w:pPr>
        <w:pStyle w:val="Heading1"/>
      </w:pPr>
    </w:p>
    <w:p w14:paraId="0DBA5C91" w14:textId="49FE13F6" w:rsidR="007E4C54" w:rsidRDefault="007E4C54" w:rsidP="007E4C54">
      <w:pPr>
        <w:pStyle w:val="Heading1"/>
      </w:pPr>
      <w:r>
        <w:t>Discussion:</w:t>
      </w:r>
    </w:p>
    <w:p w14:paraId="417DDF3F" w14:textId="77777777" w:rsidR="007E4C54" w:rsidRDefault="007E4C54" w:rsidP="007E4C54">
      <w:pPr>
        <w:pStyle w:val="Heading2"/>
      </w:pPr>
      <w:r>
        <w:t>Reflection on theories</w:t>
      </w:r>
    </w:p>
    <w:p w14:paraId="14EA530C" w14:textId="3EBE24A9" w:rsidR="007E4C54" w:rsidRDefault="007E4C54" w:rsidP="007E4C54">
      <w:r>
        <w:t xml:space="preserve">As per the discussion of </w:t>
      </w:r>
      <w:proofErr w:type="spellStart"/>
      <w:r>
        <w:t>Yopp</w:t>
      </w:r>
      <w:proofErr w:type="spellEnd"/>
      <w:r>
        <w:t xml:space="preserve">, et.al (2020), the cognitive developmental theory in adolescents explains the fact that the teenagers, during this stage of development or growth gain the understanding of different aspects and their mind starts understanding the various abstract concepts. Their understanding of the world changes as they tend to incorporate their own thoughts, interpretations and perceptions into the same. This opens the door for their imaginary audience which enables them to think beyond their capability. This is where I agree with the proposed theory because the adolescence is a transition stage which involves a plethora of change that the individual experiences. Connecting the infant stage to the adulthood, the teenage period involves the exposure to the entire world. The social as well as the biological or cultural factors are important in making the individuals develop their respective theories and understanding. However as per my opinion, I feel that this age is a very vulnerable period of the entire life. This is because, along with the mental development of the teenagers. As per the discussion of </w:t>
      </w:r>
      <w:proofErr w:type="spellStart"/>
      <w:r>
        <w:t>Falgares</w:t>
      </w:r>
      <w:proofErr w:type="spellEnd"/>
      <w:r>
        <w:t xml:space="preserve">, et.al (2017), they also develop the understanding of good and bad. In most of the scenarios, the social media, internet and the fake virtual world influences these people to such as extent where they get lost and fail to develop the correct understanding of what is right. I would agree with the fact that this age requires proper monitoring so that the adolescents get channelized into the proper direction. This can be understood with an example, </w:t>
      </w:r>
      <w:r>
        <w:lastRenderedPageBreak/>
        <w:t xml:space="preserve">where the friends and the peers of the adolescent act as the most important social factor that helps in developing the mind of the individual. It has been stated by </w:t>
      </w:r>
      <w:proofErr w:type="spellStart"/>
      <w:r>
        <w:t>Vandenkerckhove</w:t>
      </w:r>
      <w:proofErr w:type="spellEnd"/>
      <w:r>
        <w:t xml:space="preserve">, et.al (2019), they can encourage him to indulge in drugs, since it is one of the easiest methods that can free oneself of stress and pressure. Exposure to such </w:t>
      </w:r>
      <w:r w:rsidR="00C17347">
        <w:t>an</w:t>
      </w:r>
      <w:r>
        <w:t xml:space="preserve"> environment might lead him to think that it is beneficial, and he might get attracted to the same. This is because, at that moment, addiction would be controlling his thoughts and perceptions. Thus, it is the social factor which can control the cognitive development of adolescents. The other theory of Erikson’s psychosocial theory suggests that every stage of an individual’s life involves a psychosocial crisis, which can have a severe positive or negative impact. This is the means of the personality development in the adolescents which is identified with the identity crisis that they suffer from. As per </w:t>
      </w:r>
      <w:proofErr w:type="spellStart"/>
      <w:r>
        <w:t>Falgares</w:t>
      </w:r>
      <w:proofErr w:type="spellEnd"/>
      <w:r>
        <w:t xml:space="preserve">, et.al (2017), the teenagers always try to explore themselves and come to terms with their identity. It is said that this is the stage where they develop a sense of their own self so that they can be unique amongst the crowd. According to </w:t>
      </w:r>
      <w:proofErr w:type="spellStart"/>
      <w:r>
        <w:t>Bleys</w:t>
      </w:r>
      <w:proofErr w:type="spellEnd"/>
      <w:r>
        <w:t>. Et.al (2018), in the cases where the family members or the friends encourage the individuals, they tend to have a strong sense of identity. This has a positive response over them. on the other hand, if the people receive no proper encouragement, they feel insecure and remain confused about their future, however I strongly criticize to the latter half of the explanation. If an adolescent who has identified himself or herself as someone belonging to the LGBTQ community, likely never gets the encouragement or support, specially from the family members, in such a case he or she might be in confusion or insecure (Austin and Craig 2015). But it is often seen that they come out of the boundaries, go against their families, and stick to the identity that they feel comfortable in. it acts as a mode of revolution or rebellion, where their own existence matters the most to them, than their insecurity or confusion as they remain confident about themselves. Such people are often seen to leave their houses and practice their own thoughts and perceptions.</w:t>
      </w:r>
    </w:p>
    <w:p w14:paraId="7C80C10F" w14:textId="77777777" w:rsidR="007E4C54" w:rsidRDefault="007E4C54" w:rsidP="007E4C54">
      <w:pPr>
        <w:pStyle w:val="Heading2"/>
      </w:pPr>
      <w:r>
        <w:lastRenderedPageBreak/>
        <w:t xml:space="preserve">Reflection on researches </w:t>
      </w:r>
    </w:p>
    <w:p w14:paraId="6E4E51AA" w14:textId="52ABF9E4" w:rsidR="00540C01" w:rsidRDefault="007E4C54" w:rsidP="00540C01">
      <w:r>
        <w:t xml:space="preserve">The research article, </w:t>
      </w:r>
      <w:r w:rsidRPr="004A559C">
        <w:rPr>
          <w:i/>
        </w:rPr>
        <w:t>Depression and cigarette smoking behavior: a critical review of population-based studies</w:t>
      </w:r>
      <w:r>
        <w:t xml:space="preserve">” by </w:t>
      </w:r>
      <w:proofErr w:type="spellStart"/>
      <w:r>
        <w:t>Weigngerger</w:t>
      </w:r>
      <w:proofErr w:type="spellEnd"/>
      <w:r>
        <w:t>, et.al (2017) states that there is a strong relation between the cigarette addiction and the depressive state of the adolescents. The article effectively studies the fact that the depression and the severity of it is a major cause of smoking addiction. This increases the tendency of disabilities in the adolescents and reduces their life span. This also increases their mental and physical health problems. To some extent this is extremely correct, but as per my opinion, this is not the cause always. In many cases, the adolescents who get influenced into the smoking addiction becomes manipulated by the other peer group. Since this is the age of transition, in many scenarios, the teenagers get influenced by the peer groups, and friends, and indulge into harmful actions. Depression might not always be the case. I think that depression in many cases is a negative phenomenon which the other people of the same age or the wrong companions inflict upon the teenagers and make them think that they are only positive support of the concerned individual. In the other article “</w:t>
      </w:r>
      <w:r w:rsidRPr="0098173C">
        <w:rPr>
          <w:i/>
        </w:rPr>
        <w:t>Chronic childhood trauma, mental health, academic achievement, and school- based health center mental health services</w:t>
      </w:r>
      <w:r>
        <w:t xml:space="preserve">” by Larson, et.al (2017), it has been discussed that the childhood traumatic experiences and chronic situations which have left a severe impression upon the minds of the children is responsible for the greater risks of the mental health failures. This is also the reason why most of the students fail in their academics and schools. I agree to the author wholeheartedly because it is the children belonging to the poor families and financially unstable ones, who are more prone to such kind of negative traumatic experiences. These children get exposed to family problems from a very small age and the traumatic experiences have a negative impact upon their mental health, for this reason it is extremely important that there should be health care centers in the schools, so that they can be treated well, along with the other students. This can improve their future and they can be the children who can have a </w:t>
      </w:r>
      <w:r>
        <w:lastRenderedPageBreak/>
        <w:t>bright career. The third research article “</w:t>
      </w:r>
      <w:r w:rsidRPr="0098173C">
        <w:rPr>
          <w:i/>
        </w:rPr>
        <w:t>Community- based participatory research for health: Advancing social and health equity</w:t>
      </w:r>
      <w:r>
        <w:t>” by Wallerstein, et.al (2017) talks about the community based participatory research which might be the best approach for the health care professionals to take care of the health of the people in communities. This article can be applied to this research study of the health care psychological perspectives because, it can be agreed that this participatory research approach is a very beneficial one. The CBPR involves a partnership approach in which all the people of the communities, the organizational representatives the researchers and the community members are actively involved in providing beneficial health care to the individuals who are in need of the same (Supper, et.al 2015).</w:t>
      </w:r>
    </w:p>
    <w:p w14:paraId="0655EC31" w14:textId="77777777" w:rsidR="00540C01" w:rsidRDefault="00540C01" w:rsidP="007E4C54">
      <w:pPr>
        <w:pStyle w:val="Heading2"/>
      </w:pPr>
    </w:p>
    <w:p w14:paraId="69434E7C" w14:textId="77777777" w:rsidR="00540C01" w:rsidRDefault="00540C01" w:rsidP="007E4C54">
      <w:pPr>
        <w:pStyle w:val="Heading2"/>
      </w:pPr>
    </w:p>
    <w:p w14:paraId="321EE9BB" w14:textId="77777777" w:rsidR="00540C01" w:rsidRDefault="00540C01" w:rsidP="007E4C54">
      <w:pPr>
        <w:pStyle w:val="Heading2"/>
      </w:pPr>
    </w:p>
    <w:p w14:paraId="0D3F336A" w14:textId="77777777" w:rsidR="00540C01" w:rsidRDefault="00540C01" w:rsidP="007E4C54">
      <w:pPr>
        <w:pStyle w:val="Heading2"/>
      </w:pPr>
    </w:p>
    <w:p w14:paraId="51CD20A1" w14:textId="77777777" w:rsidR="00540C01" w:rsidRDefault="00540C01" w:rsidP="007E4C54">
      <w:pPr>
        <w:pStyle w:val="Heading2"/>
      </w:pPr>
    </w:p>
    <w:p w14:paraId="7ED99F9E" w14:textId="77777777" w:rsidR="00540C01" w:rsidRDefault="00540C01" w:rsidP="007E4C54">
      <w:pPr>
        <w:pStyle w:val="Heading2"/>
      </w:pPr>
    </w:p>
    <w:p w14:paraId="4A85B6CD" w14:textId="77777777" w:rsidR="00540C01" w:rsidRDefault="00540C01" w:rsidP="007E4C54">
      <w:pPr>
        <w:pStyle w:val="Heading2"/>
      </w:pPr>
    </w:p>
    <w:p w14:paraId="740FD475" w14:textId="77777777" w:rsidR="00540C01" w:rsidRDefault="00540C01" w:rsidP="007E4C54">
      <w:pPr>
        <w:pStyle w:val="Heading2"/>
      </w:pPr>
    </w:p>
    <w:p w14:paraId="1B557651" w14:textId="403E440B" w:rsidR="00540C01" w:rsidRDefault="00540C01" w:rsidP="007E4C54">
      <w:pPr>
        <w:pStyle w:val="Heading2"/>
      </w:pPr>
    </w:p>
    <w:p w14:paraId="2FC538EE" w14:textId="3C25E19F" w:rsidR="00540C01" w:rsidRDefault="00540C01" w:rsidP="00540C01"/>
    <w:p w14:paraId="144D5E77" w14:textId="77777777" w:rsidR="00540C01" w:rsidRPr="00540C01" w:rsidRDefault="00540C01" w:rsidP="00540C01"/>
    <w:p w14:paraId="7DF24EA0" w14:textId="2A9E70AD" w:rsidR="007E4C54" w:rsidRDefault="007E4C54" w:rsidP="007E4C54">
      <w:pPr>
        <w:pStyle w:val="Heading2"/>
      </w:pPr>
      <w:r>
        <w:lastRenderedPageBreak/>
        <w:t>Role as a health care professional</w:t>
      </w:r>
    </w:p>
    <w:p w14:paraId="53BF54D2" w14:textId="2D0FE71F" w:rsidR="007E4C54" w:rsidRDefault="00540C01" w:rsidP="007E4C54">
      <w:r>
        <w:t>B</w:t>
      </w:r>
      <w:r w:rsidR="007E4C54">
        <w:t xml:space="preserve">eing a health care </w:t>
      </w:r>
      <w:r>
        <w:t xml:space="preserve">professional, I </w:t>
      </w:r>
      <w:r w:rsidR="007E4C54">
        <w:t>have learnt a lot from the psychological theories that have been discussed in Part I. I am a care worker at a private care home for the elderly. Although I have been associated with the old people and the elder ones, the cognitive psychological theory and the Erickson’s psychosocial theory have helped me to understand many characteristics and behaviors of the old people (</w:t>
      </w:r>
      <w:proofErr w:type="spellStart"/>
      <w:r w:rsidR="007E4C54">
        <w:t>Boellinghaus</w:t>
      </w:r>
      <w:proofErr w:type="spellEnd"/>
      <w:r w:rsidR="007E4C54">
        <w:t>, Jones and Hutton 2014). I can relate the theories and the behavior patterns with most of them, because the psychosocial crisis that these people have been experiencing in their adolescents, have gained them a huge lot of experience, which they share with me. As a health professional in an elderly care organization, it has been my role and responsibility to take proper care of the old people so that they do not feel along and neglected, and also provide quality health care to them, these people are also provided with essential health services such as promotion of health and also prevention of any form of disease (Phillips, et.al 2015). In treating the mental impairments of the old people, I have got to know a lot of facts and knowledge about how their adolescent period had been, and how they had developed their cognitive abilities, with the influence of their friends.</w:t>
      </w:r>
    </w:p>
    <w:p w14:paraId="3A7E9B9C" w14:textId="77777777" w:rsidR="00540C01" w:rsidRDefault="00540C01" w:rsidP="007E4C54">
      <w:pPr>
        <w:pStyle w:val="Heading2"/>
      </w:pPr>
    </w:p>
    <w:p w14:paraId="60B6CF8A" w14:textId="77777777" w:rsidR="00540C01" w:rsidRDefault="00540C01" w:rsidP="007E4C54">
      <w:pPr>
        <w:pStyle w:val="Heading2"/>
      </w:pPr>
    </w:p>
    <w:p w14:paraId="49A2DEA9" w14:textId="77777777" w:rsidR="00540C01" w:rsidRDefault="00540C01" w:rsidP="007E4C54">
      <w:pPr>
        <w:pStyle w:val="Heading2"/>
      </w:pPr>
    </w:p>
    <w:p w14:paraId="544E6C1F" w14:textId="77777777" w:rsidR="00540C01" w:rsidRDefault="00540C01" w:rsidP="007E4C54">
      <w:pPr>
        <w:pStyle w:val="Heading2"/>
      </w:pPr>
    </w:p>
    <w:p w14:paraId="36D94BFF" w14:textId="77777777" w:rsidR="00540C01" w:rsidRDefault="00540C01" w:rsidP="007E4C54">
      <w:pPr>
        <w:pStyle w:val="Heading2"/>
      </w:pPr>
    </w:p>
    <w:p w14:paraId="7EF07C10" w14:textId="77777777" w:rsidR="00540C01" w:rsidRDefault="00540C01" w:rsidP="007E4C54">
      <w:pPr>
        <w:pStyle w:val="Heading2"/>
      </w:pPr>
    </w:p>
    <w:p w14:paraId="7818CE73" w14:textId="3FBB0C5B" w:rsidR="00540C01" w:rsidRDefault="00540C01" w:rsidP="00E75922">
      <w:pPr>
        <w:pStyle w:val="Heading2"/>
        <w:ind w:firstLine="0"/>
      </w:pPr>
    </w:p>
    <w:p w14:paraId="30AA2014" w14:textId="77777777" w:rsidR="00540C01" w:rsidRPr="00540C01" w:rsidRDefault="00540C01" w:rsidP="00540C01"/>
    <w:p w14:paraId="6E25F080" w14:textId="5A047567" w:rsidR="007E4C54" w:rsidRDefault="007E4C54" w:rsidP="007E4C54">
      <w:pPr>
        <w:pStyle w:val="Heading2"/>
      </w:pPr>
      <w:r>
        <w:lastRenderedPageBreak/>
        <w:t>Relation of learning to health and social care practices</w:t>
      </w:r>
    </w:p>
    <w:p w14:paraId="40885423" w14:textId="6D3212C9" w:rsidR="007E4C54" w:rsidRDefault="007E4C54" w:rsidP="007E4C54">
      <w:r>
        <w:t xml:space="preserve">From the theories discussed above, I have learnt that many old people in the health care organizations have suffered from psychological resilience. Most of them in their initial stage of their lives had been away from their families, because of several reasons, this distance from their families have enabled to develop the psychological resilience because they have gradually developed the ability to cope up with crisis situations, mentally. As per the discussion of Thomas, et.al (2014), now in the old age too, they have been suffering from the same crisis because they have been left alone by their family members and children mostly. </w:t>
      </w:r>
      <w:r w:rsidR="00C17347">
        <w:t>Thus,</w:t>
      </w:r>
      <w:r>
        <w:t xml:space="preserve"> as a healthcare professional, I learnt to apply the cognitive developmental theory in these people in a certain manner. I have understood that as a health care worker, I need to pay attention and proper care to what the client says. This could be the first step through which the old people could be helped. According to </w:t>
      </w:r>
      <w:proofErr w:type="spellStart"/>
      <w:r>
        <w:t>Aliakabari</w:t>
      </w:r>
      <w:proofErr w:type="spellEnd"/>
      <w:r>
        <w:t xml:space="preserve">, et.al (2015), the way they speak reveals a lot about what the person thinks or believed, this might be also a therapeutic technique that can enable me to find any sort of dysfunctional behavior among them, and identify potential issues. Further, there can be proper solutions found. The psychological theories have also taught them about the psychotic symptoms in the adolescents which can effectively be seen among the old aged people also. In the health care organizations of the elderly there can be patients who suffer from hallucinations and bipolar psychotic disorders. </w:t>
      </w:r>
      <w:proofErr w:type="spellStart"/>
      <w:r>
        <w:t>Sekhon</w:t>
      </w:r>
      <w:proofErr w:type="spellEnd"/>
      <w:r>
        <w:t xml:space="preserve">, Cartwright and Francis (2017) discusses that this is one kind of disorder or symptom of psychosis which is seen among the patients who remain stressed. These patients are seen to experience a distortion of their perceptions or beliefs rather than having a break from the reality. They often tend to misinterpret people, their closed ones, and this affects them badly. I have learnt this from the psychological theories and have decided that I would be more mindful towards such patients. They need more care and support that I would observe them carefully (Ryan and Deci 2017). I would also try to spend time with them and talk with them assuring them that they are not </w:t>
      </w:r>
      <w:r>
        <w:lastRenderedPageBreak/>
        <w:t xml:space="preserve">alone. I would also be reading and studying about the possible psychological problems that can be frequent among the old aged people and try to cure them of such mental problems. </w:t>
      </w:r>
    </w:p>
    <w:p w14:paraId="14E00B7A" w14:textId="77777777" w:rsidR="00E75922" w:rsidRDefault="00E75922" w:rsidP="007E4C54">
      <w:pPr>
        <w:pStyle w:val="Heading1"/>
      </w:pPr>
    </w:p>
    <w:p w14:paraId="5327CA07" w14:textId="77777777" w:rsidR="00E75922" w:rsidRDefault="00E75922" w:rsidP="007E4C54">
      <w:pPr>
        <w:pStyle w:val="Heading1"/>
      </w:pPr>
    </w:p>
    <w:p w14:paraId="5F2D2EF6" w14:textId="77777777" w:rsidR="00E75922" w:rsidRDefault="00E75922" w:rsidP="007E4C54">
      <w:pPr>
        <w:pStyle w:val="Heading1"/>
      </w:pPr>
    </w:p>
    <w:p w14:paraId="48D96C98" w14:textId="77777777" w:rsidR="00E75922" w:rsidRDefault="00E75922" w:rsidP="007E4C54">
      <w:pPr>
        <w:pStyle w:val="Heading1"/>
      </w:pPr>
    </w:p>
    <w:p w14:paraId="0A756FDA" w14:textId="77777777" w:rsidR="00E75922" w:rsidRDefault="00E75922" w:rsidP="007E4C54">
      <w:pPr>
        <w:pStyle w:val="Heading1"/>
      </w:pPr>
    </w:p>
    <w:p w14:paraId="70F0A2D3" w14:textId="77777777" w:rsidR="00E75922" w:rsidRDefault="00E75922" w:rsidP="007E4C54">
      <w:pPr>
        <w:pStyle w:val="Heading1"/>
      </w:pPr>
    </w:p>
    <w:p w14:paraId="051DD481" w14:textId="5AE44D67" w:rsidR="00E75922" w:rsidRDefault="00E75922" w:rsidP="00E75922">
      <w:pPr>
        <w:pStyle w:val="Heading1"/>
        <w:ind w:firstLine="0"/>
      </w:pPr>
    </w:p>
    <w:p w14:paraId="1F510C1C" w14:textId="77777777" w:rsidR="00ED46A1" w:rsidRDefault="007E4C54" w:rsidP="007E4C54">
      <w:pPr>
        <w:pStyle w:val="Heading1"/>
      </w:pPr>
      <w:r>
        <w:t xml:space="preserve"> </w:t>
      </w:r>
    </w:p>
    <w:p w14:paraId="56CD408C" w14:textId="77777777" w:rsidR="00ED46A1" w:rsidRDefault="00ED46A1" w:rsidP="007E4C54">
      <w:pPr>
        <w:pStyle w:val="Heading1"/>
      </w:pPr>
    </w:p>
    <w:p w14:paraId="6DC0C3A3" w14:textId="77777777" w:rsidR="00ED46A1" w:rsidRDefault="00ED46A1" w:rsidP="007E4C54">
      <w:pPr>
        <w:pStyle w:val="Heading1"/>
      </w:pPr>
    </w:p>
    <w:p w14:paraId="2CED4EB8" w14:textId="26F1A144" w:rsidR="00E75922" w:rsidRDefault="00E75922" w:rsidP="00E75922"/>
    <w:p w14:paraId="597E31FD" w14:textId="0D2CBAC1" w:rsidR="00ED46A1" w:rsidRDefault="00ED46A1" w:rsidP="00ED46A1">
      <w:pPr>
        <w:tabs>
          <w:tab w:val="left" w:pos="2280"/>
        </w:tabs>
        <w:ind w:firstLine="0"/>
      </w:pPr>
    </w:p>
    <w:p w14:paraId="680D7843" w14:textId="77777777" w:rsidR="00ED46A1" w:rsidRDefault="00ED46A1" w:rsidP="00ED46A1">
      <w:pPr>
        <w:pStyle w:val="Heading1"/>
      </w:pPr>
      <w:r>
        <w:lastRenderedPageBreak/>
        <w:t>Conclusion:</w:t>
      </w:r>
    </w:p>
    <w:p w14:paraId="029FE97F" w14:textId="77777777" w:rsidR="00ED46A1" w:rsidRPr="00E75922" w:rsidRDefault="00ED46A1" w:rsidP="00E75922"/>
    <w:p w14:paraId="2D6595E8" w14:textId="77777777" w:rsidR="00ED46A1" w:rsidRDefault="00ED46A1" w:rsidP="007E4C54"/>
    <w:p w14:paraId="1E5B395D" w14:textId="3A8FDB54" w:rsidR="007E4C54" w:rsidRDefault="00C17347" w:rsidP="007E4C54">
      <w:r>
        <w:t>Thus,</w:t>
      </w:r>
      <w:r w:rsidR="007E4C54">
        <w:t xml:space="preserve"> from the reflection above, it can be concluded that the essay contained an extensive criticism and evaluation of the theories and concepts of psychological development, it also involved the personal opinions and interpretations of the theories and the researches. Further, there also have been a severe understanding of the psychological developmental theories. I have also found out how these theories and the knowledge can be applied to my health care profession since I am a heath care expert in an elderly care </w:t>
      </w:r>
      <w:r w:rsidR="00F139BF">
        <w:t>organization</w:t>
      </w:r>
      <w:r w:rsidR="007E4C54">
        <w:t>.</w:t>
      </w:r>
    </w:p>
    <w:p w14:paraId="2CB45C4F" w14:textId="77777777" w:rsidR="007E4C54" w:rsidRDefault="007E4C54" w:rsidP="007E4C54">
      <w:r>
        <w:br w:type="page"/>
      </w:r>
    </w:p>
    <w:p w14:paraId="1E460D08" w14:textId="77777777" w:rsidR="007E4C54" w:rsidRDefault="007E4C54" w:rsidP="007E4C54">
      <w:pPr>
        <w:pStyle w:val="Heading1"/>
      </w:pPr>
      <w:r>
        <w:lastRenderedPageBreak/>
        <w:t>References:</w:t>
      </w:r>
    </w:p>
    <w:p w14:paraId="006EA694" w14:textId="77777777" w:rsidR="007E4C54" w:rsidRPr="0031757E" w:rsidRDefault="007E4C54" w:rsidP="007E4C54">
      <w:pPr>
        <w:ind w:firstLine="0"/>
        <w:rPr>
          <w:rFonts w:cs="Times New Roman"/>
          <w:szCs w:val="24"/>
        </w:rPr>
      </w:pPr>
    </w:p>
    <w:p w14:paraId="2FF937DC"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Aliakbari</w:t>
      </w:r>
      <w:proofErr w:type="spellEnd"/>
      <w:r w:rsidRPr="0031757E">
        <w:rPr>
          <w:rFonts w:cs="Times New Roman"/>
          <w:color w:val="222222"/>
          <w:szCs w:val="24"/>
          <w:shd w:val="clear" w:color="auto" w:fill="FFFFFF"/>
        </w:rPr>
        <w:t xml:space="preserve">, F., Parvin, N., </w:t>
      </w:r>
      <w:proofErr w:type="spellStart"/>
      <w:r w:rsidRPr="0031757E">
        <w:rPr>
          <w:rFonts w:cs="Times New Roman"/>
          <w:color w:val="222222"/>
          <w:szCs w:val="24"/>
          <w:shd w:val="clear" w:color="auto" w:fill="FFFFFF"/>
        </w:rPr>
        <w:t>Heidari</w:t>
      </w:r>
      <w:proofErr w:type="spellEnd"/>
      <w:r w:rsidRPr="0031757E">
        <w:rPr>
          <w:rFonts w:cs="Times New Roman"/>
          <w:color w:val="222222"/>
          <w:szCs w:val="24"/>
          <w:shd w:val="clear" w:color="auto" w:fill="FFFFFF"/>
        </w:rPr>
        <w:t xml:space="preserve">, M. and </w:t>
      </w:r>
      <w:proofErr w:type="spellStart"/>
      <w:r w:rsidRPr="0031757E">
        <w:rPr>
          <w:rFonts w:cs="Times New Roman"/>
          <w:color w:val="222222"/>
          <w:szCs w:val="24"/>
          <w:shd w:val="clear" w:color="auto" w:fill="FFFFFF"/>
        </w:rPr>
        <w:t>Haghani</w:t>
      </w:r>
      <w:proofErr w:type="spellEnd"/>
      <w:r w:rsidRPr="0031757E">
        <w:rPr>
          <w:rFonts w:cs="Times New Roman"/>
          <w:color w:val="222222"/>
          <w:szCs w:val="24"/>
          <w:shd w:val="clear" w:color="auto" w:fill="FFFFFF"/>
        </w:rPr>
        <w:t>, F., 2015. Learning theories application in nursing education. </w:t>
      </w:r>
      <w:r w:rsidRPr="0031757E">
        <w:rPr>
          <w:rFonts w:cs="Times New Roman"/>
          <w:i/>
          <w:iCs/>
          <w:color w:val="222222"/>
          <w:szCs w:val="24"/>
          <w:shd w:val="clear" w:color="auto" w:fill="FFFFFF"/>
        </w:rPr>
        <w:t>Journal of education and health promotion</w:t>
      </w:r>
      <w:r w:rsidRPr="0031757E">
        <w:rPr>
          <w:rFonts w:cs="Times New Roman"/>
          <w:color w:val="222222"/>
          <w:szCs w:val="24"/>
          <w:shd w:val="clear" w:color="auto" w:fill="FFFFFF"/>
        </w:rPr>
        <w:t>, </w:t>
      </w:r>
      <w:r w:rsidRPr="0031757E">
        <w:rPr>
          <w:rFonts w:cs="Times New Roman"/>
          <w:i/>
          <w:iCs/>
          <w:color w:val="222222"/>
          <w:szCs w:val="24"/>
          <w:shd w:val="clear" w:color="auto" w:fill="FFFFFF"/>
        </w:rPr>
        <w:t>4</w:t>
      </w:r>
      <w:r w:rsidRPr="0031757E">
        <w:rPr>
          <w:rFonts w:cs="Times New Roman"/>
          <w:color w:val="222222"/>
          <w:szCs w:val="24"/>
          <w:shd w:val="clear" w:color="auto" w:fill="FFFFFF"/>
        </w:rPr>
        <w:t>.</w:t>
      </w:r>
    </w:p>
    <w:p w14:paraId="06E0C054" w14:textId="77777777" w:rsidR="007E4C54" w:rsidRPr="0031757E" w:rsidRDefault="007E4C54" w:rsidP="007E4C54">
      <w:pPr>
        <w:ind w:firstLine="0"/>
        <w:rPr>
          <w:rFonts w:cs="Times New Roman"/>
          <w:color w:val="222222"/>
          <w:szCs w:val="24"/>
          <w:shd w:val="clear" w:color="auto" w:fill="FFFFFF"/>
        </w:rPr>
      </w:pPr>
      <w:r w:rsidRPr="0031757E">
        <w:rPr>
          <w:rFonts w:cs="Times New Roman"/>
          <w:color w:val="222222"/>
          <w:szCs w:val="24"/>
          <w:shd w:val="clear" w:color="auto" w:fill="FFFFFF"/>
        </w:rPr>
        <w:t>Austin, A. and Craig, S.L., 2015. Transgender affirmative cognitive behavioral therapy: Clinical considerations and applications. </w:t>
      </w:r>
      <w:r w:rsidRPr="0031757E">
        <w:rPr>
          <w:rFonts w:cs="Times New Roman"/>
          <w:i/>
          <w:iCs/>
          <w:color w:val="222222"/>
          <w:szCs w:val="24"/>
          <w:shd w:val="clear" w:color="auto" w:fill="FFFFFF"/>
        </w:rPr>
        <w:t>Professional Psychology: Research and Practice</w:t>
      </w:r>
      <w:r w:rsidRPr="0031757E">
        <w:rPr>
          <w:rFonts w:cs="Times New Roman"/>
          <w:color w:val="222222"/>
          <w:szCs w:val="24"/>
          <w:shd w:val="clear" w:color="auto" w:fill="FFFFFF"/>
        </w:rPr>
        <w:t>, </w:t>
      </w:r>
      <w:r w:rsidRPr="0031757E">
        <w:rPr>
          <w:rFonts w:cs="Times New Roman"/>
          <w:i/>
          <w:iCs/>
          <w:color w:val="222222"/>
          <w:szCs w:val="24"/>
          <w:shd w:val="clear" w:color="auto" w:fill="FFFFFF"/>
        </w:rPr>
        <w:t>46</w:t>
      </w:r>
      <w:r w:rsidRPr="0031757E">
        <w:rPr>
          <w:rFonts w:cs="Times New Roman"/>
          <w:color w:val="222222"/>
          <w:szCs w:val="24"/>
          <w:shd w:val="clear" w:color="auto" w:fill="FFFFFF"/>
        </w:rPr>
        <w:t>(1), p.21.</w:t>
      </w:r>
    </w:p>
    <w:p w14:paraId="773F077A"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Bleys</w:t>
      </w:r>
      <w:proofErr w:type="spellEnd"/>
      <w:r w:rsidRPr="0031757E">
        <w:rPr>
          <w:rFonts w:cs="Times New Roman"/>
          <w:color w:val="222222"/>
          <w:szCs w:val="24"/>
          <w:shd w:val="clear" w:color="auto" w:fill="FFFFFF"/>
        </w:rPr>
        <w:t xml:space="preserve">, D., </w:t>
      </w:r>
      <w:proofErr w:type="spellStart"/>
      <w:r w:rsidRPr="0031757E">
        <w:rPr>
          <w:rFonts w:cs="Times New Roman"/>
          <w:color w:val="222222"/>
          <w:szCs w:val="24"/>
          <w:shd w:val="clear" w:color="auto" w:fill="FFFFFF"/>
        </w:rPr>
        <w:t>Soenens</w:t>
      </w:r>
      <w:proofErr w:type="spellEnd"/>
      <w:r w:rsidRPr="0031757E">
        <w:rPr>
          <w:rFonts w:cs="Times New Roman"/>
          <w:color w:val="222222"/>
          <w:szCs w:val="24"/>
          <w:shd w:val="clear" w:color="auto" w:fill="FFFFFF"/>
        </w:rPr>
        <w:t xml:space="preserve">, B., </w:t>
      </w:r>
      <w:proofErr w:type="spellStart"/>
      <w:r w:rsidRPr="0031757E">
        <w:rPr>
          <w:rFonts w:cs="Times New Roman"/>
          <w:color w:val="222222"/>
          <w:szCs w:val="24"/>
          <w:shd w:val="clear" w:color="auto" w:fill="FFFFFF"/>
        </w:rPr>
        <w:t>Claes</w:t>
      </w:r>
      <w:proofErr w:type="spellEnd"/>
      <w:r w:rsidRPr="0031757E">
        <w:rPr>
          <w:rFonts w:cs="Times New Roman"/>
          <w:color w:val="222222"/>
          <w:szCs w:val="24"/>
          <w:shd w:val="clear" w:color="auto" w:fill="FFFFFF"/>
        </w:rPr>
        <w:t xml:space="preserve">, S., </w:t>
      </w:r>
      <w:proofErr w:type="spellStart"/>
      <w:r w:rsidRPr="0031757E">
        <w:rPr>
          <w:rFonts w:cs="Times New Roman"/>
          <w:color w:val="222222"/>
          <w:szCs w:val="24"/>
          <w:shd w:val="clear" w:color="auto" w:fill="FFFFFF"/>
        </w:rPr>
        <w:t>Vliegen</w:t>
      </w:r>
      <w:proofErr w:type="spellEnd"/>
      <w:r w:rsidRPr="0031757E">
        <w:rPr>
          <w:rFonts w:cs="Times New Roman"/>
          <w:color w:val="222222"/>
          <w:szCs w:val="24"/>
          <w:shd w:val="clear" w:color="auto" w:fill="FFFFFF"/>
        </w:rPr>
        <w:t xml:space="preserve">, N. and </w:t>
      </w:r>
      <w:proofErr w:type="spellStart"/>
      <w:r w:rsidRPr="0031757E">
        <w:rPr>
          <w:rFonts w:cs="Times New Roman"/>
          <w:color w:val="222222"/>
          <w:szCs w:val="24"/>
          <w:shd w:val="clear" w:color="auto" w:fill="FFFFFF"/>
        </w:rPr>
        <w:t>Luyten</w:t>
      </w:r>
      <w:proofErr w:type="spellEnd"/>
      <w:r w:rsidRPr="0031757E">
        <w:rPr>
          <w:rFonts w:cs="Times New Roman"/>
          <w:color w:val="222222"/>
          <w:szCs w:val="24"/>
          <w:shd w:val="clear" w:color="auto" w:fill="FFFFFF"/>
        </w:rPr>
        <w:t>, P., 2018. Parental psychological control, adolescent self‐criticism, and adolescent depressive symptoms: A latent change modeling approach in Belgian adolescents. </w:t>
      </w:r>
      <w:r w:rsidRPr="0031757E">
        <w:rPr>
          <w:rFonts w:cs="Times New Roman"/>
          <w:i/>
          <w:iCs/>
          <w:color w:val="222222"/>
          <w:szCs w:val="24"/>
          <w:shd w:val="clear" w:color="auto" w:fill="FFFFFF"/>
        </w:rPr>
        <w:t>Journal of Clinical Psychology</w:t>
      </w:r>
      <w:r w:rsidRPr="0031757E">
        <w:rPr>
          <w:rFonts w:cs="Times New Roman"/>
          <w:color w:val="222222"/>
          <w:szCs w:val="24"/>
          <w:shd w:val="clear" w:color="auto" w:fill="FFFFFF"/>
        </w:rPr>
        <w:t>, </w:t>
      </w:r>
      <w:r w:rsidRPr="0031757E">
        <w:rPr>
          <w:rFonts w:cs="Times New Roman"/>
          <w:i/>
          <w:iCs/>
          <w:color w:val="222222"/>
          <w:szCs w:val="24"/>
          <w:shd w:val="clear" w:color="auto" w:fill="FFFFFF"/>
        </w:rPr>
        <w:t>74</w:t>
      </w:r>
      <w:r w:rsidRPr="0031757E">
        <w:rPr>
          <w:rFonts w:cs="Times New Roman"/>
          <w:color w:val="222222"/>
          <w:szCs w:val="24"/>
          <w:shd w:val="clear" w:color="auto" w:fill="FFFFFF"/>
        </w:rPr>
        <w:t>(10), pp.1833-1853.</w:t>
      </w:r>
    </w:p>
    <w:p w14:paraId="480EDB47"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Boellinghaus</w:t>
      </w:r>
      <w:proofErr w:type="spellEnd"/>
      <w:r w:rsidRPr="0031757E">
        <w:rPr>
          <w:rFonts w:cs="Times New Roman"/>
          <w:color w:val="222222"/>
          <w:szCs w:val="24"/>
          <w:shd w:val="clear" w:color="auto" w:fill="FFFFFF"/>
        </w:rPr>
        <w:t>, I., Jones, F.W. and Hutton, J., 2014. The role of mindfulness and loving-kindness meditation in cultivating self-compassion and other-focused concern in health care professionals. </w:t>
      </w:r>
      <w:r w:rsidRPr="0031757E">
        <w:rPr>
          <w:rFonts w:cs="Times New Roman"/>
          <w:i/>
          <w:iCs/>
          <w:color w:val="222222"/>
          <w:szCs w:val="24"/>
          <w:shd w:val="clear" w:color="auto" w:fill="FFFFFF"/>
        </w:rPr>
        <w:t>Mindfulness</w:t>
      </w:r>
      <w:r w:rsidRPr="0031757E">
        <w:rPr>
          <w:rFonts w:cs="Times New Roman"/>
          <w:color w:val="222222"/>
          <w:szCs w:val="24"/>
          <w:shd w:val="clear" w:color="auto" w:fill="FFFFFF"/>
        </w:rPr>
        <w:t>, </w:t>
      </w:r>
      <w:r w:rsidRPr="0031757E">
        <w:rPr>
          <w:rFonts w:cs="Times New Roman"/>
          <w:i/>
          <w:iCs/>
          <w:color w:val="222222"/>
          <w:szCs w:val="24"/>
          <w:shd w:val="clear" w:color="auto" w:fill="FFFFFF"/>
        </w:rPr>
        <w:t>5</w:t>
      </w:r>
      <w:r w:rsidRPr="0031757E">
        <w:rPr>
          <w:rFonts w:cs="Times New Roman"/>
          <w:color w:val="222222"/>
          <w:szCs w:val="24"/>
          <w:shd w:val="clear" w:color="auto" w:fill="FFFFFF"/>
        </w:rPr>
        <w:t>(2), pp.129-138.</w:t>
      </w:r>
    </w:p>
    <w:p w14:paraId="7CFF1013"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Falgares</w:t>
      </w:r>
      <w:proofErr w:type="spellEnd"/>
      <w:r w:rsidRPr="0031757E">
        <w:rPr>
          <w:rFonts w:cs="Times New Roman"/>
          <w:color w:val="222222"/>
          <w:szCs w:val="24"/>
          <w:shd w:val="clear" w:color="auto" w:fill="FFFFFF"/>
        </w:rPr>
        <w:t xml:space="preserve">, G., Marchetti, D., De </w:t>
      </w:r>
      <w:proofErr w:type="spellStart"/>
      <w:r w:rsidRPr="0031757E">
        <w:rPr>
          <w:rFonts w:cs="Times New Roman"/>
          <w:color w:val="222222"/>
          <w:szCs w:val="24"/>
          <w:shd w:val="clear" w:color="auto" w:fill="FFFFFF"/>
        </w:rPr>
        <w:t>Santis</w:t>
      </w:r>
      <w:proofErr w:type="spellEnd"/>
      <w:r w:rsidRPr="0031757E">
        <w:rPr>
          <w:rFonts w:cs="Times New Roman"/>
          <w:color w:val="222222"/>
          <w:szCs w:val="24"/>
          <w:shd w:val="clear" w:color="auto" w:fill="FFFFFF"/>
        </w:rPr>
        <w:t xml:space="preserve">, S., </w:t>
      </w:r>
      <w:proofErr w:type="spellStart"/>
      <w:r w:rsidRPr="0031757E">
        <w:rPr>
          <w:rFonts w:cs="Times New Roman"/>
          <w:color w:val="222222"/>
          <w:szCs w:val="24"/>
          <w:shd w:val="clear" w:color="auto" w:fill="FFFFFF"/>
        </w:rPr>
        <w:t>Carrozzino</w:t>
      </w:r>
      <w:proofErr w:type="spellEnd"/>
      <w:r w:rsidRPr="0031757E">
        <w:rPr>
          <w:rFonts w:cs="Times New Roman"/>
          <w:color w:val="222222"/>
          <w:szCs w:val="24"/>
          <w:shd w:val="clear" w:color="auto" w:fill="FFFFFF"/>
        </w:rPr>
        <w:t xml:space="preserve">, D., </w:t>
      </w:r>
      <w:proofErr w:type="spellStart"/>
      <w:r w:rsidRPr="0031757E">
        <w:rPr>
          <w:rFonts w:cs="Times New Roman"/>
          <w:color w:val="222222"/>
          <w:szCs w:val="24"/>
          <w:shd w:val="clear" w:color="auto" w:fill="FFFFFF"/>
        </w:rPr>
        <w:t>Kopala</w:t>
      </w:r>
      <w:proofErr w:type="spellEnd"/>
      <w:r w:rsidRPr="0031757E">
        <w:rPr>
          <w:rFonts w:cs="Times New Roman"/>
          <w:color w:val="222222"/>
          <w:szCs w:val="24"/>
          <w:shd w:val="clear" w:color="auto" w:fill="FFFFFF"/>
        </w:rPr>
        <w:t xml:space="preserve">-Sibley, D.C., </w:t>
      </w:r>
      <w:proofErr w:type="spellStart"/>
      <w:r w:rsidRPr="0031757E">
        <w:rPr>
          <w:rFonts w:cs="Times New Roman"/>
          <w:color w:val="222222"/>
          <w:szCs w:val="24"/>
          <w:shd w:val="clear" w:color="auto" w:fill="FFFFFF"/>
        </w:rPr>
        <w:t>Fulcheri</w:t>
      </w:r>
      <w:proofErr w:type="spellEnd"/>
      <w:r w:rsidRPr="0031757E">
        <w:rPr>
          <w:rFonts w:cs="Times New Roman"/>
          <w:color w:val="222222"/>
          <w:szCs w:val="24"/>
          <w:shd w:val="clear" w:color="auto" w:fill="FFFFFF"/>
        </w:rPr>
        <w:t>, M. and Verrocchio, M.C., 2017. Attachment styles and suicide-related behaviors in adolescence: the mediating role of self-criticism and dependency. </w:t>
      </w:r>
      <w:r w:rsidRPr="0031757E">
        <w:rPr>
          <w:rFonts w:cs="Times New Roman"/>
          <w:i/>
          <w:iCs/>
          <w:color w:val="222222"/>
          <w:szCs w:val="24"/>
          <w:shd w:val="clear" w:color="auto" w:fill="FFFFFF"/>
        </w:rPr>
        <w:t>Frontiers in psychiatry</w:t>
      </w:r>
      <w:r w:rsidRPr="0031757E">
        <w:rPr>
          <w:rFonts w:cs="Times New Roman"/>
          <w:color w:val="222222"/>
          <w:szCs w:val="24"/>
          <w:shd w:val="clear" w:color="auto" w:fill="FFFFFF"/>
        </w:rPr>
        <w:t>, </w:t>
      </w:r>
      <w:r w:rsidRPr="0031757E">
        <w:rPr>
          <w:rFonts w:cs="Times New Roman"/>
          <w:i/>
          <w:iCs/>
          <w:color w:val="222222"/>
          <w:szCs w:val="24"/>
          <w:shd w:val="clear" w:color="auto" w:fill="FFFFFF"/>
        </w:rPr>
        <w:t>8</w:t>
      </w:r>
      <w:r w:rsidRPr="0031757E">
        <w:rPr>
          <w:rFonts w:cs="Times New Roman"/>
          <w:color w:val="222222"/>
          <w:szCs w:val="24"/>
          <w:shd w:val="clear" w:color="auto" w:fill="FFFFFF"/>
        </w:rPr>
        <w:t>, p.36.</w:t>
      </w:r>
    </w:p>
    <w:p w14:paraId="6018AE93" w14:textId="77777777" w:rsidR="007E4C54" w:rsidRPr="0031757E" w:rsidRDefault="007E4C54" w:rsidP="007E4C54">
      <w:pPr>
        <w:ind w:firstLine="0"/>
        <w:rPr>
          <w:rFonts w:cs="Times New Roman"/>
          <w:color w:val="222222"/>
          <w:szCs w:val="24"/>
          <w:shd w:val="clear" w:color="auto" w:fill="FFFFFF"/>
        </w:rPr>
      </w:pPr>
      <w:r w:rsidRPr="0031757E">
        <w:rPr>
          <w:rFonts w:cs="Times New Roman"/>
          <w:color w:val="222222"/>
          <w:szCs w:val="24"/>
          <w:shd w:val="clear" w:color="auto" w:fill="FFFFFF"/>
        </w:rPr>
        <w:t xml:space="preserve">Phillips, C.J., Marshall, A.P., Chaves, N.J., </w:t>
      </w:r>
      <w:proofErr w:type="spellStart"/>
      <w:r w:rsidRPr="0031757E">
        <w:rPr>
          <w:rFonts w:cs="Times New Roman"/>
          <w:color w:val="222222"/>
          <w:szCs w:val="24"/>
          <w:shd w:val="clear" w:color="auto" w:fill="FFFFFF"/>
        </w:rPr>
        <w:t>Jankelowitz</w:t>
      </w:r>
      <w:proofErr w:type="spellEnd"/>
      <w:r w:rsidRPr="0031757E">
        <w:rPr>
          <w:rFonts w:cs="Times New Roman"/>
          <w:color w:val="222222"/>
          <w:szCs w:val="24"/>
          <w:shd w:val="clear" w:color="auto" w:fill="FFFFFF"/>
        </w:rPr>
        <w:t xml:space="preserve">, S.K., Lin, I.B., Loy, C.T., Rees, G., </w:t>
      </w:r>
      <w:proofErr w:type="spellStart"/>
      <w:r w:rsidRPr="0031757E">
        <w:rPr>
          <w:rFonts w:cs="Times New Roman"/>
          <w:color w:val="222222"/>
          <w:szCs w:val="24"/>
          <w:shd w:val="clear" w:color="auto" w:fill="FFFFFF"/>
        </w:rPr>
        <w:t>Sakzewski</w:t>
      </w:r>
      <w:proofErr w:type="spellEnd"/>
      <w:r w:rsidRPr="0031757E">
        <w:rPr>
          <w:rFonts w:cs="Times New Roman"/>
          <w:color w:val="222222"/>
          <w:szCs w:val="24"/>
          <w:shd w:val="clear" w:color="auto" w:fill="FFFFFF"/>
        </w:rPr>
        <w:t>, L., Thomas, S., To, T.P. and Wilkinson, S.A., 2015. Experiences of using the Theoretical Domains Framework across diverse clinical environments: a qualitative study. </w:t>
      </w:r>
      <w:r w:rsidRPr="0031757E">
        <w:rPr>
          <w:rFonts w:cs="Times New Roman"/>
          <w:i/>
          <w:iCs/>
          <w:color w:val="222222"/>
          <w:szCs w:val="24"/>
          <w:shd w:val="clear" w:color="auto" w:fill="FFFFFF"/>
        </w:rPr>
        <w:t>Journal of multidisciplinary healthcare</w:t>
      </w:r>
      <w:r w:rsidRPr="0031757E">
        <w:rPr>
          <w:rFonts w:cs="Times New Roman"/>
          <w:color w:val="222222"/>
          <w:szCs w:val="24"/>
          <w:shd w:val="clear" w:color="auto" w:fill="FFFFFF"/>
        </w:rPr>
        <w:t>, </w:t>
      </w:r>
      <w:r w:rsidRPr="0031757E">
        <w:rPr>
          <w:rFonts w:cs="Times New Roman"/>
          <w:i/>
          <w:iCs/>
          <w:color w:val="222222"/>
          <w:szCs w:val="24"/>
          <w:shd w:val="clear" w:color="auto" w:fill="FFFFFF"/>
        </w:rPr>
        <w:t>8</w:t>
      </w:r>
      <w:r w:rsidRPr="0031757E">
        <w:rPr>
          <w:rFonts w:cs="Times New Roman"/>
          <w:color w:val="222222"/>
          <w:szCs w:val="24"/>
          <w:shd w:val="clear" w:color="auto" w:fill="FFFFFF"/>
        </w:rPr>
        <w:t>, p.139.</w:t>
      </w:r>
    </w:p>
    <w:p w14:paraId="2DEE190B" w14:textId="77777777" w:rsidR="007E4C54" w:rsidRPr="0031757E" w:rsidRDefault="007E4C54" w:rsidP="007E4C54">
      <w:pPr>
        <w:ind w:firstLine="0"/>
        <w:rPr>
          <w:rFonts w:cs="Times New Roman"/>
          <w:color w:val="222222"/>
          <w:szCs w:val="24"/>
          <w:shd w:val="clear" w:color="auto" w:fill="FFFFFF"/>
        </w:rPr>
      </w:pPr>
      <w:r w:rsidRPr="0031757E">
        <w:rPr>
          <w:rFonts w:cs="Times New Roman"/>
          <w:color w:val="222222"/>
          <w:szCs w:val="24"/>
          <w:shd w:val="clear" w:color="auto" w:fill="FFFFFF"/>
        </w:rPr>
        <w:t>Ryan, R.M. and Deci, E.L., 2017. </w:t>
      </w:r>
      <w:r w:rsidRPr="0031757E">
        <w:rPr>
          <w:rFonts w:cs="Times New Roman"/>
          <w:i/>
          <w:iCs/>
          <w:color w:val="222222"/>
          <w:szCs w:val="24"/>
          <w:shd w:val="clear" w:color="auto" w:fill="FFFFFF"/>
        </w:rPr>
        <w:t>Self-determination theory: Basic psychological needs in motivation, development, and wellness</w:t>
      </w:r>
      <w:r w:rsidRPr="0031757E">
        <w:rPr>
          <w:rFonts w:cs="Times New Roman"/>
          <w:color w:val="222222"/>
          <w:szCs w:val="24"/>
          <w:shd w:val="clear" w:color="auto" w:fill="FFFFFF"/>
        </w:rPr>
        <w:t>. Guilford Publications.</w:t>
      </w:r>
    </w:p>
    <w:p w14:paraId="22437418"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lastRenderedPageBreak/>
        <w:t>Sekhon</w:t>
      </w:r>
      <w:proofErr w:type="spellEnd"/>
      <w:r w:rsidRPr="0031757E">
        <w:rPr>
          <w:rFonts w:cs="Times New Roman"/>
          <w:color w:val="222222"/>
          <w:szCs w:val="24"/>
          <w:shd w:val="clear" w:color="auto" w:fill="FFFFFF"/>
        </w:rPr>
        <w:t>, M., Cartwright, M. and Francis, J.J., 2017. Acceptability of healthcare interventions: an overview of reviews and development of a theoretical framework. </w:t>
      </w:r>
      <w:r w:rsidRPr="0031757E">
        <w:rPr>
          <w:rFonts w:cs="Times New Roman"/>
          <w:i/>
          <w:iCs/>
          <w:color w:val="222222"/>
          <w:szCs w:val="24"/>
          <w:shd w:val="clear" w:color="auto" w:fill="FFFFFF"/>
        </w:rPr>
        <w:t>BMC health services research</w:t>
      </w:r>
      <w:r w:rsidRPr="0031757E">
        <w:rPr>
          <w:rFonts w:cs="Times New Roman"/>
          <w:color w:val="222222"/>
          <w:szCs w:val="24"/>
          <w:shd w:val="clear" w:color="auto" w:fill="FFFFFF"/>
        </w:rPr>
        <w:t>, </w:t>
      </w:r>
      <w:r w:rsidRPr="0031757E">
        <w:rPr>
          <w:rFonts w:cs="Times New Roman"/>
          <w:i/>
          <w:iCs/>
          <w:color w:val="222222"/>
          <w:szCs w:val="24"/>
          <w:shd w:val="clear" w:color="auto" w:fill="FFFFFF"/>
        </w:rPr>
        <w:t>17</w:t>
      </w:r>
      <w:r w:rsidRPr="0031757E">
        <w:rPr>
          <w:rFonts w:cs="Times New Roman"/>
          <w:color w:val="222222"/>
          <w:szCs w:val="24"/>
          <w:shd w:val="clear" w:color="auto" w:fill="FFFFFF"/>
        </w:rPr>
        <w:t>(1), pp.1-13.</w:t>
      </w:r>
    </w:p>
    <w:p w14:paraId="10C97FEF" w14:textId="77777777" w:rsidR="007E4C54" w:rsidRPr="0031757E" w:rsidRDefault="007E4C54" w:rsidP="007E4C54">
      <w:pPr>
        <w:ind w:firstLine="0"/>
        <w:rPr>
          <w:rFonts w:cs="Times New Roman"/>
          <w:color w:val="222222"/>
          <w:szCs w:val="24"/>
          <w:shd w:val="clear" w:color="auto" w:fill="FFFFFF"/>
        </w:rPr>
      </w:pPr>
      <w:r w:rsidRPr="0031757E">
        <w:rPr>
          <w:rFonts w:cs="Times New Roman"/>
          <w:color w:val="222222"/>
          <w:szCs w:val="24"/>
          <w:shd w:val="clear" w:color="auto" w:fill="FFFFFF"/>
        </w:rPr>
        <w:t xml:space="preserve">Supper, I., </w:t>
      </w:r>
      <w:proofErr w:type="spellStart"/>
      <w:r w:rsidRPr="0031757E">
        <w:rPr>
          <w:rFonts w:cs="Times New Roman"/>
          <w:color w:val="222222"/>
          <w:szCs w:val="24"/>
          <w:shd w:val="clear" w:color="auto" w:fill="FFFFFF"/>
        </w:rPr>
        <w:t>Catala</w:t>
      </w:r>
      <w:proofErr w:type="spellEnd"/>
      <w:r w:rsidRPr="0031757E">
        <w:rPr>
          <w:rFonts w:cs="Times New Roman"/>
          <w:color w:val="222222"/>
          <w:szCs w:val="24"/>
          <w:shd w:val="clear" w:color="auto" w:fill="FFFFFF"/>
        </w:rPr>
        <w:t xml:space="preserve">, O., </w:t>
      </w:r>
      <w:proofErr w:type="spellStart"/>
      <w:r w:rsidRPr="0031757E">
        <w:rPr>
          <w:rFonts w:cs="Times New Roman"/>
          <w:color w:val="222222"/>
          <w:szCs w:val="24"/>
          <w:shd w:val="clear" w:color="auto" w:fill="FFFFFF"/>
        </w:rPr>
        <w:t>Lustman</w:t>
      </w:r>
      <w:proofErr w:type="spellEnd"/>
      <w:r w:rsidRPr="0031757E">
        <w:rPr>
          <w:rFonts w:cs="Times New Roman"/>
          <w:color w:val="222222"/>
          <w:szCs w:val="24"/>
          <w:shd w:val="clear" w:color="auto" w:fill="FFFFFF"/>
        </w:rPr>
        <w:t xml:space="preserve">, M., </w:t>
      </w:r>
      <w:proofErr w:type="spellStart"/>
      <w:r w:rsidRPr="0031757E">
        <w:rPr>
          <w:rFonts w:cs="Times New Roman"/>
          <w:color w:val="222222"/>
          <w:szCs w:val="24"/>
          <w:shd w:val="clear" w:color="auto" w:fill="FFFFFF"/>
        </w:rPr>
        <w:t>Chemla</w:t>
      </w:r>
      <w:proofErr w:type="spellEnd"/>
      <w:r w:rsidRPr="0031757E">
        <w:rPr>
          <w:rFonts w:cs="Times New Roman"/>
          <w:color w:val="222222"/>
          <w:szCs w:val="24"/>
          <w:shd w:val="clear" w:color="auto" w:fill="FFFFFF"/>
        </w:rPr>
        <w:t xml:space="preserve">, C., </w:t>
      </w:r>
      <w:proofErr w:type="spellStart"/>
      <w:r w:rsidRPr="0031757E">
        <w:rPr>
          <w:rFonts w:cs="Times New Roman"/>
          <w:color w:val="222222"/>
          <w:szCs w:val="24"/>
          <w:shd w:val="clear" w:color="auto" w:fill="FFFFFF"/>
        </w:rPr>
        <w:t>Bourgueil</w:t>
      </w:r>
      <w:proofErr w:type="spellEnd"/>
      <w:r w:rsidRPr="0031757E">
        <w:rPr>
          <w:rFonts w:cs="Times New Roman"/>
          <w:color w:val="222222"/>
          <w:szCs w:val="24"/>
          <w:shd w:val="clear" w:color="auto" w:fill="FFFFFF"/>
        </w:rPr>
        <w:t xml:space="preserve">, Y. and </w:t>
      </w:r>
      <w:proofErr w:type="spellStart"/>
      <w:r w:rsidRPr="0031757E">
        <w:rPr>
          <w:rFonts w:cs="Times New Roman"/>
          <w:color w:val="222222"/>
          <w:szCs w:val="24"/>
          <w:shd w:val="clear" w:color="auto" w:fill="FFFFFF"/>
        </w:rPr>
        <w:t>Letrilliart</w:t>
      </w:r>
      <w:proofErr w:type="spellEnd"/>
      <w:r w:rsidRPr="0031757E">
        <w:rPr>
          <w:rFonts w:cs="Times New Roman"/>
          <w:color w:val="222222"/>
          <w:szCs w:val="24"/>
          <w:shd w:val="clear" w:color="auto" w:fill="FFFFFF"/>
        </w:rPr>
        <w:t>, L., 2015. Interprofessional collaboration in primary health care: a review of facilitators and barriers perceived by involved actors. </w:t>
      </w:r>
      <w:r w:rsidRPr="0031757E">
        <w:rPr>
          <w:rFonts w:cs="Times New Roman"/>
          <w:i/>
          <w:iCs/>
          <w:color w:val="222222"/>
          <w:szCs w:val="24"/>
          <w:shd w:val="clear" w:color="auto" w:fill="FFFFFF"/>
        </w:rPr>
        <w:t>Journal of Public Health</w:t>
      </w:r>
      <w:r w:rsidRPr="0031757E">
        <w:rPr>
          <w:rFonts w:cs="Times New Roman"/>
          <w:color w:val="222222"/>
          <w:szCs w:val="24"/>
          <w:shd w:val="clear" w:color="auto" w:fill="FFFFFF"/>
        </w:rPr>
        <w:t>, </w:t>
      </w:r>
      <w:r w:rsidRPr="0031757E">
        <w:rPr>
          <w:rFonts w:cs="Times New Roman"/>
          <w:i/>
          <w:iCs/>
          <w:color w:val="222222"/>
          <w:szCs w:val="24"/>
          <w:shd w:val="clear" w:color="auto" w:fill="FFFFFF"/>
        </w:rPr>
        <w:t>37</w:t>
      </w:r>
      <w:r w:rsidRPr="0031757E">
        <w:rPr>
          <w:rFonts w:cs="Times New Roman"/>
          <w:color w:val="222222"/>
          <w:szCs w:val="24"/>
          <w:shd w:val="clear" w:color="auto" w:fill="FFFFFF"/>
        </w:rPr>
        <w:t>(4), pp.716-727.</w:t>
      </w:r>
    </w:p>
    <w:p w14:paraId="1D3DA4AE" w14:textId="77777777" w:rsidR="007E4C54" w:rsidRPr="0031757E" w:rsidRDefault="007E4C54" w:rsidP="007E4C54">
      <w:pPr>
        <w:ind w:firstLine="0"/>
        <w:rPr>
          <w:rFonts w:cs="Times New Roman"/>
          <w:color w:val="222222"/>
          <w:szCs w:val="24"/>
          <w:shd w:val="clear" w:color="auto" w:fill="FFFFFF"/>
        </w:rPr>
      </w:pPr>
      <w:r w:rsidRPr="0031757E">
        <w:rPr>
          <w:rFonts w:cs="Times New Roman"/>
          <w:color w:val="222222"/>
          <w:szCs w:val="24"/>
          <w:shd w:val="clear" w:color="auto" w:fill="FFFFFF"/>
        </w:rPr>
        <w:t xml:space="preserve">Thomas, A., Menon, A., </w:t>
      </w:r>
      <w:proofErr w:type="spellStart"/>
      <w:r w:rsidRPr="0031757E">
        <w:rPr>
          <w:rFonts w:cs="Times New Roman"/>
          <w:color w:val="222222"/>
          <w:szCs w:val="24"/>
          <w:shd w:val="clear" w:color="auto" w:fill="FFFFFF"/>
        </w:rPr>
        <w:t>Boruff</w:t>
      </w:r>
      <w:proofErr w:type="spellEnd"/>
      <w:r w:rsidRPr="0031757E">
        <w:rPr>
          <w:rFonts w:cs="Times New Roman"/>
          <w:color w:val="222222"/>
          <w:szCs w:val="24"/>
          <w:shd w:val="clear" w:color="auto" w:fill="FFFFFF"/>
        </w:rPr>
        <w:t>, J., Rodriguez, A.M. and Ahmed, S., 2014. Applications of social constructivist learning theories in knowledge translation for healthcare professionals: a scoping review. </w:t>
      </w:r>
      <w:r w:rsidRPr="0031757E">
        <w:rPr>
          <w:rFonts w:cs="Times New Roman"/>
          <w:i/>
          <w:iCs/>
          <w:color w:val="222222"/>
          <w:szCs w:val="24"/>
          <w:shd w:val="clear" w:color="auto" w:fill="FFFFFF"/>
        </w:rPr>
        <w:t>Implementation Science</w:t>
      </w:r>
      <w:r w:rsidRPr="0031757E">
        <w:rPr>
          <w:rFonts w:cs="Times New Roman"/>
          <w:color w:val="222222"/>
          <w:szCs w:val="24"/>
          <w:shd w:val="clear" w:color="auto" w:fill="FFFFFF"/>
        </w:rPr>
        <w:t>, </w:t>
      </w:r>
      <w:r w:rsidRPr="0031757E">
        <w:rPr>
          <w:rFonts w:cs="Times New Roman"/>
          <w:i/>
          <w:iCs/>
          <w:color w:val="222222"/>
          <w:szCs w:val="24"/>
          <w:shd w:val="clear" w:color="auto" w:fill="FFFFFF"/>
        </w:rPr>
        <w:t>9</w:t>
      </w:r>
      <w:r w:rsidRPr="0031757E">
        <w:rPr>
          <w:rFonts w:cs="Times New Roman"/>
          <w:color w:val="222222"/>
          <w:szCs w:val="24"/>
          <w:shd w:val="clear" w:color="auto" w:fill="FFFFFF"/>
        </w:rPr>
        <w:t>(1), p.54.</w:t>
      </w:r>
    </w:p>
    <w:p w14:paraId="60E36B2B"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Vandenkerckhove</w:t>
      </w:r>
      <w:proofErr w:type="spellEnd"/>
      <w:r w:rsidRPr="0031757E">
        <w:rPr>
          <w:rFonts w:cs="Times New Roman"/>
          <w:color w:val="222222"/>
          <w:szCs w:val="24"/>
          <w:shd w:val="clear" w:color="auto" w:fill="FFFFFF"/>
        </w:rPr>
        <w:t xml:space="preserve">, B., </w:t>
      </w:r>
      <w:proofErr w:type="spellStart"/>
      <w:r w:rsidRPr="0031757E">
        <w:rPr>
          <w:rFonts w:cs="Times New Roman"/>
          <w:color w:val="222222"/>
          <w:szCs w:val="24"/>
          <w:shd w:val="clear" w:color="auto" w:fill="FFFFFF"/>
        </w:rPr>
        <w:t>Brenning</w:t>
      </w:r>
      <w:proofErr w:type="spellEnd"/>
      <w:r w:rsidRPr="0031757E">
        <w:rPr>
          <w:rFonts w:cs="Times New Roman"/>
          <w:color w:val="222222"/>
          <w:szCs w:val="24"/>
          <w:shd w:val="clear" w:color="auto" w:fill="FFFFFF"/>
        </w:rPr>
        <w:t xml:space="preserve">, K., </w:t>
      </w:r>
      <w:proofErr w:type="spellStart"/>
      <w:r w:rsidRPr="0031757E">
        <w:rPr>
          <w:rFonts w:cs="Times New Roman"/>
          <w:color w:val="222222"/>
          <w:szCs w:val="24"/>
          <w:shd w:val="clear" w:color="auto" w:fill="FFFFFF"/>
        </w:rPr>
        <w:t>Vansteenkiste</w:t>
      </w:r>
      <w:proofErr w:type="spellEnd"/>
      <w:r w:rsidRPr="0031757E">
        <w:rPr>
          <w:rFonts w:cs="Times New Roman"/>
          <w:color w:val="222222"/>
          <w:szCs w:val="24"/>
          <w:shd w:val="clear" w:color="auto" w:fill="FFFFFF"/>
        </w:rPr>
        <w:t xml:space="preserve">, M., </w:t>
      </w:r>
      <w:proofErr w:type="spellStart"/>
      <w:r w:rsidRPr="0031757E">
        <w:rPr>
          <w:rFonts w:cs="Times New Roman"/>
          <w:color w:val="222222"/>
          <w:szCs w:val="24"/>
          <w:shd w:val="clear" w:color="auto" w:fill="FFFFFF"/>
        </w:rPr>
        <w:t>Luyten</w:t>
      </w:r>
      <w:proofErr w:type="spellEnd"/>
      <w:r w:rsidRPr="0031757E">
        <w:rPr>
          <w:rFonts w:cs="Times New Roman"/>
          <w:color w:val="222222"/>
          <w:szCs w:val="24"/>
          <w:shd w:val="clear" w:color="auto" w:fill="FFFFFF"/>
        </w:rPr>
        <w:t xml:space="preserve">, P. and </w:t>
      </w:r>
      <w:proofErr w:type="spellStart"/>
      <w:r w:rsidRPr="0031757E">
        <w:rPr>
          <w:rFonts w:cs="Times New Roman"/>
          <w:color w:val="222222"/>
          <w:szCs w:val="24"/>
          <w:shd w:val="clear" w:color="auto" w:fill="FFFFFF"/>
        </w:rPr>
        <w:t>Soenens</w:t>
      </w:r>
      <w:proofErr w:type="spellEnd"/>
      <w:r w:rsidRPr="0031757E">
        <w:rPr>
          <w:rFonts w:cs="Times New Roman"/>
          <w:color w:val="222222"/>
          <w:szCs w:val="24"/>
          <w:shd w:val="clear" w:color="auto" w:fill="FFFFFF"/>
        </w:rPr>
        <w:t>, B., 2019. The explanatory role of basic psychological need experiences in the relation between dependency, self-criticism and psychopathology in adolescence. </w:t>
      </w:r>
      <w:r w:rsidRPr="0031757E">
        <w:rPr>
          <w:rFonts w:cs="Times New Roman"/>
          <w:i/>
          <w:iCs/>
          <w:color w:val="222222"/>
          <w:szCs w:val="24"/>
          <w:shd w:val="clear" w:color="auto" w:fill="FFFFFF"/>
        </w:rPr>
        <w:t>Journal of Psychopathology and Behavioral Assessment</w:t>
      </w:r>
      <w:r w:rsidRPr="0031757E">
        <w:rPr>
          <w:rFonts w:cs="Times New Roman"/>
          <w:color w:val="222222"/>
          <w:szCs w:val="24"/>
          <w:shd w:val="clear" w:color="auto" w:fill="FFFFFF"/>
        </w:rPr>
        <w:t>, </w:t>
      </w:r>
      <w:r w:rsidRPr="0031757E">
        <w:rPr>
          <w:rFonts w:cs="Times New Roman"/>
          <w:i/>
          <w:iCs/>
          <w:color w:val="222222"/>
          <w:szCs w:val="24"/>
          <w:shd w:val="clear" w:color="auto" w:fill="FFFFFF"/>
        </w:rPr>
        <w:t>41</w:t>
      </w:r>
      <w:r w:rsidRPr="0031757E">
        <w:rPr>
          <w:rFonts w:cs="Times New Roman"/>
          <w:color w:val="222222"/>
          <w:szCs w:val="24"/>
          <w:shd w:val="clear" w:color="auto" w:fill="FFFFFF"/>
        </w:rPr>
        <w:t>(4), pp.574-588.</w:t>
      </w:r>
    </w:p>
    <w:p w14:paraId="0F934729" w14:textId="77777777" w:rsidR="007E4C54" w:rsidRPr="0031757E" w:rsidRDefault="007E4C54" w:rsidP="007E4C54">
      <w:pPr>
        <w:ind w:firstLine="0"/>
        <w:rPr>
          <w:rFonts w:cs="Times New Roman"/>
          <w:color w:val="222222"/>
          <w:szCs w:val="24"/>
          <w:shd w:val="clear" w:color="auto" w:fill="FFFFFF"/>
        </w:rPr>
      </w:pPr>
      <w:proofErr w:type="spellStart"/>
      <w:r w:rsidRPr="0031757E">
        <w:rPr>
          <w:rFonts w:cs="Times New Roman"/>
          <w:color w:val="222222"/>
          <w:szCs w:val="24"/>
          <w:shd w:val="clear" w:color="auto" w:fill="FFFFFF"/>
        </w:rPr>
        <w:t>Yopp</w:t>
      </w:r>
      <w:proofErr w:type="spellEnd"/>
      <w:r w:rsidRPr="0031757E">
        <w:rPr>
          <w:rFonts w:cs="Times New Roman"/>
          <w:color w:val="222222"/>
          <w:szCs w:val="24"/>
          <w:shd w:val="clear" w:color="auto" w:fill="FFFFFF"/>
        </w:rPr>
        <w:t xml:space="preserve">, D.A., Ely, R., Adams, A.E., Nielsen, A.W. and </w:t>
      </w:r>
      <w:proofErr w:type="spellStart"/>
      <w:r w:rsidRPr="0031757E">
        <w:rPr>
          <w:rFonts w:cs="Times New Roman"/>
          <w:color w:val="222222"/>
          <w:szCs w:val="24"/>
          <w:shd w:val="clear" w:color="auto" w:fill="FFFFFF"/>
        </w:rPr>
        <w:t>Corwine</w:t>
      </w:r>
      <w:proofErr w:type="spellEnd"/>
      <w:r w:rsidRPr="0031757E">
        <w:rPr>
          <w:rFonts w:cs="Times New Roman"/>
          <w:color w:val="222222"/>
          <w:szCs w:val="24"/>
          <w:shd w:val="clear" w:color="auto" w:fill="FFFFFF"/>
        </w:rPr>
        <w:t>, E.C., 2020. Eliminating counterexamples: A case study intervention for improving adolescents’ ability to critique direct arguments. </w:t>
      </w:r>
      <w:r w:rsidRPr="0031757E">
        <w:rPr>
          <w:rFonts w:cs="Times New Roman"/>
          <w:i/>
          <w:iCs/>
          <w:color w:val="222222"/>
          <w:szCs w:val="24"/>
          <w:shd w:val="clear" w:color="auto" w:fill="FFFFFF"/>
        </w:rPr>
        <w:t>The Journal of Mathematical Behavior</w:t>
      </w:r>
      <w:r w:rsidRPr="0031757E">
        <w:rPr>
          <w:rFonts w:cs="Times New Roman"/>
          <w:color w:val="222222"/>
          <w:szCs w:val="24"/>
          <w:shd w:val="clear" w:color="auto" w:fill="FFFFFF"/>
        </w:rPr>
        <w:t>, </w:t>
      </w:r>
      <w:r w:rsidRPr="0031757E">
        <w:rPr>
          <w:rFonts w:cs="Times New Roman"/>
          <w:i/>
          <w:iCs/>
          <w:color w:val="222222"/>
          <w:szCs w:val="24"/>
          <w:shd w:val="clear" w:color="auto" w:fill="FFFFFF"/>
        </w:rPr>
        <w:t>57</w:t>
      </w:r>
      <w:r w:rsidRPr="0031757E">
        <w:rPr>
          <w:rFonts w:cs="Times New Roman"/>
          <w:color w:val="222222"/>
          <w:szCs w:val="24"/>
          <w:shd w:val="clear" w:color="auto" w:fill="FFFFFF"/>
        </w:rPr>
        <w:t>, p.100751.</w:t>
      </w:r>
    </w:p>
    <w:p w14:paraId="201DB102" w14:textId="77777777" w:rsidR="007E4C54" w:rsidRDefault="007E4C54" w:rsidP="007E4C54"/>
    <w:p w14:paraId="2E1C6DA6" w14:textId="77777777" w:rsidR="007E4C54" w:rsidRDefault="007E4C54" w:rsidP="007E4C54"/>
    <w:p w14:paraId="13A73D91" w14:textId="77777777" w:rsidR="007E4C54" w:rsidRDefault="007E4C54" w:rsidP="007E4C54"/>
    <w:p w14:paraId="12E4E790" w14:textId="77777777" w:rsidR="007E4C54" w:rsidRDefault="007E4C54"/>
    <w:sectPr w:rsidR="007E4C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54"/>
    <w:rsid w:val="0018373F"/>
    <w:rsid w:val="00262231"/>
    <w:rsid w:val="00540C01"/>
    <w:rsid w:val="005535A7"/>
    <w:rsid w:val="007302FF"/>
    <w:rsid w:val="00784D47"/>
    <w:rsid w:val="007E4C54"/>
    <w:rsid w:val="008E5DA0"/>
    <w:rsid w:val="00C17347"/>
    <w:rsid w:val="00E75922"/>
    <w:rsid w:val="00E83CF0"/>
    <w:rsid w:val="00ED46A1"/>
    <w:rsid w:val="00F1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D39A9"/>
  <w15:chartTrackingRefBased/>
  <w15:docId w15:val="{BE414228-06FC-40D2-97F2-86EDC9DC9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C54"/>
    <w:pPr>
      <w:spacing w:after="200" w:line="480" w:lineRule="auto"/>
      <w:ind w:firstLine="720"/>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7E4C54"/>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E4C54"/>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C54"/>
    <w:rPr>
      <w:rFonts w:ascii="Times New Roman" w:eastAsiaTheme="majorEastAsia" w:hAnsi="Times New Roman" w:cstheme="majorBidi"/>
      <w:b/>
      <w:bCs/>
      <w:color w:val="000000" w:themeColor="text1"/>
      <w:sz w:val="28"/>
      <w:szCs w:val="28"/>
      <w:lang w:val="en-US"/>
    </w:rPr>
  </w:style>
  <w:style w:type="character" w:customStyle="1" w:styleId="Heading2Char">
    <w:name w:val="Heading 2 Char"/>
    <w:basedOn w:val="DefaultParagraphFont"/>
    <w:link w:val="Heading2"/>
    <w:uiPriority w:val="9"/>
    <w:rsid w:val="007E4C54"/>
    <w:rPr>
      <w:rFonts w:ascii="Times New Roman" w:eastAsiaTheme="majorEastAsia" w:hAnsi="Times New Roman" w:cstheme="majorBidi"/>
      <w:b/>
      <w:bCs/>
      <w:sz w:val="24"/>
      <w:szCs w:val="26"/>
      <w:lang w:val="en-US"/>
    </w:rPr>
  </w:style>
  <w:style w:type="paragraph" w:styleId="TOC1">
    <w:name w:val="toc 1"/>
    <w:basedOn w:val="Normal"/>
    <w:next w:val="Normal"/>
    <w:autoRedefine/>
    <w:uiPriority w:val="39"/>
    <w:unhideWhenUsed/>
    <w:rsid w:val="00784D47"/>
    <w:pPr>
      <w:spacing w:after="100"/>
    </w:pPr>
  </w:style>
  <w:style w:type="paragraph" w:styleId="TOC2">
    <w:name w:val="toc 2"/>
    <w:basedOn w:val="Normal"/>
    <w:next w:val="Normal"/>
    <w:autoRedefine/>
    <w:uiPriority w:val="39"/>
    <w:unhideWhenUsed/>
    <w:rsid w:val="00784D47"/>
    <w:pPr>
      <w:spacing w:after="100"/>
      <w:ind w:left="240"/>
    </w:pPr>
  </w:style>
  <w:style w:type="character" w:styleId="Hyperlink">
    <w:name w:val="Hyperlink"/>
    <w:basedOn w:val="DefaultParagraphFont"/>
    <w:uiPriority w:val="99"/>
    <w:unhideWhenUsed/>
    <w:rsid w:val="00784D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13</Pages>
  <Words>2382</Words>
  <Characters>13583</Characters>
  <Application>Microsoft Office Word</Application>
  <DocSecurity>0</DocSecurity>
  <Lines>113</Lines>
  <Paragraphs>31</Paragraphs>
  <ScaleCrop>false</ScaleCrop>
  <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NIK</dc:creator>
  <cp:keywords/>
  <dc:description/>
  <cp:lastModifiedBy>Nikki NIK</cp:lastModifiedBy>
  <cp:revision>12</cp:revision>
  <dcterms:created xsi:type="dcterms:W3CDTF">2020-08-22T11:34:00Z</dcterms:created>
  <dcterms:modified xsi:type="dcterms:W3CDTF">2020-08-22T21:04:00Z</dcterms:modified>
</cp:coreProperties>
</file>