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68706C" w14:textId="3CA6A71E" w:rsidR="006A6D56" w:rsidRDefault="006A6D56" w:rsidP="006A6D56">
      <w:pPr>
        <w:spacing w:before="100" w:beforeAutospacing="1" w:after="100" w:afterAutospacing="1" w:line="360" w:lineRule="auto"/>
        <w:ind w:left="360"/>
        <w:jc w:val="center"/>
        <w:rPr>
          <w:rFonts w:ascii="Arial" w:eastAsia="Times New Roman" w:hAnsi="Arial" w:cs="Arial"/>
          <w:b/>
          <w:bCs/>
          <w:sz w:val="24"/>
          <w:szCs w:val="24"/>
        </w:rPr>
      </w:pPr>
      <w:r>
        <w:rPr>
          <w:rFonts w:ascii="Arial" w:eastAsia="Times New Roman" w:hAnsi="Arial" w:cs="Arial"/>
          <w:b/>
          <w:bCs/>
          <w:noProof/>
          <w:sz w:val="24"/>
          <w:szCs w:val="24"/>
        </w:rPr>
        <w:drawing>
          <wp:inline distT="0" distB="0" distL="0" distR="0" wp14:anchorId="5C5D1FC0" wp14:editId="619C1A37">
            <wp:extent cx="2066925" cy="7620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66925" cy="762000"/>
                    </a:xfrm>
                    <a:prstGeom prst="rect">
                      <a:avLst/>
                    </a:prstGeom>
                    <a:noFill/>
                  </pic:spPr>
                </pic:pic>
              </a:graphicData>
            </a:graphic>
          </wp:inline>
        </w:drawing>
      </w:r>
    </w:p>
    <w:p w14:paraId="5A911A27" w14:textId="6C5574AD" w:rsidR="006A6D56" w:rsidRDefault="006A6D56" w:rsidP="006A6D56">
      <w:pPr>
        <w:spacing w:before="100" w:beforeAutospacing="1" w:after="100" w:afterAutospacing="1" w:line="360" w:lineRule="auto"/>
        <w:ind w:left="360"/>
        <w:jc w:val="center"/>
        <w:rPr>
          <w:rFonts w:ascii="Arial" w:eastAsia="Times New Roman" w:hAnsi="Arial" w:cs="Arial"/>
          <w:b/>
          <w:bCs/>
          <w:sz w:val="24"/>
          <w:szCs w:val="24"/>
        </w:rPr>
      </w:pPr>
    </w:p>
    <w:p w14:paraId="4A50CD9A" w14:textId="77777777" w:rsidR="006A6D56" w:rsidRPr="006A6D56" w:rsidRDefault="006A6D56" w:rsidP="006A6D56">
      <w:pPr>
        <w:tabs>
          <w:tab w:val="left" w:pos="3105"/>
        </w:tabs>
        <w:spacing w:before="0" w:line="360" w:lineRule="auto"/>
        <w:jc w:val="center"/>
        <w:rPr>
          <w:rFonts w:ascii="Arial" w:eastAsia="Arial" w:hAnsi="Arial" w:cs="Arial"/>
          <w:b/>
          <w:sz w:val="28"/>
          <w:szCs w:val="28"/>
          <w:lang w:eastAsia="en-US"/>
        </w:rPr>
      </w:pPr>
      <w:r w:rsidRPr="006A6D56">
        <w:rPr>
          <w:rFonts w:ascii="Arial" w:eastAsia="Arial" w:hAnsi="Arial" w:cs="Arial"/>
          <w:b/>
          <w:sz w:val="28"/>
          <w:szCs w:val="28"/>
          <w:lang w:eastAsia="en-US"/>
        </w:rPr>
        <w:t>BA (Hons) Business Management</w:t>
      </w:r>
    </w:p>
    <w:p w14:paraId="18EC7A91" w14:textId="77777777" w:rsidR="006A6D56" w:rsidRPr="006A6D56" w:rsidRDefault="006A6D56" w:rsidP="006A6D56">
      <w:pPr>
        <w:tabs>
          <w:tab w:val="left" w:pos="3105"/>
        </w:tabs>
        <w:spacing w:before="0" w:line="360" w:lineRule="auto"/>
        <w:jc w:val="center"/>
        <w:rPr>
          <w:rFonts w:ascii="Arial" w:eastAsia="Arial" w:hAnsi="Arial" w:cs="Arial"/>
          <w:b/>
          <w:sz w:val="28"/>
          <w:szCs w:val="28"/>
          <w:lang w:eastAsia="en-US"/>
        </w:rPr>
      </w:pPr>
      <w:r w:rsidRPr="006A6D56">
        <w:rPr>
          <w:rFonts w:ascii="Arial" w:eastAsia="Arial" w:hAnsi="Arial" w:cs="Arial"/>
          <w:b/>
          <w:sz w:val="28"/>
          <w:szCs w:val="28"/>
          <w:lang w:eastAsia="en-US"/>
        </w:rPr>
        <w:t>Academic Year: 2024/2025</w:t>
      </w:r>
    </w:p>
    <w:p w14:paraId="4326DC8D" w14:textId="77777777" w:rsidR="006A6D56" w:rsidRPr="006A6D56" w:rsidRDefault="006A6D56" w:rsidP="006A6D56">
      <w:pPr>
        <w:tabs>
          <w:tab w:val="left" w:pos="3105"/>
        </w:tabs>
        <w:spacing w:before="0" w:line="360" w:lineRule="auto"/>
        <w:jc w:val="center"/>
        <w:rPr>
          <w:rFonts w:ascii="Arial" w:eastAsia="Arial" w:hAnsi="Arial" w:cs="Arial"/>
          <w:b/>
          <w:sz w:val="28"/>
          <w:szCs w:val="28"/>
          <w:lang w:eastAsia="en-US"/>
        </w:rPr>
      </w:pPr>
      <w:r w:rsidRPr="006A6D56">
        <w:rPr>
          <w:rFonts w:ascii="Arial" w:eastAsia="Arial" w:hAnsi="Arial" w:cs="Arial"/>
          <w:b/>
          <w:sz w:val="28"/>
          <w:szCs w:val="28"/>
          <w:lang w:eastAsia="en-US"/>
        </w:rPr>
        <w:t>Student Name: Ileana Lupu</w:t>
      </w:r>
    </w:p>
    <w:p w14:paraId="44E7D8D3" w14:textId="77777777" w:rsidR="006A6D56" w:rsidRPr="006A6D56" w:rsidRDefault="006A6D56" w:rsidP="006A6D56">
      <w:pPr>
        <w:tabs>
          <w:tab w:val="left" w:pos="3105"/>
        </w:tabs>
        <w:spacing w:before="0" w:line="360" w:lineRule="auto"/>
        <w:jc w:val="center"/>
        <w:rPr>
          <w:rFonts w:ascii="Arial" w:eastAsia="Arial" w:hAnsi="Arial" w:cs="Arial"/>
          <w:b/>
          <w:sz w:val="28"/>
          <w:szCs w:val="28"/>
          <w:lang w:eastAsia="en-US"/>
        </w:rPr>
      </w:pPr>
      <w:r w:rsidRPr="006A6D56">
        <w:rPr>
          <w:rFonts w:ascii="Arial" w:eastAsia="Arial" w:hAnsi="Arial" w:cs="Arial"/>
          <w:b/>
          <w:sz w:val="28"/>
          <w:szCs w:val="28"/>
          <w:lang w:eastAsia="en-US"/>
        </w:rPr>
        <w:t>Student Number: 2231908</w:t>
      </w:r>
    </w:p>
    <w:p w14:paraId="0D75FB0F" w14:textId="77777777" w:rsidR="006A6D56" w:rsidRPr="006A6D56" w:rsidRDefault="006A6D56" w:rsidP="006A6D56">
      <w:pPr>
        <w:tabs>
          <w:tab w:val="left" w:pos="3105"/>
        </w:tabs>
        <w:spacing w:before="0" w:line="360" w:lineRule="auto"/>
        <w:jc w:val="center"/>
        <w:rPr>
          <w:rFonts w:ascii="Arial" w:eastAsia="Arial" w:hAnsi="Arial" w:cs="Arial"/>
          <w:b/>
          <w:sz w:val="28"/>
          <w:szCs w:val="28"/>
          <w:lang w:eastAsia="en-US"/>
        </w:rPr>
      </w:pPr>
      <w:r w:rsidRPr="006A6D56">
        <w:rPr>
          <w:rFonts w:ascii="Arial" w:eastAsia="Arial" w:hAnsi="Arial" w:cs="Arial"/>
          <w:b/>
          <w:sz w:val="28"/>
          <w:szCs w:val="28"/>
          <w:lang w:eastAsia="en-US"/>
        </w:rPr>
        <w:t>Supervisor Name: Dr Essa Bah</w:t>
      </w:r>
    </w:p>
    <w:p w14:paraId="022D3137" w14:textId="77777777" w:rsidR="006A6D56" w:rsidRPr="006A6D56" w:rsidRDefault="006A6D56" w:rsidP="006A6D56">
      <w:pPr>
        <w:spacing w:before="0" w:line="360" w:lineRule="auto"/>
        <w:jc w:val="center"/>
        <w:rPr>
          <w:rFonts w:ascii="Arial" w:hAnsi="Arial" w:cs="Arial"/>
          <w:b/>
          <w:sz w:val="28"/>
          <w:szCs w:val="28"/>
        </w:rPr>
      </w:pPr>
      <w:r w:rsidRPr="006A6D56">
        <w:rPr>
          <w:rFonts w:ascii="Arial" w:hAnsi="Arial" w:cs="Arial"/>
          <w:b/>
          <w:sz w:val="28"/>
          <w:szCs w:val="28"/>
        </w:rPr>
        <w:t>LCBB6000_BIRM</w:t>
      </w:r>
    </w:p>
    <w:p w14:paraId="1AC5B864" w14:textId="77777777" w:rsidR="006A6D56" w:rsidRPr="006A6D56" w:rsidRDefault="006A6D56" w:rsidP="006A6D56">
      <w:pPr>
        <w:spacing w:before="0" w:line="360" w:lineRule="auto"/>
        <w:jc w:val="center"/>
        <w:rPr>
          <w:rFonts w:ascii="Arial" w:hAnsi="Arial" w:cs="Arial"/>
          <w:b/>
          <w:sz w:val="28"/>
          <w:szCs w:val="28"/>
        </w:rPr>
      </w:pPr>
      <w:r w:rsidRPr="006A6D56">
        <w:rPr>
          <w:rFonts w:ascii="Arial" w:hAnsi="Arial" w:cs="Arial"/>
          <w:b/>
          <w:sz w:val="28"/>
          <w:szCs w:val="28"/>
        </w:rPr>
        <w:t xml:space="preserve"> Dissertation title: </w:t>
      </w:r>
    </w:p>
    <w:p w14:paraId="2E3F8AA8" w14:textId="77777777" w:rsidR="006A6D56" w:rsidRPr="006A6D56" w:rsidRDefault="006A6D56" w:rsidP="006A6D56">
      <w:pPr>
        <w:spacing w:before="0" w:line="480" w:lineRule="auto"/>
        <w:jc w:val="center"/>
        <w:rPr>
          <w:rFonts w:ascii="Arial" w:hAnsi="Arial" w:cs="Arial"/>
          <w:b/>
          <w:sz w:val="28"/>
          <w:szCs w:val="28"/>
        </w:rPr>
      </w:pPr>
      <w:r w:rsidRPr="006A6D56">
        <w:rPr>
          <w:rFonts w:ascii="Arial" w:hAnsi="Arial" w:cs="Arial"/>
          <w:b/>
          <w:sz w:val="28"/>
          <w:szCs w:val="28"/>
        </w:rPr>
        <w:t>FROM RISK TO RESILIENCE: EXPLORING COST-EFFECTIVE STRATEGIES FOR ESTATE AGENTS IN THE UK FACING TENANT ARREARS</w:t>
      </w:r>
    </w:p>
    <w:p w14:paraId="1B26AE3C" w14:textId="77777777" w:rsidR="00B3589F" w:rsidRPr="001170D2" w:rsidRDefault="005F2975" w:rsidP="000E2633">
      <w:pPr>
        <w:pBdr>
          <w:top w:val="nil"/>
          <w:left w:val="nil"/>
          <w:bottom w:val="nil"/>
          <w:right w:val="nil"/>
          <w:between w:val="nil"/>
        </w:pBdr>
        <w:spacing w:before="280" w:after="280" w:line="360" w:lineRule="auto"/>
        <w:jc w:val="both"/>
        <w:rPr>
          <w:rFonts w:ascii="Arial" w:hAnsi="Arial" w:cs="Arial"/>
          <w:color w:val="000000"/>
        </w:rPr>
      </w:pPr>
      <w:r w:rsidRPr="001170D2">
        <w:rPr>
          <w:rFonts w:ascii="Arial" w:hAnsi="Arial" w:cs="Arial"/>
        </w:rPr>
        <w:br w:type="page"/>
      </w:r>
    </w:p>
    <w:p w14:paraId="35F6F057" w14:textId="77777777" w:rsidR="00B3589F" w:rsidRPr="006A6D56" w:rsidRDefault="005F2975" w:rsidP="000E2633">
      <w:pPr>
        <w:pStyle w:val="Heading1"/>
        <w:spacing w:before="280" w:after="280" w:line="360" w:lineRule="auto"/>
        <w:jc w:val="both"/>
        <w:rPr>
          <w:rFonts w:ascii="Arial" w:eastAsia="Calibri" w:hAnsi="Arial" w:cs="Arial"/>
          <w:color w:val="000000"/>
        </w:rPr>
      </w:pPr>
      <w:bookmarkStart w:id="0" w:name="_Toc214096792"/>
      <w:r w:rsidRPr="006A6D56">
        <w:rPr>
          <w:rFonts w:ascii="Arial" w:eastAsia="Calibri" w:hAnsi="Arial" w:cs="Arial"/>
          <w:color w:val="000000"/>
        </w:rPr>
        <w:lastRenderedPageBreak/>
        <w:t>Abstract</w:t>
      </w:r>
      <w:bookmarkEnd w:id="0"/>
    </w:p>
    <w:p w14:paraId="5D6F0A74" w14:textId="470E32FC" w:rsidR="00B3589F" w:rsidRPr="001170D2" w:rsidRDefault="001B5646" w:rsidP="000E2633">
      <w:pPr>
        <w:spacing w:line="360" w:lineRule="auto"/>
        <w:jc w:val="both"/>
        <w:rPr>
          <w:rFonts w:ascii="Arial" w:hAnsi="Arial" w:cs="Arial"/>
          <w:b/>
          <w:color w:val="000000"/>
        </w:rPr>
      </w:pPr>
      <w:r w:rsidRPr="001170D2">
        <w:rPr>
          <w:rFonts w:ascii="Arial" w:hAnsi="Arial" w:cs="Arial"/>
        </w:rPr>
        <w:t xml:space="preserve">This study explores cost-effective strategies to enhance resilience among UK estate agents facing tenant arrears, a persistent and structural challenge in the private rented sector. Using an interpretivist, inductive approach and qualitative documentary analysis, the research identifies systemic causes of arrears including income instability, welfare delays, and affordability pressures. It finds that arrears not only threaten estate agents’ revenue but also disrupt operations, strain landlord relationships, and damage reputations. The analysis highlights effective, low-cost interventions such as early tenant engagement, behavioural nudges (e.g. SMS reminders), and structured arrears protocols, which reduce evictions and improve rent compliance. The study concludes that proactive, supportive strategies are more sustainable than punitive approaches. It recommends standardising early intervention, improving </w:t>
      </w:r>
      <w:r w:rsidR="005065DC" w:rsidRPr="001170D2">
        <w:rPr>
          <w:rFonts w:ascii="Arial" w:hAnsi="Arial" w:cs="Arial"/>
        </w:rPr>
        <w:t>on boarding</w:t>
      </w:r>
      <w:r w:rsidRPr="001170D2">
        <w:rPr>
          <w:rFonts w:ascii="Arial" w:hAnsi="Arial" w:cs="Arial"/>
        </w:rPr>
        <w:t xml:space="preserve"> processes, and using behavioural tools to encourage timely payment. These measures support operational continuity and strengthen agency resilience in a volatile market.</w:t>
      </w:r>
      <w:r w:rsidR="005F2975" w:rsidRPr="001170D2">
        <w:rPr>
          <w:rFonts w:ascii="Arial" w:hAnsi="Arial" w:cs="Arial"/>
        </w:rPr>
        <w:br w:type="page"/>
      </w:r>
    </w:p>
    <w:p w14:paraId="07F0DD9C" w14:textId="77777777" w:rsidR="00B3589F" w:rsidRPr="00F72963" w:rsidRDefault="005F2975" w:rsidP="000E2633">
      <w:pPr>
        <w:keepNext/>
        <w:keepLines/>
        <w:pBdr>
          <w:top w:val="nil"/>
          <w:left w:val="nil"/>
          <w:bottom w:val="nil"/>
          <w:right w:val="nil"/>
          <w:between w:val="nil"/>
        </w:pBdr>
        <w:spacing w:before="280" w:after="280" w:line="360" w:lineRule="auto"/>
        <w:jc w:val="both"/>
        <w:rPr>
          <w:rFonts w:ascii="Arial" w:hAnsi="Arial" w:cs="Arial"/>
          <w:b/>
          <w:color w:val="000000"/>
        </w:rPr>
      </w:pPr>
      <w:r w:rsidRPr="00F72963">
        <w:rPr>
          <w:rFonts w:ascii="Arial" w:hAnsi="Arial" w:cs="Arial"/>
          <w:b/>
          <w:color w:val="000000"/>
        </w:rPr>
        <w:lastRenderedPageBreak/>
        <w:t>Table of Contents</w:t>
      </w:r>
    </w:p>
    <w:sdt>
      <w:sdtPr>
        <w:rPr>
          <w:rFonts w:ascii="Arial" w:hAnsi="Arial" w:cs="Arial"/>
        </w:rPr>
        <w:id w:val="231887881"/>
        <w:docPartObj>
          <w:docPartGallery w:val="Table of Contents"/>
          <w:docPartUnique/>
        </w:docPartObj>
      </w:sdtPr>
      <w:sdtContent>
        <w:p w14:paraId="0EDE5586" w14:textId="7D473E36" w:rsidR="00DD0F7C" w:rsidRDefault="005F2975">
          <w:pPr>
            <w:pStyle w:val="TOC1"/>
            <w:tabs>
              <w:tab w:val="right" w:leader="dot" w:pos="9350"/>
            </w:tabs>
            <w:rPr>
              <w:rFonts w:asciiTheme="minorHAnsi" w:eastAsiaTheme="minorEastAsia" w:hAnsiTheme="minorHAnsi" w:cstheme="minorBidi"/>
              <w:noProof/>
            </w:rPr>
          </w:pPr>
          <w:r w:rsidRPr="00F72963">
            <w:rPr>
              <w:rFonts w:ascii="Arial" w:hAnsi="Arial" w:cs="Arial"/>
            </w:rPr>
            <w:fldChar w:fldCharType="begin"/>
          </w:r>
          <w:r w:rsidRPr="00F72963">
            <w:rPr>
              <w:rFonts w:ascii="Arial" w:hAnsi="Arial" w:cs="Arial"/>
            </w:rPr>
            <w:instrText xml:space="preserve"> TOC \h \u \z \t "Heading 1,1,Heading 2,2,Heading 3,3,"</w:instrText>
          </w:r>
          <w:r w:rsidRPr="00F72963">
            <w:rPr>
              <w:rFonts w:ascii="Arial" w:hAnsi="Arial" w:cs="Arial"/>
            </w:rPr>
            <w:fldChar w:fldCharType="separate"/>
          </w:r>
          <w:hyperlink w:anchor="_Toc214096792" w:history="1">
            <w:r w:rsidR="00DD0F7C" w:rsidRPr="00616914">
              <w:rPr>
                <w:rStyle w:val="Hyperlink"/>
                <w:rFonts w:ascii="Arial" w:hAnsi="Arial" w:cs="Arial"/>
                <w:noProof/>
              </w:rPr>
              <w:t>Abstract</w:t>
            </w:r>
            <w:r w:rsidR="00DD0F7C">
              <w:rPr>
                <w:noProof/>
                <w:webHidden/>
              </w:rPr>
              <w:tab/>
            </w:r>
            <w:r w:rsidR="00DD0F7C">
              <w:rPr>
                <w:noProof/>
                <w:webHidden/>
              </w:rPr>
              <w:fldChar w:fldCharType="begin"/>
            </w:r>
            <w:r w:rsidR="00DD0F7C">
              <w:rPr>
                <w:noProof/>
                <w:webHidden/>
              </w:rPr>
              <w:instrText xml:space="preserve"> PAGEREF _Toc214096792 \h </w:instrText>
            </w:r>
            <w:r w:rsidR="00DD0F7C">
              <w:rPr>
                <w:noProof/>
                <w:webHidden/>
              </w:rPr>
            </w:r>
            <w:r w:rsidR="00DD0F7C">
              <w:rPr>
                <w:noProof/>
                <w:webHidden/>
              </w:rPr>
              <w:fldChar w:fldCharType="separate"/>
            </w:r>
            <w:r w:rsidR="00DD0F7C">
              <w:rPr>
                <w:noProof/>
                <w:webHidden/>
              </w:rPr>
              <w:t>2</w:t>
            </w:r>
            <w:r w:rsidR="00DD0F7C">
              <w:rPr>
                <w:noProof/>
                <w:webHidden/>
              </w:rPr>
              <w:fldChar w:fldCharType="end"/>
            </w:r>
          </w:hyperlink>
        </w:p>
        <w:p w14:paraId="0283A57D" w14:textId="7F34EDDC" w:rsidR="00DD0F7C" w:rsidRDefault="00DD0F7C">
          <w:pPr>
            <w:pStyle w:val="TOC1"/>
            <w:tabs>
              <w:tab w:val="right" w:leader="dot" w:pos="9350"/>
            </w:tabs>
            <w:rPr>
              <w:rFonts w:asciiTheme="minorHAnsi" w:eastAsiaTheme="minorEastAsia" w:hAnsiTheme="minorHAnsi" w:cstheme="minorBidi"/>
              <w:noProof/>
            </w:rPr>
          </w:pPr>
          <w:hyperlink w:anchor="_Toc214096793" w:history="1">
            <w:r w:rsidRPr="00616914">
              <w:rPr>
                <w:rStyle w:val="Hyperlink"/>
                <w:rFonts w:ascii="Arial" w:hAnsi="Arial" w:cs="Arial"/>
                <w:noProof/>
              </w:rPr>
              <w:t>1.0 Introduction</w:t>
            </w:r>
            <w:r>
              <w:rPr>
                <w:noProof/>
                <w:webHidden/>
              </w:rPr>
              <w:tab/>
            </w:r>
            <w:r>
              <w:rPr>
                <w:noProof/>
                <w:webHidden/>
              </w:rPr>
              <w:fldChar w:fldCharType="begin"/>
            </w:r>
            <w:r>
              <w:rPr>
                <w:noProof/>
                <w:webHidden/>
              </w:rPr>
              <w:instrText xml:space="preserve"> PAGEREF _Toc214096793 \h </w:instrText>
            </w:r>
            <w:r>
              <w:rPr>
                <w:noProof/>
                <w:webHidden/>
              </w:rPr>
            </w:r>
            <w:r>
              <w:rPr>
                <w:noProof/>
                <w:webHidden/>
              </w:rPr>
              <w:fldChar w:fldCharType="separate"/>
            </w:r>
            <w:r>
              <w:rPr>
                <w:noProof/>
                <w:webHidden/>
              </w:rPr>
              <w:t>5</w:t>
            </w:r>
            <w:r>
              <w:rPr>
                <w:noProof/>
                <w:webHidden/>
              </w:rPr>
              <w:fldChar w:fldCharType="end"/>
            </w:r>
          </w:hyperlink>
        </w:p>
        <w:p w14:paraId="0F705B8B" w14:textId="79A0482E" w:rsidR="00DD0F7C" w:rsidRDefault="00DD0F7C">
          <w:pPr>
            <w:pStyle w:val="TOC2"/>
            <w:tabs>
              <w:tab w:val="right" w:leader="dot" w:pos="9350"/>
            </w:tabs>
            <w:rPr>
              <w:rFonts w:asciiTheme="minorHAnsi" w:eastAsiaTheme="minorEastAsia" w:hAnsiTheme="minorHAnsi" w:cstheme="minorBidi"/>
              <w:noProof/>
            </w:rPr>
          </w:pPr>
          <w:hyperlink w:anchor="_Toc214096794" w:history="1">
            <w:r w:rsidRPr="00616914">
              <w:rPr>
                <w:rStyle w:val="Hyperlink"/>
                <w:rFonts w:ascii="Arial" w:hAnsi="Arial" w:cs="Arial"/>
                <w:noProof/>
              </w:rPr>
              <w:t>1.1 Background and Relevance</w:t>
            </w:r>
            <w:r>
              <w:rPr>
                <w:noProof/>
                <w:webHidden/>
              </w:rPr>
              <w:tab/>
            </w:r>
            <w:r>
              <w:rPr>
                <w:noProof/>
                <w:webHidden/>
              </w:rPr>
              <w:fldChar w:fldCharType="begin"/>
            </w:r>
            <w:r>
              <w:rPr>
                <w:noProof/>
                <w:webHidden/>
              </w:rPr>
              <w:instrText xml:space="preserve"> PAGEREF _Toc214096794 \h </w:instrText>
            </w:r>
            <w:r>
              <w:rPr>
                <w:noProof/>
                <w:webHidden/>
              </w:rPr>
            </w:r>
            <w:r>
              <w:rPr>
                <w:noProof/>
                <w:webHidden/>
              </w:rPr>
              <w:fldChar w:fldCharType="separate"/>
            </w:r>
            <w:r>
              <w:rPr>
                <w:noProof/>
                <w:webHidden/>
              </w:rPr>
              <w:t>5</w:t>
            </w:r>
            <w:r>
              <w:rPr>
                <w:noProof/>
                <w:webHidden/>
              </w:rPr>
              <w:fldChar w:fldCharType="end"/>
            </w:r>
          </w:hyperlink>
        </w:p>
        <w:p w14:paraId="6474A0A3" w14:textId="34A633D5" w:rsidR="00DD0F7C" w:rsidRDefault="00DD0F7C">
          <w:pPr>
            <w:pStyle w:val="TOC2"/>
            <w:tabs>
              <w:tab w:val="right" w:leader="dot" w:pos="9350"/>
            </w:tabs>
            <w:rPr>
              <w:rFonts w:asciiTheme="minorHAnsi" w:eastAsiaTheme="minorEastAsia" w:hAnsiTheme="minorHAnsi" w:cstheme="minorBidi"/>
              <w:noProof/>
            </w:rPr>
          </w:pPr>
          <w:hyperlink w:anchor="_Toc214096795" w:history="1">
            <w:r w:rsidRPr="00616914">
              <w:rPr>
                <w:rStyle w:val="Hyperlink"/>
                <w:rFonts w:ascii="Arial" w:hAnsi="Arial" w:cs="Arial"/>
                <w:noProof/>
              </w:rPr>
              <w:t>1.2 Practical Experience</w:t>
            </w:r>
            <w:r>
              <w:rPr>
                <w:noProof/>
                <w:webHidden/>
              </w:rPr>
              <w:tab/>
            </w:r>
            <w:r>
              <w:rPr>
                <w:noProof/>
                <w:webHidden/>
              </w:rPr>
              <w:fldChar w:fldCharType="begin"/>
            </w:r>
            <w:r>
              <w:rPr>
                <w:noProof/>
                <w:webHidden/>
              </w:rPr>
              <w:instrText xml:space="preserve"> PAGEREF _Toc214096795 \h </w:instrText>
            </w:r>
            <w:r>
              <w:rPr>
                <w:noProof/>
                <w:webHidden/>
              </w:rPr>
            </w:r>
            <w:r>
              <w:rPr>
                <w:noProof/>
                <w:webHidden/>
              </w:rPr>
              <w:fldChar w:fldCharType="separate"/>
            </w:r>
            <w:r>
              <w:rPr>
                <w:noProof/>
                <w:webHidden/>
              </w:rPr>
              <w:t>7</w:t>
            </w:r>
            <w:r>
              <w:rPr>
                <w:noProof/>
                <w:webHidden/>
              </w:rPr>
              <w:fldChar w:fldCharType="end"/>
            </w:r>
          </w:hyperlink>
        </w:p>
        <w:p w14:paraId="69438672" w14:textId="0B2FB5B3" w:rsidR="00DD0F7C" w:rsidRDefault="00DD0F7C">
          <w:pPr>
            <w:pStyle w:val="TOC2"/>
            <w:tabs>
              <w:tab w:val="right" w:leader="dot" w:pos="9350"/>
            </w:tabs>
            <w:rPr>
              <w:rFonts w:asciiTheme="minorHAnsi" w:eastAsiaTheme="minorEastAsia" w:hAnsiTheme="minorHAnsi" w:cstheme="minorBidi"/>
              <w:noProof/>
            </w:rPr>
          </w:pPr>
          <w:hyperlink w:anchor="_Toc214096796" w:history="1">
            <w:r w:rsidRPr="00616914">
              <w:rPr>
                <w:rStyle w:val="Hyperlink"/>
                <w:rFonts w:ascii="Arial" w:hAnsi="Arial" w:cs="Arial"/>
                <w:noProof/>
              </w:rPr>
              <w:t>1.3 Problem Statement</w:t>
            </w:r>
            <w:r>
              <w:rPr>
                <w:noProof/>
                <w:webHidden/>
              </w:rPr>
              <w:tab/>
            </w:r>
            <w:r>
              <w:rPr>
                <w:noProof/>
                <w:webHidden/>
              </w:rPr>
              <w:fldChar w:fldCharType="begin"/>
            </w:r>
            <w:r>
              <w:rPr>
                <w:noProof/>
                <w:webHidden/>
              </w:rPr>
              <w:instrText xml:space="preserve"> PAGEREF _Toc214096796 \h </w:instrText>
            </w:r>
            <w:r>
              <w:rPr>
                <w:noProof/>
                <w:webHidden/>
              </w:rPr>
            </w:r>
            <w:r>
              <w:rPr>
                <w:noProof/>
                <w:webHidden/>
              </w:rPr>
              <w:fldChar w:fldCharType="separate"/>
            </w:r>
            <w:r>
              <w:rPr>
                <w:noProof/>
                <w:webHidden/>
              </w:rPr>
              <w:t>7</w:t>
            </w:r>
            <w:r>
              <w:rPr>
                <w:noProof/>
                <w:webHidden/>
              </w:rPr>
              <w:fldChar w:fldCharType="end"/>
            </w:r>
          </w:hyperlink>
        </w:p>
        <w:p w14:paraId="5E89BF92" w14:textId="2DDBD368" w:rsidR="00DD0F7C" w:rsidRDefault="00DD0F7C">
          <w:pPr>
            <w:pStyle w:val="TOC2"/>
            <w:tabs>
              <w:tab w:val="right" w:leader="dot" w:pos="9350"/>
            </w:tabs>
            <w:rPr>
              <w:rFonts w:asciiTheme="minorHAnsi" w:eastAsiaTheme="minorEastAsia" w:hAnsiTheme="minorHAnsi" w:cstheme="minorBidi"/>
              <w:noProof/>
            </w:rPr>
          </w:pPr>
          <w:hyperlink w:anchor="_Toc214096797" w:history="1">
            <w:r w:rsidRPr="00616914">
              <w:rPr>
                <w:rStyle w:val="Hyperlink"/>
                <w:rFonts w:ascii="Arial" w:hAnsi="Arial" w:cs="Arial"/>
                <w:noProof/>
              </w:rPr>
              <w:t>1.4 Research Aim and Objectives</w:t>
            </w:r>
            <w:r>
              <w:rPr>
                <w:noProof/>
                <w:webHidden/>
              </w:rPr>
              <w:tab/>
            </w:r>
            <w:r>
              <w:rPr>
                <w:noProof/>
                <w:webHidden/>
              </w:rPr>
              <w:fldChar w:fldCharType="begin"/>
            </w:r>
            <w:r>
              <w:rPr>
                <w:noProof/>
                <w:webHidden/>
              </w:rPr>
              <w:instrText xml:space="preserve"> PAGEREF _Toc214096797 \h </w:instrText>
            </w:r>
            <w:r>
              <w:rPr>
                <w:noProof/>
                <w:webHidden/>
              </w:rPr>
            </w:r>
            <w:r>
              <w:rPr>
                <w:noProof/>
                <w:webHidden/>
              </w:rPr>
              <w:fldChar w:fldCharType="separate"/>
            </w:r>
            <w:r>
              <w:rPr>
                <w:noProof/>
                <w:webHidden/>
              </w:rPr>
              <w:t>8</w:t>
            </w:r>
            <w:r>
              <w:rPr>
                <w:noProof/>
                <w:webHidden/>
              </w:rPr>
              <w:fldChar w:fldCharType="end"/>
            </w:r>
          </w:hyperlink>
        </w:p>
        <w:p w14:paraId="65871D0D" w14:textId="703261C8" w:rsidR="00DD0F7C" w:rsidRDefault="00DD0F7C">
          <w:pPr>
            <w:pStyle w:val="TOC3"/>
            <w:tabs>
              <w:tab w:val="right" w:leader="dot" w:pos="9350"/>
            </w:tabs>
            <w:rPr>
              <w:rFonts w:asciiTheme="minorHAnsi" w:eastAsiaTheme="minorEastAsia" w:hAnsiTheme="minorHAnsi" w:cstheme="minorBidi"/>
              <w:noProof/>
            </w:rPr>
          </w:pPr>
          <w:hyperlink w:anchor="_Toc214096798" w:history="1">
            <w:r w:rsidRPr="00616914">
              <w:rPr>
                <w:rStyle w:val="Hyperlink"/>
                <w:noProof/>
              </w:rPr>
              <w:t>1.4.1 Aim</w:t>
            </w:r>
            <w:r>
              <w:rPr>
                <w:noProof/>
                <w:webHidden/>
              </w:rPr>
              <w:tab/>
            </w:r>
            <w:r>
              <w:rPr>
                <w:noProof/>
                <w:webHidden/>
              </w:rPr>
              <w:fldChar w:fldCharType="begin"/>
            </w:r>
            <w:r>
              <w:rPr>
                <w:noProof/>
                <w:webHidden/>
              </w:rPr>
              <w:instrText xml:space="preserve"> PAGEREF _Toc214096798 \h </w:instrText>
            </w:r>
            <w:r>
              <w:rPr>
                <w:noProof/>
                <w:webHidden/>
              </w:rPr>
            </w:r>
            <w:r>
              <w:rPr>
                <w:noProof/>
                <w:webHidden/>
              </w:rPr>
              <w:fldChar w:fldCharType="separate"/>
            </w:r>
            <w:r>
              <w:rPr>
                <w:noProof/>
                <w:webHidden/>
              </w:rPr>
              <w:t>8</w:t>
            </w:r>
            <w:r>
              <w:rPr>
                <w:noProof/>
                <w:webHidden/>
              </w:rPr>
              <w:fldChar w:fldCharType="end"/>
            </w:r>
          </w:hyperlink>
        </w:p>
        <w:p w14:paraId="0B7273D6" w14:textId="1894A02B" w:rsidR="00DD0F7C" w:rsidRDefault="00DD0F7C">
          <w:pPr>
            <w:pStyle w:val="TOC3"/>
            <w:tabs>
              <w:tab w:val="right" w:leader="dot" w:pos="9350"/>
            </w:tabs>
            <w:rPr>
              <w:rFonts w:asciiTheme="minorHAnsi" w:eastAsiaTheme="minorEastAsia" w:hAnsiTheme="minorHAnsi" w:cstheme="minorBidi"/>
              <w:noProof/>
            </w:rPr>
          </w:pPr>
          <w:hyperlink w:anchor="_Toc214096799" w:history="1">
            <w:r w:rsidRPr="00616914">
              <w:rPr>
                <w:rStyle w:val="Hyperlink"/>
                <w:noProof/>
              </w:rPr>
              <w:t>1.4.2 Objectives</w:t>
            </w:r>
            <w:r>
              <w:rPr>
                <w:noProof/>
                <w:webHidden/>
              </w:rPr>
              <w:tab/>
            </w:r>
            <w:r>
              <w:rPr>
                <w:noProof/>
                <w:webHidden/>
              </w:rPr>
              <w:fldChar w:fldCharType="begin"/>
            </w:r>
            <w:r>
              <w:rPr>
                <w:noProof/>
                <w:webHidden/>
              </w:rPr>
              <w:instrText xml:space="preserve"> PAGEREF _Toc214096799 \h </w:instrText>
            </w:r>
            <w:r>
              <w:rPr>
                <w:noProof/>
                <w:webHidden/>
              </w:rPr>
            </w:r>
            <w:r>
              <w:rPr>
                <w:noProof/>
                <w:webHidden/>
              </w:rPr>
              <w:fldChar w:fldCharType="separate"/>
            </w:r>
            <w:r>
              <w:rPr>
                <w:noProof/>
                <w:webHidden/>
              </w:rPr>
              <w:t>8</w:t>
            </w:r>
            <w:r>
              <w:rPr>
                <w:noProof/>
                <w:webHidden/>
              </w:rPr>
              <w:fldChar w:fldCharType="end"/>
            </w:r>
          </w:hyperlink>
        </w:p>
        <w:p w14:paraId="40D292BD" w14:textId="50917E25" w:rsidR="00DD0F7C" w:rsidRDefault="00DD0F7C">
          <w:pPr>
            <w:pStyle w:val="TOC2"/>
            <w:tabs>
              <w:tab w:val="right" w:leader="dot" w:pos="9350"/>
            </w:tabs>
            <w:rPr>
              <w:rFonts w:asciiTheme="minorHAnsi" w:eastAsiaTheme="minorEastAsia" w:hAnsiTheme="minorHAnsi" w:cstheme="minorBidi"/>
              <w:noProof/>
            </w:rPr>
          </w:pPr>
          <w:hyperlink w:anchor="_Toc214096800" w:history="1">
            <w:r w:rsidRPr="00616914">
              <w:rPr>
                <w:rStyle w:val="Hyperlink"/>
                <w:rFonts w:ascii="Arial" w:hAnsi="Arial" w:cs="Arial"/>
                <w:noProof/>
              </w:rPr>
              <w:t>1.5 Rationale</w:t>
            </w:r>
            <w:r>
              <w:rPr>
                <w:noProof/>
                <w:webHidden/>
              </w:rPr>
              <w:tab/>
            </w:r>
            <w:r>
              <w:rPr>
                <w:noProof/>
                <w:webHidden/>
              </w:rPr>
              <w:fldChar w:fldCharType="begin"/>
            </w:r>
            <w:r>
              <w:rPr>
                <w:noProof/>
                <w:webHidden/>
              </w:rPr>
              <w:instrText xml:space="preserve"> PAGEREF _Toc214096800 \h </w:instrText>
            </w:r>
            <w:r>
              <w:rPr>
                <w:noProof/>
                <w:webHidden/>
              </w:rPr>
            </w:r>
            <w:r>
              <w:rPr>
                <w:noProof/>
                <w:webHidden/>
              </w:rPr>
              <w:fldChar w:fldCharType="separate"/>
            </w:r>
            <w:r>
              <w:rPr>
                <w:noProof/>
                <w:webHidden/>
              </w:rPr>
              <w:t>8</w:t>
            </w:r>
            <w:r>
              <w:rPr>
                <w:noProof/>
                <w:webHidden/>
              </w:rPr>
              <w:fldChar w:fldCharType="end"/>
            </w:r>
          </w:hyperlink>
        </w:p>
        <w:p w14:paraId="695426C3" w14:textId="68022784" w:rsidR="00DD0F7C" w:rsidRDefault="00DD0F7C">
          <w:pPr>
            <w:pStyle w:val="TOC2"/>
            <w:tabs>
              <w:tab w:val="right" w:leader="dot" w:pos="9350"/>
            </w:tabs>
            <w:rPr>
              <w:rFonts w:asciiTheme="minorHAnsi" w:eastAsiaTheme="minorEastAsia" w:hAnsiTheme="minorHAnsi" w:cstheme="minorBidi"/>
              <w:noProof/>
            </w:rPr>
          </w:pPr>
          <w:hyperlink w:anchor="_Toc214096801" w:history="1">
            <w:r w:rsidRPr="00616914">
              <w:rPr>
                <w:rStyle w:val="Hyperlink"/>
                <w:rFonts w:ascii="Arial" w:hAnsi="Arial" w:cs="Arial"/>
                <w:noProof/>
              </w:rPr>
              <w:t>1.6 Outline of Dissertation</w:t>
            </w:r>
            <w:r>
              <w:rPr>
                <w:noProof/>
                <w:webHidden/>
              </w:rPr>
              <w:tab/>
            </w:r>
            <w:r>
              <w:rPr>
                <w:noProof/>
                <w:webHidden/>
              </w:rPr>
              <w:fldChar w:fldCharType="begin"/>
            </w:r>
            <w:r>
              <w:rPr>
                <w:noProof/>
                <w:webHidden/>
              </w:rPr>
              <w:instrText xml:space="preserve"> PAGEREF _Toc214096801 \h </w:instrText>
            </w:r>
            <w:r>
              <w:rPr>
                <w:noProof/>
                <w:webHidden/>
              </w:rPr>
            </w:r>
            <w:r>
              <w:rPr>
                <w:noProof/>
                <w:webHidden/>
              </w:rPr>
              <w:fldChar w:fldCharType="separate"/>
            </w:r>
            <w:r>
              <w:rPr>
                <w:noProof/>
                <w:webHidden/>
              </w:rPr>
              <w:t>8</w:t>
            </w:r>
            <w:r>
              <w:rPr>
                <w:noProof/>
                <w:webHidden/>
              </w:rPr>
              <w:fldChar w:fldCharType="end"/>
            </w:r>
          </w:hyperlink>
        </w:p>
        <w:p w14:paraId="5C5FF954" w14:textId="409E153F" w:rsidR="00DD0F7C" w:rsidRDefault="00DD0F7C">
          <w:pPr>
            <w:pStyle w:val="TOC1"/>
            <w:tabs>
              <w:tab w:val="right" w:leader="dot" w:pos="9350"/>
            </w:tabs>
            <w:rPr>
              <w:rFonts w:asciiTheme="minorHAnsi" w:eastAsiaTheme="minorEastAsia" w:hAnsiTheme="minorHAnsi" w:cstheme="minorBidi"/>
              <w:noProof/>
            </w:rPr>
          </w:pPr>
          <w:hyperlink w:anchor="_Toc214096802" w:history="1">
            <w:r w:rsidRPr="00616914">
              <w:rPr>
                <w:rStyle w:val="Hyperlink"/>
                <w:rFonts w:ascii="Arial" w:hAnsi="Arial" w:cs="Arial"/>
                <w:noProof/>
              </w:rPr>
              <w:t>2.0 Literature Review</w:t>
            </w:r>
            <w:r>
              <w:rPr>
                <w:noProof/>
                <w:webHidden/>
              </w:rPr>
              <w:tab/>
            </w:r>
            <w:r>
              <w:rPr>
                <w:noProof/>
                <w:webHidden/>
              </w:rPr>
              <w:fldChar w:fldCharType="begin"/>
            </w:r>
            <w:r>
              <w:rPr>
                <w:noProof/>
                <w:webHidden/>
              </w:rPr>
              <w:instrText xml:space="preserve"> PAGEREF _Toc214096802 \h </w:instrText>
            </w:r>
            <w:r>
              <w:rPr>
                <w:noProof/>
                <w:webHidden/>
              </w:rPr>
            </w:r>
            <w:r>
              <w:rPr>
                <w:noProof/>
                <w:webHidden/>
              </w:rPr>
              <w:fldChar w:fldCharType="separate"/>
            </w:r>
            <w:r>
              <w:rPr>
                <w:noProof/>
                <w:webHidden/>
              </w:rPr>
              <w:t>9</w:t>
            </w:r>
            <w:r>
              <w:rPr>
                <w:noProof/>
                <w:webHidden/>
              </w:rPr>
              <w:fldChar w:fldCharType="end"/>
            </w:r>
          </w:hyperlink>
        </w:p>
        <w:p w14:paraId="68ECFA55" w14:textId="4CC7980B" w:rsidR="00DD0F7C" w:rsidRDefault="00DD0F7C">
          <w:pPr>
            <w:pStyle w:val="TOC2"/>
            <w:tabs>
              <w:tab w:val="right" w:leader="dot" w:pos="9350"/>
            </w:tabs>
            <w:rPr>
              <w:rFonts w:asciiTheme="minorHAnsi" w:eastAsiaTheme="minorEastAsia" w:hAnsiTheme="minorHAnsi" w:cstheme="minorBidi"/>
              <w:noProof/>
            </w:rPr>
          </w:pPr>
          <w:hyperlink w:anchor="_Toc214096803" w:history="1">
            <w:r w:rsidRPr="00616914">
              <w:rPr>
                <w:rStyle w:val="Hyperlink"/>
                <w:rFonts w:ascii="Arial" w:hAnsi="Arial" w:cs="Arial"/>
                <w:noProof/>
              </w:rPr>
              <w:t>2.1 Tenant Arrears Concept</w:t>
            </w:r>
            <w:r>
              <w:rPr>
                <w:noProof/>
                <w:webHidden/>
              </w:rPr>
              <w:tab/>
            </w:r>
            <w:r>
              <w:rPr>
                <w:noProof/>
                <w:webHidden/>
              </w:rPr>
              <w:fldChar w:fldCharType="begin"/>
            </w:r>
            <w:r>
              <w:rPr>
                <w:noProof/>
                <w:webHidden/>
              </w:rPr>
              <w:instrText xml:space="preserve"> PAGEREF _Toc214096803 \h </w:instrText>
            </w:r>
            <w:r>
              <w:rPr>
                <w:noProof/>
                <w:webHidden/>
              </w:rPr>
            </w:r>
            <w:r>
              <w:rPr>
                <w:noProof/>
                <w:webHidden/>
              </w:rPr>
              <w:fldChar w:fldCharType="separate"/>
            </w:r>
            <w:r>
              <w:rPr>
                <w:noProof/>
                <w:webHidden/>
              </w:rPr>
              <w:t>9</w:t>
            </w:r>
            <w:r>
              <w:rPr>
                <w:noProof/>
                <w:webHidden/>
              </w:rPr>
              <w:fldChar w:fldCharType="end"/>
            </w:r>
          </w:hyperlink>
        </w:p>
        <w:p w14:paraId="664C8184" w14:textId="7CD18265" w:rsidR="00DD0F7C" w:rsidRDefault="00DD0F7C">
          <w:pPr>
            <w:pStyle w:val="TOC2"/>
            <w:tabs>
              <w:tab w:val="right" w:leader="dot" w:pos="9350"/>
            </w:tabs>
            <w:rPr>
              <w:rFonts w:asciiTheme="minorHAnsi" w:eastAsiaTheme="minorEastAsia" w:hAnsiTheme="minorHAnsi" w:cstheme="minorBidi"/>
              <w:noProof/>
            </w:rPr>
          </w:pPr>
          <w:hyperlink w:anchor="_Toc214096804" w:history="1">
            <w:r w:rsidRPr="00616914">
              <w:rPr>
                <w:rStyle w:val="Hyperlink"/>
                <w:rFonts w:ascii="Arial" w:hAnsi="Arial" w:cs="Arial"/>
                <w:noProof/>
              </w:rPr>
              <w:t>2.2 Operational and Financial Impact on Estate Agents</w:t>
            </w:r>
            <w:r>
              <w:rPr>
                <w:noProof/>
                <w:webHidden/>
              </w:rPr>
              <w:tab/>
            </w:r>
            <w:r>
              <w:rPr>
                <w:noProof/>
                <w:webHidden/>
              </w:rPr>
              <w:fldChar w:fldCharType="begin"/>
            </w:r>
            <w:r>
              <w:rPr>
                <w:noProof/>
                <w:webHidden/>
              </w:rPr>
              <w:instrText xml:space="preserve"> PAGEREF _Toc214096804 \h </w:instrText>
            </w:r>
            <w:r>
              <w:rPr>
                <w:noProof/>
                <w:webHidden/>
              </w:rPr>
            </w:r>
            <w:r>
              <w:rPr>
                <w:noProof/>
                <w:webHidden/>
              </w:rPr>
              <w:fldChar w:fldCharType="separate"/>
            </w:r>
            <w:r>
              <w:rPr>
                <w:noProof/>
                <w:webHidden/>
              </w:rPr>
              <w:t>11</w:t>
            </w:r>
            <w:r>
              <w:rPr>
                <w:noProof/>
                <w:webHidden/>
              </w:rPr>
              <w:fldChar w:fldCharType="end"/>
            </w:r>
          </w:hyperlink>
        </w:p>
        <w:p w14:paraId="2011A1B6" w14:textId="11ED4B57" w:rsidR="00DD0F7C" w:rsidRDefault="00DD0F7C">
          <w:pPr>
            <w:pStyle w:val="TOC2"/>
            <w:tabs>
              <w:tab w:val="right" w:leader="dot" w:pos="9350"/>
            </w:tabs>
            <w:rPr>
              <w:rFonts w:asciiTheme="minorHAnsi" w:eastAsiaTheme="minorEastAsia" w:hAnsiTheme="minorHAnsi" w:cstheme="minorBidi"/>
              <w:noProof/>
            </w:rPr>
          </w:pPr>
          <w:hyperlink w:anchor="_Toc214096805" w:history="1">
            <w:r w:rsidRPr="00616914">
              <w:rPr>
                <w:rStyle w:val="Hyperlink"/>
                <w:rFonts w:ascii="Arial" w:hAnsi="Arial" w:cs="Arial"/>
                <w:noProof/>
              </w:rPr>
              <w:t>2.3 Risk, Resilience and the Role of Data in Rent Management</w:t>
            </w:r>
            <w:r>
              <w:rPr>
                <w:noProof/>
                <w:webHidden/>
              </w:rPr>
              <w:tab/>
            </w:r>
            <w:r>
              <w:rPr>
                <w:noProof/>
                <w:webHidden/>
              </w:rPr>
              <w:fldChar w:fldCharType="begin"/>
            </w:r>
            <w:r>
              <w:rPr>
                <w:noProof/>
                <w:webHidden/>
              </w:rPr>
              <w:instrText xml:space="preserve"> PAGEREF _Toc214096805 \h </w:instrText>
            </w:r>
            <w:r>
              <w:rPr>
                <w:noProof/>
                <w:webHidden/>
              </w:rPr>
            </w:r>
            <w:r>
              <w:rPr>
                <w:noProof/>
                <w:webHidden/>
              </w:rPr>
              <w:fldChar w:fldCharType="separate"/>
            </w:r>
            <w:r>
              <w:rPr>
                <w:noProof/>
                <w:webHidden/>
              </w:rPr>
              <w:t>13</w:t>
            </w:r>
            <w:r>
              <w:rPr>
                <w:noProof/>
                <w:webHidden/>
              </w:rPr>
              <w:fldChar w:fldCharType="end"/>
            </w:r>
          </w:hyperlink>
        </w:p>
        <w:p w14:paraId="5F758727" w14:textId="6C2BB3B8" w:rsidR="00DD0F7C" w:rsidRDefault="00DD0F7C">
          <w:pPr>
            <w:pStyle w:val="TOC1"/>
            <w:tabs>
              <w:tab w:val="right" w:leader="dot" w:pos="9350"/>
            </w:tabs>
            <w:rPr>
              <w:rFonts w:asciiTheme="minorHAnsi" w:eastAsiaTheme="minorEastAsia" w:hAnsiTheme="minorHAnsi" w:cstheme="minorBidi"/>
              <w:noProof/>
            </w:rPr>
          </w:pPr>
          <w:hyperlink w:anchor="_Toc214096806" w:history="1">
            <w:r w:rsidRPr="00616914">
              <w:rPr>
                <w:rStyle w:val="Hyperlink"/>
                <w:rFonts w:ascii="Arial" w:hAnsi="Arial" w:cs="Arial"/>
                <w:noProof/>
              </w:rPr>
              <w:t>3.0 Methodology</w:t>
            </w:r>
            <w:r>
              <w:rPr>
                <w:noProof/>
                <w:webHidden/>
              </w:rPr>
              <w:tab/>
            </w:r>
            <w:r>
              <w:rPr>
                <w:noProof/>
                <w:webHidden/>
              </w:rPr>
              <w:fldChar w:fldCharType="begin"/>
            </w:r>
            <w:r>
              <w:rPr>
                <w:noProof/>
                <w:webHidden/>
              </w:rPr>
              <w:instrText xml:space="preserve"> PAGEREF _Toc214096806 \h </w:instrText>
            </w:r>
            <w:r>
              <w:rPr>
                <w:noProof/>
                <w:webHidden/>
              </w:rPr>
            </w:r>
            <w:r>
              <w:rPr>
                <w:noProof/>
                <w:webHidden/>
              </w:rPr>
              <w:fldChar w:fldCharType="separate"/>
            </w:r>
            <w:r>
              <w:rPr>
                <w:noProof/>
                <w:webHidden/>
              </w:rPr>
              <w:t>16</w:t>
            </w:r>
            <w:r>
              <w:rPr>
                <w:noProof/>
                <w:webHidden/>
              </w:rPr>
              <w:fldChar w:fldCharType="end"/>
            </w:r>
          </w:hyperlink>
        </w:p>
        <w:p w14:paraId="3ACEBA4F" w14:textId="32350D54" w:rsidR="00DD0F7C" w:rsidRDefault="00DD0F7C">
          <w:pPr>
            <w:pStyle w:val="TOC2"/>
            <w:tabs>
              <w:tab w:val="right" w:leader="dot" w:pos="9350"/>
            </w:tabs>
            <w:rPr>
              <w:rFonts w:asciiTheme="minorHAnsi" w:eastAsiaTheme="minorEastAsia" w:hAnsiTheme="minorHAnsi" w:cstheme="minorBidi"/>
              <w:noProof/>
            </w:rPr>
          </w:pPr>
          <w:hyperlink w:anchor="_Toc214096807" w:history="1">
            <w:r w:rsidRPr="00616914">
              <w:rPr>
                <w:rStyle w:val="Hyperlink"/>
                <w:rFonts w:ascii="Arial" w:hAnsi="Arial" w:cs="Arial"/>
                <w:noProof/>
              </w:rPr>
              <w:t>3.1 Research Philosophy</w:t>
            </w:r>
            <w:r>
              <w:rPr>
                <w:noProof/>
                <w:webHidden/>
              </w:rPr>
              <w:tab/>
            </w:r>
            <w:r>
              <w:rPr>
                <w:noProof/>
                <w:webHidden/>
              </w:rPr>
              <w:fldChar w:fldCharType="begin"/>
            </w:r>
            <w:r>
              <w:rPr>
                <w:noProof/>
                <w:webHidden/>
              </w:rPr>
              <w:instrText xml:space="preserve"> PAGEREF _Toc214096807 \h </w:instrText>
            </w:r>
            <w:r>
              <w:rPr>
                <w:noProof/>
                <w:webHidden/>
              </w:rPr>
            </w:r>
            <w:r>
              <w:rPr>
                <w:noProof/>
                <w:webHidden/>
              </w:rPr>
              <w:fldChar w:fldCharType="separate"/>
            </w:r>
            <w:r>
              <w:rPr>
                <w:noProof/>
                <w:webHidden/>
              </w:rPr>
              <w:t>17</w:t>
            </w:r>
            <w:r>
              <w:rPr>
                <w:noProof/>
                <w:webHidden/>
              </w:rPr>
              <w:fldChar w:fldCharType="end"/>
            </w:r>
          </w:hyperlink>
        </w:p>
        <w:p w14:paraId="27CE4C0E" w14:textId="32897475" w:rsidR="00DD0F7C" w:rsidRDefault="00DD0F7C">
          <w:pPr>
            <w:pStyle w:val="TOC2"/>
            <w:tabs>
              <w:tab w:val="right" w:leader="dot" w:pos="9350"/>
            </w:tabs>
            <w:rPr>
              <w:rFonts w:asciiTheme="minorHAnsi" w:eastAsiaTheme="minorEastAsia" w:hAnsiTheme="minorHAnsi" w:cstheme="minorBidi"/>
              <w:noProof/>
            </w:rPr>
          </w:pPr>
          <w:hyperlink w:anchor="_Toc214096808" w:history="1">
            <w:r w:rsidRPr="00616914">
              <w:rPr>
                <w:rStyle w:val="Hyperlink"/>
                <w:rFonts w:ascii="Arial" w:hAnsi="Arial" w:cs="Arial"/>
                <w:noProof/>
              </w:rPr>
              <w:t>3.2 Research Paradigms</w:t>
            </w:r>
            <w:r>
              <w:rPr>
                <w:noProof/>
                <w:webHidden/>
              </w:rPr>
              <w:tab/>
            </w:r>
            <w:r>
              <w:rPr>
                <w:noProof/>
                <w:webHidden/>
              </w:rPr>
              <w:fldChar w:fldCharType="begin"/>
            </w:r>
            <w:r>
              <w:rPr>
                <w:noProof/>
                <w:webHidden/>
              </w:rPr>
              <w:instrText xml:space="preserve"> PAGEREF _Toc214096808 \h </w:instrText>
            </w:r>
            <w:r>
              <w:rPr>
                <w:noProof/>
                <w:webHidden/>
              </w:rPr>
            </w:r>
            <w:r>
              <w:rPr>
                <w:noProof/>
                <w:webHidden/>
              </w:rPr>
              <w:fldChar w:fldCharType="separate"/>
            </w:r>
            <w:r>
              <w:rPr>
                <w:noProof/>
                <w:webHidden/>
              </w:rPr>
              <w:t>17</w:t>
            </w:r>
            <w:r>
              <w:rPr>
                <w:noProof/>
                <w:webHidden/>
              </w:rPr>
              <w:fldChar w:fldCharType="end"/>
            </w:r>
          </w:hyperlink>
        </w:p>
        <w:p w14:paraId="30488962" w14:textId="50460B4D" w:rsidR="00DD0F7C" w:rsidRDefault="00DD0F7C">
          <w:pPr>
            <w:pStyle w:val="TOC2"/>
            <w:tabs>
              <w:tab w:val="right" w:leader="dot" w:pos="9350"/>
            </w:tabs>
            <w:rPr>
              <w:rFonts w:asciiTheme="minorHAnsi" w:eastAsiaTheme="minorEastAsia" w:hAnsiTheme="minorHAnsi" w:cstheme="minorBidi"/>
              <w:noProof/>
            </w:rPr>
          </w:pPr>
          <w:hyperlink w:anchor="_Toc214096809" w:history="1">
            <w:r w:rsidRPr="00616914">
              <w:rPr>
                <w:rStyle w:val="Hyperlink"/>
                <w:rFonts w:ascii="Arial" w:hAnsi="Arial" w:cs="Arial"/>
                <w:noProof/>
              </w:rPr>
              <w:t>3.3 Research Approach</w:t>
            </w:r>
            <w:r>
              <w:rPr>
                <w:noProof/>
                <w:webHidden/>
              </w:rPr>
              <w:tab/>
            </w:r>
            <w:r>
              <w:rPr>
                <w:noProof/>
                <w:webHidden/>
              </w:rPr>
              <w:fldChar w:fldCharType="begin"/>
            </w:r>
            <w:r>
              <w:rPr>
                <w:noProof/>
                <w:webHidden/>
              </w:rPr>
              <w:instrText xml:space="preserve"> PAGEREF _Toc214096809 \h </w:instrText>
            </w:r>
            <w:r>
              <w:rPr>
                <w:noProof/>
                <w:webHidden/>
              </w:rPr>
            </w:r>
            <w:r>
              <w:rPr>
                <w:noProof/>
                <w:webHidden/>
              </w:rPr>
              <w:fldChar w:fldCharType="separate"/>
            </w:r>
            <w:r>
              <w:rPr>
                <w:noProof/>
                <w:webHidden/>
              </w:rPr>
              <w:t>17</w:t>
            </w:r>
            <w:r>
              <w:rPr>
                <w:noProof/>
                <w:webHidden/>
              </w:rPr>
              <w:fldChar w:fldCharType="end"/>
            </w:r>
          </w:hyperlink>
        </w:p>
        <w:p w14:paraId="69CB3556" w14:textId="37F520A9" w:rsidR="00DD0F7C" w:rsidRDefault="00DD0F7C">
          <w:pPr>
            <w:pStyle w:val="TOC2"/>
            <w:tabs>
              <w:tab w:val="right" w:leader="dot" w:pos="9350"/>
            </w:tabs>
            <w:rPr>
              <w:rFonts w:asciiTheme="minorHAnsi" w:eastAsiaTheme="minorEastAsia" w:hAnsiTheme="minorHAnsi" w:cstheme="minorBidi"/>
              <w:noProof/>
            </w:rPr>
          </w:pPr>
          <w:hyperlink w:anchor="_Toc214096810" w:history="1">
            <w:r w:rsidRPr="00616914">
              <w:rPr>
                <w:rStyle w:val="Hyperlink"/>
                <w:rFonts w:ascii="Arial" w:hAnsi="Arial" w:cs="Arial"/>
                <w:noProof/>
              </w:rPr>
              <w:t>3.4 Research Methodology</w:t>
            </w:r>
            <w:r>
              <w:rPr>
                <w:noProof/>
                <w:webHidden/>
              </w:rPr>
              <w:tab/>
            </w:r>
            <w:r>
              <w:rPr>
                <w:noProof/>
                <w:webHidden/>
              </w:rPr>
              <w:fldChar w:fldCharType="begin"/>
            </w:r>
            <w:r>
              <w:rPr>
                <w:noProof/>
                <w:webHidden/>
              </w:rPr>
              <w:instrText xml:space="preserve"> PAGEREF _Toc214096810 \h </w:instrText>
            </w:r>
            <w:r>
              <w:rPr>
                <w:noProof/>
                <w:webHidden/>
              </w:rPr>
            </w:r>
            <w:r>
              <w:rPr>
                <w:noProof/>
                <w:webHidden/>
              </w:rPr>
              <w:fldChar w:fldCharType="separate"/>
            </w:r>
            <w:r>
              <w:rPr>
                <w:noProof/>
                <w:webHidden/>
              </w:rPr>
              <w:t>17</w:t>
            </w:r>
            <w:r>
              <w:rPr>
                <w:noProof/>
                <w:webHidden/>
              </w:rPr>
              <w:fldChar w:fldCharType="end"/>
            </w:r>
          </w:hyperlink>
        </w:p>
        <w:p w14:paraId="33CA220C" w14:textId="5C3D0DAA" w:rsidR="00DD0F7C" w:rsidRDefault="00DD0F7C">
          <w:pPr>
            <w:pStyle w:val="TOC2"/>
            <w:tabs>
              <w:tab w:val="right" w:leader="dot" w:pos="9350"/>
            </w:tabs>
            <w:rPr>
              <w:rFonts w:asciiTheme="minorHAnsi" w:eastAsiaTheme="minorEastAsia" w:hAnsiTheme="minorHAnsi" w:cstheme="minorBidi"/>
              <w:noProof/>
            </w:rPr>
          </w:pPr>
          <w:hyperlink w:anchor="_Toc214096811" w:history="1">
            <w:r w:rsidRPr="00616914">
              <w:rPr>
                <w:rStyle w:val="Hyperlink"/>
                <w:rFonts w:ascii="Arial" w:hAnsi="Arial" w:cs="Arial"/>
                <w:noProof/>
              </w:rPr>
              <w:t>3.5 Research Strategy</w:t>
            </w:r>
            <w:r>
              <w:rPr>
                <w:noProof/>
                <w:webHidden/>
              </w:rPr>
              <w:tab/>
            </w:r>
            <w:r>
              <w:rPr>
                <w:noProof/>
                <w:webHidden/>
              </w:rPr>
              <w:fldChar w:fldCharType="begin"/>
            </w:r>
            <w:r>
              <w:rPr>
                <w:noProof/>
                <w:webHidden/>
              </w:rPr>
              <w:instrText xml:space="preserve"> PAGEREF _Toc214096811 \h </w:instrText>
            </w:r>
            <w:r>
              <w:rPr>
                <w:noProof/>
                <w:webHidden/>
              </w:rPr>
            </w:r>
            <w:r>
              <w:rPr>
                <w:noProof/>
                <w:webHidden/>
              </w:rPr>
              <w:fldChar w:fldCharType="separate"/>
            </w:r>
            <w:r>
              <w:rPr>
                <w:noProof/>
                <w:webHidden/>
              </w:rPr>
              <w:t>17</w:t>
            </w:r>
            <w:r>
              <w:rPr>
                <w:noProof/>
                <w:webHidden/>
              </w:rPr>
              <w:fldChar w:fldCharType="end"/>
            </w:r>
          </w:hyperlink>
        </w:p>
        <w:p w14:paraId="6C88FF39" w14:textId="57754442" w:rsidR="00DD0F7C" w:rsidRDefault="00DD0F7C">
          <w:pPr>
            <w:pStyle w:val="TOC2"/>
            <w:tabs>
              <w:tab w:val="right" w:leader="dot" w:pos="9350"/>
            </w:tabs>
            <w:rPr>
              <w:rFonts w:asciiTheme="minorHAnsi" w:eastAsiaTheme="minorEastAsia" w:hAnsiTheme="minorHAnsi" w:cstheme="minorBidi"/>
              <w:noProof/>
            </w:rPr>
          </w:pPr>
          <w:hyperlink w:anchor="_Toc214096812" w:history="1">
            <w:r w:rsidRPr="00616914">
              <w:rPr>
                <w:rStyle w:val="Hyperlink"/>
                <w:rFonts w:ascii="Arial" w:hAnsi="Arial" w:cs="Arial"/>
                <w:noProof/>
              </w:rPr>
              <w:t>3.6 Sampling Strategy</w:t>
            </w:r>
            <w:r>
              <w:rPr>
                <w:noProof/>
                <w:webHidden/>
              </w:rPr>
              <w:tab/>
            </w:r>
            <w:r>
              <w:rPr>
                <w:noProof/>
                <w:webHidden/>
              </w:rPr>
              <w:fldChar w:fldCharType="begin"/>
            </w:r>
            <w:r>
              <w:rPr>
                <w:noProof/>
                <w:webHidden/>
              </w:rPr>
              <w:instrText xml:space="preserve"> PAGEREF _Toc214096812 \h </w:instrText>
            </w:r>
            <w:r>
              <w:rPr>
                <w:noProof/>
                <w:webHidden/>
              </w:rPr>
            </w:r>
            <w:r>
              <w:rPr>
                <w:noProof/>
                <w:webHidden/>
              </w:rPr>
              <w:fldChar w:fldCharType="separate"/>
            </w:r>
            <w:r>
              <w:rPr>
                <w:noProof/>
                <w:webHidden/>
              </w:rPr>
              <w:t>17</w:t>
            </w:r>
            <w:r>
              <w:rPr>
                <w:noProof/>
                <w:webHidden/>
              </w:rPr>
              <w:fldChar w:fldCharType="end"/>
            </w:r>
          </w:hyperlink>
        </w:p>
        <w:p w14:paraId="5EB417E1" w14:textId="319E55CF" w:rsidR="00DD0F7C" w:rsidRDefault="00DD0F7C">
          <w:pPr>
            <w:pStyle w:val="TOC2"/>
            <w:tabs>
              <w:tab w:val="right" w:leader="dot" w:pos="9350"/>
            </w:tabs>
            <w:rPr>
              <w:rFonts w:asciiTheme="minorHAnsi" w:eastAsiaTheme="minorEastAsia" w:hAnsiTheme="minorHAnsi" w:cstheme="minorBidi"/>
              <w:noProof/>
            </w:rPr>
          </w:pPr>
          <w:hyperlink w:anchor="_Toc214096813" w:history="1">
            <w:r w:rsidRPr="00616914">
              <w:rPr>
                <w:rStyle w:val="Hyperlink"/>
                <w:rFonts w:ascii="Arial" w:hAnsi="Arial" w:cs="Arial"/>
                <w:noProof/>
              </w:rPr>
              <w:t>3.7 Data Collection</w:t>
            </w:r>
            <w:r>
              <w:rPr>
                <w:noProof/>
                <w:webHidden/>
              </w:rPr>
              <w:tab/>
            </w:r>
            <w:r>
              <w:rPr>
                <w:noProof/>
                <w:webHidden/>
              </w:rPr>
              <w:fldChar w:fldCharType="begin"/>
            </w:r>
            <w:r>
              <w:rPr>
                <w:noProof/>
                <w:webHidden/>
              </w:rPr>
              <w:instrText xml:space="preserve"> PAGEREF _Toc214096813 \h </w:instrText>
            </w:r>
            <w:r>
              <w:rPr>
                <w:noProof/>
                <w:webHidden/>
              </w:rPr>
            </w:r>
            <w:r>
              <w:rPr>
                <w:noProof/>
                <w:webHidden/>
              </w:rPr>
              <w:fldChar w:fldCharType="separate"/>
            </w:r>
            <w:r>
              <w:rPr>
                <w:noProof/>
                <w:webHidden/>
              </w:rPr>
              <w:t>18</w:t>
            </w:r>
            <w:r>
              <w:rPr>
                <w:noProof/>
                <w:webHidden/>
              </w:rPr>
              <w:fldChar w:fldCharType="end"/>
            </w:r>
          </w:hyperlink>
        </w:p>
        <w:p w14:paraId="3E04FB6A" w14:textId="022B76C0" w:rsidR="00DD0F7C" w:rsidRDefault="00DD0F7C">
          <w:pPr>
            <w:pStyle w:val="TOC2"/>
            <w:tabs>
              <w:tab w:val="right" w:leader="dot" w:pos="9350"/>
            </w:tabs>
            <w:rPr>
              <w:rFonts w:asciiTheme="minorHAnsi" w:eastAsiaTheme="minorEastAsia" w:hAnsiTheme="minorHAnsi" w:cstheme="minorBidi"/>
              <w:noProof/>
            </w:rPr>
          </w:pPr>
          <w:hyperlink w:anchor="_Toc214096814" w:history="1">
            <w:r w:rsidRPr="00616914">
              <w:rPr>
                <w:rStyle w:val="Hyperlink"/>
                <w:rFonts w:ascii="Arial" w:hAnsi="Arial" w:cs="Arial"/>
                <w:noProof/>
              </w:rPr>
              <w:t>3.8 Data Interpretation</w:t>
            </w:r>
            <w:r>
              <w:rPr>
                <w:noProof/>
                <w:webHidden/>
              </w:rPr>
              <w:tab/>
            </w:r>
            <w:r>
              <w:rPr>
                <w:noProof/>
                <w:webHidden/>
              </w:rPr>
              <w:fldChar w:fldCharType="begin"/>
            </w:r>
            <w:r>
              <w:rPr>
                <w:noProof/>
                <w:webHidden/>
              </w:rPr>
              <w:instrText xml:space="preserve"> PAGEREF _Toc214096814 \h </w:instrText>
            </w:r>
            <w:r>
              <w:rPr>
                <w:noProof/>
                <w:webHidden/>
              </w:rPr>
            </w:r>
            <w:r>
              <w:rPr>
                <w:noProof/>
                <w:webHidden/>
              </w:rPr>
              <w:fldChar w:fldCharType="separate"/>
            </w:r>
            <w:r>
              <w:rPr>
                <w:noProof/>
                <w:webHidden/>
              </w:rPr>
              <w:t>18</w:t>
            </w:r>
            <w:r>
              <w:rPr>
                <w:noProof/>
                <w:webHidden/>
              </w:rPr>
              <w:fldChar w:fldCharType="end"/>
            </w:r>
          </w:hyperlink>
        </w:p>
        <w:p w14:paraId="602DE1D4" w14:textId="0D9D1C91" w:rsidR="00DD0F7C" w:rsidRDefault="00DD0F7C">
          <w:pPr>
            <w:pStyle w:val="TOC2"/>
            <w:tabs>
              <w:tab w:val="right" w:leader="dot" w:pos="9350"/>
            </w:tabs>
            <w:rPr>
              <w:rFonts w:asciiTheme="minorHAnsi" w:eastAsiaTheme="minorEastAsia" w:hAnsiTheme="minorHAnsi" w:cstheme="minorBidi"/>
              <w:noProof/>
            </w:rPr>
          </w:pPr>
          <w:hyperlink w:anchor="_Toc214096815" w:history="1">
            <w:r w:rsidRPr="00616914">
              <w:rPr>
                <w:rStyle w:val="Hyperlink"/>
                <w:rFonts w:ascii="Arial" w:hAnsi="Arial" w:cs="Arial"/>
                <w:noProof/>
              </w:rPr>
              <w:t>3.9 Ethical Considerations</w:t>
            </w:r>
            <w:r>
              <w:rPr>
                <w:noProof/>
                <w:webHidden/>
              </w:rPr>
              <w:tab/>
            </w:r>
            <w:r>
              <w:rPr>
                <w:noProof/>
                <w:webHidden/>
              </w:rPr>
              <w:fldChar w:fldCharType="begin"/>
            </w:r>
            <w:r>
              <w:rPr>
                <w:noProof/>
                <w:webHidden/>
              </w:rPr>
              <w:instrText xml:space="preserve"> PAGEREF _Toc214096815 \h </w:instrText>
            </w:r>
            <w:r>
              <w:rPr>
                <w:noProof/>
                <w:webHidden/>
              </w:rPr>
            </w:r>
            <w:r>
              <w:rPr>
                <w:noProof/>
                <w:webHidden/>
              </w:rPr>
              <w:fldChar w:fldCharType="separate"/>
            </w:r>
            <w:r>
              <w:rPr>
                <w:noProof/>
                <w:webHidden/>
              </w:rPr>
              <w:t>18</w:t>
            </w:r>
            <w:r>
              <w:rPr>
                <w:noProof/>
                <w:webHidden/>
              </w:rPr>
              <w:fldChar w:fldCharType="end"/>
            </w:r>
          </w:hyperlink>
        </w:p>
        <w:p w14:paraId="5B3D776D" w14:textId="39C5016E" w:rsidR="00DD0F7C" w:rsidRDefault="00DD0F7C">
          <w:pPr>
            <w:pStyle w:val="TOC1"/>
            <w:tabs>
              <w:tab w:val="right" w:leader="dot" w:pos="9350"/>
            </w:tabs>
            <w:rPr>
              <w:rFonts w:asciiTheme="minorHAnsi" w:eastAsiaTheme="minorEastAsia" w:hAnsiTheme="minorHAnsi" w:cstheme="minorBidi"/>
              <w:noProof/>
            </w:rPr>
          </w:pPr>
          <w:hyperlink w:anchor="_Toc214096816" w:history="1">
            <w:r w:rsidRPr="00616914">
              <w:rPr>
                <w:rStyle w:val="Hyperlink"/>
                <w:rFonts w:ascii="Arial" w:hAnsi="Arial" w:cs="Arial"/>
                <w:noProof/>
              </w:rPr>
              <w:t>4.0 Analysis of Findings and Discussion</w:t>
            </w:r>
            <w:r>
              <w:rPr>
                <w:noProof/>
                <w:webHidden/>
              </w:rPr>
              <w:tab/>
            </w:r>
            <w:r>
              <w:rPr>
                <w:noProof/>
                <w:webHidden/>
              </w:rPr>
              <w:fldChar w:fldCharType="begin"/>
            </w:r>
            <w:r>
              <w:rPr>
                <w:noProof/>
                <w:webHidden/>
              </w:rPr>
              <w:instrText xml:space="preserve"> PAGEREF _Toc214096816 \h </w:instrText>
            </w:r>
            <w:r>
              <w:rPr>
                <w:noProof/>
                <w:webHidden/>
              </w:rPr>
            </w:r>
            <w:r>
              <w:rPr>
                <w:noProof/>
                <w:webHidden/>
              </w:rPr>
              <w:fldChar w:fldCharType="separate"/>
            </w:r>
            <w:r>
              <w:rPr>
                <w:noProof/>
                <w:webHidden/>
              </w:rPr>
              <w:t>19</w:t>
            </w:r>
            <w:r>
              <w:rPr>
                <w:noProof/>
                <w:webHidden/>
              </w:rPr>
              <w:fldChar w:fldCharType="end"/>
            </w:r>
          </w:hyperlink>
        </w:p>
        <w:p w14:paraId="601B82A3" w14:textId="2124FF65" w:rsidR="00DD0F7C" w:rsidRDefault="00DD0F7C">
          <w:pPr>
            <w:pStyle w:val="TOC2"/>
            <w:tabs>
              <w:tab w:val="right" w:leader="dot" w:pos="9350"/>
            </w:tabs>
            <w:rPr>
              <w:rFonts w:asciiTheme="minorHAnsi" w:eastAsiaTheme="minorEastAsia" w:hAnsiTheme="minorHAnsi" w:cstheme="minorBidi"/>
              <w:noProof/>
            </w:rPr>
          </w:pPr>
          <w:hyperlink w:anchor="_Toc214096817" w:history="1">
            <w:r w:rsidRPr="00616914">
              <w:rPr>
                <w:rStyle w:val="Hyperlink"/>
                <w:rFonts w:ascii="Arial" w:hAnsi="Arial" w:cs="Arial"/>
                <w:noProof/>
              </w:rPr>
              <w:t>4.1 Analysis of findings</w:t>
            </w:r>
            <w:r>
              <w:rPr>
                <w:noProof/>
                <w:webHidden/>
              </w:rPr>
              <w:tab/>
            </w:r>
            <w:r>
              <w:rPr>
                <w:noProof/>
                <w:webHidden/>
              </w:rPr>
              <w:fldChar w:fldCharType="begin"/>
            </w:r>
            <w:r>
              <w:rPr>
                <w:noProof/>
                <w:webHidden/>
              </w:rPr>
              <w:instrText xml:space="preserve"> PAGEREF _Toc214096817 \h </w:instrText>
            </w:r>
            <w:r>
              <w:rPr>
                <w:noProof/>
                <w:webHidden/>
              </w:rPr>
            </w:r>
            <w:r>
              <w:rPr>
                <w:noProof/>
                <w:webHidden/>
              </w:rPr>
              <w:fldChar w:fldCharType="separate"/>
            </w:r>
            <w:r>
              <w:rPr>
                <w:noProof/>
                <w:webHidden/>
              </w:rPr>
              <w:t>19</w:t>
            </w:r>
            <w:r>
              <w:rPr>
                <w:noProof/>
                <w:webHidden/>
              </w:rPr>
              <w:fldChar w:fldCharType="end"/>
            </w:r>
          </w:hyperlink>
        </w:p>
        <w:p w14:paraId="1A6F9297" w14:textId="092E5B30" w:rsidR="00DD0F7C" w:rsidRDefault="00DD0F7C">
          <w:pPr>
            <w:pStyle w:val="TOC2"/>
            <w:tabs>
              <w:tab w:val="right" w:leader="dot" w:pos="9350"/>
            </w:tabs>
            <w:rPr>
              <w:rFonts w:asciiTheme="minorHAnsi" w:eastAsiaTheme="minorEastAsia" w:hAnsiTheme="minorHAnsi" w:cstheme="minorBidi"/>
              <w:noProof/>
            </w:rPr>
          </w:pPr>
          <w:hyperlink w:anchor="_Toc214096818" w:history="1">
            <w:r w:rsidRPr="00616914">
              <w:rPr>
                <w:rStyle w:val="Hyperlink"/>
                <w:rFonts w:ascii="Arial" w:hAnsi="Arial" w:cs="Arial"/>
                <w:noProof/>
              </w:rPr>
              <w:t>4.2 Discussion</w:t>
            </w:r>
            <w:r>
              <w:rPr>
                <w:noProof/>
                <w:webHidden/>
              </w:rPr>
              <w:tab/>
            </w:r>
            <w:r>
              <w:rPr>
                <w:noProof/>
                <w:webHidden/>
              </w:rPr>
              <w:fldChar w:fldCharType="begin"/>
            </w:r>
            <w:r>
              <w:rPr>
                <w:noProof/>
                <w:webHidden/>
              </w:rPr>
              <w:instrText xml:space="preserve"> PAGEREF _Toc214096818 \h </w:instrText>
            </w:r>
            <w:r>
              <w:rPr>
                <w:noProof/>
                <w:webHidden/>
              </w:rPr>
            </w:r>
            <w:r>
              <w:rPr>
                <w:noProof/>
                <w:webHidden/>
              </w:rPr>
              <w:fldChar w:fldCharType="separate"/>
            </w:r>
            <w:r>
              <w:rPr>
                <w:noProof/>
                <w:webHidden/>
              </w:rPr>
              <w:t>23</w:t>
            </w:r>
            <w:r>
              <w:rPr>
                <w:noProof/>
                <w:webHidden/>
              </w:rPr>
              <w:fldChar w:fldCharType="end"/>
            </w:r>
          </w:hyperlink>
        </w:p>
        <w:p w14:paraId="4557697F" w14:textId="445E002E" w:rsidR="00DD0F7C" w:rsidRDefault="00DD0F7C">
          <w:pPr>
            <w:pStyle w:val="TOC3"/>
            <w:tabs>
              <w:tab w:val="right" w:leader="dot" w:pos="9350"/>
            </w:tabs>
            <w:rPr>
              <w:rFonts w:asciiTheme="minorHAnsi" w:eastAsiaTheme="minorEastAsia" w:hAnsiTheme="minorHAnsi" w:cstheme="minorBidi"/>
              <w:noProof/>
            </w:rPr>
          </w:pPr>
          <w:hyperlink w:anchor="_Toc214096819" w:history="1">
            <w:r w:rsidRPr="00616914">
              <w:rPr>
                <w:rStyle w:val="Hyperlink"/>
                <w:noProof/>
              </w:rPr>
              <w:t>4.2.1 Structural and Behavioural Drivers of Rent Arrears.</w:t>
            </w:r>
            <w:r>
              <w:rPr>
                <w:noProof/>
                <w:webHidden/>
              </w:rPr>
              <w:tab/>
            </w:r>
            <w:r>
              <w:rPr>
                <w:noProof/>
                <w:webHidden/>
              </w:rPr>
              <w:fldChar w:fldCharType="begin"/>
            </w:r>
            <w:r>
              <w:rPr>
                <w:noProof/>
                <w:webHidden/>
              </w:rPr>
              <w:instrText xml:space="preserve"> PAGEREF _Toc214096819 \h </w:instrText>
            </w:r>
            <w:r>
              <w:rPr>
                <w:noProof/>
                <w:webHidden/>
              </w:rPr>
            </w:r>
            <w:r>
              <w:rPr>
                <w:noProof/>
                <w:webHidden/>
              </w:rPr>
              <w:fldChar w:fldCharType="separate"/>
            </w:r>
            <w:r>
              <w:rPr>
                <w:noProof/>
                <w:webHidden/>
              </w:rPr>
              <w:t>23</w:t>
            </w:r>
            <w:r>
              <w:rPr>
                <w:noProof/>
                <w:webHidden/>
              </w:rPr>
              <w:fldChar w:fldCharType="end"/>
            </w:r>
          </w:hyperlink>
        </w:p>
        <w:p w14:paraId="45770148" w14:textId="3633E89C" w:rsidR="00DD0F7C" w:rsidRDefault="00DD0F7C">
          <w:pPr>
            <w:pStyle w:val="TOC3"/>
            <w:tabs>
              <w:tab w:val="right" w:leader="dot" w:pos="9350"/>
            </w:tabs>
            <w:rPr>
              <w:rFonts w:asciiTheme="minorHAnsi" w:eastAsiaTheme="minorEastAsia" w:hAnsiTheme="minorHAnsi" w:cstheme="minorBidi"/>
              <w:noProof/>
            </w:rPr>
          </w:pPr>
          <w:hyperlink w:anchor="_Toc214096820" w:history="1">
            <w:r w:rsidRPr="00616914">
              <w:rPr>
                <w:rStyle w:val="Hyperlink"/>
                <w:noProof/>
              </w:rPr>
              <w:t>4.2.2 Operational and Financial burden on Letting Agents and Landlords.</w:t>
            </w:r>
            <w:r>
              <w:rPr>
                <w:noProof/>
                <w:webHidden/>
              </w:rPr>
              <w:tab/>
            </w:r>
            <w:r>
              <w:rPr>
                <w:noProof/>
                <w:webHidden/>
              </w:rPr>
              <w:fldChar w:fldCharType="begin"/>
            </w:r>
            <w:r>
              <w:rPr>
                <w:noProof/>
                <w:webHidden/>
              </w:rPr>
              <w:instrText xml:space="preserve"> PAGEREF _Toc214096820 \h </w:instrText>
            </w:r>
            <w:r>
              <w:rPr>
                <w:noProof/>
                <w:webHidden/>
              </w:rPr>
            </w:r>
            <w:r>
              <w:rPr>
                <w:noProof/>
                <w:webHidden/>
              </w:rPr>
              <w:fldChar w:fldCharType="separate"/>
            </w:r>
            <w:r>
              <w:rPr>
                <w:noProof/>
                <w:webHidden/>
              </w:rPr>
              <w:t>24</w:t>
            </w:r>
            <w:r>
              <w:rPr>
                <w:noProof/>
                <w:webHidden/>
              </w:rPr>
              <w:fldChar w:fldCharType="end"/>
            </w:r>
          </w:hyperlink>
        </w:p>
        <w:p w14:paraId="01790053" w14:textId="706CC590" w:rsidR="00DD0F7C" w:rsidRDefault="00DD0F7C">
          <w:pPr>
            <w:pStyle w:val="TOC3"/>
            <w:tabs>
              <w:tab w:val="right" w:leader="dot" w:pos="9350"/>
            </w:tabs>
            <w:rPr>
              <w:rFonts w:asciiTheme="minorHAnsi" w:eastAsiaTheme="minorEastAsia" w:hAnsiTheme="minorHAnsi" w:cstheme="minorBidi"/>
              <w:noProof/>
            </w:rPr>
          </w:pPr>
          <w:hyperlink w:anchor="_Toc214096821" w:history="1">
            <w:r w:rsidRPr="00616914">
              <w:rPr>
                <w:rStyle w:val="Hyperlink"/>
                <w:noProof/>
              </w:rPr>
              <w:t>4.2.3 Resilience-Developing and Cost-Effective Mitigation Measures.</w:t>
            </w:r>
            <w:r>
              <w:rPr>
                <w:noProof/>
                <w:webHidden/>
              </w:rPr>
              <w:tab/>
            </w:r>
            <w:r>
              <w:rPr>
                <w:noProof/>
                <w:webHidden/>
              </w:rPr>
              <w:fldChar w:fldCharType="begin"/>
            </w:r>
            <w:r>
              <w:rPr>
                <w:noProof/>
                <w:webHidden/>
              </w:rPr>
              <w:instrText xml:space="preserve"> PAGEREF _Toc214096821 \h </w:instrText>
            </w:r>
            <w:r>
              <w:rPr>
                <w:noProof/>
                <w:webHidden/>
              </w:rPr>
            </w:r>
            <w:r>
              <w:rPr>
                <w:noProof/>
                <w:webHidden/>
              </w:rPr>
              <w:fldChar w:fldCharType="separate"/>
            </w:r>
            <w:r>
              <w:rPr>
                <w:noProof/>
                <w:webHidden/>
              </w:rPr>
              <w:t>25</w:t>
            </w:r>
            <w:r>
              <w:rPr>
                <w:noProof/>
                <w:webHidden/>
              </w:rPr>
              <w:fldChar w:fldCharType="end"/>
            </w:r>
          </w:hyperlink>
        </w:p>
        <w:p w14:paraId="1A0E297A" w14:textId="6FDBB36C" w:rsidR="00DD0F7C" w:rsidRDefault="00DD0F7C">
          <w:pPr>
            <w:pStyle w:val="TOC1"/>
            <w:tabs>
              <w:tab w:val="right" w:leader="dot" w:pos="9350"/>
            </w:tabs>
            <w:rPr>
              <w:rFonts w:asciiTheme="minorHAnsi" w:eastAsiaTheme="minorEastAsia" w:hAnsiTheme="minorHAnsi" w:cstheme="minorBidi"/>
              <w:noProof/>
            </w:rPr>
          </w:pPr>
          <w:hyperlink w:anchor="_Toc214096822" w:history="1">
            <w:r w:rsidRPr="00616914">
              <w:rPr>
                <w:rStyle w:val="Hyperlink"/>
                <w:rFonts w:ascii="Arial" w:hAnsi="Arial" w:cs="Arial"/>
                <w:noProof/>
              </w:rPr>
              <w:t>5.0 Conclusions and Recommendations</w:t>
            </w:r>
            <w:r>
              <w:rPr>
                <w:noProof/>
                <w:webHidden/>
              </w:rPr>
              <w:tab/>
            </w:r>
            <w:r>
              <w:rPr>
                <w:noProof/>
                <w:webHidden/>
              </w:rPr>
              <w:fldChar w:fldCharType="begin"/>
            </w:r>
            <w:r>
              <w:rPr>
                <w:noProof/>
                <w:webHidden/>
              </w:rPr>
              <w:instrText xml:space="preserve"> PAGEREF _Toc214096822 \h </w:instrText>
            </w:r>
            <w:r>
              <w:rPr>
                <w:noProof/>
                <w:webHidden/>
              </w:rPr>
            </w:r>
            <w:r>
              <w:rPr>
                <w:noProof/>
                <w:webHidden/>
              </w:rPr>
              <w:fldChar w:fldCharType="separate"/>
            </w:r>
            <w:r>
              <w:rPr>
                <w:noProof/>
                <w:webHidden/>
              </w:rPr>
              <w:t>26</w:t>
            </w:r>
            <w:r>
              <w:rPr>
                <w:noProof/>
                <w:webHidden/>
              </w:rPr>
              <w:fldChar w:fldCharType="end"/>
            </w:r>
          </w:hyperlink>
        </w:p>
        <w:p w14:paraId="2C59DF13" w14:textId="013C5D6A" w:rsidR="00DD0F7C" w:rsidRDefault="00DD0F7C">
          <w:pPr>
            <w:pStyle w:val="TOC2"/>
            <w:tabs>
              <w:tab w:val="right" w:leader="dot" w:pos="9350"/>
            </w:tabs>
            <w:rPr>
              <w:rFonts w:asciiTheme="minorHAnsi" w:eastAsiaTheme="minorEastAsia" w:hAnsiTheme="minorHAnsi" w:cstheme="minorBidi"/>
              <w:noProof/>
            </w:rPr>
          </w:pPr>
          <w:hyperlink w:anchor="_Toc214096823" w:history="1">
            <w:r w:rsidRPr="00616914">
              <w:rPr>
                <w:rStyle w:val="Hyperlink"/>
                <w:rFonts w:ascii="Arial" w:hAnsi="Arial" w:cs="Arial"/>
                <w:noProof/>
              </w:rPr>
              <w:t>5.1 Conclusions</w:t>
            </w:r>
            <w:r>
              <w:rPr>
                <w:noProof/>
                <w:webHidden/>
              </w:rPr>
              <w:tab/>
            </w:r>
            <w:r>
              <w:rPr>
                <w:noProof/>
                <w:webHidden/>
              </w:rPr>
              <w:fldChar w:fldCharType="begin"/>
            </w:r>
            <w:r>
              <w:rPr>
                <w:noProof/>
                <w:webHidden/>
              </w:rPr>
              <w:instrText xml:space="preserve"> PAGEREF _Toc214096823 \h </w:instrText>
            </w:r>
            <w:r>
              <w:rPr>
                <w:noProof/>
                <w:webHidden/>
              </w:rPr>
            </w:r>
            <w:r>
              <w:rPr>
                <w:noProof/>
                <w:webHidden/>
              </w:rPr>
              <w:fldChar w:fldCharType="separate"/>
            </w:r>
            <w:r>
              <w:rPr>
                <w:noProof/>
                <w:webHidden/>
              </w:rPr>
              <w:t>26</w:t>
            </w:r>
            <w:r>
              <w:rPr>
                <w:noProof/>
                <w:webHidden/>
              </w:rPr>
              <w:fldChar w:fldCharType="end"/>
            </w:r>
          </w:hyperlink>
        </w:p>
        <w:p w14:paraId="0ECFB243" w14:textId="731281BE" w:rsidR="00DD0F7C" w:rsidRDefault="00DD0F7C">
          <w:pPr>
            <w:pStyle w:val="TOC2"/>
            <w:tabs>
              <w:tab w:val="right" w:leader="dot" w:pos="9350"/>
            </w:tabs>
            <w:rPr>
              <w:rFonts w:asciiTheme="minorHAnsi" w:eastAsiaTheme="minorEastAsia" w:hAnsiTheme="minorHAnsi" w:cstheme="minorBidi"/>
              <w:noProof/>
            </w:rPr>
          </w:pPr>
          <w:hyperlink w:anchor="_Toc214096824" w:history="1">
            <w:r w:rsidRPr="00616914">
              <w:rPr>
                <w:rStyle w:val="Hyperlink"/>
                <w:rFonts w:ascii="Arial" w:hAnsi="Arial" w:cs="Arial"/>
                <w:noProof/>
              </w:rPr>
              <w:t>5.2 Recommendations</w:t>
            </w:r>
            <w:r>
              <w:rPr>
                <w:noProof/>
                <w:webHidden/>
              </w:rPr>
              <w:tab/>
            </w:r>
            <w:r>
              <w:rPr>
                <w:noProof/>
                <w:webHidden/>
              </w:rPr>
              <w:fldChar w:fldCharType="begin"/>
            </w:r>
            <w:r>
              <w:rPr>
                <w:noProof/>
                <w:webHidden/>
              </w:rPr>
              <w:instrText xml:space="preserve"> PAGEREF _Toc214096824 \h </w:instrText>
            </w:r>
            <w:r>
              <w:rPr>
                <w:noProof/>
                <w:webHidden/>
              </w:rPr>
            </w:r>
            <w:r>
              <w:rPr>
                <w:noProof/>
                <w:webHidden/>
              </w:rPr>
              <w:fldChar w:fldCharType="separate"/>
            </w:r>
            <w:r>
              <w:rPr>
                <w:noProof/>
                <w:webHidden/>
              </w:rPr>
              <w:t>26</w:t>
            </w:r>
            <w:r>
              <w:rPr>
                <w:noProof/>
                <w:webHidden/>
              </w:rPr>
              <w:fldChar w:fldCharType="end"/>
            </w:r>
          </w:hyperlink>
        </w:p>
        <w:p w14:paraId="50F661B5" w14:textId="0AF2CC6B" w:rsidR="00DD0F7C" w:rsidRDefault="00DD0F7C">
          <w:pPr>
            <w:pStyle w:val="TOC3"/>
            <w:tabs>
              <w:tab w:val="right" w:leader="dot" w:pos="9350"/>
            </w:tabs>
            <w:rPr>
              <w:rFonts w:asciiTheme="minorHAnsi" w:eastAsiaTheme="minorEastAsia" w:hAnsiTheme="minorHAnsi" w:cstheme="minorBidi"/>
              <w:noProof/>
            </w:rPr>
          </w:pPr>
          <w:hyperlink w:anchor="_Toc214096825" w:history="1">
            <w:r w:rsidRPr="00616914">
              <w:rPr>
                <w:rStyle w:val="Hyperlink"/>
                <w:noProof/>
              </w:rPr>
              <w:t>5.2.1. Standardise Early Arrears Intervention Procedures</w:t>
            </w:r>
            <w:r>
              <w:rPr>
                <w:noProof/>
                <w:webHidden/>
              </w:rPr>
              <w:tab/>
            </w:r>
            <w:r>
              <w:rPr>
                <w:noProof/>
                <w:webHidden/>
              </w:rPr>
              <w:fldChar w:fldCharType="begin"/>
            </w:r>
            <w:r>
              <w:rPr>
                <w:noProof/>
                <w:webHidden/>
              </w:rPr>
              <w:instrText xml:space="preserve"> PAGEREF _Toc214096825 \h </w:instrText>
            </w:r>
            <w:r>
              <w:rPr>
                <w:noProof/>
                <w:webHidden/>
              </w:rPr>
            </w:r>
            <w:r>
              <w:rPr>
                <w:noProof/>
                <w:webHidden/>
              </w:rPr>
              <w:fldChar w:fldCharType="separate"/>
            </w:r>
            <w:r>
              <w:rPr>
                <w:noProof/>
                <w:webHidden/>
              </w:rPr>
              <w:t>26</w:t>
            </w:r>
            <w:r>
              <w:rPr>
                <w:noProof/>
                <w:webHidden/>
              </w:rPr>
              <w:fldChar w:fldCharType="end"/>
            </w:r>
          </w:hyperlink>
        </w:p>
        <w:p w14:paraId="170F4924" w14:textId="49E20B62" w:rsidR="00DD0F7C" w:rsidRDefault="00DD0F7C">
          <w:pPr>
            <w:pStyle w:val="TOC3"/>
            <w:tabs>
              <w:tab w:val="right" w:leader="dot" w:pos="9350"/>
            </w:tabs>
            <w:rPr>
              <w:rFonts w:asciiTheme="minorHAnsi" w:eastAsiaTheme="minorEastAsia" w:hAnsiTheme="minorHAnsi" w:cstheme="minorBidi"/>
              <w:noProof/>
            </w:rPr>
          </w:pPr>
          <w:hyperlink w:anchor="_Toc214096826" w:history="1">
            <w:r w:rsidRPr="00616914">
              <w:rPr>
                <w:rStyle w:val="Hyperlink"/>
                <w:iCs/>
                <w:noProof/>
              </w:rPr>
              <w:t>5.2.2. Invest in On boarding and Preparation to be a tenant</w:t>
            </w:r>
            <w:r>
              <w:rPr>
                <w:noProof/>
                <w:webHidden/>
              </w:rPr>
              <w:tab/>
            </w:r>
            <w:r>
              <w:rPr>
                <w:noProof/>
                <w:webHidden/>
              </w:rPr>
              <w:fldChar w:fldCharType="begin"/>
            </w:r>
            <w:r>
              <w:rPr>
                <w:noProof/>
                <w:webHidden/>
              </w:rPr>
              <w:instrText xml:space="preserve"> PAGEREF _Toc214096826 \h </w:instrText>
            </w:r>
            <w:r>
              <w:rPr>
                <w:noProof/>
                <w:webHidden/>
              </w:rPr>
            </w:r>
            <w:r>
              <w:rPr>
                <w:noProof/>
                <w:webHidden/>
              </w:rPr>
              <w:fldChar w:fldCharType="separate"/>
            </w:r>
            <w:r>
              <w:rPr>
                <w:noProof/>
                <w:webHidden/>
              </w:rPr>
              <w:t>27</w:t>
            </w:r>
            <w:r>
              <w:rPr>
                <w:noProof/>
                <w:webHidden/>
              </w:rPr>
              <w:fldChar w:fldCharType="end"/>
            </w:r>
          </w:hyperlink>
        </w:p>
        <w:p w14:paraId="4075A6EC" w14:textId="388F7C28" w:rsidR="00DD0F7C" w:rsidRDefault="00DD0F7C">
          <w:pPr>
            <w:pStyle w:val="TOC3"/>
            <w:tabs>
              <w:tab w:val="right" w:leader="dot" w:pos="9350"/>
            </w:tabs>
            <w:rPr>
              <w:rFonts w:asciiTheme="minorHAnsi" w:eastAsiaTheme="minorEastAsia" w:hAnsiTheme="minorHAnsi" w:cstheme="minorBidi"/>
              <w:noProof/>
            </w:rPr>
          </w:pPr>
          <w:hyperlink w:anchor="_Toc214096827" w:history="1">
            <w:r w:rsidRPr="00616914">
              <w:rPr>
                <w:rStyle w:val="Hyperlink"/>
                <w:iCs/>
                <w:noProof/>
              </w:rPr>
              <w:t>5.2.3. Improve Tenant Engagement using Behavioural Tools</w:t>
            </w:r>
            <w:r>
              <w:rPr>
                <w:noProof/>
                <w:webHidden/>
              </w:rPr>
              <w:tab/>
            </w:r>
            <w:r>
              <w:rPr>
                <w:noProof/>
                <w:webHidden/>
              </w:rPr>
              <w:fldChar w:fldCharType="begin"/>
            </w:r>
            <w:r>
              <w:rPr>
                <w:noProof/>
                <w:webHidden/>
              </w:rPr>
              <w:instrText xml:space="preserve"> PAGEREF _Toc214096827 \h </w:instrText>
            </w:r>
            <w:r>
              <w:rPr>
                <w:noProof/>
                <w:webHidden/>
              </w:rPr>
            </w:r>
            <w:r>
              <w:rPr>
                <w:noProof/>
                <w:webHidden/>
              </w:rPr>
              <w:fldChar w:fldCharType="separate"/>
            </w:r>
            <w:r>
              <w:rPr>
                <w:noProof/>
                <w:webHidden/>
              </w:rPr>
              <w:t>27</w:t>
            </w:r>
            <w:r>
              <w:rPr>
                <w:noProof/>
                <w:webHidden/>
              </w:rPr>
              <w:fldChar w:fldCharType="end"/>
            </w:r>
          </w:hyperlink>
        </w:p>
        <w:p w14:paraId="7C917217" w14:textId="543C82D0" w:rsidR="00DD0F7C" w:rsidRDefault="00DD0F7C">
          <w:pPr>
            <w:pStyle w:val="TOC1"/>
            <w:tabs>
              <w:tab w:val="right" w:leader="dot" w:pos="9350"/>
            </w:tabs>
            <w:rPr>
              <w:rFonts w:asciiTheme="minorHAnsi" w:eastAsiaTheme="minorEastAsia" w:hAnsiTheme="minorHAnsi" w:cstheme="minorBidi"/>
              <w:noProof/>
            </w:rPr>
          </w:pPr>
          <w:hyperlink w:anchor="_Toc214096828" w:history="1">
            <w:r w:rsidRPr="00616914">
              <w:rPr>
                <w:rStyle w:val="Hyperlink"/>
                <w:rFonts w:ascii="Arial" w:hAnsi="Arial" w:cs="Arial"/>
                <w:noProof/>
              </w:rPr>
              <w:t>6.0 References</w:t>
            </w:r>
            <w:r>
              <w:rPr>
                <w:noProof/>
                <w:webHidden/>
              </w:rPr>
              <w:tab/>
            </w:r>
            <w:r>
              <w:rPr>
                <w:noProof/>
                <w:webHidden/>
              </w:rPr>
              <w:fldChar w:fldCharType="begin"/>
            </w:r>
            <w:r>
              <w:rPr>
                <w:noProof/>
                <w:webHidden/>
              </w:rPr>
              <w:instrText xml:space="preserve"> PAGEREF _Toc214096828 \h </w:instrText>
            </w:r>
            <w:r>
              <w:rPr>
                <w:noProof/>
                <w:webHidden/>
              </w:rPr>
            </w:r>
            <w:r>
              <w:rPr>
                <w:noProof/>
                <w:webHidden/>
              </w:rPr>
              <w:fldChar w:fldCharType="separate"/>
            </w:r>
            <w:r>
              <w:rPr>
                <w:noProof/>
                <w:webHidden/>
              </w:rPr>
              <w:t>28</w:t>
            </w:r>
            <w:r>
              <w:rPr>
                <w:noProof/>
                <w:webHidden/>
              </w:rPr>
              <w:fldChar w:fldCharType="end"/>
            </w:r>
          </w:hyperlink>
        </w:p>
        <w:p w14:paraId="72D2CBB2" w14:textId="042431C7" w:rsidR="00DD0F7C" w:rsidRDefault="00DD0F7C">
          <w:pPr>
            <w:pStyle w:val="TOC1"/>
            <w:tabs>
              <w:tab w:val="right" w:leader="dot" w:pos="9350"/>
            </w:tabs>
            <w:rPr>
              <w:rFonts w:asciiTheme="minorHAnsi" w:eastAsiaTheme="minorEastAsia" w:hAnsiTheme="minorHAnsi" w:cstheme="minorBidi"/>
              <w:noProof/>
            </w:rPr>
          </w:pPr>
          <w:hyperlink w:anchor="_Toc214096829" w:history="1">
            <w:r w:rsidRPr="00616914">
              <w:rPr>
                <w:rStyle w:val="Hyperlink"/>
                <w:rFonts w:ascii="Arial" w:hAnsi="Arial" w:cs="Arial"/>
                <w:noProof/>
              </w:rPr>
              <w:t>7.0 Appendices</w:t>
            </w:r>
            <w:r>
              <w:rPr>
                <w:noProof/>
                <w:webHidden/>
              </w:rPr>
              <w:tab/>
            </w:r>
            <w:r>
              <w:rPr>
                <w:noProof/>
                <w:webHidden/>
              </w:rPr>
              <w:fldChar w:fldCharType="begin"/>
            </w:r>
            <w:r>
              <w:rPr>
                <w:noProof/>
                <w:webHidden/>
              </w:rPr>
              <w:instrText xml:space="preserve"> PAGEREF _Toc214096829 \h </w:instrText>
            </w:r>
            <w:r>
              <w:rPr>
                <w:noProof/>
                <w:webHidden/>
              </w:rPr>
            </w:r>
            <w:r>
              <w:rPr>
                <w:noProof/>
                <w:webHidden/>
              </w:rPr>
              <w:fldChar w:fldCharType="separate"/>
            </w:r>
            <w:r>
              <w:rPr>
                <w:noProof/>
                <w:webHidden/>
              </w:rPr>
              <w:t>34</w:t>
            </w:r>
            <w:r>
              <w:rPr>
                <w:noProof/>
                <w:webHidden/>
              </w:rPr>
              <w:fldChar w:fldCharType="end"/>
            </w:r>
          </w:hyperlink>
        </w:p>
        <w:p w14:paraId="1BDD68DF" w14:textId="711230A6" w:rsidR="00DD0F7C" w:rsidRDefault="00DD0F7C">
          <w:pPr>
            <w:pStyle w:val="TOC2"/>
            <w:tabs>
              <w:tab w:val="right" w:leader="dot" w:pos="9350"/>
            </w:tabs>
            <w:rPr>
              <w:rFonts w:asciiTheme="minorHAnsi" w:eastAsiaTheme="minorEastAsia" w:hAnsiTheme="minorHAnsi" w:cstheme="minorBidi"/>
              <w:noProof/>
            </w:rPr>
          </w:pPr>
          <w:hyperlink w:anchor="_Toc214096830" w:history="1">
            <w:r w:rsidRPr="00616914">
              <w:rPr>
                <w:rStyle w:val="Hyperlink"/>
                <w:rFonts w:ascii="Arial" w:hAnsi="Arial" w:cs="Arial"/>
                <w:noProof/>
              </w:rPr>
              <w:t>7.1 APPENDIX A: Planning / Research Timeline Table</w:t>
            </w:r>
            <w:r>
              <w:rPr>
                <w:noProof/>
                <w:webHidden/>
              </w:rPr>
              <w:tab/>
            </w:r>
            <w:r>
              <w:rPr>
                <w:noProof/>
                <w:webHidden/>
              </w:rPr>
              <w:fldChar w:fldCharType="begin"/>
            </w:r>
            <w:r>
              <w:rPr>
                <w:noProof/>
                <w:webHidden/>
              </w:rPr>
              <w:instrText xml:space="preserve"> PAGEREF _Toc214096830 \h </w:instrText>
            </w:r>
            <w:r>
              <w:rPr>
                <w:noProof/>
                <w:webHidden/>
              </w:rPr>
            </w:r>
            <w:r>
              <w:rPr>
                <w:noProof/>
                <w:webHidden/>
              </w:rPr>
              <w:fldChar w:fldCharType="separate"/>
            </w:r>
            <w:r>
              <w:rPr>
                <w:noProof/>
                <w:webHidden/>
              </w:rPr>
              <w:t>34</w:t>
            </w:r>
            <w:r>
              <w:rPr>
                <w:noProof/>
                <w:webHidden/>
              </w:rPr>
              <w:fldChar w:fldCharType="end"/>
            </w:r>
          </w:hyperlink>
        </w:p>
        <w:p w14:paraId="180CFA92" w14:textId="40CC3E28" w:rsidR="00DD0F7C" w:rsidRDefault="00DD0F7C">
          <w:pPr>
            <w:pStyle w:val="TOC2"/>
            <w:tabs>
              <w:tab w:val="right" w:leader="dot" w:pos="9350"/>
            </w:tabs>
            <w:rPr>
              <w:rFonts w:asciiTheme="minorHAnsi" w:eastAsiaTheme="minorEastAsia" w:hAnsiTheme="minorHAnsi" w:cstheme="minorBidi"/>
              <w:noProof/>
            </w:rPr>
          </w:pPr>
          <w:hyperlink w:anchor="_Toc214096831" w:history="1">
            <w:r w:rsidRPr="00616914">
              <w:rPr>
                <w:rStyle w:val="Hyperlink"/>
                <w:rFonts w:ascii="Arial" w:hAnsi="Arial" w:cs="Arial"/>
                <w:noProof/>
              </w:rPr>
              <w:t>7.2 APPENDIX B: Literature Review Summary Table</w:t>
            </w:r>
            <w:r>
              <w:rPr>
                <w:noProof/>
                <w:webHidden/>
              </w:rPr>
              <w:tab/>
            </w:r>
            <w:r>
              <w:rPr>
                <w:noProof/>
                <w:webHidden/>
              </w:rPr>
              <w:fldChar w:fldCharType="begin"/>
            </w:r>
            <w:r>
              <w:rPr>
                <w:noProof/>
                <w:webHidden/>
              </w:rPr>
              <w:instrText xml:space="preserve"> PAGEREF _Toc214096831 \h </w:instrText>
            </w:r>
            <w:r>
              <w:rPr>
                <w:noProof/>
                <w:webHidden/>
              </w:rPr>
            </w:r>
            <w:r>
              <w:rPr>
                <w:noProof/>
                <w:webHidden/>
              </w:rPr>
              <w:fldChar w:fldCharType="separate"/>
            </w:r>
            <w:r>
              <w:rPr>
                <w:noProof/>
                <w:webHidden/>
              </w:rPr>
              <w:t>35</w:t>
            </w:r>
            <w:r>
              <w:rPr>
                <w:noProof/>
                <w:webHidden/>
              </w:rPr>
              <w:fldChar w:fldCharType="end"/>
            </w:r>
          </w:hyperlink>
        </w:p>
        <w:p w14:paraId="44F5786C" w14:textId="652DC06D" w:rsidR="00DD0F7C" w:rsidRDefault="00DD0F7C">
          <w:pPr>
            <w:pStyle w:val="TOC2"/>
            <w:tabs>
              <w:tab w:val="right" w:leader="dot" w:pos="9350"/>
            </w:tabs>
            <w:rPr>
              <w:rFonts w:asciiTheme="minorHAnsi" w:eastAsiaTheme="minorEastAsia" w:hAnsiTheme="minorHAnsi" w:cstheme="minorBidi"/>
              <w:noProof/>
            </w:rPr>
          </w:pPr>
          <w:hyperlink w:anchor="_Toc214096832" w:history="1">
            <w:r w:rsidRPr="00616914">
              <w:rPr>
                <w:rStyle w:val="Hyperlink"/>
                <w:rFonts w:ascii="Arial" w:hAnsi="Arial" w:cs="Arial"/>
                <w:noProof/>
              </w:rPr>
              <w:t>Table B1. Summary of Key Literature Reviewed</w:t>
            </w:r>
            <w:r>
              <w:rPr>
                <w:noProof/>
                <w:webHidden/>
              </w:rPr>
              <w:tab/>
            </w:r>
            <w:r>
              <w:rPr>
                <w:noProof/>
                <w:webHidden/>
              </w:rPr>
              <w:fldChar w:fldCharType="begin"/>
            </w:r>
            <w:r>
              <w:rPr>
                <w:noProof/>
                <w:webHidden/>
              </w:rPr>
              <w:instrText xml:space="preserve"> PAGEREF _Toc214096832 \h </w:instrText>
            </w:r>
            <w:r>
              <w:rPr>
                <w:noProof/>
                <w:webHidden/>
              </w:rPr>
            </w:r>
            <w:r>
              <w:rPr>
                <w:noProof/>
                <w:webHidden/>
              </w:rPr>
              <w:fldChar w:fldCharType="separate"/>
            </w:r>
            <w:r>
              <w:rPr>
                <w:noProof/>
                <w:webHidden/>
              </w:rPr>
              <w:t>35</w:t>
            </w:r>
            <w:r>
              <w:rPr>
                <w:noProof/>
                <w:webHidden/>
              </w:rPr>
              <w:fldChar w:fldCharType="end"/>
            </w:r>
          </w:hyperlink>
        </w:p>
        <w:p w14:paraId="679B4F69" w14:textId="0B030B8A" w:rsidR="00B3589F" w:rsidRPr="00F72963" w:rsidRDefault="005F2975" w:rsidP="000E2633">
          <w:pPr>
            <w:spacing w:line="360" w:lineRule="auto"/>
            <w:jc w:val="both"/>
            <w:rPr>
              <w:rFonts w:ascii="Arial" w:hAnsi="Arial" w:cs="Arial"/>
              <w:color w:val="000000"/>
            </w:rPr>
          </w:pPr>
          <w:r w:rsidRPr="00F72963">
            <w:rPr>
              <w:rFonts w:ascii="Arial" w:hAnsi="Arial" w:cs="Arial"/>
            </w:rPr>
            <w:fldChar w:fldCharType="end"/>
          </w:r>
        </w:p>
      </w:sdtContent>
    </w:sdt>
    <w:p w14:paraId="6F9DFAFB" w14:textId="77777777" w:rsidR="001B5646" w:rsidRPr="00F72963" w:rsidRDefault="001B5646">
      <w:pPr>
        <w:rPr>
          <w:rFonts w:ascii="Arial" w:hAnsi="Arial" w:cs="Arial"/>
          <w:b/>
          <w:color w:val="000000"/>
        </w:rPr>
      </w:pPr>
      <w:r w:rsidRPr="00F72963">
        <w:rPr>
          <w:rFonts w:ascii="Arial" w:hAnsi="Arial" w:cs="Arial"/>
          <w:color w:val="000000"/>
        </w:rPr>
        <w:br w:type="page"/>
      </w:r>
      <w:bookmarkStart w:id="1" w:name="_GoBack"/>
      <w:bookmarkEnd w:id="1"/>
    </w:p>
    <w:p w14:paraId="26FC5174" w14:textId="3A627E8F" w:rsidR="00B3589F" w:rsidRPr="001170D2" w:rsidRDefault="005F2975" w:rsidP="000E2633">
      <w:pPr>
        <w:pStyle w:val="Heading1"/>
        <w:spacing w:before="280" w:after="280" w:line="360" w:lineRule="auto"/>
        <w:jc w:val="both"/>
        <w:rPr>
          <w:rFonts w:ascii="Arial" w:eastAsia="Calibri" w:hAnsi="Arial" w:cs="Arial"/>
          <w:color w:val="000000"/>
          <w:sz w:val="22"/>
          <w:szCs w:val="22"/>
        </w:rPr>
      </w:pPr>
      <w:bookmarkStart w:id="2" w:name="_Toc214096793"/>
      <w:r w:rsidRPr="001170D2">
        <w:rPr>
          <w:rFonts w:ascii="Arial" w:eastAsia="Calibri" w:hAnsi="Arial" w:cs="Arial"/>
          <w:color w:val="000000"/>
          <w:sz w:val="22"/>
          <w:szCs w:val="22"/>
        </w:rPr>
        <w:lastRenderedPageBreak/>
        <w:t>1.0</w:t>
      </w:r>
      <w:r w:rsidRPr="00F72963">
        <w:rPr>
          <w:rFonts w:ascii="Arial" w:eastAsia="Calibri" w:hAnsi="Arial" w:cs="Arial"/>
          <w:color w:val="000000"/>
        </w:rPr>
        <w:t xml:space="preserve"> Introduction</w:t>
      </w:r>
      <w:bookmarkEnd w:id="2"/>
    </w:p>
    <w:p w14:paraId="38CD8AC9" w14:textId="77777777" w:rsidR="00FD6EC5" w:rsidRPr="001170D2" w:rsidRDefault="005F2975" w:rsidP="000E2633">
      <w:pPr>
        <w:pStyle w:val="Heading2"/>
        <w:spacing w:line="360" w:lineRule="auto"/>
        <w:rPr>
          <w:rFonts w:ascii="Arial" w:hAnsi="Arial" w:cs="Arial"/>
          <w:color w:val="000000"/>
          <w:sz w:val="22"/>
          <w:szCs w:val="22"/>
        </w:rPr>
      </w:pPr>
      <w:bookmarkStart w:id="3" w:name="_Toc214096794"/>
      <w:r w:rsidRPr="001170D2">
        <w:rPr>
          <w:rFonts w:ascii="Arial" w:hAnsi="Arial" w:cs="Arial"/>
          <w:color w:val="000000"/>
          <w:sz w:val="22"/>
          <w:szCs w:val="22"/>
        </w:rPr>
        <w:t xml:space="preserve">1.1 </w:t>
      </w:r>
      <w:r w:rsidRPr="00F72963">
        <w:rPr>
          <w:rFonts w:ascii="Arial" w:hAnsi="Arial" w:cs="Arial"/>
          <w:color w:val="000000"/>
        </w:rPr>
        <w:t>Background and Relevance</w:t>
      </w:r>
      <w:bookmarkEnd w:id="3"/>
    </w:p>
    <w:p w14:paraId="40520AF9" w14:textId="77777777" w:rsidR="00B3589F" w:rsidRPr="00F72963" w:rsidRDefault="005F2975" w:rsidP="000E2633">
      <w:pPr>
        <w:spacing w:line="360" w:lineRule="auto"/>
        <w:ind w:firstLine="720"/>
        <w:jc w:val="both"/>
        <w:rPr>
          <w:rFonts w:ascii="Arial" w:hAnsi="Arial" w:cs="Arial"/>
          <w:color w:val="000000"/>
        </w:rPr>
      </w:pPr>
      <w:r w:rsidRPr="001170D2">
        <w:rPr>
          <w:rFonts w:ascii="Arial" w:hAnsi="Arial" w:cs="Arial"/>
          <w:color w:val="000000"/>
        </w:rPr>
        <w:t xml:space="preserve">Tenant arrears represent one of the most persistent challenges within the United Kingdom private rented sector and the problem has become increasingly severe as </w:t>
      </w:r>
      <w:r w:rsidRPr="00F72963">
        <w:rPr>
          <w:rFonts w:ascii="Arial" w:hAnsi="Arial" w:cs="Arial"/>
          <w:color w:val="000000"/>
        </w:rPr>
        <w:t>structural</w:t>
      </w:r>
      <w:r w:rsidR="00921760" w:rsidRPr="00F72963">
        <w:rPr>
          <w:rFonts w:ascii="Arial" w:hAnsi="Arial" w:cs="Arial"/>
          <w:color w:val="000000"/>
        </w:rPr>
        <w:t xml:space="preserve"> legislation</w:t>
      </w:r>
      <w:r w:rsidRPr="00F72963">
        <w:rPr>
          <w:rFonts w:ascii="Arial" w:hAnsi="Arial" w:cs="Arial"/>
          <w:color w:val="000000"/>
        </w:rPr>
        <w:t xml:space="preserve"> pressures on tenants intensify</w:t>
      </w:r>
      <w:r w:rsidR="00921760" w:rsidRPr="00F72963">
        <w:rPr>
          <w:rFonts w:ascii="Arial" w:hAnsi="Arial" w:cs="Arial"/>
          <w:color w:val="000000"/>
        </w:rPr>
        <w:t xml:space="preserve"> </w:t>
      </w:r>
      <w:r w:rsidRPr="00F72963">
        <w:rPr>
          <w:rFonts w:ascii="Arial" w:hAnsi="Arial" w:cs="Arial"/>
          <w:color w:val="000000"/>
        </w:rPr>
        <w:t>(McNally and Lally, 2024). The cost of living has risen significantly in recent years while wage growth has remained stagnant and household incomes have become more insecure. These trends have made it progressively harder for tenants to keep up with their rent obligations and arrears have become a regular feature of the sector rather than an exceptional circumstance. Hickman (2021) explains that rent payment behaviour is shaped by a combination of capability opportunity and motivation which means that even tenants who value housing security may fall into arrears when their financial circumstances are unstable.</w:t>
      </w:r>
    </w:p>
    <w:p w14:paraId="267BD703" w14:textId="77777777" w:rsidR="00B3589F" w:rsidRPr="001170D2" w:rsidRDefault="005F2975" w:rsidP="000E2633">
      <w:pPr>
        <w:spacing w:line="360" w:lineRule="auto"/>
        <w:ind w:firstLine="720"/>
        <w:jc w:val="both"/>
        <w:rPr>
          <w:rFonts w:ascii="Arial" w:hAnsi="Arial" w:cs="Arial"/>
          <w:color w:val="000000"/>
        </w:rPr>
      </w:pPr>
      <w:r w:rsidRPr="00F72963">
        <w:rPr>
          <w:rFonts w:ascii="Arial" w:hAnsi="Arial" w:cs="Arial"/>
          <w:color w:val="000000"/>
        </w:rPr>
        <w:t xml:space="preserve">The extent of the problem is clearly shown in national statistics. The English Private Landlord Survey indicates that </w:t>
      </w:r>
      <w:r w:rsidR="00921760" w:rsidRPr="00F72963">
        <w:rPr>
          <w:rFonts w:ascii="Arial" w:hAnsi="Arial" w:cs="Arial"/>
          <w:color w:val="000000"/>
        </w:rPr>
        <w:t>ninety-four</w:t>
      </w:r>
      <w:r w:rsidRPr="00F72963">
        <w:rPr>
          <w:rFonts w:ascii="Arial" w:hAnsi="Arial" w:cs="Arial"/>
          <w:color w:val="000000"/>
        </w:rPr>
        <w:t xml:space="preserve"> percent of landlords are </w:t>
      </w:r>
      <w:r w:rsidR="00921760" w:rsidRPr="00F72963">
        <w:rPr>
          <w:rFonts w:ascii="Arial" w:hAnsi="Arial" w:cs="Arial"/>
          <w:color w:val="000000"/>
        </w:rPr>
        <w:t xml:space="preserve">private individuals as shown in Figure 1 below. In the second quarter of 2023 thirty-five percent of landlords reported tenants </w:t>
      </w:r>
      <w:r w:rsidRPr="00F72963">
        <w:rPr>
          <w:rFonts w:ascii="Arial" w:hAnsi="Arial" w:cs="Arial"/>
          <w:color w:val="000000"/>
        </w:rPr>
        <w:t xml:space="preserve">in arrears which has been a consistent pattern across nine consecutive quarters with rates fluctuating only between thirty-two and </w:t>
      </w:r>
      <w:r w:rsidR="00921760" w:rsidRPr="00F72963">
        <w:rPr>
          <w:rFonts w:ascii="Arial" w:hAnsi="Arial" w:cs="Arial"/>
          <w:color w:val="000000"/>
        </w:rPr>
        <w:t>thirty-six</w:t>
      </w:r>
      <w:r w:rsidRPr="00F72963">
        <w:rPr>
          <w:rFonts w:ascii="Arial" w:hAnsi="Arial" w:cs="Arial"/>
          <w:color w:val="000000"/>
        </w:rPr>
        <w:t xml:space="preserve"> percent (GOV.UK 2022). This long-term stability of high arrears rates demonstrates that the problem is not a temporary phenomenon caused by unusual external shocks but a structural and continuing feature of the rental market.</w:t>
      </w:r>
    </w:p>
    <w:p w14:paraId="77F45EC9" w14:textId="77777777" w:rsidR="00B3589F" w:rsidRPr="001170D2" w:rsidRDefault="005F2975" w:rsidP="000E2633">
      <w:pPr>
        <w:spacing w:line="360" w:lineRule="auto"/>
        <w:ind w:firstLine="720"/>
        <w:jc w:val="both"/>
        <w:rPr>
          <w:rFonts w:ascii="Arial" w:hAnsi="Arial" w:cs="Arial"/>
          <w:color w:val="000000"/>
        </w:rPr>
      </w:pPr>
      <w:r w:rsidRPr="001170D2">
        <w:rPr>
          <w:rFonts w:ascii="Arial" w:hAnsi="Arial" w:cs="Arial"/>
          <w:noProof/>
          <w:color w:val="000000"/>
        </w:rPr>
        <w:drawing>
          <wp:inline distT="0" distB="0" distL="0" distR="0" wp14:anchorId="55F567F6" wp14:editId="2D09615E">
            <wp:extent cx="5647200" cy="290449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664680" cy="2913481"/>
                    </a:xfrm>
                    <a:prstGeom prst="rect">
                      <a:avLst/>
                    </a:prstGeom>
                    <a:ln/>
                  </pic:spPr>
                </pic:pic>
              </a:graphicData>
            </a:graphic>
          </wp:inline>
        </w:drawing>
      </w:r>
    </w:p>
    <w:p w14:paraId="74E536E8" w14:textId="77777777" w:rsidR="00B3589F" w:rsidRPr="001170D2" w:rsidRDefault="005F2975" w:rsidP="00F72963">
      <w:pPr>
        <w:spacing w:line="360" w:lineRule="auto"/>
        <w:ind w:firstLine="720"/>
        <w:jc w:val="center"/>
        <w:rPr>
          <w:rFonts w:ascii="Arial" w:hAnsi="Arial" w:cs="Arial"/>
          <w:color w:val="000000"/>
        </w:rPr>
      </w:pPr>
      <w:r w:rsidRPr="001170D2">
        <w:rPr>
          <w:rFonts w:ascii="Arial" w:hAnsi="Arial" w:cs="Arial"/>
          <w:b/>
          <w:color w:val="000000"/>
        </w:rPr>
        <w:t>Figure 1:</w:t>
      </w:r>
      <w:r w:rsidRPr="001170D2">
        <w:rPr>
          <w:rFonts w:ascii="Arial" w:hAnsi="Arial" w:cs="Arial"/>
          <w:color w:val="000000"/>
        </w:rPr>
        <w:t xml:space="preserve"> Category of landlords in the UK (GOV.UK, 2022)</w:t>
      </w:r>
    </w:p>
    <w:p w14:paraId="18786615" w14:textId="77777777" w:rsidR="00921760" w:rsidRPr="001170D2" w:rsidRDefault="00921760" w:rsidP="000E2633">
      <w:pPr>
        <w:spacing w:line="360" w:lineRule="auto"/>
        <w:ind w:firstLine="720"/>
        <w:jc w:val="both"/>
        <w:rPr>
          <w:rFonts w:ascii="Arial" w:hAnsi="Arial" w:cs="Arial"/>
          <w:color w:val="000000"/>
        </w:rPr>
      </w:pPr>
    </w:p>
    <w:p w14:paraId="5DF0FA96" w14:textId="77777777" w:rsidR="00B3589F" w:rsidRPr="00F72963" w:rsidRDefault="00FD6EC5" w:rsidP="000E2633">
      <w:pPr>
        <w:spacing w:line="360" w:lineRule="auto"/>
        <w:jc w:val="both"/>
        <w:rPr>
          <w:rFonts w:ascii="Arial" w:hAnsi="Arial" w:cs="Arial"/>
          <w:color w:val="000000"/>
        </w:rPr>
      </w:pPr>
      <w:r w:rsidRPr="001170D2">
        <w:rPr>
          <w:rFonts w:ascii="Arial" w:hAnsi="Arial" w:cs="Arial"/>
          <w:color w:val="000000"/>
        </w:rPr>
        <w:lastRenderedPageBreak/>
        <w:t xml:space="preserve">                    </w:t>
      </w:r>
      <w:r w:rsidR="005F2975" w:rsidRPr="00F72963">
        <w:rPr>
          <w:rFonts w:ascii="Arial" w:hAnsi="Arial" w:cs="Arial"/>
          <w:color w:val="000000"/>
        </w:rPr>
        <w:t>The structural drivers of arrears include a wide range of interconnected factors. Many tenants are employed in precarious jobs that provide irregular or insufficient income and as a result their ability to pay rent consistently is undermined. Hardie (2024) emphasises the impact of Universal Credit which involves a five-week waiting period before the first payment is made and which has been consistently associated with the onset of arrears and increased demand for housing advice services. The unpredictability of welfare support combined with insecure employment produces a cycle of financial volatility that makes arrears almost inevitable for many households. Hickman (2021) also notes that these systemic flaws mean arrears are not simply a matter of individual irresponsibility but a predictable outcome of broader policy design and economic insecurity.</w:t>
      </w:r>
    </w:p>
    <w:p w14:paraId="00CA26DC" w14:textId="77777777" w:rsidR="00B3589F" w:rsidRPr="001170D2" w:rsidRDefault="005F2975" w:rsidP="000E2633">
      <w:pPr>
        <w:spacing w:line="360" w:lineRule="auto"/>
        <w:ind w:firstLine="720"/>
        <w:jc w:val="both"/>
        <w:rPr>
          <w:rFonts w:ascii="Arial" w:hAnsi="Arial" w:cs="Arial"/>
          <w:color w:val="000000"/>
        </w:rPr>
      </w:pPr>
      <w:r w:rsidRPr="00F72963">
        <w:rPr>
          <w:rFonts w:ascii="Arial" w:hAnsi="Arial" w:cs="Arial"/>
          <w:color w:val="000000"/>
        </w:rPr>
        <w:t xml:space="preserve">Another critical factor is the limited financial resilience of households in the lower income groups who are disproportionately represented in the private rented sector. McNally and Lally (2024) explain that these tenants are severely affected by the rise in essential living </w:t>
      </w:r>
      <w:r w:rsidR="00921760" w:rsidRPr="00F72963">
        <w:rPr>
          <w:rFonts w:ascii="Arial" w:hAnsi="Arial" w:cs="Arial"/>
          <w:color w:val="000000"/>
        </w:rPr>
        <w:t xml:space="preserve">costs including food and utilities </w:t>
      </w:r>
      <w:r w:rsidRPr="00F72963">
        <w:rPr>
          <w:rFonts w:ascii="Arial" w:hAnsi="Arial" w:cs="Arial"/>
          <w:color w:val="000000"/>
        </w:rPr>
        <w:t>and that with very little disposable income and no savings buffer even a small disruption such as an unexpected bill or short-term job loss can quickly lead to arrears</w:t>
      </w:r>
      <w:r w:rsidR="00921760" w:rsidRPr="00F72963">
        <w:rPr>
          <w:rFonts w:ascii="Arial" w:hAnsi="Arial" w:cs="Arial"/>
          <w:color w:val="000000"/>
        </w:rPr>
        <w:t xml:space="preserve"> </w:t>
      </w:r>
      <w:r w:rsidRPr="00F72963">
        <w:rPr>
          <w:rFonts w:ascii="Arial" w:hAnsi="Arial" w:cs="Arial"/>
          <w:color w:val="000000"/>
        </w:rPr>
        <w:t>(McNally and Lally, 2024). This evidence underlines that arrears must be understood as an outcome of structural vulnerability rather than as a failure of tenant management.</w:t>
      </w:r>
    </w:p>
    <w:p w14:paraId="204963C0" w14:textId="77777777" w:rsidR="00C61A23" w:rsidRPr="001170D2" w:rsidRDefault="00C61A23" w:rsidP="000E2633">
      <w:pPr>
        <w:spacing w:line="360" w:lineRule="auto"/>
        <w:ind w:firstLine="720"/>
        <w:jc w:val="both"/>
        <w:rPr>
          <w:rFonts w:ascii="Arial" w:hAnsi="Arial" w:cs="Arial"/>
          <w:color w:val="000000"/>
        </w:rPr>
      </w:pPr>
      <w:r w:rsidRPr="001170D2">
        <w:rPr>
          <w:rFonts w:ascii="Arial" w:hAnsi="Arial" w:cs="Arial"/>
          <w:color w:val="000000"/>
        </w:rPr>
        <w:t>Since the agents are intermediaries between landlords and tenants, they rely on timely rent payments to collect their management fees and commission (Hardie 2024). When tenants default on rent payments, the estate agents’ earnings are compromised since they derive their income from the collection of rent. Simultaneously, the landlords’ relationship with agents becomes strained as the former expect efficient rent collection and arrears management. According to McNally and Lally (2024), landlords increasingly evaluate agents' professionalism based on how well they manage tenant arrears. Thus, poorly handled arrears could cost the agent about lost landlord contracts.</w:t>
      </w:r>
    </w:p>
    <w:p w14:paraId="3A84831C" w14:textId="634EE52E" w:rsidR="00C61A23" w:rsidRDefault="00C61A23" w:rsidP="000E2633">
      <w:pPr>
        <w:spacing w:line="360" w:lineRule="auto"/>
        <w:ind w:firstLine="720"/>
        <w:jc w:val="both"/>
        <w:rPr>
          <w:rFonts w:ascii="Arial" w:hAnsi="Arial" w:cs="Arial"/>
          <w:color w:val="000000"/>
        </w:rPr>
      </w:pPr>
      <w:r w:rsidRPr="001170D2">
        <w:rPr>
          <w:rFonts w:ascii="Arial" w:hAnsi="Arial" w:cs="Arial"/>
          <w:color w:val="000000"/>
        </w:rPr>
        <w:t>The organization stands to lose on several fronts. Considerable effort and time must be devoted before the cases are taken to court (Hardie 2024). They also divert attention from core business activities such as property marketing, client acquisition and compliance oversight. For small and medium-sized agencies operating on tight budgets, this additional burden poses an existential threat (Hardie, 2024). As a result, arrears management is an unsustainable resource drain that threatens housing associations' business model.</w:t>
      </w:r>
    </w:p>
    <w:p w14:paraId="64BAF611" w14:textId="77777777" w:rsidR="00F72963" w:rsidRPr="001170D2" w:rsidRDefault="00F72963" w:rsidP="000E2633">
      <w:pPr>
        <w:spacing w:line="360" w:lineRule="auto"/>
        <w:ind w:firstLine="720"/>
        <w:jc w:val="both"/>
        <w:rPr>
          <w:rFonts w:ascii="Arial" w:hAnsi="Arial" w:cs="Arial"/>
          <w:color w:val="000000"/>
        </w:rPr>
      </w:pPr>
    </w:p>
    <w:p w14:paraId="7337A024" w14:textId="5B8635CF" w:rsidR="00B3589F" w:rsidRPr="001170D2" w:rsidRDefault="00C61A23" w:rsidP="000E2633">
      <w:pPr>
        <w:spacing w:line="360" w:lineRule="auto"/>
        <w:ind w:firstLine="720"/>
        <w:jc w:val="both"/>
        <w:rPr>
          <w:rFonts w:ascii="Arial" w:hAnsi="Arial" w:cs="Arial"/>
          <w:color w:val="000000"/>
        </w:rPr>
      </w:pPr>
      <w:r w:rsidRPr="001170D2">
        <w:rPr>
          <w:rFonts w:ascii="Arial" w:hAnsi="Arial" w:cs="Arial"/>
          <w:color w:val="000000"/>
        </w:rPr>
        <w:lastRenderedPageBreak/>
        <w:t>The fact that the issue persists through various market cycles and years shows that the private rented sector lacks resilience (McNally and Lally 2024). In turn, this predicament threatens estate agencies’ profitability and business continuity through reputational loss and operational disruption. (McNally and Lally, 2024).</w:t>
      </w:r>
    </w:p>
    <w:p w14:paraId="38077CE4" w14:textId="77777777" w:rsidR="00FD6EC5" w:rsidRPr="001170D2" w:rsidRDefault="00FD6EC5" w:rsidP="000E2633">
      <w:pPr>
        <w:spacing w:line="360" w:lineRule="auto"/>
        <w:ind w:firstLine="720"/>
        <w:jc w:val="both"/>
        <w:rPr>
          <w:rFonts w:ascii="Arial" w:hAnsi="Arial" w:cs="Arial"/>
          <w:color w:val="000000"/>
        </w:rPr>
      </w:pPr>
    </w:p>
    <w:p w14:paraId="124EFB64" w14:textId="77777777" w:rsidR="00FD6EC5" w:rsidRPr="001170D2" w:rsidRDefault="005F2975" w:rsidP="000E2633">
      <w:pPr>
        <w:pStyle w:val="Heading2"/>
        <w:spacing w:line="360" w:lineRule="auto"/>
        <w:rPr>
          <w:rFonts w:ascii="Arial" w:hAnsi="Arial" w:cs="Arial"/>
          <w:color w:val="000000"/>
          <w:sz w:val="22"/>
          <w:szCs w:val="22"/>
        </w:rPr>
      </w:pPr>
      <w:bookmarkStart w:id="4" w:name="_Toc214096795"/>
      <w:r w:rsidRPr="001170D2">
        <w:rPr>
          <w:rFonts w:ascii="Arial" w:hAnsi="Arial" w:cs="Arial"/>
          <w:color w:val="000000"/>
          <w:sz w:val="22"/>
          <w:szCs w:val="22"/>
        </w:rPr>
        <w:t xml:space="preserve">1.2 </w:t>
      </w:r>
      <w:r w:rsidRPr="007D5407">
        <w:rPr>
          <w:rFonts w:ascii="Arial" w:hAnsi="Arial" w:cs="Arial"/>
          <w:color w:val="000000"/>
        </w:rPr>
        <w:t>Practical Experience</w:t>
      </w:r>
      <w:bookmarkEnd w:id="4"/>
      <w:r w:rsidRPr="001170D2">
        <w:rPr>
          <w:rFonts w:ascii="Arial" w:hAnsi="Arial" w:cs="Arial"/>
          <w:color w:val="000000"/>
          <w:sz w:val="22"/>
          <w:szCs w:val="22"/>
        </w:rPr>
        <w:t xml:space="preserve"> </w:t>
      </w:r>
    </w:p>
    <w:p w14:paraId="7B0EE685" w14:textId="386057E6" w:rsidR="00B3589F" w:rsidRPr="001170D2" w:rsidRDefault="00DB4715" w:rsidP="000E2633">
      <w:pPr>
        <w:spacing w:line="360" w:lineRule="auto"/>
        <w:ind w:firstLine="720"/>
        <w:jc w:val="both"/>
        <w:rPr>
          <w:rFonts w:ascii="Arial" w:hAnsi="Arial" w:cs="Arial"/>
          <w:color w:val="000000"/>
        </w:rPr>
      </w:pPr>
      <w:r w:rsidRPr="001170D2">
        <w:rPr>
          <w:rFonts w:ascii="Arial" w:hAnsi="Arial" w:cs="Arial"/>
          <w:color w:val="000000"/>
        </w:rPr>
        <w:t xml:space="preserve">During my work at an estate agency, I observed how tenant arrears negatively affected the business’s daily operations and relationships with landlords. I noticed that when tenants were in arrears, the commission was reduced which affected the financial performance of the branch. I realised how much staff time was wasted chasing unpaid rent, arranging meetings with tenants, drafting formal notices and letters to landlords to manage their expectations. This placed additional workload-related stress on the small team and restricted the time available to focus on growing the business, which would include marketing properties and acquiring new clients. I also noted that landlords would sometimes threaten to withdraw properties from management if arrears persisted which was a constant worry for agents as they depended on reputation and were careful not to lose </w:t>
      </w:r>
      <w:r w:rsidR="005065DC" w:rsidRPr="001170D2">
        <w:rPr>
          <w:rFonts w:ascii="Arial" w:hAnsi="Arial" w:cs="Arial"/>
          <w:color w:val="000000"/>
        </w:rPr>
        <w:t>business.</w:t>
      </w:r>
    </w:p>
    <w:p w14:paraId="05AE6931" w14:textId="77777777" w:rsidR="00FD6EC5" w:rsidRPr="001170D2" w:rsidRDefault="00FD6EC5" w:rsidP="000E2633">
      <w:pPr>
        <w:spacing w:line="360" w:lineRule="auto"/>
        <w:ind w:firstLine="720"/>
        <w:jc w:val="both"/>
        <w:rPr>
          <w:rFonts w:ascii="Arial" w:hAnsi="Arial" w:cs="Arial"/>
          <w:color w:val="000000"/>
        </w:rPr>
      </w:pPr>
    </w:p>
    <w:p w14:paraId="0F062D6F" w14:textId="77777777" w:rsidR="00B3589F" w:rsidRPr="001170D2" w:rsidRDefault="005F2975" w:rsidP="000E2633">
      <w:pPr>
        <w:pStyle w:val="Heading2"/>
        <w:spacing w:line="360" w:lineRule="auto"/>
        <w:rPr>
          <w:rFonts w:ascii="Arial" w:hAnsi="Arial" w:cs="Arial"/>
          <w:color w:val="000000"/>
          <w:sz w:val="22"/>
          <w:szCs w:val="22"/>
        </w:rPr>
      </w:pPr>
      <w:bookmarkStart w:id="5" w:name="_Toc214096796"/>
      <w:r w:rsidRPr="001170D2">
        <w:rPr>
          <w:rFonts w:ascii="Arial" w:hAnsi="Arial" w:cs="Arial"/>
          <w:color w:val="000000"/>
          <w:sz w:val="22"/>
          <w:szCs w:val="22"/>
        </w:rPr>
        <w:t xml:space="preserve">1.3 </w:t>
      </w:r>
      <w:r w:rsidRPr="007D5407">
        <w:rPr>
          <w:rFonts w:ascii="Arial" w:hAnsi="Arial" w:cs="Arial"/>
          <w:color w:val="000000"/>
        </w:rPr>
        <w:t>Problem Statement</w:t>
      </w:r>
      <w:bookmarkEnd w:id="5"/>
      <w:r w:rsidRPr="001170D2">
        <w:rPr>
          <w:rFonts w:ascii="Arial" w:hAnsi="Arial" w:cs="Arial"/>
          <w:color w:val="000000"/>
          <w:sz w:val="22"/>
          <w:szCs w:val="22"/>
        </w:rPr>
        <w:t xml:space="preserve"> </w:t>
      </w:r>
    </w:p>
    <w:p w14:paraId="7B09AA60" w14:textId="69B285BC" w:rsidR="00B3589F" w:rsidRDefault="00DB4715" w:rsidP="000E2633">
      <w:pPr>
        <w:spacing w:line="360" w:lineRule="auto"/>
        <w:ind w:firstLine="720"/>
        <w:jc w:val="both"/>
        <w:rPr>
          <w:rFonts w:ascii="Arial" w:hAnsi="Arial" w:cs="Arial"/>
          <w:color w:val="000000"/>
        </w:rPr>
      </w:pPr>
      <w:r w:rsidRPr="001170D2">
        <w:rPr>
          <w:rFonts w:ascii="Arial" w:hAnsi="Arial" w:cs="Arial"/>
          <w:color w:val="000000"/>
        </w:rPr>
        <w:t xml:space="preserve">Tenant arrears pose a serious threat to the operational resilience and long-term sustainability of estate agents because the continuity of tenant arrears negatively affects their reputation, stability and growth. Organisational resilience theory emphasises the ability to adapt and remain functional under shocks, which is continuously tested by arrears as a combined financial and operational threat (McNally and Lally, 2024). </w:t>
      </w:r>
      <w:r w:rsidR="005065DC" w:rsidRPr="001170D2">
        <w:rPr>
          <w:rFonts w:ascii="Arial" w:hAnsi="Arial" w:cs="Arial"/>
          <w:color w:val="000000"/>
        </w:rPr>
        <w:t>Behavioural</w:t>
      </w:r>
      <w:r w:rsidRPr="001170D2">
        <w:rPr>
          <w:rFonts w:ascii="Arial" w:hAnsi="Arial" w:cs="Arial"/>
          <w:color w:val="000000"/>
        </w:rPr>
        <w:t xml:space="preserve"> economists also use the term “structural incentives” to describe patterns of </w:t>
      </w:r>
      <w:r w:rsidR="005065DC" w:rsidRPr="001170D2">
        <w:rPr>
          <w:rFonts w:ascii="Arial" w:hAnsi="Arial" w:cs="Arial"/>
          <w:color w:val="000000"/>
        </w:rPr>
        <w:t>behaviour</w:t>
      </w:r>
      <w:r w:rsidRPr="001170D2">
        <w:rPr>
          <w:rFonts w:ascii="Arial" w:hAnsi="Arial" w:cs="Arial"/>
          <w:color w:val="000000"/>
        </w:rPr>
        <w:t xml:space="preserve"> which means that payment arrears are not random but systemic. Without efficient strategies to control arrears, agents face the threat of losing both financial and organisational </w:t>
      </w:r>
      <w:r w:rsidR="005065DC" w:rsidRPr="001170D2">
        <w:rPr>
          <w:rFonts w:ascii="Arial" w:hAnsi="Arial" w:cs="Arial"/>
          <w:color w:val="000000"/>
        </w:rPr>
        <w:t>stability</w:t>
      </w:r>
      <w:r w:rsidR="005F2975" w:rsidRPr="001170D2">
        <w:rPr>
          <w:rFonts w:ascii="Arial" w:hAnsi="Arial" w:cs="Arial"/>
          <w:color w:val="000000"/>
        </w:rPr>
        <w:t>.</w:t>
      </w:r>
    </w:p>
    <w:p w14:paraId="00C17197" w14:textId="60B37950" w:rsidR="007D5407" w:rsidRDefault="007D5407" w:rsidP="000E2633">
      <w:pPr>
        <w:spacing w:line="360" w:lineRule="auto"/>
        <w:ind w:firstLine="720"/>
        <w:jc w:val="both"/>
        <w:rPr>
          <w:rFonts w:ascii="Arial" w:hAnsi="Arial" w:cs="Arial"/>
          <w:color w:val="000000"/>
        </w:rPr>
      </w:pPr>
    </w:p>
    <w:p w14:paraId="6041D411" w14:textId="6E642D95" w:rsidR="007D5407" w:rsidRDefault="007D5407" w:rsidP="000E2633">
      <w:pPr>
        <w:spacing w:line="360" w:lineRule="auto"/>
        <w:ind w:firstLine="720"/>
        <w:jc w:val="both"/>
        <w:rPr>
          <w:rFonts w:ascii="Arial" w:hAnsi="Arial" w:cs="Arial"/>
          <w:color w:val="000000"/>
        </w:rPr>
      </w:pPr>
    </w:p>
    <w:p w14:paraId="1435A611" w14:textId="083E3B67" w:rsidR="007D5407" w:rsidRDefault="007D5407" w:rsidP="000E2633">
      <w:pPr>
        <w:spacing w:line="360" w:lineRule="auto"/>
        <w:ind w:firstLine="720"/>
        <w:jc w:val="both"/>
        <w:rPr>
          <w:rFonts w:ascii="Arial" w:hAnsi="Arial" w:cs="Arial"/>
          <w:color w:val="000000"/>
        </w:rPr>
      </w:pPr>
    </w:p>
    <w:p w14:paraId="56799FE7" w14:textId="3AC533F4" w:rsidR="007D5407" w:rsidRDefault="007D5407" w:rsidP="000E2633">
      <w:pPr>
        <w:spacing w:line="360" w:lineRule="auto"/>
        <w:ind w:firstLine="720"/>
        <w:jc w:val="both"/>
        <w:rPr>
          <w:rFonts w:ascii="Arial" w:hAnsi="Arial" w:cs="Arial"/>
          <w:color w:val="000000"/>
        </w:rPr>
      </w:pPr>
    </w:p>
    <w:p w14:paraId="3A66DA54" w14:textId="77777777" w:rsidR="007D5407" w:rsidRPr="001170D2" w:rsidRDefault="007D5407" w:rsidP="000E2633">
      <w:pPr>
        <w:spacing w:line="360" w:lineRule="auto"/>
        <w:ind w:firstLine="720"/>
        <w:jc w:val="both"/>
        <w:rPr>
          <w:rFonts w:ascii="Arial" w:hAnsi="Arial" w:cs="Arial"/>
          <w:color w:val="000000"/>
        </w:rPr>
      </w:pPr>
    </w:p>
    <w:p w14:paraId="3CDA27C6" w14:textId="77777777" w:rsidR="00FD6EC5" w:rsidRPr="001170D2" w:rsidRDefault="00FD6EC5" w:rsidP="000E2633">
      <w:pPr>
        <w:spacing w:line="360" w:lineRule="auto"/>
        <w:ind w:firstLine="720"/>
        <w:jc w:val="both"/>
        <w:rPr>
          <w:rFonts w:ascii="Arial" w:hAnsi="Arial" w:cs="Arial"/>
          <w:color w:val="000000"/>
        </w:rPr>
      </w:pPr>
    </w:p>
    <w:p w14:paraId="1834BD5C" w14:textId="77777777" w:rsidR="00B3589F" w:rsidRPr="001170D2" w:rsidRDefault="005F2975" w:rsidP="000E2633">
      <w:pPr>
        <w:pStyle w:val="Heading2"/>
        <w:spacing w:line="360" w:lineRule="auto"/>
        <w:rPr>
          <w:rFonts w:ascii="Arial" w:hAnsi="Arial" w:cs="Arial"/>
          <w:color w:val="000000"/>
          <w:sz w:val="22"/>
          <w:szCs w:val="22"/>
        </w:rPr>
      </w:pPr>
      <w:bookmarkStart w:id="6" w:name="_bzghc99ikcut" w:colFirst="0" w:colLast="0"/>
      <w:bookmarkStart w:id="7" w:name="_Toc214096797"/>
      <w:bookmarkEnd w:id="6"/>
      <w:r w:rsidRPr="001170D2">
        <w:rPr>
          <w:rFonts w:ascii="Arial" w:hAnsi="Arial" w:cs="Arial"/>
          <w:color w:val="000000"/>
          <w:sz w:val="22"/>
          <w:szCs w:val="22"/>
        </w:rPr>
        <w:lastRenderedPageBreak/>
        <w:t xml:space="preserve">1.4 </w:t>
      </w:r>
      <w:r w:rsidRPr="007D5407">
        <w:rPr>
          <w:rFonts w:ascii="Arial" w:hAnsi="Arial" w:cs="Arial"/>
          <w:color w:val="000000"/>
        </w:rPr>
        <w:t>Research Aim and Objectives</w:t>
      </w:r>
      <w:bookmarkEnd w:id="7"/>
    </w:p>
    <w:p w14:paraId="3A513183" w14:textId="77777777" w:rsidR="00FD6EC5" w:rsidRPr="001170D2" w:rsidRDefault="00FD6EC5" w:rsidP="000E2633">
      <w:pPr>
        <w:spacing w:line="360" w:lineRule="auto"/>
        <w:jc w:val="both"/>
        <w:rPr>
          <w:rFonts w:ascii="Arial" w:hAnsi="Arial" w:cs="Arial"/>
        </w:rPr>
      </w:pPr>
    </w:p>
    <w:p w14:paraId="57E5462E" w14:textId="77777777" w:rsidR="00B3589F" w:rsidRPr="001170D2" w:rsidRDefault="005F2975" w:rsidP="000E2633">
      <w:pPr>
        <w:pStyle w:val="Heading3"/>
      </w:pPr>
      <w:bookmarkStart w:id="8" w:name="_co5foxktmown" w:colFirst="0" w:colLast="0"/>
      <w:bookmarkStart w:id="9" w:name="_Toc214096798"/>
      <w:bookmarkEnd w:id="8"/>
      <w:r w:rsidRPr="001170D2">
        <w:t>1.4.1 Aim</w:t>
      </w:r>
      <w:bookmarkEnd w:id="9"/>
    </w:p>
    <w:p w14:paraId="11C23984" w14:textId="77777777" w:rsidR="00B3589F" w:rsidRPr="001170D2" w:rsidRDefault="005F2975" w:rsidP="000E2633">
      <w:pPr>
        <w:spacing w:before="0" w:line="360" w:lineRule="auto"/>
        <w:ind w:firstLine="720"/>
        <w:jc w:val="both"/>
        <w:rPr>
          <w:rFonts w:ascii="Arial" w:hAnsi="Arial" w:cs="Arial"/>
          <w:color w:val="000000"/>
        </w:rPr>
      </w:pPr>
      <w:r w:rsidRPr="001170D2">
        <w:rPr>
          <w:rFonts w:ascii="Arial" w:hAnsi="Arial" w:cs="Arial"/>
          <w:color w:val="000000"/>
        </w:rPr>
        <w:t>To explore and evaluate cost-effective strategies that can enhance resilience among UK estate agents facing tenant arrears.</w:t>
      </w:r>
    </w:p>
    <w:p w14:paraId="63253885" w14:textId="77777777" w:rsidR="00FD6EC5" w:rsidRPr="001170D2" w:rsidRDefault="00FD6EC5" w:rsidP="000E2633">
      <w:pPr>
        <w:spacing w:before="0" w:line="360" w:lineRule="auto"/>
        <w:ind w:firstLine="720"/>
        <w:jc w:val="both"/>
        <w:rPr>
          <w:rFonts w:ascii="Arial" w:hAnsi="Arial" w:cs="Arial"/>
          <w:color w:val="000000"/>
        </w:rPr>
      </w:pPr>
    </w:p>
    <w:p w14:paraId="25F62FAB" w14:textId="77777777" w:rsidR="00B3589F" w:rsidRPr="001170D2" w:rsidRDefault="005F2975" w:rsidP="000E2633">
      <w:pPr>
        <w:pStyle w:val="Heading3"/>
      </w:pPr>
      <w:bookmarkStart w:id="10" w:name="_2cuu9kpccvhf" w:colFirst="0" w:colLast="0"/>
      <w:bookmarkStart w:id="11" w:name="_Toc214096799"/>
      <w:bookmarkEnd w:id="10"/>
      <w:r w:rsidRPr="001170D2">
        <w:t>1.4.2 Objectives</w:t>
      </w:r>
      <w:bookmarkEnd w:id="11"/>
    </w:p>
    <w:p w14:paraId="708F756E" w14:textId="77777777" w:rsidR="00B3589F" w:rsidRPr="001170D2" w:rsidRDefault="005F2975" w:rsidP="000E2633">
      <w:pPr>
        <w:numPr>
          <w:ilvl w:val="0"/>
          <w:numId w:val="1"/>
        </w:numPr>
        <w:pBdr>
          <w:top w:val="nil"/>
          <w:left w:val="nil"/>
          <w:bottom w:val="nil"/>
          <w:right w:val="nil"/>
          <w:between w:val="nil"/>
        </w:pBdr>
        <w:spacing w:before="0" w:line="360" w:lineRule="auto"/>
        <w:jc w:val="both"/>
        <w:rPr>
          <w:rFonts w:ascii="Arial" w:hAnsi="Arial" w:cs="Arial"/>
          <w:color w:val="000000"/>
        </w:rPr>
      </w:pPr>
      <w:r w:rsidRPr="001170D2">
        <w:rPr>
          <w:rFonts w:ascii="Arial" w:hAnsi="Arial" w:cs="Arial"/>
          <w:color w:val="000000"/>
        </w:rPr>
        <w:t>To identify the key causes and patterns of tenant arrears affecting estate agents in the UK.</w:t>
      </w:r>
    </w:p>
    <w:p w14:paraId="4A98F3A6" w14:textId="77777777" w:rsidR="00B3589F" w:rsidRPr="001170D2" w:rsidRDefault="005F2975" w:rsidP="000E2633">
      <w:pPr>
        <w:numPr>
          <w:ilvl w:val="0"/>
          <w:numId w:val="1"/>
        </w:numPr>
        <w:pBdr>
          <w:top w:val="nil"/>
          <w:left w:val="nil"/>
          <w:bottom w:val="nil"/>
          <w:right w:val="nil"/>
          <w:between w:val="nil"/>
        </w:pBdr>
        <w:spacing w:before="0" w:line="360" w:lineRule="auto"/>
        <w:jc w:val="both"/>
        <w:rPr>
          <w:rFonts w:ascii="Arial" w:hAnsi="Arial" w:cs="Arial"/>
          <w:color w:val="000000"/>
        </w:rPr>
      </w:pPr>
      <w:r w:rsidRPr="001170D2">
        <w:rPr>
          <w:rFonts w:ascii="Arial" w:hAnsi="Arial" w:cs="Arial"/>
          <w:color w:val="000000"/>
        </w:rPr>
        <w:t>To assess the financial and operational impact of tenant arrears on estate agents.</w:t>
      </w:r>
    </w:p>
    <w:p w14:paraId="68C7F65A" w14:textId="77777777" w:rsidR="00B3589F" w:rsidRPr="001170D2" w:rsidRDefault="005F2975" w:rsidP="000E2633">
      <w:pPr>
        <w:numPr>
          <w:ilvl w:val="0"/>
          <w:numId w:val="1"/>
        </w:numPr>
        <w:pBdr>
          <w:top w:val="nil"/>
          <w:left w:val="nil"/>
          <w:bottom w:val="nil"/>
          <w:right w:val="nil"/>
          <w:between w:val="nil"/>
        </w:pBdr>
        <w:spacing w:before="0" w:line="360" w:lineRule="auto"/>
        <w:jc w:val="both"/>
        <w:rPr>
          <w:rFonts w:ascii="Arial" w:hAnsi="Arial" w:cs="Arial"/>
          <w:color w:val="000000"/>
        </w:rPr>
      </w:pPr>
      <w:r w:rsidRPr="001170D2">
        <w:rPr>
          <w:rFonts w:ascii="Arial" w:hAnsi="Arial" w:cs="Arial"/>
          <w:color w:val="000000"/>
        </w:rPr>
        <w:t>To examine and evaluate cost-effective strategies used by estate agents to manage and recover from tenant arrears.</w:t>
      </w:r>
    </w:p>
    <w:p w14:paraId="5A42CCBC" w14:textId="77777777" w:rsidR="00FD6EC5" w:rsidRPr="001170D2" w:rsidRDefault="00FD6EC5" w:rsidP="000E2633">
      <w:pPr>
        <w:pBdr>
          <w:top w:val="nil"/>
          <w:left w:val="nil"/>
          <w:bottom w:val="nil"/>
          <w:right w:val="nil"/>
          <w:between w:val="nil"/>
        </w:pBdr>
        <w:spacing w:before="0" w:line="360" w:lineRule="auto"/>
        <w:ind w:left="720"/>
        <w:jc w:val="both"/>
        <w:rPr>
          <w:rFonts w:ascii="Arial" w:hAnsi="Arial" w:cs="Arial"/>
          <w:color w:val="000000"/>
        </w:rPr>
      </w:pPr>
    </w:p>
    <w:p w14:paraId="4FB533AB" w14:textId="77777777" w:rsidR="00B3589F" w:rsidRPr="001170D2" w:rsidRDefault="005F2975" w:rsidP="000E2633">
      <w:pPr>
        <w:pStyle w:val="Heading2"/>
        <w:spacing w:line="360" w:lineRule="auto"/>
        <w:rPr>
          <w:rFonts w:ascii="Arial" w:hAnsi="Arial" w:cs="Arial"/>
          <w:color w:val="000000"/>
          <w:sz w:val="22"/>
          <w:szCs w:val="22"/>
        </w:rPr>
      </w:pPr>
      <w:bookmarkStart w:id="12" w:name="_Toc214096800"/>
      <w:r w:rsidRPr="001170D2">
        <w:rPr>
          <w:rFonts w:ascii="Arial" w:hAnsi="Arial" w:cs="Arial"/>
          <w:color w:val="000000"/>
          <w:sz w:val="22"/>
          <w:szCs w:val="22"/>
        </w:rPr>
        <w:t xml:space="preserve">1.5 </w:t>
      </w:r>
      <w:r w:rsidRPr="007D5407">
        <w:rPr>
          <w:rFonts w:ascii="Arial" w:hAnsi="Arial" w:cs="Arial"/>
          <w:color w:val="000000"/>
        </w:rPr>
        <w:t>Rationale</w:t>
      </w:r>
      <w:bookmarkEnd w:id="12"/>
      <w:r w:rsidRPr="007D5407">
        <w:rPr>
          <w:rFonts w:ascii="Arial" w:hAnsi="Arial" w:cs="Arial"/>
          <w:color w:val="000000"/>
        </w:rPr>
        <w:t xml:space="preserve"> </w:t>
      </w:r>
    </w:p>
    <w:p w14:paraId="758C0C1F" w14:textId="45C7DC76" w:rsidR="00FD6EC5" w:rsidRDefault="00DB4715" w:rsidP="000E2633">
      <w:pPr>
        <w:spacing w:line="360" w:lineRule="auto"/>
        <w:ind w:firstLine="720"/>
        <w:jc w:val="both"/>
        <w:rPr>
          <w:rFonts w:ascii="Arial" w:hAnsi="Arial" w:cs="Arial"/>
          <w:color w:val="000000"/>
        </w:rPr>
      </w:pPr>
      <w:r w:rsidRPr="001170D2">
        <w:rPr>
          <w:rFonts w:ascii="Arial" w:hAnsi="Arial" w:cs="Arial"/>
          <w:color w:val="000000"/>
        </w:rPr>
        <w:t xml:space="preserve">The study is significant to both scholars and professionals. The study also targets the ways real estate agents respond to continuous financial threats in the private renting market (McNally and Lally, 2024). It expands theoretical discussions on organisational resilience and behavioural economics into the real estate markets. The study also seeks to address the practical issue of establishing affordable, credible and sustainable strategies for competitive survival in a volatile rental market by estate </w:t>
      </w:r>
      <w:r w:rsidR="005065DC" w:rsidRPr="001170D2">
        <w:rPr>
          <w:rFonts w:ascii="Arial" w:hAnsi="Arial" w:cs="Arial"/>
          <w:color w:val="000000"/>
        </w:rPr>
        <w:t>agents.</w:t>
      </w:r>
    </w:p>
    <w:p w14:paraId="1F61669F" w14:textId="77777777" w:rsidR="007D5407" w:rsidRPr="001170D2" w:rsidRDefault="007D5407" w:rsidP="000E2633">
      <w:pPr>
        <w:spacing w:line="360" w:lineRule="auto"/>
        <w:ind w:firstLine="720"/>
        <w:jc w:val="both"/>
        <w:rPr>
          <w:rFonts w:ascii="Arial" w:hAnsi="Arial" w:cs="Arial"/>
          <w:color w:val="000000"/>
        </w:rPr>
      </w:pPr>
    </w:p>
    <w:p w14:paraId="18B9FBC6" w14:textId="77777777" w:rsidR="00B3589F" w:rsidRPr="001170D2" w:rsidRDefault="005F2975" w:rsidP="000E2633">
      <w:pPr>
        <w:pStyle w:val="Heading2"/>
        <w:spacing w:line="360" w:lineRule="auto"/>
        <w:rPr>
          <w:rFonts w:ascii="Arial" w:hAnsi="Arial" w:cs="Arial"/>
          <w:color w:val="000000"/>
          <w:sz w:val="22"/>
          <w:szCs w:val="22"/>
        </w:rPr>
      </w:pPr>
      <w:bookmarkStart w:id="13" w:name="_Toc214096801"/>
      <w:r w:rsidRPr="001170D2">
        <w:rPr>
          <w:rFonts w:ascii="Arial" w:hAnsi="Arial" w:cs="Arial"/>
          <w:color w:val="000000"/>
          <w:sz w:val="22"/>
          <w:szCs w:val="22"/>
        </w:rPr>
        <w:t xml:space="preserve">1.6 </w:t>
      </w:r>
      <w:r w:rsidRPr="007D5407">
        <w:rPr>
          <w:rFonts w:ascii="Arial" w:hAnsi="Arial" w:cs="Arial"/>
          <w:color w:val="000000"/>
        </w:rPr>
        <w:t>Outline of Dissertation</w:t>
      </w:r>
      <w:bookmarkEnd w:id="13"/>
      <w:r w:rsidRPr="001170D2">
        <w:rPr>
          <w:rFonts w:ascii="Arial" w:hAnsi="Arial" w:cs="Arial"/>
          <w:color w:val="000000"/>
          <w:sz w:val="22"/>
          <w:szCs w:val="22"/>
        </w:rPr>
        <w:t xml:space="preserve"> </w:t>
      </w:r>
    </w:p>
    <w:p w14:paraId="31FC8DCF" w14:textId="77777777" w:rsidR="00B3589F" w:rsidRPr="007D5407" w:rsidRDefault="004A3079" w:rsidP="000E2633">
      <w:pPr>
        <w:pBdr>
          <w:top w:val="nil"/>
          <w:left w:val="nil"/>
          <w:bottom w:val="nil"/>
          <w:right w:val="nil"/>
          <w:between w:val="nil"/>
        </w:pBdr>
        <w:spacing w:line="360" w:lineRule="auto"/>
        <w:jc w:val="both"/>
        <w:rPr>
          <w:rFonts w:ascii="Arial" w:hAnsi="Arial" w:cs="Arial"/>
          <w:color w:val="000000"/>
        </w:rPr>
      </w:pPr>
      <w:r w:rsidRPr="001170D2">
        <w:rPr>
          <w:rFonts w:ascii="Arial" w:hAnsi="Arial" w:cs="Arial"/>
          <w:color w:val="000000"/>
        </w:rPr>
        <w:t xml:space="preserve">             </w:t>
      </w:r>
      <w:r w:rsidRPr="007D5407">
        <w:rPr>
          <w:rFonts w:ascii="Arial" w:hAnsi="Arial" w:cs="Arial"/>
          <w:b/>
          <w:color w:val="000000"/>
        </w:rPr>
        <w:t>1.6.1</w:t>
      </w:r>
      <w:r w:rsidRPr="007D5407">
        <w:rPr>
          <w:rFonts w:ascii="Arial" w:hAnsi="Arial" w:cs="Arial"/>
          <w:color w:val="000000"/>
        </w:rPr>
        <w:t xml:space="preserve"> </w:t>
      </w:r>
      <w:r w:rsidR="005F2975" w:rsidRPr="007D5407">
        <w:rPr>
          <w:rFonts w:ascii="Arial" w:hAnsi="Arial" w:cs="Arial"/>
          <w:color w:val="000000"/>
        </w:rPr>
        <w:t xml:space="preserve">The dissertation is organised into several chapters to provide a clear and logical structure. The first chapter introduces the topic and establishes the research aims and objectives. </w:t>
      </w:r>
    </w:p>
    <w:p w14:paraId="40D8FE7D" w14:textId="77777777" w:rsidR="00B3589F" w:rsidRPr="007D5407" w:rsidRDefault="004A3079" w:rsidP="000E2633">
      <w:pPr>
        <w:pBdr>
          <w:top w:val="nil"/>
          <w:left w:val="nil"/>
          <w:bottom w:val="nil"/>
          <w:right w:val="nil"/>
          <w:between w:val="nil"/>
        </w:pBdr>
        <w:spacing w:before="0" w:line="360" w:lineRule="auto"/>
        <w:jc w:val="both"/>
        <w:rPr>
          <w:rFonts w:ascii="Arial" w:hAnsi="Arial" w:cs="Arial"/>
          <w:color w:val="000000"/>
        </w:rPr>
      </w:pPr>
      <w:r w:rsidRPr="007D5407">
        <w:rPr>
          <w:rFonts w:ascii="Arial" w:hAnsi="Arial" w:cs="Arial"/>
          <w:b/>
          <w:color w:val="000000"/>
        </w:rPr>
        <w:t xml:space="preserve">             1.6.2</w:t>
      </w:r>
      <w:r w:rsidRPr="007D5407">
        <w:rPr>
          <w:rFonts w:ascii="Arial" w:hAnsi="Arial" w:cs="Arial"/>
          <w:color w:val="000000"/>
        </w:rPr>
        <w:t xml:space="preserve"> </w:t>
      </w:r>
      <w:r w:rsidR="005F2975" w:rsidRPr="007D5407">
        <w:rPr>
          <w:rFonts w:ascii="Arial" w:hAnsi="Arial" w:cs="Arial"/>
          <w:color w:val="000000"/>
        </w:rPr>
        <w:t xml:space="preserve">The second chapter presents a critical literature review that examines existing scholarship on tenant arrears risk management and resilience. </w:t>
      </w:r>
    </w:p>
    <w:p w14:paraId="5FA7D567" w14:textId="77777777" w:rsidR="00B3589F" w:rsidRPr="007D5407" w:rsidRDefault="004A3079" w:rsidP="000E2633">
      <w:pPr>
        <w:pBdr>
          <w:top w:val="nil"/>
          <w:left w:val="nil"/>
          <w:bottom w:val="nil"/>
          <w:right w:val="nil"/>
          <w:between w:val="nil"/>
        </w:pBdr>
        <w:spacing w:before="0" w:line="360" w:lineRule="auto"/>
        <w:jc w:val="both"/>
        <w:rPr>
          <w:rFonts w:ascii="Arial" w:hAnsi="Arial" w:cs="Arial"/>
          <w:color w:val="000000"/>
        </w:rPr>
      </w:pPr>
      <w:r w:rsidRPr="007D5407">
        <w:rPr>
          <w:rFonts w:ascii="Arial" w:hAnsi="Arial" w:cs="Arial"/>
          <w:b/>
          <w:color w:val="000000"/>
        </w:rPr>
        <w:t xml:space="preserve">              1.6.3</w:t>
      </w:r>
      <w:r w:rsidRPr="007D5407">
        <w:rPr>
          <w:rFonts w:ascii="Arial" w:hAnsi="Arial" w:cs="Arial"/>
          <w:color w:val="000000"/>
        </w:rPr>
        <w:t xml:space="preserve"> </w:t>
      </w:r>
      <w:r w:rsidR="005F2975" w:rsidRPr="007D5407">
        <w:rPr>
          <w:rFonts w:ascii="Arial" w:hAnsi="Arial" w:cs="Arial"/>
          <w:color w:val="000000"/>
        </w:rPr>
        <w:t xml:space="preserve">The third chapter outlines the research methodology including philosophy approach data sources and ethical considerations. </w:t>
      </w:r>
    </w:p>
    <w:p w14:paraId="44B2C202" w14:textId="77777777" w:rsidR="00B3589F" w:rsidRPr="007D5407" w:rsidRDefault="004A3079" w:rsidP="000E2633">
      <w:pPr>
        <w:pBdr>
          <w:top w:val="nil"/>
          <w:left w:val="nil"/>
          <w:bottom w:val="nil"/>
          <w:right w:val="nil"/>
          <w:between w:val="nil"/>
        </w:pBdr>
        <w:spacing w:before="0" w:line="360" w:lineRule="auto"/>
        <w:jc w:val="both"/>
        <w:rPr>
          <w:rFonts w:ascii="Arial" w:hAnsi="Arial" w:cs="Arial"/>
          <w:color w:val="000000"/>
        </w:rPr>
      </w:pPr>
      <w:r w:rsidRPr="007D5407">
        <w:rPr>
          <w:rFonts w:ascii="Arial" w:hAnsi="Arial" w:cs="Arial"/>
          <w:b/>
          <w:color w:val="000000"/>
        </w:rPr>
        <w:t xml:space="preserve">              1.6.4</w:t>
      </w:r>
      <w:r w:rsidRPr="007D5407">
        <w:rPr>
          <w:rFonts w:ascii="Arial" w:hAnsi="Arial" w:cs="Arial"/>
          <w:color w:val="000000"/>
        </w:rPr>
        <w:t xml:space="preserve"> </w:t>
      </w:r>
      <w:r w:rsidR="005F2975" w:rsidRPr="007D5407">
        <w:rPr>
          <w:rFonts w:ascii="Arial" w:hAnsi="Arial" w:cs="Arial"/>
          <w:color w:val="000000"/>
        </w:rPr>
        <w:t xml:space="preserve">The fourth chapter presents and analyses the findings from documentary data focusing on the themes of arrears causes impacts and strategies. </w:t>
      </w:r>
    </w:p>
    <w:p w14:paraId="18C9AEA8" w14:textId="77777777" w:rsidR="00B3589F" w:rsidRPr="001170D2" w:rsidRDefault="004A3079" w:rsidP="000E2633">
      <w:pPr>
        <w:pBdr>
          <w:top w:val="nil"/>
          <w:left w:val="nil"/>
          <w:bottom w:val="nil"/>
          <w:right w:val="nil"/>
          <w:between w:val="nil"/>
        </w:pBdr>
        <w:spacing w:before="0" w:line="360" w:lineRule="auto"/>
        <w:jc w:val="both"/>
        <w:rPr>
          <w:rFonts w:ascii="Arial" w:hAnsi="Arial" w:cs="Arial"/>
          <w:color w:val="000000"/>
        </w:rPr>
      </w:pPr>
      <w:r w:rsidRPr="007D5407">
        <w:rPr>
          <w:rFonts w:ascii="Arial" w:hAnsi="Arial" w:cs="Arial"/>
          <w:b/>
          <w:color w:val="000000"/>
        </w:rPr>
        <w:t xml:space="preserve">              1.6.5</w:t>
      </w:r>
      <w:r w:rsidRPr="007D5407">
        <w:rPr>
          <w:rFonts w:ascii="Arial" w:hAnsi="Arial" w:cs="Arial"/>
          <w:color w:val="000000"/>
        </w:rPr>
        <w:t xml:space="preserve"> </w:t>
      </w:r>
      <w:r w:rsidR="005F2975" w:rsidRPr="007D5407">
        <w:rPr>
          <w:rFonts w:ascii="Arial" w:hAnsi="Arial" w:cs="Arial"/>
          <w:color w:val="000000"/>
        </w:rPr>
        <w:t>The fifth chapter discusses the conclusions and recommendations highlighting implications for both theory</w:t>
      </w:r>
      <w:r w:rsidR="005F2975" w:rsidRPr="001170D2">
        <w:rPr>
          <w:rFonts w:ascii="Arial" w:hAnsi="Arial" w:cs="Arial"/>
          <w:color w:val="000000"/>
        </w:rPr>
        <w:t xml:space="preserve"> and estate agency practice.</w:t>
      </w:r>
    </w:p>
    <w:p w14:paraId="0C3E140A" w14:textId="77777777" w:rsidR="00B3589F" w:rsidRPr="001170D2" w:rsidRDefault="005F2975" w:rsidP="000E2633">
      <w:pPr>
        <w:pStyle w:val="Heading1"/>
        <w:spacing w:before="280" w:after="280" w:line="360" w:lineRule="auto"/>
        <w:jc w:val="both"/>
        <w:rPr>
          <w:rFonts w:ascii="Arial" w:eastAsia="Calibri" w:hAnsi="Arial" w:cs="Arial"/>
          <w:color w:val="000000"/>
          <w:sz w:val="22"/>
          <w:szCs w:val="22"/>
        </w:rPr>
      </w:pPr>
      <w:bookmarkStart w:id="14" w:name="_Toc214096802"/>
      <w:r w:rsidRPr="001170D2">
        <w:rPr>
          <w:rFonts w:ascii="Arial" w:eastAsia="Calibri" w:hAnsi="Arial" w:cs="Arial"/>
          <w:color w:val="000000"/>
          <w:sz w:val="22"/>
          <w:szCs w:val="22"/>
        </w:rPr>
        <w:lastRenderedPageBreak/>
        <w:t xml:space="preserve">2.0 </w:t>
      </w:r>
      <w:r w:rsidRPr="00E0219F">
        <w:rPr>
          <w:rFonts w:ascii="Arial" w:eastAsia="Calibri" w:hAnsi="Arial" w:cs="Arial"/>
          <w:color w:val="000000"/>
        </w:rPr>
        <w:t>Literature Review</w:t>
      </w:r>
      <w:bookmarkEnd w:id="14"/>
      <w:r w:rsidRPr="001170D2">
        <w:rPr>
          <w:rFonts w:ascii="Arial" w:eastAsia="Calibri" w:hAnsi="Arial" w:cs="Arial"/>
          <w:color w:val="000000"/>
          <w:sz w:val="22"/>
          <w:szCs w:val="22"/>
        </w:rPr>
        <w:t xml:space="preserve"> </w:t>
      </w:r>
    </w:p>
    <w:p w14:paraId="44936F2B" w14:textId="77777777" w:rsidR="00B3589F" w:rsidRPr="001170D2" w:rsidRDefault="00FD6EC5" w:rsidP="000E2633">
      <w:pPr>
        <w:spacing w:before="0" w:line="360" w:lineRule="auto"/>
        <w:jc w:val="both"/>
        <w:rPr>
          <w:rFonts w:ascii="Arial" w:hAnsi="Arial" w:cs="Arial"/>
          <w:color w:val="000000"/>
        </w:rPr>
      </w:pPr>
      <w:r w:rsidRPr="001170D2">
        <w:rPr>
          <w:rFonts w:ascii="Arial" w:hAnsi="Arial" w:cs="Arial"/>
          <w:color w:val="000000"/>
        </w:rPr>
        <w:t xml:space="preserve">                 </w:t>
      </w:r>
      <w:r w:rsidR="005F2975" w:rsidRPr="001170D2">
        <w:rPr>
          <w:rFonts w:ascii="Arial" w:hAnsi="Arial" w:cs="Arial"/>
          <w:color w:val="000000"/>
        </w:rPr>
        <w:t>Th</w:t>
      </w:r>
      <w:r w:rsidR="004A3079" w:rsidRPr="001170D2">
        <w:rPr>
          <w:rFonts w:ascii="Arial" w:hAnsi="Arial" w:cs="Arial"/>
          <w:color w:val="000000"/>
        </w:rPr>
        <w:t xml:space="preserve">is chapter critically examines </w:t>
      </w:r>
      <w:r w:rsidR="005F2975" w:rsidRPr="001170D2">
        <w:rPr>
          <w:rFonts w:ascii="Arial" w:hAnsi="Arial" w:cs="Arial"/>
          <w:color w:val="000000"/>
        </w:rPr>
        <w:t>the themes on tenant arrears, provides the gap, conceptual framework and the hypothesis for the study.</w:t>
      </w:r>
    </w:p>
    <w:p w14:paraId="671C8C8D" w14:textId="77777777" w:rsidR="00FD6EC5" w:rsidRPr="001170D2" w:rsidRDefault="00FD6EC5" w:rsidP="000E2633">
      <w:pPr>
        <w:spacing w:before="0" w:line="360" w:lineRule="auto"/>
        <w:jc w:val="both"/>
        <w:rPr>
          <w:rFonts w:ascii="Arial" w:hAnsi="Arial" w:cs="Arial"/>
          <w:color w:val="000000"/>
        </w:rPr>
      </w:pPr>
    </w:p>
    <w:p w14:paraId="4D48E573" w14:textId="77777777" w:rsidR="00B3589F" w:rsidRPr="001170D2" w:rsidRDefault="005F2975" w:rsidP="000E2633">
      <w:pPr>
        <w:pStyle w:val="Heading2"/>
        <w:spacing w:line="360" w:lineRule="auto"/>
        <w:rPr>
          <w:rFonts w:ascii="Arial" w:hAnsi="Arial" w:cs="Arial"/>
          <w:color w:val="000000"/>
          <w:sz w:val="22"/>
          <w:szCs w:val="22"/>
        </w:rPr>
      </w:pPr>
      <w:bookmarkStart w:id="15" w:name="_2ofqm4qtu1c" w:colFirst="0" w:colLast="0"/>
      <w:bookmarkStart w:id="16" w:name="_Toc214096803"/>
      <w:bookmarkEnd w:id="15"/>
      <w:r w:rsidRPr="001170D2">
        <w:rPr>
          <w:rFonts w:ascii="Arial" w:hAnsi="Arial" w:cs="Arial"/>
          <w:color w:val="000000"/>
          <w:sz w:val="22"/>
          <w:szCs w:val="22"/>
        </w:rPr>
        <w:t xml:space="preserve">2.1 </w:t>
      </w:r>
      <w:r w:rsidRPr="00E0219F">
        <w:rPr>
          <w:rFonts w:ascii="Arial" w:hAnsi="Arial" w:cs="Arial"/>
          <w:color w:val="000000"/>
        </w:rPr>
        <w:t>Tenant Arrears Concept</w:t>
      </w:r>
      <w:bookmarkEnd w:id="16"/>
    </w:p>
    <w:p w14:paraId="009739A8" w14:textId="7FDB0BD7" w:rsidR="006D1358" w:rsidRPr="001170D2" w:rsidRDefault="00FD6EC5" w:rsidP="000E2633">
      <w:pPr>
        <w:spacing w:before="0" w:line="360" w:lineRule="auto"/>
        <w:jc w:val="both"/>
        <w:rPr>
          <w:rFonts w:ascii="Arial" w:hAnsi="Arial" w:cs="Arial"/>
          <w:color w:val="000000"/>
        </w:rPr>
      </w:pPr>
      <w:r w:rsidRPr="001170D2">
        <w:rPr>
          <w:rFonts w:ascii="Arial" w:hAnsi="Arial" w:cs="Arial"/>
          <w:color w:val="000000"/>
        </w:rPr>
        <w:t xml:space="preserve">                </w:t>
      </w:r>
      <w:r w:rsidR="005F2975" w:rsidRPr="00E0219F">
        <w:rPr>
          <w:rFonts w:ascii="Arial" w:hAnsi="Arial" w:cs="Arial"/>
          <w:color w:val="000000"/>
        </w:rPr>
        <w:t>Tenant arrears are those which have not been paid or paid late during a tenancy. This has become a major problem in the UK occasioned by various overlapping factors. According to Hickman (2021), struct</w:t>
      </w:r>
      <w:r w:rsidR="00E61849" w:rsidRPr="00E0219F">
        <w:rPr>
          <w:rFonts w:ascii="Arial" w:hAnsi="Arial" w:cs="Arial"/>
          <w:color w:val="000000"/>
        </w:rPr>
        <w:t>ural causes may include the</w:t>
      </w:r>
      <w:r w:rsidR="009B0598" w:rsidRPr="00E0219F">
        <w:rPr>
          <w:rFonts w:ascii="Arial" w:hAnsi="Arial" w:cs="Arial"/>
          <w:color w:val="000000"/>
        </w:rPr>
        <w:t xml:space="preserve"> stagnant wages and high</w:t>
      </w:r>
      <w:r w:rsidR="005F2975" w:rsidRPr="00E0219F">
        <w:rPr>
          <w:rFonts w:ascii="Arial" w:hAnsi="Arial" w:cs="Arial"/>
          <w:color w:val="000000"/>
        </w:rPr>
        <w:t xml:space="preserve"> costs </w:t>
      </w:r>
      <w:r w:rsidR="009B0598" w:rsidRPr="00E0219F">
        <w:rPr>
          <w:rFonts w:ascii="Arial" w:hAnsi="Arial" w:cs="Arial"/>
          <w:color w:val="000000"/>
        </w:rPr>
        <w:t xml:space="preserve">of living </w:t>
      </w:r>
      <w:r w:rsidR="005F2975" w:rsidRPr="00E0219F">
        <w:rPr>
          <w:rFonts w:ascii="Arial" w:hAnsi="Arial" w:cs="Arial"/>
          <w:color w:val="000000"/>
        </w:rPr>
        <w:t xml:space="preserve">and affordable prices. He also points out the effect of Universal credit especially its five </w:t>
      </w:r>
      <w:r w:rsidR="00921760" w:rsidRPr="00E0219F">
        <w:rPr>
          <w:rFonts w:ascii="Arial" w:hAnsi="Arial" w:cs="Arial"/>
          <w:color w:val="000000"/>
        </w:rPr>
        <w:t>weeks’</w:t>
      </w:r>
      <w:r w:rsidR="009B0598" w:rsidRPr="00E0219F">
        <w:rPr>
          <w:rFonts w:ascii="Arial" w:hAnsi="Arial" w:cs="Arial"/>
          <w:color w:val="000000"/>
        </w:rPr>
        <w:t xml:space="preserve"> delay making vulnerable tenants going</w:t>
      </w:r>
      <w:r w:rsidR="005F2975" w:rsidRPr="00E0219F">
        <w:rPr>
          <w:rFonts w:ascii="Arial" w:hAnsi="Arial" w:cs="Arial"/>
          <w:color w:val="000000"/>
        </w:rPr>
        <w:t xml:space="preserve"> into arrears at the beginning of their tenancy. With the help of the COM-B model (Capability Opportunity Motivation Behaviour), Hickman (2021) believes that rent payment behaviour is not simply a result of tenants’ choice but a product of outside influence, limiting fina</w:t>
      </w:r>
      <w:r w:rsidR="00C96AE5" w:rsidRPr="00E0219F">
        <w:rPr>
          <w:rFonts w:ascii="Arial" w:hAnsi="Arial" w:cs="Arial"/>
          <w:color w:val="000000"/>
        </w:rPr>
        <w:t xml:space="preserve">ncial capacity and opportunity. </w:t>
      </w:r>
      <w:r w:rsidR="005178AC" w:rsidRPr="00E0219F">
        <w:rPr>
          <w:rFonts w:ascii="Arial" w:hAnsi="Arial" w:cs="Arial"/>
          <w:color w:val="000000"/>
        </w:rPr>
        <w:t>Figure 2</w:t>
      </w:r>
      <w:r w:rsidR="00C96AE5" w:rsidRPr="00E0219F">
        <w:rPr>
          <w:rFonts w:ascii="Arial" w:hAnsi="Arial" w:cs="Arial"/>
          <w:color w:val="000000"/>
        </w:rPr>
        <w:t xml:space="preserve"> below illustrates Hickman’s COM-B model, which explains that rent arrears occur when capability or opportunity are limited, leading to reduced motivation and default behaviour.</w:t>
      </w:r>
    </w:p>
    <w:p w14:paraId="448BA372" w14:textId="77777777" w:rsidR="006D1358" w:rsidRPr="001170D2" w:rsidRDefault="006D1358" w:rsidP="000E2633">
      <w:pPr>
        <w:spacing w:before="0" w:line="360" w:lineRule="auto"/>
        <w:jc w:val="both"/>
        <w:rPr>
          <w:rFonts w:ascii="Arial" w:hAnsi="Arial" w:cs="Arial"/>
          <w:color w:val="000000"/>
        </w:rPr>
      </w:pPr>
    </w:p>
    <w:p w14:paraId="3C0A15D8" w14:textId="77777777" w:rsidR="00C96AE5" w:rsidRPr="001170D2" w:rsidRDefault="006D1358" w:rsidP="000E2633">
      <w:pPr>
        <w:spacing w:before="0" w:line="360" w:lineRule="auto"/>
        <w:jc w:val="both"/>
        <w:rPr>
          <w:rFonts w:ascii="Arial" w:hAnsi="Arial" w:cs="Arial"/>
          <w:color w:val="000000"/>
        </w:rPr>
      </w:pPr>
      <w:r w:rsidRPr="001170D2">
        <w:rPr>
          <w:rFonts w:ascii="Arial" w:hAnsi="Arial" w:cs="Arial"/>
          <w:color w:val="000000"/>
        </w:rPr>
        <w:t xml:space="preserve"> </w:t>
      </w:r>
    </w:p>
    <w:p w14:paraId="69F4E512" w14:textId="77777777" w:rsidR="00B3589F" w:rsidRPr="001170D2" w:rsidRDefault="005F2975" w:rsidP="000E2633">
      <w:pPr>
        <w:spacing w:before="0" w:line="360" w:lineRule="auto"/>
        <w:jc w:val="both"/>
        <w:rPr>
          <w:rFonts w:ascii="Arial" w:hAnsi="Arial" w:cs="Arial"/>
          <w:color w:val="000000"/>
        </w:rPr>
      </w:pPr>
      <w:r w:rsidRPr="001170D2">
        <w:rPr>
          <w:rFonts w:ascii="Arial" w:hAnsi="Arial" w:cs="Arial"/>
          <w:noProof/>
          <w:color w:val="000000"/>
        </w:rPr>
        <w:drawing>
          <wp:inline distT="0" distB="0" distL="0" distR="0" wp14:anchorId="636B6161" wp14:editId="2983A433">
            <wp:extent cx="5410669" cy="2926334"/>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410669" cy="2926334"/>
                    </a:xfrm>
                    <a:prstGeom prst="rect">
                      <a:avLst/>
                    </a:prstGeom>
                    <a:ln/>
                  </pic:spPr>
                </pic:pic>
              </a:graphicData>
            </a:graphic>
          </wp:inline>
        </w:drawing>
      </w:r>
    </w:p>
    <w:p w14:paraId="7304C910" w14:textId="59D69A6D" w:rsidR="00B3589F" w:rsidRPr="001170D2" w:rsidRDefault="005178AC" w:rsidP="00E0219F">
      <w:pPr>
        <w:spacing w:before="0" w:line="360" w:lineRule="auto"/>
        <w:jc w:val="center"/>
        <w:rPr>
          <w:rFonts w:ascii="Arial" w:hAnsi="Arial" w:cs="Arial"/>
          <w:color w:val="000000"/>
        </w:rPr>
      </w:pPr>
      <w:r>
        <w:rPr>
          <w:rFonts w:ascii="Arial" w:hAnsi="Arial" w:cs="Arial"/>
          <w:b/>
          <w:color w:val="000000"/>
        </w:rPr>
        <w:t>Figure 2</w:t>
      </w:r>
      <w:r w:rsidR="005F2975" w:rsidRPr="001170D2">
        <w:rPr>
          <w:rFonts w:ascii="Arial" w:hAnsi="Arial" w:cs="Arial"/>
          <w:b/>
          <w:color w:val="000000"/>
        </w:rPr>
        <w:t>.</w:t>
      </w:r>
      <w:r w:rsidR="005F2975" w:rsidRPr="001170D2">
        <w:rPr>
          <w:rFonts w:ascii="Arial" w:hAnsi="Arial" w:cs="Arial"/>
          <w:color w:val="000000"/>
        </w:rPr>
        <w:t xml:space="preserve"> The COM-B behaviour system</w:t>
      </w:r>
      <w:r w:rsidR="005F2975" w:rsidRPr="001170D2">
        <w:rPr>
          <w:rFonts w:ascii="Arial" w:hAnsi="Arial" w:cs="Arial"/>
        </w:rPr>
        <w:t xml:space="preserve"> by </w:t>
      </w:r>
      <w:r w:rsidR="005F2975" w:rsidRPr="001170D2">
        <w:rPr>
          <w:rFonts w:ascii="Arial" w:hAnsi="Arial" w:cs="Arial"/>
          <w:color w:val="000000"/>
        </w:rPr>
        <w:t>Hickman (2021)</w:t>
      </w:r>
      <w:r w:rsidR="00921760" w:rsidRPr="001170D2">
        <w:rPr>
          <w:rFonts w:ascii="Arial" w:hAnsi="Arial" w:cs="Arial"/>
          <w:color w:val="000000"/>
        </w:rPr>
        <w:t>.</w:t>
      </w:r>
    </w:p>
    <w:p w14:paraId="19A26FBD" w14:textId="77777777" w:rsidR="00921760" w:rsidRPr="001170D2" w:rsidRDefault="00921760" w:rsidP="000E2633">
      <w:pPr>
        <w:spacing w:before="0" w:line="360" w:lineRule="auto"/>
        <w:jc w:val="both"/>
        <w:rPr>
          <w:rFonts w:ascii="Arial" w:hAnsi="Arial" w:cs="Arial"/>
          <w:color w:val="000000"/>
        </w:rPr>
      </w:pPr>
    </w:p>
    <w:p w14:paraId="07A56222" w14:textId="77777777" w:rsidR="00921760" w:rsidRPr="001170D2" w:rsidRDefault="00921760" w:rsidP="000E2633">
      <w:pPr>
        <w:spacing w:before="0" w:line="360" w:lineRule="auto"/>
        <w:jc w:val="both"/>
        <w:rPr>
          <w:rFonts w:ascii="Arial" w:hAnsi="Arial" w:cs="Arial"/>
          <w:color w:val="000000"/>
        </w:rPr>
      </w:pPr>
    </w:p>
    <w:p w14:paraId="6EB255DD" w14:textId="77777777" w:rsidR="00B3589F" w:rsidRPr="00E0219F" w:rsidRDefault="005F2975" w:rsidP="000E2633">
      <w:pPr>
        <w:spacing w:before="0" w:line="360" w:lineRule="auto"/>
        <w:jc w:val="both"/>
        <w:rPr>
          <w:rFonts w:ascii="Arial" w:hAnsi="Arial" w:cs="Arial"/>
          <w:color w:val="000000"/>
        </w:rPr>
      </w:pPr>
      <w:r w:rsidRPr="00E0219F">
        <w:rPr>
          <w:rFonts w:ascii="Arial" w:hAnsi="Arial" w:cs="Arial"/>
          <w:color w:val="000000"/>
        </w:rPr>
        <w:lastRenderedPageBreak/>
        <w:t>Bimpson and Manzi (2022) affirm this behavioural model and associate arrears with broader social disadvantage with the demonstration that poor mental health</w:t>
      </w:r>
      <w:r w:rsidR="006D1358" w:rsidRPr="00E0219F">
        <w:rPr>
          <w:rFonts w:ascii="Arial" w:hAnsi="Arial" w:cs="Arial"/>
          <w:color w:val="000000"/>
        </w:rPr>
        <w:t>,</w:t>
      </w:r>
      <w:r w:rsidRPr="00E0219F">
        <w:rPr>
          <w:rFonts w:ascii="Arial" w:hAnsi="Arial" w:cs="Arial"/>
          <w:color w:val="000000"/>
        </w:rPr>
        <w:t xml:space="preserve"> </w:t>
      </w:r>
      <w:r w:rsidR="006D1358" w:rsidRPr="00E0219F">
        <w:rPr>
          <w:rFonts w:ascii="Arial" w:hAnsi="Arial" w:cs="Arial"/>
          <w:color w:val="000000"/>
        </w:rPr>
        <w:t xml:space="preserve">lack of </w:t>
      </w:r>
      <w:r w:rsidRPr="00E0219F">
        <w:rPr>
          <w:rFonts w:ascii="Arial" w:hAnsi="Arial" w:cs="Arial"/>
          <w:color w:val="000000"/>
        </w:rPr>
        <w:t>financial literacy and support networks increase the risk of arrears. Fitzhugh et al. (2018) expand on this with some practical knowledge that shows three tenant profiles, who find it hard to cope with being disorganised and strategic and testing behavioural nudges such as SMS reminders to have better rent compliance. But they agree that it is impossible to overcome structural economic hardship by messaging alone.</w:t>
      </w:r>
    </w:p>
    <w:p w14:paraId="4A95033C" w14:textId="2644468F" w:rsidR="00B3589F" w:rsidRDefault="005F2975" w:rsidP="000E2633">
      <w:pPr>
        <w:spacing w:before="0" w:line="360" w:lineRule="auto"/>
        <w:jc w:val="both"/>
        <w:rPr>
          <w:rFonts w:ascii="Arial" w:hAnsi="Arial" w:cs="Arial"/>
          <w:color w:val="000000"/>
        </w:rPr>
      </w:pPr>
      <w:r w:rsidRPr="00E0219F">
        <w:rPr>
          <w:rFonts w:ascii="Arial" w:hAnsi="Arial" w:cs="Arial"/>
          <w:color w:val="000000"/>
        </w:rPr>
        <w:t xml:space="preserve"> </w:t>
      </w:r>
      <w:r w:rsidR="00E0219F" w:rsidRPr="00E0219F">
        <w:rPr>
          <w:rFonts w:ascii="Arial" w:hAnsi="Arial" w:cs="Arial"/>
          <w:color w:val="000000"/>
        </w:rPr>
        <w:t xml:space="preserve">              </w:t>
      </w:r>
      <w:r w:rsidRPr="00E0219F">
        <w:rPr>
          <w:rFonts w:ascii="Arial" w:hAnsi="Arial" w:cs="Arial"/>
          <w:color w:val="000000"/>
        </w:rPr>
        <w:t xml:space="preserve">Another aspect that Glover and Jeyabraba (2022) refute is the stereotypical view of the irresponsible tenant who they argue is manifested through qualitative interviews by demonstrating that arrears are a result of unforeseen life shocks like illness or unemployment that are worsened by a financial safety net deficit. On the same note, Manzi Bramley and Ford (2022) suggest that a great number of tenants </w:t>
      </w:r>
      <w:r w:rsidR="006D1358" w:rsidRPr="00E0219F">
        <w:rPr>
          <w:rFonts w:ascii="Arial" w:hAnsi="Arial" w:cs="Arial"/>
          <w:color w:val="000000"/>
        </w:rPr>
        <w:t>go into</w:t>
      </w:r>
      <w:r w:rsidRPr="00E0219F">
        <w:rPr>
          <w:rFonts w:ascii="Arial" w:hAnsi="Arial" w:cs="Arial"/>
          <w:color w:val="000000"/>
        </w:rPr>
        <w:t xml:space="preserve"> arrears because of temporary yet steep income interruptions aggravated by high rates of housing expenditures and bank borrowings. Hardie (2024) offers additional evidence based on a panel data to show that there is a causal relationship between the implementation of the Universal Credit and the demand of the arrears and homelessness advice in particular low-income regions. This substantiates the fact that welfare design defects especially payment lags play an active role in arrears. In the meantime, Wallace (2025) throws a dark veil over the idea of algorithmic risk profiling with a warning that digital screening systems will discriminate against tenants with poor socioeconomic backgrounds and enhance structural housing discrimination. Collectively these sources disclose the fact that tenant arrears </w:t>
      </w:r>
      <w:r w:rsidR="00FD6EC5" w:rsidRPr="00E0219F">
        <w:rPr>
          <w:rFonts w:ascii="Arial" w:hAnsi="Arial" w:cs="Arial"/>
          <w:color w:val="000000"/>
        </w:rPr>
        <w:t>are</w:t>
      </w:r>
      <w:r w:rsidRPr="00E0219F">
        <w:rPr>
          <w:rFonts w:ascii="Arial" w:hAnsi="Arial" w:cs="Arial"/>
          <w:color w:val="000000"/>
        </w:rPr>
        <w:t xml:space="preserve"> a result of a complicated combination of behavioural economic and policy factors. Although interventions such as messaging can work with some of the larger problems, the bigger problem is to deal with structural precarity welfare design and fairness in tenant assessment.</w:t>
      </w:r>
    </w:p>
    <w:p w14:paraId="2453A6BB" w14:textId="594C6E7B" w:rsidR="00DE278A" w:rsidRDefault="00DE278A" w:rsidP="000E2633">
      <w:pPr>
        <w:spacing w:before="0" w:line="360" w:lineRule="auto"/>
        <w:jc w:val="both"/>
        <w:rPr>
          <w:rFonts w:ascii="Arial" w:hAnsi="Arial" w:cs="Arial"/>
          <w:color w:val="000000"/>
        </w:rPr>
      </w:pPr>
    </w:p>
    <w:p w14:paraId="64374EEE" w14:textId="2B095A97" w:rsidR="00DE278A" w:rsidRDefault="00DE278A" w:rsidP="000E2633">
      <w:pPr>
        <w:spacing w:before="0" w:line="360" w:lineRule="auto"/>
        <w:jc w:val="both"/>
        <w:rPr>
          <w:rFonts w:ascii="Arial" w:hAnsi="Arial" w:cs="Arial"/>
          <w:color w:val="000000"/>
        </w:rPr>
      </w:pPr>
    </w:p>
    <w:p w14:paraId="20E52581" w14:textId="1EF32895" w:rsidR="00DE278A" w:rsidRDefault="00DE278A" w:rsidP="000E2633">
      <w:pPr>
        <w:spacing w:before="0" w:line="360" w:lineRule="auto"/>
        <w:jc w:val="both"/>
        <w:rPr>
          <w:rFonts w:ascii="Arial" w:hAnsi="Arial" w:cs="Arial"/>
          <w:color w:val="000000"/>
        </w:rPr>
      </w:pPr>
    </w:p>
    <w:p w14:paraId="7168912D" w14:textId="6E9427B6" w:rsidR="00DE278A" w:rsidRDefault="00DE278A" w:rsidP="000E2633">
      <w:pPr>
        <w:spacing w:before="0" w:line="360" w:lineRule="auto"/>
        <w:jc w:val="both"/>
        <w:rPr>
          <w:rFonts w:ascii="Arial" w:hAnsi="Arial" w:cs="Arial"/>
          <w:color w:val="000000"/>
        </w:rPr>
      </w:pPr>
    </w:p>
    <w:p w14:paraId="44C46F26" w14:textId="34EB300F" w:rsidR="00DE278A" w:rsidRDefault="00DE278A" w:rsidP="000E2633">
      <w:pPr>
        <w:spacing w:before="0" w:line="360" w:lineRule="auto"/>
        <w:jc w:val="both"/>
        <w:rPr>
          <w:rFonts w:ascii="Arial" w:hAnsi="Arial" w:cs="Arial"/>
          <w:color w:val="000000"/>
        </w:rPr>
      </w:pPr>
    </w:p>
    <w:p w14:paraId="3D9F864B" w14:textId="4777A0B6" w:rsidR="00DE278A" w:rsidRDefault="00DE278A" w:rsidP="000E2633">
      <w:pPr>
        <w:spacing w:before="0" w:line="360" w:lineRule="auto"/>
        <w:jc w:val="both"/>
        <w:rPr>
          <w:rFonts w:ascii="Arial" w:hAnsi="Arial" w:cs="Arial"/>
          <w:color w:val="000000"/>
        </w:rPr>
      </w:pPr>
    </w:p>
    <w:p w14:paraId="535D3CF5" w14:textId="52860AA0" w:rsidR="00DE278A" w:rsidRDefault="00DE278A" w:rsidP="000E2633">
      <w:pPr>
        <w:spacing w:before="0" w:line="360" w:lineRule="auto"/>
        <w:jc w:val="both"/>
        <w:rPr>
          <w:rFonts w:ascii="Arial" w:hAnsi="Arial" w:cs="Arial"/>
          <w:color w:val="000000"/>
        </w:rPr>
      </w:pPr>
    </w:p>
    <w:p w14:paraId="7B528638" w14:textId="33827019" w:rsidR="00DE278A" w:rsidRDefault="00DE278A" w:rsidP="000E2633">
      <w:pPr>
        <w:spacing w:before="0" w:line="360" w:lineRule="auto"/>
        <w:jc w:val="both"/>
        <w:rPr>
          <w:rFonts w:ascii="Arial" w:hAnsi="Arial" w:cs="Arial"/>
          <w:color w:val="000000"/>
        </w:rPr>
      </w:pPr>
    </w:p>
    <w:p w14:paraId="2E134148" w14:textId="0D4077BE" w:rsidR="00DE278A" w:rsidRDefault="00DE278A" w:rsidP="000E2633">
      <w:pPr>
        <w:spacing w:before="0" w:line="360" w:lineRule="auto"/>
        <w:jc w:val="both"/>
        <w:rPr>
          <w:rFonts w:ascii="Arial" w:hAnsi="Arial" w:cs="Arial"/>
          <w:color w:val="000000"/>
        </w:rPr>
      </w:pPr>
    </w:p>
    <w:p w14:paraId="7D3E798E" w14:textId="77777777" w:rsidR="00DE278A" w:rsidRPr="001170D2" w:rsidRDefault="00DE278A" w:rsidP="000E2633">
      <w:pPr>
        <w:spacing w:before="0" w:line="360" w:lineRule="auto"/>
        <w:jc w:val="both"/>
        <w:rPr>
          <w:rFonts w:ascii="Arial" w:hAnsi="Arial" w:cs="Arial"/>
          <w:color w:val="000000"/>
        </w:rPr>
      </w:pPr>
    </w:p>
    <w:p w14:paraId="51A9E9B1" w14:textId="77777777" w:rsidR="00921760" w:rsidRPr="001170D2" w:rsidRDefault="00921760" w:rsidP="000E2633">
      <w:pPr>
        <w:spacing w:before="0" w:line="360" w:lineRule="auto"/>
        <w:jc w:val="both"/>
        <w:rPr>
          <w:rFonts w:ascii="Arial" w:hAnsi="Arial" w:cs="Arial"/>
          <w:color w:val="000000"/>
        </w:rPr>
      </w:pPr>
    </w:p>
    <w:p w14:paraId="7E76FD6B" w14:textId="240890E1" w:rsidR="00B3589F" w:rsidRDefault="005F2975" w:rsidP="000E2633">
      <w:pPr>
        <w:pStyle w:val="Heading2"/>
        <w:spacing w:line="360" w:lineRule="auto"/>
        <w:rPr>
          <w:rFonts w:ascii="Arial" w:hAnsi="Arial" w:cs="Arial"/>
          <w:color w:val="000000"/>
        </w:rPr>
      </w:pPr>
      <w:bookmarkStart w:id="17" w:name="_w7qkpzpzjnn2" w:colFirst="0" w:colLast="0"/>
      <w:bookmarkStart w:id="18" w:name="_Toc214096804"/>
      <w:bookmarkEnd w:id="17"/>
      <w:r w:rsidRPr="001170D2">
        <w:rPr>
          <w:rFonts w:ascii="Arial" w:hAnsi="Arial" w:cs="Arial"/>
          <w:color w:val="000000"/>
          <w:sz w:val="22"/>
          <w:szCs w:val="22"/>
        </w:rPr>
        <w:lastRenderedPageBreak/>
        <w:t xml:space="preserve">2.2 </w:t>
      </w:r>
      <w:r w:rsidRPr="00DE278A">
        <w:rPr>
          <w:rFonts w:ascii="Arial" w:hAnsi="Arial" w:cs="Arial"/>
          <w:color w:val="000000"/>
        </w:rPr>
        <w:t>Operational and Financial Impact on Estate Agents</w:t>
      </w:r>
      <w:bookmarkEnd w:id="18"/>
    </w:p>
    <w:p w14:paraId="77AAC660" w14:textId="77777777" w:rsidR="004A48CB" w:rsidRPr="004A48CB" w:rsidRDefault="004A48CB" w:rsidP="004A48CB"/>
    <w:p w14:paraId="35E4F512" w14:textId="2A45744D" w:rsidR="00B3589F" w:rsidRDefault="004A48CB" w:rsidP="000E2633">
      <w:pPr>
        <w:spacing w:line="360" w:lineRule="auto"/>
        <w:jc w:val="both"/>
        <w:rPr>
          <w:rFonts w:ascii="Arial" w:hAnsi="Arial" w:cs="Arial"/>
          <w:color w:val="000000"/>
        </w:rPr>
      </w:pPr>
      <w:r>
        <w:rPr>
          <w:rFonts w:ascii="Arial" w:hAnsi="Arial" w:cs="Arial"/>
          <w:color w:val="000000"/>
        </w:rPr>
        <w:t xml:space="preserve">               </w:t>
      </w:r>
      <w:r w:rsidR="005F2975" w:rsidRPr="004A48CB">
        <w:rPr>
          <w:rFonts w:ascii="Arial" w:hAnsi="Arial" w:cs="Arial"/>
          <w:color w:val="000000"/>
        </w:rPr>
        <w:t>Tenant arrears impose a direct financial burden as well as an operational burden on the estate agents and the loss of income is just a tip of the iceberg. In general, rent gathers are charged on a percentage basis by the agents in the estate business attribute that any lateness or default by the tenants’ impact on their cash flows (KPMG, 2018). Although UK house prices rose 3.5% year-on-year, transactions grew just 1.3% in October 2018(see figure</w:t>
      </w:r>
      <w:r w:rsidR="005178AC" w:rsidRPr="004A48CB">
        <w:rPr>
          <w:rFonts w:ascii="Arial" w:hAnsi="Arial" w:cs="Arial"/>
          <w:color w:val="000000"/>
        </w:rPr>
        <w:t xml:space="preserve"> 3</w:t>
      </w:r>
      <w:r w:rsidR="005F2975" w:rsidRPr="004A48CB">
        <w:rPr>
          <w:rFonts w:ascii="Arial" w:hAnsi="Arial" w:cs="Arial"/>
          <w:color w:val="000000"/>
        </w:rPr>
        <w:t xml:space="preserve"> below). For estate agents paid per sale, </w:t>
      </w:r>
      <w:r w:rsidR="00FD6EC5" w:rsidRPr="004A48CB">
        <w:rPr>
          <w:rFonts w:ascii="Arial" w:hAnsi="Arial" w:cs="Arial"/>
          <w:color w:val="000000"/>
        </w:rPr>
        <w:t>volume not</w:t>
      </w:r>
      <w:r w:rsidR="005F2975" w:rsidRPr="004A48CB">
        <w:rPr>
          <w:rFonts w:ascii="Arial" w:hAnsi="Arial" w:cs="Arial"/>
          <w:color w:val="000000"/>
        </w:rPr>
        <w:t xml:space="preserve"> value continues to constrain revenue and growth. </w:t>
      </w:r>
      <w:r w:rsidR="00921760" w:rsidRPr="004A48CB">
        <w:rPr>
          <w:rFonts w:ascii="Arial" w:hAnsi="Arial" w:cs="Arial"/>
          <w:color w:val="000000"/>
        </w:rPr>
        <w:t>Typically,</w:t>
      </w:r>
      <w:r w:rsidR="005F2975" w:rsidRPr="004A48CB">
        <w:rPr>
          <w:rFonts w:ascii="Arial" w:hAnsi="Arial" w:cs="Arial"/>
          <w:color w:val="000000"/>
        </w:rPr>
        <w:t xml:space="preserve"> estate agents earn a percentage-based management fee from rent collected meaning that any delay or default by tenants immediately affects their revenue streams (KPMG, 2018).</w:t>
      </w:r>
    </w:p>
    <w:p w14:paraId="458B74A1" w14:textId="77777777" w:rsidR="004A48CB" w:rsidRPr="001170D2" w:rsidRDefault="004A48CB" w:rsidP="000E2633">
      <w:pPr>
        <w:spacing w:line="360" w:lineRule="auto"/>
        <w:jc w:val="both"/>
        <w:rPr>
          <w:rFonts w:ascii="Arial" w:hAnsi="Arial" w:cs="Arial"/>
          <w:color w:val="000000"/>
        </w:rPr>
      </w:pPr>
    </w:p>
    <w:p w14:paraId="2B9A8F7A" w14:textId="77777777" w:rsidR="00B3589F" w:rsidRPr="001170D2" w:rsidRDefault="005F2975" w:rsidP="000E2633">
      <w:pPr>
        <w:spacing w:line="360" w:lineRule="auto"/>
        <w:jc w:val="both"/>
        <w:rPr>
          <w:rFonts w:ascii="Arial" w:hAnsi="Arial" w:cs="Arial"/>
          <w:color w:val="000000"/>
        </w:rPr>
      </w:pPr>
      <w:r w:rsidRPr="001170D2">
        <w:rPr>
          <w:rFonts w:ascii="Arial" w:hAnsi="Arial" w:cs="Arial"/>
          <w:noProof/>
          <w:color w:val="000000"/>
        </w:rPr>
        <w:drawing>
          <wp:inline distT="0" distB="0" distL="0" distR="0" wp14:anchorId="3A3F09D3" wp14:editId="49E7D359">
            <wp:extent cx="6276975" cy="2990850"/>
            <wp:effectExtent l="0" t="0" r="9525"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rotWithShape="1">
                    <a:blip r:embed="rId11"/>
                    <a:srcRect b="3833"/>
                    <a:stretch/>
                  </pic:blipFill>
                  <pic:spPr bwMode="auto">
                    <a:xfrm>
                      <a:off x="0" y="0"/>
                      <a:ext cx="6276975" cy="2990850"/>
                    </a:xfrm>
                    <a:prstGeom prst="rect">
                      <a:avLst/>
                    </a:prstGeom>
                    <a:ln>
                      <a:noFill/>
                    </a:ln>
                    <a:extLst>
                      <a:ext uri="{53640926-AAD7-44D8-BBD7-CCE9431645EC}">
                        <a14:shadowObscured xmlns:a14="http://schemas.microsoft.com/office/drawing/2010/main"/>
                      </a:ext>
                    </a:extLst>
                  </pic:spPr>
                </pic:pic>
              </a:graphicData>
            </a:graphic>
          </wp:inline>
        </w:drawing>
      </w:r>
    </w:p>
    <w:p w14:paraId="637F104A" w14:textId="37A89F56" w:rsidR="00B3589F" w:rsidRPr="001170D2" w:rsidRDefault="005178AC" w:rsidP="004A48CB">
      <w:pPr>
        <w:spacing w:line="360" w:lineRule="auto"/>
        <w:jc w:val="center"/>
        <w:rPr>
          <w:rFonts w:ascii="Arial" w:hAnsi="Arial" w:cs="Arial"/>
          <w:color w:val="000000"/>
        </w:rPr>
      </w:pPr>
      <w:r>
        <w:rPr>
          <w:rFonts w:ascii="Arial" w:hAnsi="Arial" w:cs="Arial"/>
          <w:b/>
          <w:color w:val="000000"/>
        </w:rPr>
        <w:t>Figure 3</w:t>
      </w:r>
      <w:r w:rsidR="005F2975" w:rsidRPr="001170D2">
        <w:rPr>
          <w:rFonts w:ascii="Arial" w:hAnsi="Arial" w:cs="Arial"/>
          <w:b/>
          <w:color w:val="000000"/>
        </w:rPr>
        <w:t>.</w:t>
      </w:r>
      <w:r w:rsidR="005F2975" w:rsidRPr="001170D2">
        <w:rPr>
          <w:rFonts w:ascii="Arial" w:hAnsi="Arial" w:cs="Arial"/>
          <w:color w:val="000000"/>
        </w:rPr>
        <w:t xml:space="preserve"> UK Residential Transactions, 2006-2017 (KPMG, 2018).</w:t>
      </w:r>
    </w:p>
    <w:p w14:paraId="1CA0BFFA" w14:textId="77777777" w:rsidR="00921760" w:rsidRPr="001170D2" w:rsidRDefault="00921760" w:rsidP="000E2633">
      <w:pPr>
        <w:spacing w:line="360" w:lineRule="auto"/>
        <w:jc w:val="both"/>
        <w:rPr>
          <w:rFonts w:ascii="Arial" w:hAnsi="Arial" w:cs="Arial"/>
          <w:color w:val="000000"/>
        </w:rPr>
      </w:pPr>
    </w:p>
    <w:p w14:paraId="5DF18C2C" w14:textId="77777777" w:rsidR="00B3589F" w:rsidRPr="001170D2" w:rsidRDefault="00FD6EC5" w:rsidP="000E2633">
      <w:pPr>
        <w:spacing w:line="360" w:lineRule="auto"/>
        <w:jc w:val="both"/>
        <w:rPr>
          <w:rFonts w:ascii="Arial" w:hAnsi="Arial" w:cs="Arial"/>
          <w:color w:val="000000"/>
        </w:rPr>
      </w:pPr>
      <w:r w:rsidRPr="001170D2">
        <w:rPr>
          <w:rFonts w:ascii="Arial" w:hAnsi="Arial" w:cs="Arial"/>
          <w:color w:val="000000"/>
        </w:rPr>
        <w:t xml:space="preserve">                 </w:t>
      </w:r>
      <w:r w:rsidR="005F2975" w:rsidRPr="001170D2">
        <w:rPr>
          <w:rFonts w:ascii="Arial" w:hAnsi="Arial" w:cs="Arial"/>
          <w:color w:val="000000"/>
        </w:rPr>
        <w:t>To the small and mid-sized firms where the profit margins are limited, such a loss may be particularly harmful. Worst still, the greater volatility in the housing market transaction volumes have flattened fees are becoming more and more competitive and regulatory demands are increasing. The accruing pressure puts estate agents in a vulnerable situation in which any small arrears will put business operations at risk (McNally and Lally, 2024).</w:t>
      </w:r>
      <w:r w:rsidR="00921760" w:rsidRPr="001170D2">
        <w:rPr>
          <w:rFonts w:ascii="Arial" w:hAnsi="Arial" w:cs="Arial"/>
          <w:color w:val="000000"/>
        </w:rPr>
        <w:t xml:space="preserve"> </w:t>
      </w:r>
      <w:r w:rsidR="005F2975" w:rsidRPr="001170D2">
        <w:rPr>
          <w:rFonts w:ascii="Arial" w:hAnsi="Arial" w:cs="Arial"/>
          <w:color w:val="000000"/>
        </w:rPr>
        <w:t xml:space="preserve">Arrears operationally management causes a huge burden of administration. The agents should make formal notices and negotiate payment schemes to resort to legal action and work in close communication with the landlords and tenants. This also consumes the staff time and resources that would otherwise </w:t>
      </w:r>
      <w:r w:rsidR="005F2975" w:rsidRPr="001170D2">
        <w:rPr>
          <w:rFonts w:ascii="Arial" w:hAnsi="Arial" w:cs="Arial"/>
          <w:color w:val="000000"/>
        </w:rPr>
        <w:lastRenderedPageBreak/>
        <w:t>serve in the core services like acquisition of property marketing clients and compliance monitoring. Cullen Key and Speed (2017) underscore that landlords now consider agent operation based on tenant placement, and arrears recovery as making this operation central to client retention. Consequently, arrears management will constitute both reputational and financial risk. It may result in termination of contracts, withdrawal of property and business loss when managed poorly (Reeve and Batty, 2011).</w:t>
      </w:r>
    </w:p>
    <w:p w14:paraId="169B5039" w14:textId="2F92E413" w:rsidR="00B3589F" w:rsidRPr="001170D2" w:rsidRDefault="00FD6EC5" w:rsidP="000E2633">
      <w:pPr>
        <w:spacing w:line="360" w:lineRule="auto"/>
        <w:jc w:val="both"/>
        <w:rPr>
          <w:rFonts w:ascii="Arial" w:hAnsi="Arial" w:cs="Arial"/>
          <w:color w:val="000000"/>
        </w:rPr>
      </w:pPr>
      <w:r w:rsidRPr="001170D2">
        <w:rPr>
          <w:rFonts w:ascii="Arial" w:hAnsi="Arial" w:cs="Arial"/>
          <w:color w:val="000000"/>
        </w:rPr>
        <w:t xml:space="preserve">                </w:t>
      </w:r>
      <w:r w:rsidR="005F2975" w:rsidRPr="001170D2">
        <w:rPr>
          <w:rFonts w:ascii="Arial" w:hAnsi="Arial" w:cs="Arial"/>
          <w:color w:val="000000"/>
        </w:rPr>
        <w:t xml:space="preserve">Recent studies by Manville (2022) further reinforce this point that in the situation of tenant </w:t>
      </w:r>
      <w:r w:rsidR="00921760" w:rsidRPr="001170D2">
        <w:rPr>
          <w:rFonts w:ascii="Arial" w:hAnsi="Arial" w:cs="Arial"/>
          <w:color w:val="000000"/>
        </w:rPr>
        <w:t>non-payment</w:t>
      </w:r>
      <w:r w:rsidR="005F2975" w:rsidRPr="001170D2">
        <w:rPr>
          <w:rFonts w:ascii="Arial" w:hAnsi="Arial" w:cs="Arial"/>
          <w:color w:val="000000"/>
        </w:rPr>
        <w:t xml:space="preserve"> property managers tend to cut expenditure on maintenance and services that set up a downward spiral on the quality of the property and the satisfaction of tenants. Although the paper is about landlord behaviour, the same is the case with letting agents whose resources are strained by cases of arrears. The research supports the concept that arrears have a significant influence on cash flow in addition to the overall quality of the service delivery which is a major element of the market reputation of an agent. In a comparative analysis of the commercial rental sector, Adetoro-Folorunso and Ogunbajo (2023) discovered that rental defaults led to poor relationship between property managers and landlords in terms of delays in payment of management services and erosion of trust in managerial competence. Although the context is different, the dynamics are reminiscent of the UK residential sector especially the conflict between the agency responsibilities to landlords and tenants. It is argued by the study that unresolved arrears can shift strategic focus of agencies towards generation of values to damage limitation. </w:t>
      </w:r>
      <w:r w:rsidR="00E61849" w:rsidRPr="001170D2">
        <w:rPr>
          <w:rFonts w:ascii="Arial" w:hAnsi="Arial" w:cs="Arial"/>
          <w:color w:val="000000"/>
        </w:rPr>
        <w:t xml:space="preserve">               </w:t>
      </w:r>
      <w:r w:rsidR="004A48CB">
        <w:rPr>
          <w:rFonts w:ascii="Arial" w:hAnsi="Arial" w:cs="Arial"/>
          <w:color w:val="000000"/>
        </w:rPr>
        <w:t xml:space="preserve">             </w:t>
      </w:r>
      <w:r w:rsidR="00A6612E">
        <w:rPr>
          <w:rFonts w:ascii="Arial" w:hAnsi="Arial" w:cs="Arial"/>
          <w:color w:val="000000"/>
        </w:rPr>
        <w:t xml:space="preserve">  </w:t>
      </w:r>
      <w:r w:rsidR="005F2975" w:rsidRPr="001170D2">
        <w:rPr>
          <w:rFonts w:ascii="Arial" w:hAnsi="Arial" w:cs="Arial"/>
          <w:color w:val="000000"/>
        </w:rPr>
        <w:t>The operational burden might also encompass legal escalation in more complex cases. Leung (2021) points out that not only do certain agencies file eviction serials as a last resort enforcement measure, but they also do so as a revenue-saving measure. This shows a more underlying structural issue that estate agents can use legal mechanisms they can actually be able to administer financial predictability rather than to deal with arrears. Though such practices may be effective in short run they may also increase instability in relationships with tenants, and this may lead to housing insecurity.</w:t>
      </w:r>
    </w:p>
    <w:p w14:paraId="5F61652F" w14:textId="77777777" w:rsidR="00B3589F" w:rsidRPr="00A6612E" w:rsidRDefault="00E61849" w:rsidP="000E2633">
      <w:pPr>
        <w:spacing w:line="360" w:lineRule="auto"/>
        <w:jc w:val="both"/>
        <w:rPr>
          <w:rFonts w:ascii="Arial" w:hAnsi="Arial" w:cs="Arial"/>
          <w:color w:val="000000"/>
        </w:rPr>
      </w:pPr>
      <w:r w:rsidRPr="001170D2">
        <w:rPr>
          <w:rFonts w:ascii="Arial" w:hAnsi="Arial" w:cs="Arial"/>
          <w:color w:val="000000"/>
        </w:rPr>
        <w:t xml:space="preserve">                    </w:t>
      </w:r>
      <w:r w:rsidR="005F2975" w:rsidRPr="00A6612E">
        <w:rPr>
          <w:rFonts w:ascii="Arial" w:hAnsi="Arial" w:cs="Arial"/>
          <w:color w:val="000000"/>
        </w:rPr>
        <w:t xml:space="preserve">According to McNally and Lally (2024) the estate agents are essentially trapped in a broken system that is expected to keep business afloat whilst negotiating between the structurally disadvantaged tenants and the financially motivated landlords. The fact that the estate agency industry is not officially regulated makes things even harder leaving many companies without a proper guideline or support system. As Ke et al. (2012) note that the mismatch of the expectations and the operational capacity is an indication of a structural weakness of the agency model. Altogether the literature indicates that tenant arrears are not just isolated financial losses but systemic risks that directly weaken the financial wellbeing </w:t>
      </w:r>
      <w:r w:rsidR="00C96AE5" w:rsidRPr="00A6612E">
        <w:rPr>
          <w:rFonts w:ascii="Arial" w:hAnsi="Arial" w:cs="Arial"/>
          <w:color w:val="000000"/>
        </w:rPr>
        <w:t xml:space="preserve">and </w:t>
      </w:r>
      <w:r w:rsidR="005F2975" w:rsidRPr="00A6612E">
        <w:rPr>
          <w:rFonts w:ascii="Arial" w:hAnsi="Arial" w:cs="Arial"/>
          <w:color w:val="000000"/>
        </w:rPr>
        <w:t>reputational position and strategic</w:t>
      </w:r>
      <w:r w:rsidR="005F2975" w:rsidRPr="001170D2">
        <w:rPr>
          <w:rFonts w:ascii="Arial" w:hAnsi="Arial" w:cs="Arial"/>
          <w:color w:val="000000"/>
        </w:rPr>
        <w:t xml:space="preserve"> </w:t>
      </w:r>
      <w:r w:rsidR="005F2975" w:rsidRPr="00A6612E">
        <w:rPr>
          <w:rFonts w:ascii="Arial" w:hAnsi="Arial" w:cs="Arial"/>
          <w:color w:val="000000"/>
        </w:rPr>
        <w:lastRenderedPageBreak/>
        <w:t xml:space="preserve">orientation of estate agents. The liens of arrears are much greater than the rent collection interfering with the normal running and viability of </w:t>
      </w:r>
      <w:r w:rsidR="00C96AE5" w:rsidRPr="00A6612E">
        <w:rPr>
          <w:rFonts w:ascii="Arial" w:hAnsi="Arial" w:cs="Arial"/>
          <w:color w:val="000000"/>
        </w:rPr>
        <w:t xml:space="preserve">letting </w:t>
      </w:r>
      <w:r w:rsidR="005F2975" w:rsidRPr="00A6612E">
        <w:rPr>
          <w:rFonts w:ascii="Arial" w:hAnsi="Arial" w:cs="Arial"/>
          <w:color w:val="000000"/>
        </w:rPr>
        <w:t>age</w:t>
      </w:r>
      <w:r w:rsidR="00C96AE5" w:rsidRPr="00A6612E">
        <w:rPr>
          <w:rFonts w:ascii="Arial" w:hAnsi="Arial" w:cs="Arial"/>
          <w:color w:val="000000"/>
        </w:rPr>
        <w:t>ncies throughout the UK.</w:t>
      </w:r>
    </w:p>
    <w:p w14:paraId="3673AB0B" w14:textId="77777777" w:rsidR="00921760" w:rsidRPr="001170D2" w:rsidRDefault="00C96AE5" w:rsidP="000E2633">
      <w:pPr>
        <w:spacing w:line="360" w:lineRule="auto"/>
        <w:jc w:val="both"/>
        <w:rPr>
          <w:rFonts w:ascii="Arial" w:hAnsi="Arial" w:cs="Arial"/>
          <w:color w:val="000000"/>
        </w:rPr>
      </w:pPr>
      <w:r w:rsidRPr="00A6612E">
        <w:rPr>
          <w:rFonts w:ascii="Arial" w:hAnsi="Arial" w:cs="Arial"/>
          <w:color w:val="000000"/>
        </w:rPr>
        <w:t>According to The Telegraph (2024), local councils are losing more than £500 million annually from social tenants’ rent arrears, representing around 7.2% of the total rent roll (£7.7 billion).</w:t>
      </w:r>
      <w:r w:rsidR="00B11FFE" w:rsidRPr="001170D2">
        <w:rPr>
          <w:rFonts w:ascii="Arial" w:hAnsi="Arial" w:cs="Arial"/>
          <w:color w:val="000000"/>
        </w:rPr>
        <w:t xml:space="preserve">   </w:t>
      </w:r>
    </w:p>
    <w:p w14:paraId="0E759F37" w14:textId="77777777" w:rsidR="00880614" w:rsidRPr="001170D2" w:rsidRDefault="00880614" w:rsidP="000E2633">
      <w:pPr>
        <w:spacing w:line="360" w:lineRule="auto"/>
        <w:jc w:val="both"/>
        <w:rPr>
          <w:rFonts w:ascii="Arial" w:hAnsi="Arial" w:cs="Arial"/>
          <w:color w:val="000000"/>
        </w:rPr>
      </w:pPr>
    </w:p>
    <w:p w14:paraId="4E10B3C6" w14:textId="78FC2069" w:rsidR="00A6612E" w:rsidRPr="00A6612E" w:rsidRDefault="005F2975" w:rsidP="00A6612E">
      <w:pPr>
        <w:pStyle w:val="Heading2"/>
        <w:spacing w:line="360" w:lineRule="auto"/>
        <w:rPr>
          <w:rFonts w:ascii="Arial" w:hAnsi="Arial" w:cs="Arial"/>
          <w:color w:val="000000"/>
        </w:rPr>
      </w:pPr>
      <w:bookmarkStart w:id="19" w:name="_h2p6pa8ok5vj" w:colFirst="0" w:colLast="0"/>
      <w:bookmarkStart w:id="20" w:name="_Toc214096805"/>
      <w:bookmarkEnd w:id="19"/>
      <w:r w:rsidRPr="001170D2">
        <w:rPr>
          <w:rFonts w:ascii="Arial" w:hAnsi="Arial" w:cs="Arial"/>
          <w:color w:val="000000"/>
          <w:sz w:val="22"/>
          <w:szCs w:val="22"/>
        </w:rPr>
        <w:t xml:space="preserve">2.3 </w:t>
      </w:r>
      <w:r w:rsidRPr="00A6612E">
        <w:rPr>
          <w:rFonts w:ascii="Arial" w:hAnsi="Arial" w:cs="Arial"/>
          <w:color w:val="000000"/>
        </w:rPr>
        <w:t>Risk, Resilience and the Role of Data in Rent Management</w:t>
      </w:r>
      <w:bookmarkEnd w:id="20"/>
    </w:p>
    <w:p w14:paraId="5D7C5259" w14:textId="1A27389B" w:rsidR="00B3589F" w:rsidRPr="001170D2" w:rsidRDefault="00E61849" w:rsidP="000E2633">
      <w:pPr>
        <w:spacing w:before="0" w:line="360" w:lineRule="auto"/>
        <w:jc w:val="both"/>
        <w:rPr>
          <w:rFonts w:ascii="Arial" w:hAnsi="Arial" w:cs="Arial"/>
          <w:color w:val="000000"/>
        </w:rPr>
      </w:pPr>
      <w:r w:rsidRPr="001170D2">
        <w:rPr>
          <w:rFonts w:ascii="Arial" w:hAnsi="Arial" w:cs="Arial"/>
          <w:color w:val="000000"/>
        </w:rPr>
        <w:t xml:space="preserve">                   </w:t>
      </w:r>
      <w:r w:rsidR="005F2975" w:rsidRPr="001170D2">
        <w:rPr>
          <w:rFonts w:ascii="Arial" w:hAnsi="Arial" w:cs="Arial"/>
          <w:color w:val="000000"/>
        </w:rPr>
        <w:t>The rising strain on estate agents to cope with rent arrears in a volatile market situation is getting heavier. The lack of economic stability among tenants and the rise of expectations among landlords has heightened the requirement of the agents to move past the reactive responses and apply the structured risk approaches. Lam (2014) states that Enterprise Risk Management (ERM) represents a wide-ranging approach to dealing with uncertainty through integrating risk analysis into the strategic planning and daily business. His model promotes prospective instruments like arrears forecasting scenario testing and resilience planning aspects which can be extended even to small estate agencies. Simpson (2021) provides the practical implementation of ERM by presenting the case study of Knight Frank that uses arrears tracking internal auditing and real-time data systems. As the case illustrates, reputational risk and financial volatility can be minimized through a well-designed strategy. Simpson, however, observes that there is big difference in the adoption of the sector</w:t>
      </w:r>
      <w:r w:rsidR="005F2975" w:rsidRPr="00A6612E">
        <w:rPr>
          <w:rFonts w:ascii="Arial" w:hAnsi="Arial" w:cs="Arial"/>
          <w:color w:val="000000"/>
        </w:rPr>
        <w:t xml:space="preserve">. Smaller </w:t>
      </w:r>
      <w:r w:rsidR="00880614" w:rsidRPr="00A6612E">
        <w:rPr>
          <w:rFonts w:ascii="Arial" w:hAnsi="Arial" w:cs="Arial"/>
          <w:color w:val="000000"/>
        </w:rPr>
        <w:t xml:space="preserve">letting </w:t>
      </w:r>
      <w:r w:rsidR="005F2975" w:rsidRPr="00A6612E">
        <w:rPr>
          <w:rFonts w:ascii="Arial" w:hAnsi="Arial" w:cs="Arial"/>
          <w:color w:val="000000"/>
        </w:rPr>
        <w:t>agencies that may not have adequate staff and digital infrastructure cannot take up strong risk models that would make them more vulnerable to disruption of their operations. Morris and Rose (2022) also believe that proactive data-based approaches can make the rental sector sustainable in the long run. However, even with this agreement, an ad hoc responsive approach is used by many</w:t>
      </w:r>
      <w:r w:rsidR="00880614" w:rsidRPr="00A6612E">
        <w:rPr>
          <w:rFonts w:ascii="Arial" w:hAnsi="Arial" w:cs="Arial"/>
          <w:color w:val="000000"/>
        </w:rPr>
        <w:t xml:space="preserve"> letting</w:t>
      </w:r>
      <w:r w:rsidR="005F2975" w:rsidRPr="00A6612E">
        <w:rPr>
          <w:rFonts w:ascii="Arial" w:hAnsi="Arial" w:cs="Arial"/>
          <w:color w:val="000000"/>
        </w:rPr>
        <w:t xml:space="preserve"> agencies to address arrears. This disjointed reaction can be seen as a larger failure in incorporating risk thought into the centrepiece of </w:t>
      </w:r>
      <w:r w:rsidR="00880614" w:rsidRPr="00A6612E">
        <w:rPr>
          <w:rFonts w:ascii="Arial" w:hAnsi="Arial" w:cs="Arial"/>
          <w:color w:val="000000"/>
        </w:rPr>
        <w:t xml:space="preserve">letting </w:t>
      </w:r>
      <w:r w:rsidR="00E90136">
        <w:rPr>
          <w:rFonts w:ascii="Arial" w:hAnsi="Arial" w:cs="Arial"/>
          <w:color w:val="000000"/>
        </w:rPr>
        <w:t>agency activities and sustainable strategy.</w:t>
      </w:r>
    </w:p>
    <w:p w14:paraId="057016CC" w14:textId="77777777" w:rsidR="00B3589F" w:rsidRPr="001170D2" w:rsidRDefault="00E61849" w:rsidP="000E2633">
      <w:pPr>
        <w:spacing w:before="0" w:line="360" w:lineRule="auto"/>
        <w:jc w:val="both"/>
        <w:rPr>
          <w:rFonts w:ascii="Arial" w:hAnsi="Arial" w:cs="Arial"/>
          <w:color w:val="000000"/>
        </w:rPr>
      </w:pPr>
      <w:r w:rsidRPr="001170D2">
        <w:rPr>
          <w:rFonts w:ascii="Arial" w:hAnsi="Arial" w:cs="Arial"/>
          <w:color w:val="000000"/>
        </w:rPr>
        <w:t xml:space="preserve">                 </w:t>
      </w:r>
      <w:r w:rsidR="005F2975" w:rsidRPr="001170D2">
        <w:rPr>
          <w:rFonts w:ascii="Arial" w:hAnsi="Arial" w:cs="Arial"/>
          <w:color w:val="000000"/>
        </w:rPr>
        <w:t xml:space="preserve">Rent risk management has taken on a new direction that involves the use of technological solutions especially data platforms. Livingston et al. (2021) demonstrate that digital listings and tenant payment data can be utilized to track the pattern of arrears and signal an impending risk. But they warn that such datasets are oftentimes incomplete in terms of coverage and that they are not as accurate as they could be. Since such agents need to be critical of the reliability of third-party information before basing operational decisions on the information. Ferreri (2021) goes even more by criticising the concept of the platformisation of housing in which algorithmic systems are applied to mechanise payment tracking in terms of tenant screening, and even eviction activations. She contends that although such platforms are claimed to be efficient, they do allocate risk downwards on tenants and frontline agents without having a full consideration </w:t>
      </w:r>
      <w:r w:rsidR="005F2975" w:rsidRPr="001170D2">
        <w:rPr>
          <w:rFonts w:ascii="Arial" w:hAnsi="Arial" w:cs="Arial"/>
          <w:color w:val="000000"/>
        </w:rPr>
        <w:lastRenderedPageBreak/>
        <w:t>of their social implications. This indicates that the digital solutions can be helpful in determining the risk but not in allocating it equally. This concept is reflected in the ethical aspect of Byrne, McArdle and Wallace (2020) as they caution that algorithmic profiling tools to determine the risk posed by tenants are frequently socioeconomic biased. These devices can designate low-income or minority tenants as being in the high-risk category using proxies such as postcode or benefit status instead of real rent behaviour. Sitaraman (2023), also criticizes the obscurity of those types of systems by simply stating that they are not accountable and can be a cause of systemic exclusion.</w:t>
      </w:r>
    </w:p>
    <w:p w14:paraId="38274A41" w14:textId="77777777" w:rsidR="00B3589F" w:rsidRPr="001170D2" w:rsidRDefault="00E61849" w:rsidP="000E2633">
      <w:pPr>
        <w:spacing w:before="0" w:line="360" w:lineRule="auto"/>
        <w:jc w:val="both"/>
        <w:rPr>
          <w:rFonts w:ascii="Arial" w:hAnsi="Arial" w:cs="Arial"/>
          <w:color w:val="000000"/>
        </w:rPr>
      </w:pPr>
      <w:r w:rsidRPr="001170D2">
        <w:rPr>
          <w:rFonts w:ascii="Arial" w:hAnsi="Arial" w:cs="Arial"/>
          <w:color w:val="000000"/>
        </w:rPr>
        <w:t xml:space="preserve">                  </w:t>
      </w:r>
      <w:r w:rsidR="005F2975" w:rsidRPr="001170D2">
        <w:rPr>
          <w:rFonts w:ascii="Arial" w:hAnsi="Arial" w:cs="Arial"/>
          <w:color w:val="000000"/>
        </w:rPr>
        <w:t>Rogers, Bohland and Rechkemmer (2023) present a more general analysis since they focus on how algorithmic governance transforms the institutional resilience. According to them, resilience should now encompass more than the capacity to recover after disruption and involve critical interaction with the disrupted mediating technologies. In the case of estate agents, this implies that the resilience strategies should not focus solely on operational efficiency but also include fairness and transparency in the usage of data as well as ethical data usage. Overall, the literature indicates that there is an increasing number of opinions that effective arrears management requires not only technical solutions and data-based foresight but also deliberate approach to the ethical risk management strategy. This lack of estate agents will put both victims and carriers of systemic failure o</w:t>
      </w:r>
      <w:r w:rsidR="00921760" w:rsidRPr="001170D2">
        <w:rPr>
          <w:rFonts w:ascii="Arial" w:hAnsi="Arial" w:cs="Arial"/>
          <w:color w:val="000000"/>
        </w:rPr>
        <w:t>f the private rented sector.</w:t>
      </w:r>
    </w:p>
    <w:p w14:paraId="565877A7" w14:textId="77777777" w:rsidR="00921760" w:rsidRPr="001170D2" w:rsidRDefault="00921760" w:rsidP="000E2633">
      <w:pPr>
        <w:spacing w:before="0" w:line="360" w:lineRule="auto"/>
        <w:jc w:val="both"/>
        <w:rPr>
          <w:rFonts w:ascii="Arial" w:hAnsi="Arial" w:cs="Arial"/>
          <w:color w:val="000000"/>
        </w:rPr>
      </w:pPr>
    </w:p>
    <w:p w14:paraId="1AF32BEB" w14:textId="77777777" w:rsidR="00B3589F" w:rsidRPr="001170D2" w:rsidRDefault="005F2975" w:rsidP="000E2633">
      <w:pPr>
        <w:keepNext/>
        <w:keepLines/>
        <w:spacing w:line="360" w:lineRule="auto"/>
        <w:jc w:val="both"/>
        <w:rPr>
          <w:rFonts w:ascii="Arial" w:hAnsi="Arial" w:cs="Arial"/>
          <w:b/>
          <w:color w:val="000000"/>
        </w:rPr>
      </w:pPr>
      <w:bookmarkStart w:id="21" w:name="_rltnvyssqmlq" w:colFirst="0" w:colLast="0"/>
      <w:bookmarkEnd w:id="21"/>
      <w:r w:rsidRPr="001170D2">
        <w:rPr>
          <w:rFonts w:ascii="Arial" w:hAnsi="Arial" w:cs="Arial"/>
          <w:b/>
          <w:color w:val="000000"/>
        </w:rPr>
        <w:t xml:space="preserve">2.5 </w:t>
      </w:r>
      <w:r w:rsidRPr="00A6612E">
        <w:rPr>
          <w:rFonts w:ascii="Arial" w:hAnsi="Arial" w:cs="Arial"/>
          <w:b/>
          <w:color w:val="000000"/>
          <w:sz w:val="24"/>
          <w:szCs w:val="24"/>
        </w:rPr>
        <w:t>Conceptual Framework and Hypothesis</w:t>
      </w:r>
      <w:r w:rsidRPr="001170D2">
        <w:rPr>
          <w:rFonts w:ascii="Arial" w:hAnsi="Arial" w:cs="Arial"/>
          <w:b/>
          <w:color w:val="000000"/>
        </w:rPr>
        <w:t xml:space="preserve"> </w:t>
      </w:r>
    </w:p>
    <w:p w14:paraId="7DE89F93" w14:textId="77777777" w:rsidR="00B3589F" w:rsidRPr="001170D2" w:rsidRDefault="00E61849" w:rsidP="000E2633">
      <w:pPr>
        <w:spacing w:before="0" w:line="360" w:lineRule="auto"/>
        <w:jc w:val="both"/>
        <w:rPr>
          <w:rFonts w:ascii="Arial" w:hAnsi="Arial" w:cs="Arial"/>
          <w:color w:val="000000"/>
        </w:rPr>
      </w:pPr>
      <w:r w:rsidRPr="001170D2">
        <w:rPr>
          <w:rFonts w:ascii="Arial" w:hAnsi="Arial" w:cs="Arial"/>
          <w:color w:val="000000"/>
        </w:rPr>
        <w:t xml:space="preserve">                   </w:t>
      </w:r>
      <w:r w:rsidR="005F2975" w:rsidRPr="001170D2">
        <w:rPr>
          <w:rFonts w:ascii="Arial" w:hAnsi="Arial" w:cs="Arial"/>
          <w:color w:val="000000"/>
        </w:rPr>
        <w:t>This study is grounded in a risk and resilience conceptual framework which enables a multi-dimensional analysis of how estate agents in the UK private rented sector respond to tenant arrears. It draws from organisational resilience theory, behavioural economics and enterprise risk management (ERM), while incorporating recent developments in data analytics and algorithmic governance.</w:t>
      </w:r>
    </w:p>
    <w:p w14:paraId="603EB5FF" w14:textId="77777777" w:rsidR="00B3589F" w:rsidRPr="001170D2" w:rsidRDefault="00E61849" w:rsidP="000E2633">
      <w:pPr>
        <w:spacing w:before="0" w:line="360" w:lineRule="auto"/>
        <w:jc w:val="both"/>
        <w:rPr>
          <w:rFonts w:ascii="Arial" w:hAnsi="Arial" w:cs="Arial"/>
          <w:color w:val="000000"/>
        </w:rPr>
      </w:pPr>
      <w:r w:rsidRPr="001170D2">
        <w:rPr>
          <w:rFonts w:ascii="Arial" w:hAnsi="Arial" w:cs="Arial"/>
          <w:color w:val="000000"/>
        </w:rPr>
        <w:t xml:space="preserve">                   </w:t>
      </w:r>
      <w:r w:rsidR="005F2975" w:rsidRPr="001170D2">
        <w:rPr>
          <w:rFonts w:ascii="Arial" w:hAnsi="Arial" w:cs="Arial"/>
          <w:color w:val="000000"/>
        </w:rPr>
        <w:t>At its core the framework views estate agents as adaptive systems operating under chronic stress tasked with maintaining service delivery, client relationships, and profitability in the face of external shocks such as income volatility, welfare system delays and non-payment of rent. Behavioural insights (Hickman, 2021; Fitzhugh et al., 2018) are used to understand tenant payment patterns, while operational theories (Lam, 2014; Simpson, 2021) frame how agencies plan for and absorb risk. Digital tools such as tenant risk scores and arrears tracking software are explored both for their strategic value and their ethical complexity (Wallace, 2025; Byrne et al., 2020).</w:t>
      </w:r>
    </w:p>
    <w:p w14:paraId="60D8F18B" w14:textId="77777777" w:rsidR="00B3589F" w:rsidRPr="001170D2" w:rsidRDefault="00E61849" w:rsidP="000E2633">
      <w:pPr>
        <w:spacing w:before="0" w:line="360" w:lineRule="auto"/>
        <w:jc w:val="both"/>
        <w:rPr>
          <w:rFonts w:ascii="Arial" w:hAnsi="Arial" w:cs="Arial"/>
          <w:color w:val="000000"/>
        </w:rPr>
      </w:pPr>
      <w:r w:rsidRPr="001170D2">
        <w:rPr>
          <w:rFonts w:ascii="Arial" w:hAnsi="Arial" w:cs="Arial"/>
          <w:noProof/>
          <w:color w:val="000000"/>
        </w:rPr>
        <w:lastRenderedPageBreak/>
        <w:drawing>
          <wp:inline distT="0" distB="0" distL="0" distR="0" wp14:anchorId="10B03725" wp14:editId="4CD52284">
            <wp:extent cx="5972175" cy="4371975"/>
            <wp:effectExtent l="0" t="0" r="9525" b="9525"/>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rotWithShape="1">
                    <a:blip r:embed="rId12"/>
                    <a:srcRect t="7045" r="26919" b="5046"/>
                    <a:stretch/>
                  </pic:blipFill>
                  <pic:spPr bwMode="auto">
                    <a:xfrm>
                      <a:off x="0" y="0"/>
                      <a:ext cx="5977108" cy="4375586"/>
                    </a:xfrm>
                    <a:prstGeom prst="rect">
                      <a:avLst/>
                    </a:prstGeom>
                    <a:ln>
                      <a:noFill/>
                    </a:ln>
                    <a:extLst>
                      <a:ext uri="{53640926-AAD7-44D8-BBD7-CCE9431645EC}">
                        <a14:shadowObscured xmlns:a14="http://schemas.microsoft.com/office/drawing/2010/main"/>
                      </a:ext>
                    </a:extLst>
                  </pic:spPr>
                </pic:pic>
              </a:graphicData>
            </a:graphic>
          </wp:inline>
        </w:drawing>
      </w:r>
    </w:p>
    <w:p w14:paraId="7DB74FA3" w14:textId="77777777" w:rsidR="00B3589F" w:rsidRPr="001170D2" w:rsidRDefault="00B3589F" w:rsidP="000E2633">
      <w:pPr>
        <w:spacing w:before="0" w:line="360" w:lineRule="auto"/>
        <w:jc w:val="both"/>
        <w:rPr>
          <w:rFonts w:ascii="Arial" w:hAnsi="Arial" w:cs="Arial"/>
          <w:color w:val="000000"/>
        </w:rPr>
      </w:pPr>
    </w:p>
    <w:p w14:paraId="7C7720DD" w14:textId="513EA001" w:rsidR="00B3589F" w:rsidRDefault="005178AC" w:rsidP="00A6612E">
      <w:pPr>
        <w:spacing w:before="0" w:line="360" w:lineRule="auto"/>
        <w:jc w:val="center"/>
        <w:rPr>
          <w:rFonts w:ascii="Arial" w:hAnsi="Arial" w:cs="Arial"/>
          <w:color w:val="000000"/>
        </w:rPr>
      </w:pPr>
      <w:r>
        <w:rPr>
          <w:rFonts w:ascii="Arial" w:hAnsi="Arial" w:cs="Arial"/>
          <w:b/>
          <w:color w:val="000000"/>
        </w:rPr>
        <w:t>Figure 4</w:t>
      </w:r>
      <w:r w:rsidR="005F2975" w:rsidRPr="001170D2">
        <w:rPr>
          <w:rFonts w:ascii="Arial" w:hAnsi="Arial" w:cs="Arial"/>
          <w:b/>
          <w:color w:val="000000"/>
        </w:rPr>
        <w:t>:</w:t>
      </w:r>
      <w:r w:rsidR="005F2975" w:rsidRPr="001170D2">
        <w:rPr>
          <w:rFonts w:ascii="Arial" w:hAnsi="Arial" w:cs="Arial"/>
          <w:color w:val="000000"/>
        </w:rPr>
        <w:t xml:space="preserve"> The Conceptual Framework (Own Creativity)</w:t>
      </w:r>
      <w:r w:rsidR="00541800" w:rsidRPr="001170D2">
        <w:rPr>
          <w:rFonts w:ascii="Arial" w:hAnsi="Arial" w:cs="Arial"/>
          <w:color w:val="000000"/>
        </w:rPr>
        <w:t>.</w:t>
      </w:r>
    </w:p>
    <w:p w14:paraId="6A8D33FB" w14:textId="77777777" w:rsidR="00EC0046" w:rsidRPr="001170D2" w:rsidRDefault="00EC0046" w:rsidP="00A6612E">
      <w:pPr>
        <w:spacing w:before="0" w:line="360" w:lineRule="auto"/>
        <w:jc w:val="center"/>
        <w:rPr>
          <w:rFonts w:ascii="Arial" w:hAnsi="Arial" w:cs="Arial"/>
          <w:color w:val="000000"/>
        </w:rPr>
      </w:pPr>
    </w:p>
    <w:p w14:paraId="0134B9D9" w14:textId="77777777" w:rsidR="00B3589F" w:rsidRPr="001170D2" w:rsidRDefault="005F2975" w:rsidP="000E2633">
      <w:pPr>
        <w:spacing w:before="0" w:line="360" w:lineRule="auto"/>
        <w:jc w:val="both"/>
        <w:rPr>
          <w:rFonts w:ascii="Arial" w:hAnsi="Arial" w:cs="Arial"/>
          <w:i/>
          <w:color w:val="000000"/>
        </w:rPr>
      </w:pPr>
      <w:r w:rsidRPr="001170D2">
        <w:rPr>
          <w:rFonts w:ascii="Arial" w:hAnsi="Arial" w:cs="Arial"/>
          <w:i/>
          <w:color w:val="000000"/>
        </w:rPr>
        <w:t>The study’s hypothesis is</w:t>
      </w:r>
      <w:r w:rsidR="00E61849" w:rsidRPr="001170D2">
        <w:rPr>
          <w:rFonts w:ascii="Arial" w:hAnsi="Arial" w:cs="Arial"/>
          <w:i/>
          <w:color w:val="000000"/>
        </w:rPr>
        <w:t>:</w:t>
      </w:r>
    </w:p>
    <w:p w14:paraId="5ECA5B2C" w14:textId="753B4F83" w:rsidR="00F943EC" w:rsidRPr="00EC0046" w:rsidRDefault="005F2975" w:rsidP="000E2633">
      <w:pPr>
        <w:spacing w:before="0" w:line="360" w:lineRule="auto"/>
        <w:jc w:val="both"/>
        <w:rPr>
          <w:rFonts w:ascii="Arial" w:hAnsi="Arial" w:cs="Arial"/>
          <w:color w:val="000000"/>
        </w:rPr>
      </w:pPr>
      <w:r w:rsidRPr="00EC0046">
        <w:rPr>
          <w:rFonts w:ascii="Arial" w:hAnsi="Arial" w:cs="Arial"/>
          <w:color w:val="000000"/>
        </w:rPr>
        <w:t xml:space="preserve">Estate agents that implement structured risk strategies and apply ethical data tools experience lower levels of operational disruption and reputational damage from tenant arrears in the private rental sector. </w:t>
      </w:r>
      <w:r w:rsidR="005178AC" w:rsidRPr="00EC0046">
        <w:rPr>
          <w:rFonts w:ascii="Arial" w:hAnsi="Arial" w:cs="Arial"/>
          <w:color w:val="000000"/>
        </w:rPr>
        <w:t xml:space="preserve">Figure </w:t>
      </w:r>
      <w:r w:rsidR="00EC0046" w:rsidRPr="00EC0046">
        <w:rPr>
          <w:rFonts w:ascii="Arial" w:hAnsi="Arial" w:cs="Arial"/>
          <w:color w:val="000000"/>
        </w:rPr>
        <w:t>4 illustrates</w:t>
      </w:r>
      <w:r w:rsidR="00F943EC" w:rsidRPr="00EC0046">
        <w:rPr>
          <w:rFonts w:ascii="Arial" w:hAnsi="Arial" w:cs="Arial"/>
          <w:color w:val="000000"/>
        </w:rPr>
        <w:t xml:space="preserve"> that tenant arrears have multi-dimensional impact on tenants (behaviourally) and agencies (operationally). By using data tools responsibly and managing ethical risks, agencies can apply structured risk management strategies. This approach leads to greater resilience, helping agencies mitigate damage and disruption.</w:t>
      </w:r>
    </w:p>
    <w:p w14:paraId="1418A0AC" w14:textId="53BE4E08" w:rsidR="00F943EC" w:rsidRPr="00EC0046" w:rsidRDefault="00F943EC" w:rsidP="000E2633">
      <w:pPr>
        <w:spacing w:before="0" w:line="360" w:lineRule="auto"/>
        <w:jc w:val="both"/>
        <w:rPr>
          <w:rFonts w:ascii="Arial" w:hAnsi="Arial" w:cs="Arial"/>
          <w:color w:val="000000"/>
        </w:rPr>
      </w:pPr>
      <w:r w:rsidRPr="00EC0046">
        <w:rPr>
          <w:rFonts w:ascii="Arial" w:hAnsi="Arial" w:cs="Arial"/>
          <w:color w:val="000000"/>
        </w:rPr>
        <w:t>This</w:t>
      </w:r>
      <w:r w:rsidR="00EC0046">
        <w:rPr>
          <w:rFonts w:ascii="Arial" w:hAnsi="Arial" w:cs="Arial"/>
          <w:color w:val="000000"/>
        </w:rPr>
        <w:t xml:space="preserve"> framework as shown in Figure 4 </w:t>
      </w:r>
      <w:r w:rsidRPr="00EC0046">
        <w:rPr>
          <w:rFonts w:ascii="Arial" w:hAnsi="Arial" w:cs="Arial"/>
          <w:color w:val="000000"/>
        </w:rPr>
        <w:t>above supports a holistic exploration of resilience in lettings, connecting practice to policy and technology.</w:t>
      </w:r>
    </w:p>
    <w:p w14:paraId="0FD8A4D4" w14:textId="77777777" w:rsidR="00F943EC" w:rsidRPr="001170D2" w:rsidRDefault="00F943EC" w:rsidP="000E2633">
      <w:pPr>
        <w:spacing w:before="0" w:line="360" w:lineRule="auto"/>
        <w:jc w:val="both"/>
        <w:rPr>
          <w:rFonts w:ascii="Arial" w:hAnsi="Arial" w:cs="Arial"/>
          <w:color w:val="000000"/>
          <w:highlight w:val="yellow"/>
        </w:rPr>
      </w:pPr>
    </w:p>
    <w:p w14:paraId="0538114A" w14:textId="77777777" w:rsidR="00024E52" w:rsidRPr="001170D2" w:rsidRDefault="00024E52" w:rsidP="000E2633">
      <w:pPr>
        <w:spacing w:before="0" w:line="360" w:lineRule="auto"/>
        <w:jc w:val="both"/>
        <w:rPr>
          <w:rFonts w:ascii="Arial" w:hAnsi="Arial" w:cs="Arial"/>
          <w:color w:val="000000"/>
        </w:rPr>
      </w:pPr>
    </w:p>
    <w:p w14:paraId="52FC072B" w14:textId="77777777" w:rsidR="00921760" w:rsidRPr="001170D2" w:rsidRDefault="00921760" w:rsidP="000E2633">
      <w:pPr>
        <w:spacing w:before="0" w:line="360" w:lineRule="auto"/>
        <w:jc w:val="both"/>
        <w:rPr>
          <w:rFonts w:ascii="Arial" w:hAnsi="Arial" w:cs="Arial"/>
          <w:color w:val="000000"/>
        </w:rPr>
      </w:pPr>
    </w:p>
    <w:p w14:paraId="29ABDACF" w14:textId="77777777" w:rsidR="00B3589F" w:rsidRPr="001170D2" w:rsidRDefault="005F2975" w:rsidP="000E2633">
      <w:pPr>
        <w:keepNext/>
        <w:keepLines/>
        <w:spacing w:line="360" w:lineRule="auto"/>
        <w:jc w:val="both"/>
        <w:rPr>
          <w:rFonts w:ascii="Arial" w:hAnsi="Arial" w:cs="Arial"/>
          <w:b/>
          <w:color w:val="000000"/>
        </w:rPr>
      </w:pPr>
      <w:bookmarkStart w:id="22" w:name="_fdan38wowzi6" w:colFirst="0" w:colLast="0"/>
      <w:bookmarkEnd w:id="22"/>
      <w:r w:rsidRPr="001170D2">
        <w:rPr>
          <w:rFonts w:ascii="Arial" w:hAnsi="Arial" w:cs="Arial"/>
          <w:b/>
          <w:color w:val="000000"/>
        </w:rPr>
        <w:lastRenderedPageBreak/>
        <w:t xml:space="preserve">2.6 </w:t>
      </w:r>
      <w:r w:rsidRPr="00EC0046">
        <w:rPr>
          <w:rFonts w:ascii="Arial" w:hAnsi="Arial" w:cs="Arial"/>
          <w:b/>
          <w:color w:val="000000"/>
          <w:sz w:val="24"/>
          <w:szCs w:val="24"/>
        </w:rPr>
        <w:t>Gap in the Literature</w:t>
      </w:r>
      <w:r w:rsidRPr="001170D2">
        <w:rPr>
          <w:rFonts w:ascii="Arial" w:hAnsi="Arial" w:cs="Arial"/>
          <w:b/>
          <w:color w:val="000000"/>
        </w:rPr>
        <w:t xml:space="preserve"> </w:t>
      </w:r>
    </w:p>
    <w:p w14:paraId="6050446F" w14:textId="00B9BBA1" w:rsidR="000803B1" w:rsidRDefault="00E61849" w:rsidP="000E2633">
      <w:pPr>
        <w:spacing w:before="0" w:line="360" w:lineRule="auto"/>
        <w:jc w:val="both"/>
        <w:rPr>
          <w:rFonts w:ascii="Arial" w:hAnsi="Arial" w:cs="Arial"/>
          <w:color w:val="000000"/>
        </w:rPr>
      </w:pPr>
      <w:r w:rsidRPr="001170D2">
        <w:rPr>
          <w:rFonts w:ascii="Arial" w:hAnsi="Arial" w:cs="Arial"/>
          <w:color w:val="000000"/>
        </w:rPr>
        <w:t xml:space="preserve">                   </w:t>
      </w:r>
      <w:r w:rsidR="00654605" w:rsidRPr="001170D2">
        <w:rPr>
          <w:rFonts w:ascii="Arial" w:hAnsi="Arial" w:cs="Arial"/>
          <w:color w:val="000000"/>
        </w:rPr>
        <w:t xml:space="preserve">Although the antecedents and behavioural dynamics of tenant arrears are well known, little is known about operational resilience strategies that letting agents employ to counter persistent arrears. Most of the existing studies focus on tenants, landlords or policy but little attention is given to rental agency in the context of rental housing. Particularly, there is no research on how letting agents use or adapt digital risk tools (e.g., algorithmic tenant profiling and arrears tracking) and the implications of this for their effectiveness, ethics and sustainability. This study addresses the above-mentioned gap in knowledge by analysing how the use of data for managing arrears and risk governance in estate agency practice is </w:t>
      </w:r>
      <w:r w:rsidR="005065DC" w:rsidRPr="001170D2">
        <w:rPr>
          <w:rFonts w:ascii="Arial" w:hAnsi="Arial" w:cs="Arial"/>
          <w:color w:val="000000"/>
        </w:rPr>
        <w:t>undertaken.</w:t>
      </w:r>
      <w:r w:rsidR="00FD6EC5" w:rsidRPr="001170D2">
        <w:rPr>
          <w:rFonts w:ascii="Arial" w:hAnsi="Arial" w:cs="Arial"/>
          <w:color w:val="000000"/>
        </w:rPr>
        <w:t xml:space="preserve"> </w:t>
      </w:r>
    </w:p>
    <w:p w14:paraId="705FBC84" w14:textId="77777777" w:rsidR="00EC0046" w:rsidRPr="001170D2" w:rsidRDefault="00EC0046" w:rsidP="000E2633">
      <w:pPr>
        <w:spacing w:before="0" w:line="360" w:lineRule="auto"/>
        <w:jc w:val="both"/>
        <w:rPr>
          <w:rFonts w:ascii="Arial" w:hAnsi="Arial" w:cs="Arial"/>
        </w:rPr>
      </w:pPr>
    </w:p>
    <w:p w14:paraId="6D7E13B7" w14:textId="445FF5D9" w:rsidR="00A92159" w:rsidRPr="001170D2" w:rsidRDefault="00A92159" w:rsidP="000E2633">
      <w:pPr>
        <w:pStyle w:val="Heading1"/>
        <w:spacing w:line="360" w:lineRule="auto"/>
        <w:jc w:val="both"/>
        <w:rPr>
          <w:rFonts w:ascii="Arial" w:hAnsi="Arial" w:cs="Arial"/>
          <w:sz w:val="22"/>
          <w:szCs w:val="22"/>
        </w:rPr>
      </w:pPr>
      <w:bookmarkStart w:id="23" w:name="_Toc214096806"/>
      <w:r w:rsidRPr="001170D2">
        <w:rPr>
          <w:rFonts w:ascii="Arial" w:hAnsi="Arial" w:cs="Arial"/>
          <w:sz w:val="22"/>
          <w:szCs w:val="22"/>
        </w:rPr>
        <w:t xml:space="preserve">3.0 </w:t>
      </w:r>
      <w:r w:rsidRPr="00EC0046">
        <w:rPr>
          <w:rFonts w:ascii="Arial" w:hAnsi="Arial" w:cs="Arial"/>
        </w:rPr>
        <w:t>Method</w:t>
      </w:r>
      <w:r w:rsidR="00855AD3">
        <w:rPr>
          <w:rFonts w:ascii="Arial" w:hAnsi="Arial" w:cs="Arial"/>
        </w:rPr>
        <w:t>ology</w:t>
      </w:r>
      <w:bookmarkEnd w:id="23"/>
      <w:r w:rsidRPr="00EC0046">
        <w:rPr>
          <w:rFonts w:ascii="Arial" w:hAnsi="Arial" w:cs="Arial"/>
        </w:rPr>
        <w:t xml:space="preserve"> </w:t>
      </w:r>
    </w:p>
    <w:p w14:paraId="289216B0" w14:textId="79C2375E" w:rsidR="00435A77" w:rsidRDefault="00654605" w:rsidP="000E2633">
      <w:pPr>
        <w:spacing w:line="360" w:lineRule="auto"/>
        <w:jc w:val="both"/>
        <w:rPr>
          <w:rFonts w:ascii="Arial" w:hAnsi="Arial" w:cs="Arial"/>
        </w:rPr>
      </w:pPr>
      <w:r w:rsidRPr="001170D2">
        <w:rPr>
          <w:rFonts w:ascii="Arial" w:hAnsi="Arial" w:cs="Arial"/>
        </w:rPr>
        <w:t xml:space="preserve">The methodology describes how the study will be conducted to investigate cost-effective methods UK estate agents can use to boost business resilience against tenant arrears. </w:t>
      </w:r>
      <w:r w:rsidR="00EC0046" w:rsidRPr="00EC0046">
        <w:rPr>
          <w:rFonts w:ascii="Arial" w:hAnsi="Arial" w:cs="Arial"/>
        </w:rPr>
        <w:t>The research approach of this study is based on the Research Onion framework proposed by Saunders et al. (2007), as illustrated below.</w:t>
      </w:r>
    </w:p>
    <w:p w14:paraId="60725DB0" w14:textId="77777777" w:rsidR="00855AD3" w:rsidRDefault="00855AD3" w:rsidP="00855AD3">
      <w:pPr>
        <w:pStyle w:val="NormalWeb"/>
        <w:jc w:val="center"/>
      </w:pPr>
      <w:r>
        <w:rPr>
          <w:noProof/>
        </w:rPr>
        <w:drawing>
          <wp:inline distT="0" distB="0" distL="0" distR="0" wp14:anchorId="1E811583" wp14:editId="1732F96E">
            <wp:extent cx="5038725" cy="3476625"/>
            <wp:effectExtent l="0" t="0" r="9525" b="9525"/>
            <wp:docPr id="9" name="Picture 9" descr="C:\Users\Zoe Matthews\Desktop\Saunders-research-on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Zoe Matthews\Desktop\Saunders-research-onion.png"/>
                    <pic:cNvPicPr>
                      <a:picLocks noChangeAspect="1" noChangeArrowheads="1"/>
                    </pic:cNvPicPr>
                  </pic:nvPicPr>
                  <pic:blipFill rotWithShape="1">
                    <a:blip r:embed="rId13">
                      <a:extLst>
                        <a:ext uri="{28A0092B-C50C-407E-A947-70E740481C1C}">
                          <a14:useLocalDpi xmlns:a14="http://schemas.microsoft.com/office/drawing/2010/main" val="0"/>
                        </a:ext>
                      </a:extLst>
                    </a:blip>
                    <a:srcRect t="14165"/>
                    <a:stretch/>
                  </pic:blipFill>
                  <pic:spPr bwMode="auto">
                    <a:xfrm>
                      <a:off x="0" y="0"/>
                      <a:ext cx="5063185" cy="3493502"/>
                    </a:xfrm>
                    <a:prstGeom prst="rect">
                      <a:avLst/>
                    </a:prstGeom>
                    <a:noFill/>
                    <a:ln>
                      <a:noFill/>
                    </a:ln>
                    <a:extLst>
                      <a:ext uri="{53640926-AAD7-44D8-BBD7-CCE9431645EC}">
                        <a14:shadowObscured xmlns:a14="http://schemas.microsoft.com/office/drawing/2010/main"/>
                      </a:ext>
                    </a:extLst>
                  </pic:spPr>
                </pic:pic>
              </a:graphicData>
            </a:graphic>
          </wp:inline>
        </w:drawing>
      </w:r>
    </w:p>
    <w:p w14:paraId="4E3A1BD1" w14:textId="71CC56AA" w:rsidR="00EC0046" w:rsidRPr="00855AD3" w:rsidRDefault="00855AD3" w:rsidP="00855AD3">
      <w:pPr>
        <w:pStyle w:val="NormalWeb"/>
        <w:jc w:val="center"/>
        <w:rPr>
          <w:rFonts w:ascii="Arial" w:hAnsi="Arial" w:cs="Arial"/>
          <w:sz w:val="22"/>
          <w:szCs w:val="22"/>
        </w:rPr>
      </w:pPr>
      <w:r w:rsidRPr="00855AD3">
        <w:rPr>
          <w:rFonts w:ascii="Arial" w:hAnsi="Arial" w:cs="Arial"/>
          <w:b/>
          <w:sz w:val="22"/>
          <w:szCs w:val="22"/>
        </w:rPr>
        <w:t>Diagram 1.</w:t>
      </w:r>
      <w:r w:rsidRPr="00855AD3">
        <w:rPr>
          <w:rFonts w:ascii="Arial" w:hAnsi="Arial" w:cs="Arial"/>
          <w:sz w:val="22"/>
          <w:szCs w:val="22"/>
        </w:rPr>
        <w:t xml:space="preserve"> Research Onion framework by Saunders et al. (2007).</w:t>
      </w:r>
    </w:p>
    <w:p w14:paraId="603292B6" w14:textId="53880FC7" w:rsidR="00855AD3" w:rsidRDefault="00855AD3" w:rsidP="00855AD3">
      <w:pPr>
        <w:rPr>
          <w:rFonts w:ascii="Arial" w:hAnsi="Arial" w:cs="Arial"/>
          <w:color w:val="FF0000"/>
        </w:rPr>
      </w:pPr>
    </w:p>
    <w:p w14:paraId="25D22248" w14:textId="77777777" w:rsidR="00855AD3" w:rsidRPr="00855AD3" w:rsidRDefault="00855AD3" w:rsidP="00855AD3"/>
    <w:p w14:paraId="59E0B078" w14:textId="32E5CC36" w:rsidR="00A92159" w:rsidRPr="001170D2" w:rsidRDefault="00134FFA" w:rsidP="000E2633">
      <w:pPr>
        <w:pStyle w:val="Heading2"/>
        <w:spacing w:line="360" w:lineRule="auto"/>
        <w:rPr>
          <w:rFonts w:ascii="Arial" w:hAnsi="Arial" w:cs="Arial"/>
          <w:sz w:val="22"/>
          <w:szCs w:val="22"/>
        </w:rPr>
      </w:pPr>
      <w:bookmarkStart w:id="24" w:name="_Toc214096807"/>
      <w:r>
        <w:rPr>
          <w:rFonts w:ascii="Arial" w:hAnsi="Arial" w:cs="Arial"/>
          <w:sz w:val="22"/>
          <w:szCs w:val="22"/>
        </w:rPr>
        <w:t>3.</w:t>
      </w:r>
      <w:r w:rsidR="00A92159" w:rsidRPr="001170D2">
        <w:rPr>
          <w:rFonts w:ascii="Arial" w:hAnsi="Arial" w:cs="Arial"/>
          <w:sz w:val="22"/>
          <w:szCs w:val="22"/>
        </w:rPr>
        <w:t xml:space="preserve">1 </w:t>
      </w:r>
      <w:r w:rsidR="00A92159" w:rsidRPr="008739C0">
        <w:rPr>
          <w:rFonts w:ascii="Arial" w:hAnsi="Arial" w:cs="Arial"/>
        </w:rPr>
        <w:t>Research Philosophy</w:t>
      </w:r>
      <w:bookmarkEnd w:id="24"/>
    </w:p>
    <w:p w14:paraId="1BDED266" w14:textId="7F05E24B" w:rsidR="00A92159" w:rsidRPr="001170D2" w:rsidRDefault="00654605" w:rsidP="000E2633">
      <w:pPr>
        <w:spacing w:line="360" w:lineRule="auto"/>
        <w:jc w:val="both"/>
        <w:rPr>
          <w:rFonts w:ascii="Arial" w:hAnsi="Arial" w:cs="Arial"/>
        </w:rPr>
      </w:pPr>
      <w:r w:rsidRPr="001170D2">
        <w:rPr>
          <w:rFonts w:ascii="Arial" w:hAnsi="Arial" w:cs="Arial"/>
        </w:rPr>
        <w:t>The study is based on the interpretivist and constructivist research philosophy. Interpretivism helps understand the social practices within economic and political contexts, especially how estate agents respond to tenants’ arrears (Flick, 2022). Constructivism supports the idea that knowledge is acquired through one’s interactions and experiences. Together, these levels of interpretation enable the findings to focus on the strategic responses of estate agents rather than objective generalisations</w:t>
      </w:r>
      <w:r w:rsidR="00A92159" w:rsidRPr="001170D2">
        <w:rPr>
          <w:rFonts w:ascii="Arial" w:hAnsi="Arial" w:cs="Arial"/>
        </w:rPr>
        <w:t>.</w:t>
      </w:r>
    </w:p>
    <w:p w14:paraId="4E3A4E9F" w14:textId="77777777" w:rsidR="00A92159" w:rsidRPr="001170D2" w:rsidRDefault="00A92159" w:rsidP="000E2633">
      <w:pPr>
        <w:pStyle w:val="Heading2"/>
        <w:spacing w:line="360" w:lineRule="auto"/>
        <w:rPr>
          <w:rFonts w:ascii="Arial" w:hAnsi="Arial" w:cs="Arial"/>
          <w:sz w:val="22"/>
          <w:szCs w:val="22"/>
        </w:rPr>
      </w:pPr>
      <w:bookmarkStart w:id="25" w:name="_Toc214096808"/>
      <w:r w:rsidRPr="001170D2">
        <w:rPr>
          <w:rFonts w:ascii="Arial" w:hAnsi="Arial" w:cs="Arial"/>
          <w:sz w:val="22"/>
          <w:szCs w:val="22"/>
        </w:rPr>
        <w:t xml:space="preserve">3.2 </w:t>
      </w:r>
      <w:r w:rsidRPr="00134FFA">
        <w:rPr>
          <w:rFonts w:ascii="Arial" w:hAnsi="Arial" w:cs="Arial"/>
        </w:rPr>
        <w:t>Research Paradigms</w:t>
      </w:r>
      <w:bookmarkEnd w:id="25"/>
    </w:p>
    <w:p w14:paraId="2DE7131D" w14:textId="77777777" w:rsidR="00A92159" w:rsidRPr="001170D2" w:rsidRDefault="00A92159" w:rsidP="000E2633">
      <w:pPr>
        <w:spacing w:line="360" w:lineRule="auto"/>
        <w:jc w:val="both"/>
        <w:rPr>
          <w:rFonts w:ascii="Arial" w:hAnsi="Arial" w:cs="Arial"/>
        </w:rPr>
      </w:pPr>
      <w:r w:rsidRPr="001170D2">
        <w:rPr>
          <w:rFonts w:ascii="Arial" w:hAnsi="Arial" w:cs="Arial"/>
        </w:rPr>
        <w:t>Interpretivist paradigm was adopted to prioritise contextual understanding and individual agency. This paradigm seeks to enable the exploration of estate agents’ practices and views in the dynamic rental market (Flick, 2022). Qualitative analysis views the researcher as a co-participant and interpreter rather than an impartial observer of social processes.</w:t>
      </w:r>
    </w:p>
    <w:p w14:paraId="14D501DA" w14:textId="7BAA5EAD" w:rsidR="00A92159" w:rsidRPr="001170D2" w:rsidRDefault="00134FFA" w:rsidP="000E2633">
      <w:pPr>
        <w:pStyle w:val="Heading2"/>
        <w:spacing w:line="360" w:lineRule="auto"/>
        <w:rPr>
          <w:rFonts w:ascii="Arial" w:hAnsi="Arial" w:cs="Arial"/>
          <w:sz w:val="22"/>
          <w:szCs w:val="22"/>
        </w:rPr>
      </w:pPr>
      <w:bookmarkStart w:id="26" w:name="_Toc214096809"/>
      <w:r>
        <w:rPr>
          <w:rFonts w:ascii="Arial" w:hAnsi="Arial" w:cs="Arial"/>
          <w:sz w:val="22"/>
          <w:szCs w:val="22"/>
        </w:rPr>
        <w:t>3.</w:t>
      </w:r>
      <w:r w:rsidR="00A92159" w:rsidRPr="001170D2">
        <w:rPr>
          <w:rFonts w:ascii="Arial" w:hAnsi="Arial" w:cs="Arial"/>
          <w:sz w:val="22"/>
          <w:szCs w:val="22"/>
        </w:rPr>
        <w:t xml:space="preserve">3 </w:t>
      </w:r>
      <w:r w:rsidR="00A92159" w:rsidRPr="00134FFA">
        <w:rPr>
          <w:rFonts w:ascii="Arial" w:hAnsi="Arial" w:cs="Arial"/>
        </w:rPr>
        <w:t>Research Approach</w:t>
      </w:r>
      <w:bookmarkEnd w:id="26"/>
    </w:p>
    <w:p w14:paraId="4AB4B228" w14:textId="77777777" w:rsidR="00A92159" w:rsidRPr="001170D2" w:rsidRDefault="00A92159" w:rsidP="000E2633">
      <w:pPr>
        <w:spacing w:line="360" w:lineRule="auto"/>
        <w:jc w:val="both"/>
        <w:rPr>
          <w:rFonts w:ascii="Arial" w:hAnsi="Arial" w:cs="Arial"/>
        </w:rPr>
      </w:pPr>
      <w:r w:rsidRPr="001170D2">
        <w:rPr>
          <w:rFonts w:ascii="Arial" w:hAnsi="Arial" w:cs="Arial"/>
        </w:rPr>
        <w:t>The study will use an inductive research approach. The analysis starts with specific data from the documentary reports and builds into broader levels of sustainability resilience adaptation strategies (Fitzhugh et al., 2018). Because the study seeks to build understanding as opposed to testing a hypothesis, it is appropriate to employ this form of reasoning.</w:t>
      </w:r>
    </w:p>
    <w:p w14:paraId="11237795" w14:textId="1DCD8F8C" w:rsidR="00A92159" w:rsidRPr="001170D2" w:rsidRDefault="00134FFA" w:rsidP="000E2633">
      <w:pPr>
        <w:pStyle w:val="Heading2"/>
        <w:spacing w:line="360" w:lineRule="auto"/>
        <w:rPr>
          <w:rFonts w:ascii="Arial" w:hAnsi="Arial" w:cs="Arial"/>
          <w:sz w:val="22"/>
          <w:szCs w:val="22"/>
        </w:rPr>
      </w:pPr>
      <w:bookmarkStart w:id="27" w:name="_Toc214096810"/>
      <w:r>
        <w:rPr>
          <w:rFonts w:ascii="Arial" w:hAnsi="Arial" w:cs="Arial"/>
          <w:sz w:val="22"/>
          <w:szCs w:val="22"/>
        </w:rPr>
        <w:t>3.</w:t>
      </w:r>
      <w:r w:rsidR="00A92159" w:rsidRPr="001170D2">
        <w:rPr>
          <w:rFonts w:ascii="Arial" w:hAnsi="Arial" w:cs="Arial"/>
          <w:sz w:val="22"/>
          <w:szCs w:val="22"/>
        </w:rPr>
        <w:t xml:space="preserve">4 </w:t>
      </w:r>
      <w:r w:rsidR="00A92159" w:rsidRPr="00134FFA">
        <w:rPr>
          <w:rFonts w:ascii="Arial" w:hAnsi="Arial" w:cs="Arial"/>
        </w:rPr>
        <w:t>Research Methodology</w:t>
      </w:r>
      <w:bookmarkEnd w:id="27"/>
    </w:p>
    <w:p w14:paraId="18AF5ACF" w14:textId="7514D7A9" w:rsidR="00A92159" w:rsidRPr="001170D2" w:rsidRDefault="00A92159" w:rsidP="000E2633">
      <w:pPr>
        <w:spacing w:line="360" w:lineRule="auto"/>
        <w:jc w:val="both"/>
        <w:rPr>
          <w:rFonts w:ascii="Arial" w:hAnsi="Arial" w:cs="Arial"/>
        </w:rPr>
      </w:pPr>
      <w:r w:rsidRPr="001170D2">
        <w:rPr>
          <w:rFonts w:ascii="Arial" w:hAnsi="Arial" w:cs="Arial"/>
        </w:rPr>
        <w:t>The study applied qualitative research methods</w:t>
      </w:r>
      <w:r w:rsidR="00134FFA">
        <w:rPr>
          <w:rFonts w:ascii="Arial" w:hAnsi="Arial" w:cs="Arial"/>
        </w:rPr>
        <w:t xml:space="preserve"> as opposed to quantitative approach.</w:t>
      </w:r>
      <w:r w:rsidRPr="001170D2">
        <w:rPr>
          <w:rFonts w:ascii="Arial" w:hAnsi="Arial" w:cs="Arial"/>
        </w:rPr>
        <w:t xml:space="preserve"> This study will explore the behaviours and organisational meanings of estate agencies regarding decision making and strategic planning to curb tenant arrears. Qualitative techniques examine text-based data and fit a constructivist and interpretivist perspective (Fitzhugh et al., 2018).</w:t>
      </w:r>
    </w:p>
    <w:p w14:paraId="1A3B7C36" w14:textId="57ACA7C2" w:rsidR="00A92159" w:rsidRPr="001170D2" w:rsidRDefault="00134FFA" w:rsidP="000E2633">
      <w:pPr>
        <w:pStyle w:val="Heading2"/>
        <w:spacing w:line="360" w:lineRule="auto"/>
        <w:rPr>
          <w:rFonts w:ascii="Arial" w:hAnsi="Arial" w:cs="Arial"/>
          <w:sz w:val="22"/>
          <w:szCs w:val="22"/>
        </w:rPr>
      </w:pPr>
      <w:bookmarkStart w:id="28" w:name="_Toc214096811"/>
      <w:r>
        <w:rPr>
          <w:rFonts w:ascii="Arial" w:hAnsi="Arial" w:cs="Arial"/>
          <w:sz w:val="22"/>
          <w:szCs w:val="22"/>
        </w:rPr>
        <w:t xml:space="preserve">3.5 </w:t>
      </w:r>
      <w:r w:rsidR="00A92159" w:rsidRPr="00134FFA">
        <w:rPr>
          <w:rFonts w:ascii="Arial" w:hAnsi="Arial" w:cs="Arial"/>
        </w:rPr>
        <w:t>Research Strategy</w:t>
      </w:r>
      <w:bookmarkEnd w:id="28"/>
    </w:p>
    <w:p w14:paraId="7718E241" w14:textId="77777777" w:rsidR="00A92159" w:rsidRPr="001170D2" w:rsidRDefault="00A92159" w:rsidP="000E2633">
      <w:pPr>
        <w:spacing w:line="360" w:lineRule="auto"/>
        <w:jc w:val="both"/>
        <w:rPr>
          <w:rFonts w:ascii="Arial" w:hAnsi="Arial" w:cs="Arial"/>
        </w:rPr>
      </w:pPr>
      <w:r w:rsidRPr="001170D2">
        <w:rPr>
          <w:rFonts w:ascii="Arial" w:hAnsi="Arial" w:cs="Arial"/>
        </w:rPr>
        <w:t>Documentary analysis is used as the main research method. This approach targets an in-depth analysis of existing materials like policy reports and publications by housing associations, as well as academic studies among others. And does not require direct interaction with the participants (Livingston et al., 2021).</w:t>
      </w:r>
    </w:p>
    <w:p w14:paraId="10ACD220" w14:textId="0A2A01DD" w:rsidR="00A92159" w:rsidRPr="001170D2" w:rsidRDefault="00134FFA" w:rsidP="000E2633">
      <w:pPr>
        <w:pStyle w:val="Heading2"/>
        <w:spacing w:line="360" w:lineRule="auto"/>
        <w:rPr>
          <w:rFonts w:ascii="Arial" w:hAnsi="Arial" w:cs="Arial"/>
          <w:sz w:val="22"/>
          <w:szCs w:val="22"/>
        </w:rPr>
      </w:pPr>
      <w:bookmarkStart w:id="29" w:name="_Toc214096812"/>
      <w:r>
        <w:rPr>
          <w:rFonts w:ascii="Arial" w:hAnsi="Arial" w:cs="Arial"/>
          <w:sz w:val="22"/>
          <w:szCs w:val="22"/>
        </w:rPr>
        <w:t>3.</w:t>
      </w:r>
      <w:r w:rsidR="00A92159" w:rsidRPr="001170D2">
        <w:rPr>
          <w:rFonts w:ascii="Arial" w:hAnsi="Arial" w:cs="Arial"/>
          <w:sz w:val="22"/>
          <w:szCs w:val="22"/>
        </w:rPr>
        <w:t xml:space="preserve">6 </w:t>
      </w:r>
      <w:r w:rsidR="00A92159" w:rsidRPr="00134FFA">
        <w:rPr>
          <w:rFonts w:ascii="Arial" w:hAnsi="Arial" w:cs="Arial"/>
        </w:rPr>
        <w:t>Sampling Strategy</w:t>
      </w:r>
      <w:bookmarkEnd w:id="29"/>
    </w:p>
    <w:p w14:paraId="5105C880" w14:textId="77777777" w:rsidR="00A92159" w:rsidRPr="001170D2" w:rsidRDefault="00A92159" w:rsidP="000E2633">
      <w:pPr>
        <w:spacing w:line="360" w:lineRule="auto"/>
        <w:jc w:val="both"/>
        <w:rPr>
          <w:rFonts w:ascii="Arial" w:hAnsi="Arial" w:cs="Arial"/>
        </w:rPr>
      </w:pPr>
      <w:r w:rsidRPr="001170D2">
        <w:rPr>
          <w:rFonts w:ascii="Arial" w:hAnsi="Arial" w:cs="Arial"/>
        </w:rPr>
        <w:t>Purposive sampling helped to obtain documents that are relevant, authoritative and recent. The sources were selected based on their relevance to tenant arrears and estate agent operations, including think tanks, academic journals, government statistics and briefings.</w:t>
      </w:r>
    </w:p>
    <w:p w14:paraId="65E9BD26" w14:textId="71287607" w:rsidR="00A92159" w:rsidRPr="001170D2" w:rsidRDefault="00134FFA" w:rsidP="000E2633">
      <w:pPr>
        <w:pStyle w:val="Heading2"/>
        <w:spacing w:line="360" w:lineRule="auto"/>
        <w:rPr>
          <w:rFonts w:ascii="Arial" w:hAnsi="Arial" w:cs="Arial"/>
          <w:sz w:val="22"/>
          <w:szCs w:val="22"/>
        </w:rPr>
      </w:pPr>
      <w:bookmarkStart w:id="30" w:name="_Toc214096813"/>
      <w:r>
        <w:rPr>
          <w:rFonts w:ascii="Arial" w:hAnsi="Arial" w:cs="Arial"/>
          <w:sz w:val="22"/>
          <w:szCs w:val="22"/>
        </w:rPr>
        <w:lastRenderedPageBreak/>
        <w:t>3.</w:t>
      </w:r>
      <w:r w:rsidR="00A92159" w:rsidRPr="001170D2">
        <w:rPr>
          <w:rFonts w:ascii="Arial" w:hAnsi="Arial" w:cs="Arial"/>
          <w:sz w:val="22"/>
          <w:szCs w:val="22"/>
        </w:rPr>
        <w:t xml:space="preserve">7 </w:t>
      </w:r>
      <w:r w:rsidR="00A92159" w:rsidRPr="00134FFA">
        <w:rPr>
          <w:rFonts w:ascii="Arial" w:hAnsi="Arial" w:cs="Arial"/>
        </w:rPr>
        <w:t>Data Collection</w:t>
      </w:r>
      <w:bookmarkEnd w:id="30"/>
    </w:p>
    <w:p w14:paraId="530A5529" w14:textId="73A2C5CC" w:rsidR="00A92159" w:rsidRDefault="00A92159" w:rsidP="000E2633">
      <w:pPr>
        <w:spacing w:line="360" w:lineRule="auto"/>
        <w:jc w:val="both"/>
        <w:rPr>
          <w:rFonts w:ascii="Arial" w:hAnsi="Arial" w:cs="Arial"/>
        </w:rPr>
      </w:pPr>
      <w:r w:rsidRPr="001170D2">
        <w:rPr>
          <w:rFonts w:ascii="Arial" w:hAnsi="Arial" w:cs="Arial"/>
        </w:rPr>
        <w:t>Data were drawn from publicly accessible documents, including Shelter UK and GOV. UK datasets, housing journals and property sector publications. They also suggest ways in which organisations have managed to stay resilient despite the threat posed by tenant arrears.</w:t>
      </w:r>
    </w:p>
    <w:p w14:paraId="468B0916" w14:textId="77777777" w:rsidR="00080F94" w:rsidRPr="001170D2" w:rsidRDefault="00080F94" w:rsidP="000E2633">
      <w:pPr>
        <w:spacing w:line="360" w:lineRule="auto"/>
        <w:jc w:val="both"/>
        <w:rPr>
          <w:rFonts w:ascii="Arial" w:hAnsi="Arial" w:cs="Arial"/>
        </w:rPr>
      </w:pPr>
    </w:p>
    <w:p w14:paraId="4E71F77C" w14:textId="53DED861" w:rsidR="00A92159" w:rsidRPr="001170D2" w:rsidRDefault="00134FFA" w:rsidP="000E2633">
      <w:pPr>
        <w:pStyle w:val="Heading2"/>
        <w:spacing w:line="360" w:lineRule="auto"/>
        <w:rPr>
          <w:rFonts w:ascii="Arial" w:hAnsi="Arial" w:cs="Arial"/>
          <w:sz w:val="22"/>
          <w:szCs w:val="22"/>
        </w:rPr>
      </w:pPr>
      <w:bookmarkStart w:id="31" w:name="_Toc214096814"/>
      <w:r>
        <w:rPr>
          <w:rFonts w:ascii="Arial" w:hAnsi="Arial" w:cs="Arial"/>
          <w:sz w:val="22"/>
          <w:szCs w:val="22"/>
        </w:rPr>
        <w:t>3.</w:t>
      </w:r>
      <w:r w:rsidR="00A92159" w:rsidRPr="001170D2">
        <w:rPr>
          <w:rFonts w:ascii="Arial" w:hAnsi="Arial" w:cs="Arial"/>
          <w:sz w:val="22"/>
          <w:szCs w:val="22"/>
        </w:rPr>
        <w:t xml:space="preserve">8 </w:t>
      </w:r>
      <w:r w:rsidR="00A92159" w:rsidRPr="00080F94">
        <w:rPr>
          <w:rFonts w:ascii="Arial" w:hAnsi="Arial" w:cs="Arial"/>
        </w:rPr>
        <w:t>Data Interpretation</w:t>
      </w:r>
      <w:bookmarkEnd w:id="31"/>
    </w:p>
    <w:p w14:paraId="053037FA" w14:textId="3D19CC67" w:rsidR="00A92159" w:rsidRPr="001170D2" w:rsidRDefault="00A92159" w:rsidP="000E2633">
      <w:pPr>
        <w:spacing w:line="360" w:lineRule="auto"/>
        <w:jc w:val="both"/>
        <w:rPr>
          <w:rFonts w:ascii="Arial" w:hAnsi="Arial" w:cs="Arial"/>
        </w:rPr>
      </w:pPr>
      <w:r w:rsidRPr="001170D2">
        <w:rPr>
          <w:rFonts w:ascii="Arial" w:hAnsi="Arial" w:cs="Arial"/>
        </w:rPr>
        <w:t xml:space="preserve">Data </w:t>
      </w:r>
      <w:r w:rsidR="00134FFA">
        <w:rPr>
          <w:rFonts w:ascii="Arial" w:hAnsi="Arial" w:cs="Arial"/>
        </w:rPr>
        <w:t>will be</w:t>
      </w:r>
      <w:r w:rsidRPr="00134FFA">
        <w:rPr>
          <w:rFonts w:ascii="Arial" w:hAnsi="Arial" w:cs="Arial"/>
        </w:rPr>
        <w:t xml:space="preserve"> </w:t>
      </w:r>
      <w:r w:rsidR="00435A77" w:rsidRPr="00134FFA">
        <w:rPr>
          <w:rFonts w:ascii="Arial" w:hAnsi="Arial" w:cs="Arial"/>
        </w:rPr>
        <w:t>analysed</w:t>
      </w:r>
      <w:r w:rsidRPr="001170D2">
        <w:rPr>
          <w:rFonts w:ascii="Arial" w:hAnsi="Arial" w:cs="Arial"/>
        </w:rPr>
        <w:t xml:space="preserve"> using thematic analysis. This is a flexible qualitative method that identifies and interprets patterns in the documents. And additionally enables the researcher to comprehensively engage with and understand the meanings that qualitatively emerge from the data (Flick, 2022). The analysis entailed reading and coding the data, clustering the codes into themes and interpreting them for meaning regarding organisational resilience. However, it necessitates a careful approach to minimise bia</w:t>
      </w:r>
      <w:r w:rsidR="00080F94">
        <w:rPr>
          <w:rFonts w:ascii="Arial" w:hAnsi="Arial" w:cs="Arial"/>
        </w:rPr>
        <w:t>s and maintain research quality:</w:t>
      </w:r>
    </w:p>
    <w:p w14:paraId="2ABEF121" w14:textId="36A719A9" w:rsidR="008563F0" w:rsidRPr="001170D2" w:rsidRDefault="008563F0" w:rsidP="000E2633">
      <w:pPr>
        <w:spacing w:line="360" w:lineRule="auto"/>
        <w:jc w:val="both"/>
        <w:rPr>
          <w:rFonts w:ascii="Arial" w:hAnsi="Arial" w:cs="Arial"/>
          <w:i/>
          <w:iCs/>
        </w:rPr>
      </w:pPr>
      <w:r w:rsidRPr="00E90136">
        <w:rPr>
          <w:rFonts w:ascii="Arial" w:hAnsi="Arial" w:cs="Arial"/>
          <w:b/>
          <w:i/>
          <w:iCs/>
        </w:rPr>
        <w:t>Advantages include</w:t>
      </w:r>
      <w:r w:rsidRPr="001170D2">
        <w:rPr>
          <w:rFonts w:ascii="Arial" w:hAnsi="Arial" w:cs="Arial"/>
          <w:i/>
          <w:iCs/>
        </w:rPr>
        <w:t>;</w:t>
      </w:r>
    </w:p>
    <w:p w14:paraId="6A7B3BBF" w14:textId="6BFCF27E" w:rsidR="008563F0" w:rsidRPr="001170D2" w:rsidRDefault="008563F0" w:rsidP="000E2633">
      <w:pPr>
        <w:pStyle w:val="ListParagraph"/>
        <w:numPr>
          <w:ilvl w:val="0"/>
          <w:numId w:val="15"/>
        </w:numPr>
        <w:spacing w:line="360" w:lineRule="auto"/>
        <w:jc w:val="both"/>
        <w:rPr>
          <w:rFonts w:ascii="Arial" w:hAnsi="Arial" w:cs="Arial"/>
        </w:rPr>
      </w:pPr>
      <w:r w:rsidRPr="001170D2">
        <w:rPr>
          <w:rFonts w:ascii="Arial" w:hAnsi="Arial" w:cs="Arial"/>
        </w:rPr>
        <w:t xml:space="preserve">Allows for depth and flexibility in exploring complex social </w:t>
      </w:r>
      <w:r w:rsidR="005065DC" w:rsidRPr="001170D2">
        <w:rPr>
          <w:rFonts w:ascii="Arial" w:hAnsi="Arial" w:cs="Arial"/>
        </w:rPr>
        <w:t>issues (</w:t>
      </w:r>
      <w:r w:rsidRPr="001170D2">
        <w:rPr>
          <w:rFonts w:ascii="Arial" w:hAnsi="Arial" w:cs="Arial"/>
        </w:rPr>
        <w:t>Flick, 2022)</w:t>
      </w:r>
      <w:r w:rsidR="00E90136">
        <w:rPr>
          <w:rFonts w:ascii="Arial" w:hAnsi="Arial" w:cs="Arial"/>
        </w:rPr>
        <w:t>.</w:t>
      </w:r>
    </w:p>
    <w:p w14:paraId="4040D322" w14:textId="4CADD779" w:rsidR="008563F0" w:rsidRPr="001170D2" w:rsidRDefault="008563F0" w:rsidP="000E2633">
      <w:pPr>
        <w:pStyle w:val="ListParagraph"/>
        <w:numPr>
          <w:ilvl w:val="0"/>
          <w:numId w:val="15"/>
        </w:numPr>
        <w:spacing w:line="360" w:lineRule="auto"/>
        <w:jc w:val="both"/>
        <w:rPr>
          <w:rFonts w:ascii="Arial" w:hAnsi="Arial" w:cs="Arial"/>
        </w:rPr>
      </w:pPr>
      <w:r w:rsidRPr="001170D2">
        <w:rPr>
          <w:rFonts w:ascii="Arial" w:hAnsi="Arial" w:cs="Arial"/>
        </w:rPr>
        <w:t>Suitable for analysing policy documents and professional discourse</w:t>
      </w:r>
      <w:r w:rsidR="00E90136">
        <w:rPr>
          <w:rFonts w:ascii="Arial" w:hAnsi="Arial" w:cs="Arial"/>
        </w:rPr>
        <w:t>.</w:t>
      </w:r>
    </w:p>
    <w:p w14:paraId="5506CBEC" w14:textId="1FF5767A" w:rsidR="008563F0" w:rsidRPr="001170D2" w:rsidRDefault="008563F0" w:rsidP="000E2633">
      <w:pPr>
        <w:pStyle w:val="ListParagraph"/>
        <w:numPr>
          <w:ilvl w:val="0"/>
          <w:numId w:val="15"/>
        </w:numPr>
        <w:spacing w:line="360" w:lineRule="auto"/>
        <w:jc w:val="both"/>
        <w:rPr>
          <w:rFonts w:ascii="Arial" w:hAnsi="Arial" w:cs="Arial"/>
        </w:rPr>
      </w:pPr>
      <w:r w:rsidRPr="001170D2">
        <w:rPr>
          <w:rFonts w:ascii="Arial" w:hAnsi="Arial" w:cs="Arial"/>
        </w:rPr>
        <w:t>Enables the researcher to link themes</w:t>
      </w:r>
      <w:r w:rsidR="00E90136">
        <w:rPr>
          <w:rFonts w:ascii="Arial" w:hAnsi="Arial" w:cs="Arial"/>
        </w:rPr>
        <w:t xml:space="preserve"> to theoretical concepts (e.g., </w:t>
      </w:r>
      <w:r w:rsidRPr="001170D2">
        <w:rPr>
          <w:rFonts w:ascii="Arial" w:hAnsi="Arial" w:cs="Arial"/>
        </w:rPr>
        <w:t>resilience, organisational behaviour)</w:t>
      </w:r>
      <w:r w:rsidR="00E90136">
        <w:rPr>
          <w:rFonts w:ascii="Arial" w:hAnsi="Arial" w:cs="Arial"/>
        </w:rPr>
        <w:t>.</w:t>
      </w:r>
    </w:p>
    <w:p w14:paraId="5FF0EC78" w14:textId="30587B72" w:rsidR="008563F0" w:rsidRPr="001170D2" w:rsidRDefault="008563F0" w:rsidP="000E2633">
      <w:pPr>
        <w:spacing w:line="360" w:lineRule="auto"/>
        <w:jc w:val="both"/>
        <w:rPr>
          <w:rFonts w:ascii="Arial" w:hAnsi="Arial" w:cs="Arial"/>
          <w:i/>
          <w:iCs/>
        </w:rPr>
      </w:pPr>
      <w:r w:rsidRPr="00E90136">
        <w:rPr>
          <w:rFonts w:ascii="Arial" w:hAnsi="Arial" w:cs="Arial"/>
          <w:b/>
          <w:i/>
          <w:iCs/>
        </w:rPr>
        <w:t>Disadvantages are</w:t>
      </w:r>
      <w:r w:rsidRPr="001170D2">
        <w:rPr>
          <w:rFonts w:ascii="Arial" w:hAnsi="Arial" w:cs="Arial"/>
          <w:i/>
          <w:iCs/>
        </w:rPr>
        <w:t>;</w:t>
      </w:r>
    </w:p>
    <w:p w14:paraId="505CA090" w14:textId="44A235A0" w:rsidR="008563F0" w:rsidRPr="001170D2" w:rsidRDefault="008563F0" w:rsidP="000E2633">
      <w:pPr>
        <w:pStyle w:val="ListParagraph"/>
        <w:numPr>
          <w:ilvl w:val="0"/>
          <w:numId w:val="15"/>
        </w:numPr>
        <w:spacing w:line="360" w:lineRule="auto"/>
        <w:jc w:val="both"/>
        <w:rPr>
          <w:rFonts w:ascii="Arial" w:hAnsi="Arial" w:cs="Arial"/>
        </w:rPr>
      </w:pPr>
      <w:r w:rsidRPr="001170D2">
        <w:rPr>
          <w:rFonts w:ascii="Arial" w:hAnsi="Arial" w:cs="Arial"/>
        </w:rPr>
        <w:t xml:space="preserve">Subject to researcher bias in coding or theme </w:t>
      </w:r>
      <w:r w:rsidR="005065DC" w:rsidRPr="001170D2">
        <w:rPr>
          <w:rFonts w:ascii="Arial" w:hAnsi="Arial" w:cs="Arial"/>
        </w:rPr>
        <w:t>interpretation (</w:t>
      </w:r>
      <w:r w:rsidRPr="001170D2">
        <w:rPr>
          <w:rFonts w:ascii="Arial" w:hAnsi="Arial" w:cs="Arial"/>
        </w:rPr>
        <w:t>Flick, 2022)</w:t>
      </w:r>
      <w:r w:rsidR="00E90136">
        <w:rPr>
          <w:rFonts w:ascii="Arial" w:hAnsi="Arial" w:cs="Arial"/>
        </w:rPr>
        <w:t>.</w:t>
      </w:r>
    </w:p>
    <w:p w14:paraId="6D29E6B1" w14:textId="74D52D03" w:rsidR="008563F0" w:rsidRPr="001170D2" w:rsidRDefault="008563F0" w:rsidP="000E2633">
      <w:pPr>
        <w:pStyle w:val="ListParagraph"/>
        <w:numPr>
          <w:ilvl w:val="0"/>
          <w:numId w:val="15"/>
        </w:numPr>
        <w:spacing w:line="360" w:lineRule="auto"/>
        <w:jc w:val="both"/>
        <w:rPr>
          <w:rFonts w:ascii="Arial" w:hAnsi="Arial" w:cs="Arial"/>
        </w:rPr>
      </w:pPr>
      <w:r w:rsidRPr="001170D2">
        <w:rPr>
          <w:rFonts w:ascii="Arial" w:hAnsi="Arial" w:cs="Arial"/>
        </w:rPr>
        <w:t>Requires careful and consistent documentation to maintain rigour</w:t>
      </w:r>
      <w:r w:rsidR="00E90136">
        <w:rPr>
          <w:rFonts w:ascii="Arial" w:hAnsi="Arial" w:cs="Arial"/>
        </w:rPr>
        <w:t>.</w:t>
      </w:r>
    </w:p>
    <w:p w14:paraId="061A4DE1" w14:textId="0F3EA8D8" w:rsidR="008563F0" w:rsidRDefault="008563F0" w:rsidP="000E2633">
      <w:pPr>
        <w:pStyle w:val="ListParagraph"/>
        <w:numPr>
          <w:ilvl w:val="0"/>
          <w:numId w:val="15"/>
        </w:numPr>
        <w:spacing w:line="360" w:lineRule="auto"/>
        <w:jc w:val="both"/>
        <w:rPr>
          <w:rFonts w:ascii="Arial" w:hAnsi="Arial" w:cs="Arial"/>
        </w:rPr>
      </w:pPr>
      <w:r w:rsidRPr="001170D2">
        <w:rPr>
          <w:rFonts w:ascii="Arial" w:hAnsi="Arial" w:cs="Arial"/>
        </w:rPr>
        <w:t>May miss nuanced quantitative patterns without numerical data</w:t>
      </w:r>
      <w:r w:rsidR="00E90136">
        <w:rPr>
          <w:rFonts w:ascii="Arial" w:hAnsi="Arial" w:cs="Arial"/>
        </w:rPr>
        <w:t>.</w:t>
      </w:r>
    </w:p>
    <w:p w14:paraId="71E01AD7" w14:textId="77777777" w:rsidR="00080F94" w:rsidRPr="001170D2" w:rsidRDefault="00080F94" w:rsidP="00080F94">
      <w:pPr>
        <w:pStyle w:val="ListParagraph"/>
        <w:spacing w:line="360" w:lineRule="auto"/>
        <w:jc w:val="both"/>
        <w:rPr>
          <w:rFonts w:ascii="Arial" w:hAnsi="Arial" w:cs="Arial"/>
        </w:rPr>
      </w:pPr>
    </w:p>
    <w:p w14:paraId="25E022D3" w14:textId="77777777" w:rsidR="00A92159" w:rsidRPr="001170D2" w:rsidRDefault="00A92159" w:rsidP="000E2633">
      <w:pPr>
        <w:pStyle w:val="Heading2"/>
        <w:spacing w:line="360" w:lineRule="auto"/>
        <w:rPr>
          <w:rFonts w:ascii="Arial" w:hAnsi="Arial" w:cs="Arial"/>
          <w:sz w:val="22"/>
          <w:szCs w:val="22"/>
        </w:rPr>
      </w:pPr>
      <w:bookmarkStart w:id="32" w:name="_Toc214096815"/>
      <w:r w:rsidRPr="001170D2">
        <w:rPr>
          <w:rFonts w:ascii="Arial" w:hAnsi="Arial" w:cs="Arial"/>
          <w:sz w:val="22"/>
          <w:szCs w:val="22"/>
        </w:rPr>
        <w:t xml:space="preserve">3.9 </w:t>
      </w:r>
      <w:r w:rsidRPr="00E90136">
        <w:rPr>
          <w:rFonts w:ascii="Arial" w:hAnsi="Arial" w:cs="Arial"/>
        </w:rPr>
        <w:t>Ethical Considerations</w:t>
      </w:r>
      <w:bookmarkEnd w:id="32"/>
    </w:p>
    <w:p w14:paraId="22A4CA8D" w14:textId="5F14E7B9" w:rsidR="00A92159" w:rsidRDefault="00A92159" w:rsidP="000E2633">
      <w:pPr>
        <w:spacing w:line="360" w:lineRule="auto"/>
        <w:jc w:val="both"/>
        <w:rPr>
          <w:rFonts w:ascii="Arial" w:hAnsi="Arial" w:cs="Arial"/>
        </w:rPr>
      </w:pPr>
      <w:r w:rsidRPr="001170D2">
        <w:rPr>
          <w:rFonts w:ascii="Arial" w:hAnsi="Arial" w:cs="Arial"/>
        </w:rPr>
        <w:t>This study adheres to the ethical standards of the University of Wales Trinity Saint David. Since the study uses publicly accessible data and does not involve human participants, there are no issues related to consent or data protection. However, academic integrity was ensured by implementing appropriate citations in the tool and respecting data privacy and confidentiality requirements stipulated by GDPR. No sensitive or confidential information was accessed in the course of the study.</w:t>
      </w:r>
    </w:p>
    <w:p w14:paraId="400A7AC0" w14:textId="378740D2" w:rsidR="00080F94" w:rsidRDefault="00080F94" w:rsidP="000E2633">
      <w:pPr>
        <w:spacing w:line="360" w:lineRule="auto"/>
        <w:jc w:val="both"/>
        <w:rPr>
          <w:rFonts w:ascii="Arial" w:hAnsi="Arial" w:cs="Arial"/>
        </w:rPr>
      </w:pPr>
    </w:p>
    <w:p w14:paraId="5ACE8F94" w14:textId="743819D5" w:rsidR="00080F94" w:rsidRDefault="00080F94" w:rsidP="000E2633">
      <w:pPr>
        <w:spacing w:line="360" w:lineRule="auto"/>
        <w:jc w:val="both"/>
        <w:rPr>
          <w:rFonts w:ascii="Arial" w:hAnsi="Arial" w:cs="Arial"/>
        </w:rPr>
      </w:pPr>
    </w:p>
    <w:p w14:paraId="2743E708" w14:textId="6B2FBB7A" w:rsidR="00080F94" w:rsidRDefault="00080F94" w:rsidP="000E2633">
      <w:pPr>
        <w:spacing w:line="360" w:lineRule="auto"/>
        <w:jc w:val="both"/>
        <w:rPr>
          <w:rFonts w:ascii="Arial" w:hAnsi="Arial" w:cs="Arial"/>
        </w:rPr>
      </w:pPr>
    </w:p>
    <w:p w14:paraId="213829D0" w14:textId="77777777" w:rsidR="00080F94" w:rsidRPr="001170D2" w:rsidRDefault="00080F94" w:rsidP="000E2633">
      <w:pPr>
        <w:spacing w:line="360" w:lineRule="auto"/>
        <w:jc w:val="both"/>
        <w:rPr>
          <w:rFonts w:ascii="Arial" w:hAnsi="Arial" w:cs="Arial"/>
        </w:rPr>
      </w:pPr>
    </w:p>
    <w:p w14:paraId="5FC6C98E" w14:textId="77777777" w:rsidR="00A92159" w:rsidRPr="001170D2" w:rsidRDefault="00A92159" w:rsidP="000E2633">
      <w:pPr>
        <w:spacing w:line="360" w:lineRule="auto"/>
        <w:jc w:val="both"/>
        <w:rPr>
          <w:rFonts w:ascii="Arial" w:hAnsi="Arial" w:cs="Arial"/>
        </w:rPr>
      </w:pPr>
    </w:p>
    <w:p w14:paraId="6318AA6F" w14:textId="4D45016F" w:rsidR="00B3589F" w:rsidRPr="001170D2" w:rsidRDefault="005F2975" w:rsidP="000E2633">
      <w:pPr>
        <w:pStyle w:val="Heading1"/>
        <w:spacing w:line="360" w:lineRule="auto"/>
        <w:jc w:val="both"/>
        <w:rPr>
          <w:rFonts w:ascii="Arial" w:eastAsia="Calibri" w:hAnsi="Arial" w:cs="Arial"/>
          <w:sz w:val="22"/>
          <w:szCs w:val="22"/>
        </w:rPr>
      </w:pPr>
      <w:bookmarkStart w:id="33" w:name="_Toc214096816"/>
      <w:r w:rsidRPr="001170D2">
        <w:rPr>
          <w:rFonts w:ascii="Arial" w:eastAsia="Calibri" w:hAnsi="Arial" w:cs="Arial"/>
          <w:sz w:val="22"/>
          <w:szCs w:val="22"/>
        </w:rPr>
        <w:t xml:space="preserve">4.0 </w:t>
      </w:r>
      <w:r w:rsidRPr="00374E58">
        <w:rPr>
          <w:rFonts w:ascii="Arial" w:eastAsia="Calibri" w:hAnsi="Arial" w:cs="Arial"/>
        </w:rPr>
        <w:t>Analysis of Findings</w:t>
      </w:r>
      <w:r w:rsidR="000C5E41" w:rsidRPr="00374E58">
        <w:rPr>
          <w:rFonts w:ascii="Arial" w:eastAsia="Calibri" w:hAnsi="Arial" w:cs="Arial"/>
        </w:rPr>
        <w:t xml:space="preserve"> </w:t>
      </w:r>
      <w:r w:rsidR="005065DC" w:rsidRPr="00374E58">
        <w:rPr>
          <w:rFonts w:ascii="Arial" w:eastAsia="Calibri" w:hAnsi="Arial" w:cs="Arial"/>
        </w:rPr>
        <w:t>and Discussion</w:t>
      </w:r>
      <w:bookmarkEnd w:id="33"/>
      <w:r w:rsidRPr="001170D2">
        <w:rPr>
          <w:rFonts w:ascii="Arial" w:eastAsia="Calibri" w:hAnsi="Arial" w:cs="Arial"/>
          <w:sz w:val="22"/>
          <w:szCs w:val="22"/>
        </w:rPr>
        <w:t xml:space="preserve"> </w:t>
      </w:r>
    </w:p>
    <w:p w14:paraId="7774ECA2" w14:textId="24B28FF1" w:rsidR="001069A6" w:rsidRDefault="000C5E41" w:rsidP="000E2633">
      <w:pPr>
        <w:spacing w:line="360" w:lineRule="auto"/>
        <w:jc w:val="both"/>
        <w:rPr>
          <w:rFonts w:ascii="Arial" w:hAnsi="Arial" w:cs="Arial"/>
        </w:rPr>
      </w:pPr>
      <w:r w:rsidRPr="001170D2">
        <w:rPr>
          <w:rFonts w:ascii="Arial" w:hAnsi="Arial" w:cs="Arial"/>
        </w:rPr>
        <w:t>This section provides the findings and their analysis. From the selected sources, three them</w:t>
      </w:r>
      <w:r w:rsidR="005065DC">
        <w:rPr>
          <w:rFonts w:ascii="Arial" w:hAnsi="Arial" w:cs="Arial"/>
        </w:rPr>
        <w:t>es were identified through</w:t>
      </w:r>
      <w:r w:rsidR="001069A6">
        <w:rPr>
          <w:rFonts w:ascii="Arial" w:hAnsi="Arial" w:cs="Arial"/>
        </w:rPr>
        <w:t xml:space="preserve"> thematic analysis namely: </w:t>
      </w:r>
    </w:p>
    <w:p w14:paraId="16132E9D" w14:textId="3FED4998" w:rsidR="001069A6" w:rsidRPr="00374E58" w:rsidRDefault="000C5E41" w:rsidP="001069A6">
      <w:pPr>
        <w:pStyle w:val="ListParagraph"/>
        <w:numPr>
          <w:ilvl w:val="0"/>
          <w:numId w:val="16"/>
        </w:numPr>
        <w:spacing w:line="360" w:lineRule="auto"/>
        <w:jc w:val="both"/>
        <w:rPr>
          <w:rFonts w:ascii="Arial" w:hAnsi="Arial" w:cs="Arial"/>
          <w:i/>
        </w:rPr>
      </w:pPr>
      <w:r w:rsidRPr="00374E58">
        <w:rPr>
          <w:rFonts w:ascii="Arial" w:hAnsi="Arial" w:cs="Arial"/>
          <w:i/>
        </w:rPr>
        <w:t>Structural and Behavi</w:t>
      </w:r>
      <w:r w:rsidR="001069A6" w:rsidRPr="00374E58">
        <w:rPr>
          <w:rFonts w:ascii="Arial" w:hAnsi="Arial" w:cs="Arial"/>
          <w:i/>
        </w:rPr>
        <w:t>oural Drivers of Rent Arrears</w:t>
      </w:r>
      <w:r w:rsidR="00374E58" w:rsidRPr="00374E58">
        <w:rPr>
          <w:rFonts w:ascii="Arial" w:hAnsi="Arial" w:cs="Arial"/>
          <w:i/>
        </w:rPr>
        <w:t>,</w:t>
      </w:r>
    </w:p>
    <w:p w14:paraId="1A293BFD" w14:textId="689E53CD" w:rsidR="000C5E41" w:rsidRPr="00374E58" w:rsidRDefault="000C5E41" w:rsidP="001069A6">
      <w:pPr>
        <w:pStyle w:val="ListParagraph"/>
        <w:numPr>
          <w:ilvl w:val="0"/>
          <w:numId w:val="16"/>
        </w:numPr>
        <w:spacing w:line="360" w:lineRule="auto"/>
        <w:jc w:val="both"/>
        <w:rPr>
          <w:rFonts w:ascii="Arial" w:hAnsi="Arial" w:cs="Arial"/>
          <w:i/>
        </w:rPr>
      </w:pPr>
      <w:r w:rsidRPr="00374E58">
        <w:rPr>
          <w:rFonts w:ascii="Arial" w:hAnsi="Arial" w:cs="Arial"/>
          <w:i/>
        </w:rPr>
        <w:t xml:space="preserve">Operational and Financial burden </w:t>
      </w:r>
      <w:r w:rsidR="001069A6" w:rsidRPr="00374E58">
        <w:rPr>
          <w:rFonts w:ascii="Arial" w:hAnsi="Arial" w:cs="Arial"/>
          <w:i/>
        </w:rPr>
        <w:t>on Letting Agents and Landlords</w:t>
      </w:r>
      <w:r w:rsidR="00374E58" w:rsidRPr="00374E58">
        <w:rPr>
          <w:rFonts w:ascii="Arial" w:hAnsi="Arial" w:cs="Arial"/>
          <w:i/>
        </w:rPr>
        <w:t>,</w:t>
      </w:r>
    </w:p>
    <w:p w14:paraId="3681A477" w14:textId="5E7E64D1" w:rsidR="000C5E41" w:rsidRPr="00374E58" w:rsidRDefault="000C5E41" w:rsidP="001069A6">
      <w:pPr>
        <w:pStyle w:val="ListParagraph"/>
        <w:numPr>
          <w:ilvl w:val="0"/>
          <w:numId w:val="16"/>
        </w:numPr>
        <w:spacing w:line="360" w:lineRule="auto"/>
        <w:jc w:val="both"/>
        <w:rPr>
          <w:rFonts w:ascii="Arial" w:hAnsi="Arial" w:cs="Arial"/>
          <w:i/>
        </w:rPr>
      </w:pPr>
      <w:r w:rsidRPr="00374E58">
        <w:rPr>
          <w:rFonts w:ascii="Arial" w:hAnsi="Arial" w:cs="Arial"/>
          <w:i/>
        </w:rPr>
        <w:t>Resilience-Developing and Cost-Effective Mitigation Measures.</w:t>
      </w:r>
    </w:p>
    <w:p w14:paraId="47472F28" w14:textId="068E2372" w:rsidR="0034345C" w:rsidRDefault="0034345C" w:rsidP="0034345C">
      <w:pPr>
        <w:spacing w:line="360" w:lineRule="auto"/>
        <w:jc w:val="both"/>
        <w:rPr>
          <w:rFonts w:ascii="Arial" w:hAnsi="Arial" w:cs="Arial"/>
        </w:rPr>
      </w:pPr>
      <w:r>
        <w:rPr>
          <w:rFonts w:ascii="Arial" w:hAnsi="Arial" w:cs="Arial"/>
        </w:rPr>
        <w:t>These themes will be the basis for analysis and discu</w:t>
      </w:r>
      <w:r w:rsidR="00EB4851">
        <w:rPr>
          <w:rFonts w:ascii="Arial" w:hAnsi="Arial" w:cs="Arial"/>
        </w:rPr>
        <w:t>ssions in the next subheadings.</w:t>
      </w:r>
    </w:p>
    <w:p w14:paraId="15F28630" w14:textId="77777777" w:rsidR="00EB4851" w:rsidRPr="0034345C" w:rsidRDefault="00EB4851" w:rsidP="0034345C">
      <w:pPr>
        <w:spacing w:line="360" w:lineRule="auto"/>
        <w:jc w:val="both"/>
        <w:rPr>
          <w:rFonts w:ascii="Arial" w:hAnsi="Arial" w:cs="Arial"/>
        </w:rPr>
      </w:pPr>
    </w:p>
    <w:p w14:paraId="27A00A40" w14:textId="691B0742" w:rsidR="00904511" w:rsidRDefault="0034345C" w:rsidP="000E2633">
      <w:pPr>
        <w:pStyle w:val="Heading2"/>
        <w:spacing w:line="360" w:lineRule="auto"/>
        <w:rPr>
          <w:rFonts w:ascii="Arial" w:hAnsi="Arial" w:cs="Arial"/>
          <w:noProof/>
          <w:sz w:val="22"/>
          <w:szCs w:val="22"/>
        </w:rPr>
      </w:pPr>
      <w:bookmarkStart w:id="34" w:name="_Toc214096817"/>
      <w:r>
        <w:rPr>
          <w:rFonts w:ascii="Arial" w:hAnsi="Arial" w:cs="Arial"/>
          <w:noProof/>
          <w:sz w:val="22"/>
          <w:szCs w:val="22"/>
        </w:rPr>
        <w:t xml:space="preserve">4.1 </w:t>
      </w:r>
      <w:r w:rsidR="00904511" w:rsidRPr="00374E58">
        <w:rPr>
          <w:rFonts w:ascii="Arial" w:hAnsi="Arial" w:cs="Arial"/>
          <w:noProof/>
        </w:rPr>
        <w:t>Analysis of findings</w:t>
      </w:r>
      <w:bookmarkEnd w:id="34"/>
      <w:r w:rsidR="00904511" w:rsidRPr="001170D2">
        <w:rPr>
          <w:rFonts w:ascii="Arial" w:hAnsi="Arial" w:cs="Arial"/>
          <w:noProof/>
          <w:sz w:val="22"/>
          <w:szCs w:val="22"/>
        </w:rPr>
        <w:t xml:space="preserve"> </w:t>
      </w:r>
    </w:p>
    <w:p w14:paraId="4CF2509C" w14:textId="3FC7CA46" w:rsidR="0034345C" w:rsidRDefault="0034345C" w:rsidP="0034345C">
      <w:pPr>
        <w:rPr>
          <w:rFonts w:ascii="Arial" w:hAnsi="Arial" w:cs="Arial"/>
          <w:b/>
        </w:rPr>
      </w:pPr>
      <w:r w:rsidRPr="00374E58">
        <w:rPr>
          <w:rFonts w:ascii="Arial" w:hAnsi="Arial" w:cs="Arial"/>
          <w:b/>
        </w:rPr>
        <w:t>4.1.1</w:t>
      </w:r>
      <w:r>
        <w:rPr>
          <w:rFonts w:ascii="Arial" w:hAnsi="Arial" w:cs="Arial"/>
        </w:rPr>
        <w:t xml:space="preserve"> </w:t>
      </w:r>
      <w:r w:rsidRPr="0034345C">
        <w:rPr>
          <w:rFonts w:ascii="Arial" w:hAnsi="Arial" w:cs="Arial"/>
          <w:b/>
        </w:rPr>
        <w:t>Structural and Behavioural Drivers of Rent Arrears</w:t>
      </w:r>
    </w:p>
    <w:p w14:paraId="6EA7BA04" w14:textId="77777777" w:rsidR="0034345C" w:rsidRPr="0034345C" w:rsidRDefault="0034345C" w:rsidP="0034345C">
      <w:pPr>
        <w:rPr>
          <w:rFonts w:ascii="Arial" w:hAnsi="Arial" w:cs="Arial"/>
        </w:rPr>
      </w:pPr>
    </w:p>
    <w:p w14:paraId="003EBA01" w14:textId="336E0E5C" w:rsidR="00211A27" w:rsidRPr="001170D2" w:rsidRDefault="001069A6" w:rsidP="000E2633">
      <w:pPr>
        <w:spacing w:line="360" w:lineRule="auto"/>
        <w:jc w:val="both"/>
        <w:rPr>
          <w:rFonts w:ascii="Arial" w:hAnsi="Arial" w:cs="Arial"/>
          <w:noProof/>
        </w:rPr>
      </w:pPr>
      <w:r w:rsidRPr="00374E58">
        <w:rPr>
          <w:rFonts w:ascii="Arial" w:hAnsi="Arial" w:cs="Arial"/>
          <w:noProof/>
        </w:rPr>
        <w:t>C</w:t>
      </w:r>
      <w:r w:rsidR="000C5E41" w:rsidRPr="00374E58">
        <w:rPr>
          <w:rFonts w:ascii="Arial" w:hAnsi="Arial" w:cs="Arial"/>
          <w:noProof/>
        </w:rPr>
        <w:t xml:space="preserve">oncerning the first theme, </w:t>
      </w:r>
      <w:r w:rsidRPr="00374E58">
        <w:rPr>
          <w:rFonts w:ascii="Arial" w:hAnsi="Arial" w:cs="Arial"/>
          <w:noProof/>
        </w:rPr>
        <w:t>t</w:t>
      </w:r>
      <w:r w:rsidR="00E4299C" w:rsidRPr="00374E58">
        <w:rPr>
          <w:rFonts w:ascii="Arial" w:hAnsi="Arial" w:cs="Arial"/>
          <w:noProof/>
        </w:rPr>
        <w:t>he result</w:t>
      </w:r>
      <w:r w:rsidR="00E4299C" w:rsidRPr="001170D2">
        <w:rPr>
          <w:rFonts w:ascii="Arial" w:hAnsi="Arial" w:cs="Arial"/>
          <w:noProof/>
        </w:rPr>
        <w:t xml:space="preserve"> shows that the structural and behavioural factors have significant influence on </w:t>
      </w:r>
      <w:r>
        <w:rPr>
          <w:rFonts w:ascii="Arial" w:hAnsi="Arial" w:cs="Arial"/>
          <w:noProof/>
        </w:rPr>
        <w:t xml:space="preserve">the </w:t>
      </w:r>
      <w:r w:rsidR="00E4299C" w:rsidRPr="001170D2">
        <w:rPr>
          <w:rFonts w:ascii="Arial" w:hAnsi="Arial" w:cs="Arial"/>
          <w:noProof/>
        </w:rPr>
        <w:t xml:space="preserve">rent arrears. According to </w:t>
      </w:r>
      <w:r w:rsidR="005178AC" w:rsidRPr="00374E58">
        <w:rPr>
          <w:rFonts w:ascii="Arial" w:hAnsi="Arial" w:cs="Arial"/>
          <w:noProof/>
        </w:rPr>
        <w:t>Figure 5</w:t>
      </w:r>
      <w:r w:rsidR="00E4299C" w:rsidRPr="001170D2">
        <w:rPr>
          <w:rFonts w:ascii="Arial" w:hAnsi="Arial" w:cs="Arial"/>
          <w:noProof/>
        </w:rPr>
        <w:t>, tenants indicated that they ha</w:t>
      </w:r>
      <w:r w:rsidR="00F44D42">
        <w:rPr>
          <w:rFonts w:ascii="Arial" w:hAnsi="Arial" w:cs="Arial"/>
          <w:noProof/>
        </w:rPr>
        <w:t>d problems with Housing Benefit (HB)</w:t>
      </w:r>
      <w:r w:rsidR="00E4299C" w:rsidRPr="001170D2">
        <w:rPr>
          <w:rFonts w:ascii="Arial" w:hAnsi="Arial" w:cs="Arial"/>
          <w:noProof/>
        </w:rPr>
        <w:t xml:space="preserve"> work and life changes, increasing costs as the most common causes (Bimpson and Manzi, 2022). Affordability strain is emphasized by </w:t>
      </w:r>
      <w:r w:rsidR="005178AC" w:rsidRPr="00374E58">
        <w:rPr>
          <w:rFonts w:ascii="Arial" w:hAnsi="Arial" w:cs="Arial"/>
          <w:noProof/>
        </w:rPr>
        <w:t>Figure 6</w:t>
      </w:r>
      <w:r w:rsidR="00E4299C" w:rsidRPr="001170D2">
        <w:rPr>
          <w:rFonts w:ascii="Arial" w:hAnsi="Arial" w:cs="Arial"/>
          <w:noProof/>
        </w:rPr>
        <w:t xml:space="preserve"> where median rents are more than 30 percent of income in places such as London and the South East (McNally and Lally, 2024). Other sources of evidence associate arrears with Universal Credit delays, reduction of benefits, and income unpredictability (Wilson and Keen, 2023; McNally and Lally, 2024). These aspects indicate macroeconomic stressors that are not directly related to personal failure in budgeting.</w:t>
      </w:r>
    </w:p>
    <w:p w14:paraId="1637E59D" w14:textId="77777777" w:rsidR="00CD3A07" w:rsidRPr="001170D2" w:rsidRDefault="00CD3A07" w:rsidP="000E2633">
      <w:pPr>
        <w:spacing w:line="360" w:lineRule="auto"/>
        <w:jc w:val="both"/>
        <w:rPr>
          <w:rFonts w:ascii="Arial" w:hAnsi="Arial" w:cs="Arial"/>
          <w:noProof/>
        </w:rPr>
      </w:pPr>
    </w:p>
    <w:p w14:paraId="74A067A1" w14:textId="291681D4" w:rsidR="00CD3A07" w:rsidRPr="001170D2" w:rsidRDefault="00CD3A07" w:rsidP="00374E58">
      <w:pPr>
        <w:spacing w:line="360" w:lineRule="auto"/>
        <w:jc w:val="center"/>
        <w:rPr>
          <w:rFonts w:ascii="Arial" w:hAnsi="Arial" w:cs="Arial"/>
          <w:noProof/>
        </w:rPr>
      </w:pPr>
      <w:r w:rsidRPr="001170D2">
        <w:rPr>
          <w:rFonts w:ascii="Arial" w:hAnsi="Arial" w:cs="Arial"/>
          <w:noProof/>
        </w:rPr>
        <w:lastRenderedPageBreak/>
        <w:drawing>
          <wp:inline distT="0" distB="0" distL="0" distR="0" wp14:anchorId="68E4D1BE" wp14:editId="3CE0DA3A">
            <wp:extent cx="5734050" cy="3409890"/>
            <wp:effectExtent l="0" t="0" r="0" b="635"/>
            <wp:docPr id="2204756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9366"/>
                    <a:stretch/>
                  </pic:blipFill>
                  <pic:spPr bwMode="auto">
                    <a:xfrm>
                      <a:off x="0" y="0"/>
                      <a:ext cx="5734050" cy="3409890"/>
                    </a:xfrm>
                    <a:prstGeom prst="rect">
                      <a:avLst/>
                    </a:prstGeom>
                    <a:noFill/>
                    <a:ln>
                      <a:noFill/>
                    </a:ln>
                    <a:extLst>
                      <a:ext uri="{53640926-AAD7-44D8-BBD7-CCE9431645EC}">
                        <a14:shadowObscured xmlns:a14="http://schemas.microsoft.com/office/drawing/2010/main"/>
                      </a:ext>
                    </a:extLst>
                  </pic:spPr>
                </pic:pic>
              </a:graphicData>
            </a:graphic>
          </wp:inline>
        </w:drawing>
      </w:r>
    </w:p>
    <w:p w14:paraId="4FB66A30" w14:textId="16B4651B" w:rsidR="00CD3A07" w:rsidRPr="001170D2" w:rsidRDefault="005178AC" w:rsidP="000E2633">
      <w:pPr>
        <w:spacing w:line="360" w:lineRule="auto"/>
        <w:jc w:val="center"/>
        <w:rPr>
          <w:rFonts w:ascii="Arial" w:hAnsi="Arial" w:cs="Arial"/>
          <w:noProof/>
        </w:rPr>
      </w:pPr>
      <w:r w:rsidRPr="00374E58">
        <w:rPr>
          <w:rFonts w:ascii="Arial" w:hAnsi="Arial" w:cs="Arial"/>
          <w:b/>
          <w:noProof/>
        </w:rPr>
        <w:t>Figure 5</w:t>
      </w:r>
      <w:r w:rsidR="00374E58">
        <w:rPr>
          <w:rFonts w:ascii="Arial" w:hAnsi="Arial" w:cs="Arial"/>
          <w:noProof/>
        </w:rPr>
        <w:t>: R</w:t>
      </w:r>
      <w:r w:rsidR="000E2633" w:rsidRPr="001170D2">
        <w:rPr>
          <w:rFonts w:ascii="Arial" w:hAnsi="Arial" w:cs="Arial"/>
          <w:noProof/>
        </w:rPr>
        <w:t>easons for rent arrears (</w:t>
      </w:r>
      <w:r w:rsidR="00CD3A07" w:rsidRPr="001170D2">
        <w:rPr>
          <w:rFonts w:ascii="Arial" w:hAnsi="Arial" w:cs="Arial"/>
          <w:noProof/>
        </w:rPr>
        <w:t>Bimpson</w:t>
      </w:r>
      <w:r w:rsidR="000E2633" w:rsidRPr="001170D2">
        <w:rPr>
          <w:rFonts w:ascii="Arial" w:hAnsi="Arial" w:cs="Arial"/>
          <w:noProof/>
        </w:rPr>
        <w:t xml:space="preserve"> </w:t>
      </w:r>
      <w:r w:rsidR="00CD3A07" w:rsidRPr="001170D2">
        <w:rPr>
          <w:rFonts w:ascii="Arial" w:hAnsi="Arial" w:cs="Arial"/>
          <w:noProof/>
        </w:rPr>
        <w:t>and Manzi,</w:t>
      </w:r>
      <w:r w:rsidR="000E2633" w:rsidRPr="001170D2">
        <w:rPr>
          <w:rFonts w:ascii="Arial" w:hAnsi="Arial" w:cs="Arial"/>
          <w:noProof/>
        </w:rPr>
        <w:t xml:space="preserve"> </w:t>
      </w:r>
      <w:r w:rsidR="00CD3A07" w:rsidRPr="001170D2">
        <w:rPr>
          <w:rFonts w:ascii="Arial" w:hAnsi="Arial" w:cs="Arial"/>
          <w:noProof/>
        </w:rPr>
        <w:t>2022)</w:t>
      </w:r>
      <w:r w:rsidR="00374E58">
        <w:rPr>
          <w:rFonts w:ascii="Arial" w:hAnsi="Arial" w:cs="Arial"/>
          <w:noProof/>
        </w:rPr>
        <w:t>.</w:t>
      </w:r>
    </w:p>
    <w:p w14:paraId="4C666879" w14:textId="35BE175B" w:rsidR="00CD3A07" w:rsidRPr="001170D2" w:rsidRDefault="00CD3A07" w:rsidP="000E2633">
      <w:pPr>
        <w:spacing w:line="360" w:lineRule="auto"/>
        <w:jc w:val="both"/>
        <w:rPr>
          <w:rFonts w:ascii="Arial" w:hAnsi="Arial" w:cs="Arial"/>
          <w:noProof/>
        </w:rPr>
      </w:pPr>
    </w:p>
    <w:p w14:paraId="3C574C5F" w14:textId="77777777" w:rsidR="00CD3A07" w:rsidRPr="001170D2" w:rsidRDefault="00CD3A07" w:rsidP="000E2633">
      <w:pPr>
        <w:spacing w:line="360" w:lineRule="auto"/>
        <w:jc w:val="both"/>
        <w:rPr>
          <w:rFonts w:ascii="Arial" w:hAnsi="Arial" w:cs="Arial"/>
          <w:noProof/>
        </w:rPr>
      </w:pPr>
    </w:p>
    <w:p w14:paraId="7E8BD301" w14:textId="34430A81" w:rsidR="00CD3A07" w:rsidRPr="001170D2" w:rsidRDefault="00CD3A07" w:rsidP="000E2633">
      <w:pPr>
        <w:spacing w:line="360" w:lineRule="auto"/>
        <w:jc w:val="center"/>
        <w:rPr>
          <w:rFonts w:ascii="Arial" w:hAnsi="Arial" w:cs="Arial"/>
          <w:noProof/>
        </w:rPr>
      </w:pPr>
      <w:r w:rsidRPr="001170D2">
        <w:rPr>
          <w:rFonts w:ascii="Arial" w:hAnsi="Arial" w:cs="Arial"/>
          <w:noProof/>
        </w:rPr>
        <w:drawing>
          <wp:inline distT="0" distB="0" distL="0" distR="0" wp14:anchorId="5F48BD7D" wp14:editId="00B496DB">
            <wp:extent cx="5772150" cy="3110230"/>
            <wp:effectExtent l="0" t="0" r="0" b="0"/>
            <wp:docPr id="2722039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5">
                      <a:extLst>
                        <a:ext uri="{28A0092B-C50C-407E-A947-70E740481C1C}">
                          <a14:useLocalDpi xmlns:a14="http://schemas.microsoft.com/office/drawing/2010/main" val="0"/>
                        </a:ext>
                      </a:extLst>
                    </a:blip>
                    <a:srcRect t="10942"/>
                    <a:stretch/>
                  </pic:blipFill>
                  <pic:spPr bwMode="auto">
                    <a:xfrm>
                      <a:off x="0" y="0"/>
                      <a:ext cx="5779845" cy="3114376"/>
                    </a:xfrm>
                    <a:prstGeom prst="rect">
                      <a:avLst/>
                    </a:prstGeom>
                    <a:noFill/>
                    <a:ln>
                      <a:noFill/>
                    </a:ln>
                    <a:extLst>
                      <a:ext uri="{53640926-AAD7-44D8-BBD7-CCE9431645EC}">
                        <a14:shadowObscured xmlns:a14="http://schemas.microsoft.com/office/drawing/2010/main"/>
                      </a:ext>
                    </a:extLst>
                  </pic:spPr>
                </pic:pic>
              </a:graphicData>
            </a:graphic>
          </wp:inline>
        </w:drawing>
      </w:r>
    </w:p>
    <w:p w14:paraId="66C97DA9" w14:textId="355CCF68" w:rsidR="00CD3A07" w:rsidRDefault="005065DC" w:rsidP="000E2633">
      <w:pPr>
        <w:spacing w:line="360" w:lineRule="auto"/>
        <w:jc w:val="center"/>
        <w:rPr>
          <w:rFonts w:ascii="Arial" w:hAnsi="Arial" w:cs="Arial"/>
          <w:noProof/>
        </w:rPr>
      </w:pPr>
      <w:r w:rsidRPr="00374E58">
        <w:rPr>
          <w:rFonts w:ascii="Arial" w:hAnsi="Arial" w:cs="Arial"/>
          <w:b/>
          <w:noProof/>
        </w:rPr>
        <w:t>Figure</w:t>
      </w:r>
      <w:r w:rsidR="005178AC" w:rsidRPr="00374E58">
        <w:rPr>
          <w:rFonts w:ascii="Arial" w:hAnsi="Arial" w:cs="Arial"/>
          <w:b/>
          <w:noProof/>
        </w:rPr>
        <w:t xml:space="preserve"> 6</w:t>
      </w:r>
      <w:r w:rsidR="001069A6">
        <w:rPr>
          <w:rFonts w:ascii="Arial" w:hAnsi="Arial" w:cs="Arial"/>
          <w:noProof/>
        </w:rPr>
        <w:t>: M</w:t>
      </w:r>
      <w:r w:rsidR="000E2633" w:rsidRPr="001170D2">
        <w:rPr>
          <w:rFonts w:ascii="Arial" w:hAnsi="Arial" w:cs="Arial"/>
          <w:noProof/>
        </w:rPr>
        <w:t>edian rent prices statistics (</w:t>
      </w:r>
      <w:r w:rsidR="00CD3A07" w:rsidRPr="001170D2">
        <w:rPr>
          <w:rFonts w:ascii="Arial" w:hAnsi="Arial" w:cs="Arial"/>
          <w:noProof/>
        </w:rPr>
        <w:t>McNally</w:t>
      </w:r>
      <w:r w:rsidR="000E2633" w:rsidRPr="001170D2">
        <w:rPr>
          <w:rFonts w:ascii="Arial" w:hAnsi="Arial" w:cs="Arial"/>
          <w:noProof/>
        </w:rPr>
        <w:t xml:space="preserve"> </w:t>
      </w:r>
      <w:r w:rsidR="00CD3A07" w:rsidRPr="001170D2">
        <w:rPr>
          <w:rFonts w:ascii="Arial" w:hAnsi="Arial" w:cs="Arial"/>
          <w:noProof/>
        </w:rPr>
        <w:t>and Lally, 2024)</w:t>
      </w:r>
      <w:r w:rsidR="00374E58">
        <w:rPr>
          <w:rFonts w:ascii="Arial" w:hAnsi="Arial" w:cs="Arial"/>
          <w:noProof/>
        </w:rPr>
        <w:t>.</w:t>
      </w:r>
    </w:p>
    <w:p w14:paraId="74FCCAC2" w14:textId="77777777" w:rsidR="00374E58" w:rsidRDefault="00374E58" w:rsidP="000E2633">
      <w:pPr>
        <w:spacing w:line="360" w:lineRule="auto"/>
        <w:jc w:val="center"/>
        <w:rPr>
          <w:rFonts w:ascii="Arial" w:hAnsi="Arial" w:cs="Arial"/>
          <w:noProof/>
        </w:rPr>
      </w:pPr>
    </w:p>
    <w:p w14:paraId="2410994C" w14:textId="2DE45DB6" w:rsidR="0034345C" w:rsidRDefault="0034345C" w:rsidP="000E2633">
      <w:pPr>
        <w:spacing w:line="360" w:lineRule="auto"/>
        <w:jc w:val="center"/>
        <w:rPr>
          <w:rFonts w:ascii="Arial" w:hAnsi="Arial" w:cs="Arial"/>
          <w:noProof/>
        </w:rPr>
      </w:pPr>
    </w:p>
    <w:p w14:paraId="4D2C2807" w14:textId="7A52F149" w:rsidR="0034345C" w:rsidRDefault="0034345C" w:rsidP="00374E58">
      <w:pPr>
        <w:spacing w:line="360" w:lineRule="auto"/>
        <w:rPr>
          <w:rFonts w:ascii="Arial" w:hAnsi="Arial" w:cs="Arial"/>
          <w:noProof/>
        </w:rPr>
      </w:pPr>
      <w:r w:rsidRPr="00374E58">
        <w:rPr>
          <w:rFonts w:ascii="Arial" w:hAnsi="Arial" w:cs="Arial"/>
          <w:b/>
          <w:noProof/>
        </w:rPr>
        <w:lastRenderedPageBreak/>
        <w:t>4.1.2</w:t>
      </w:r>
      <w:r>
        <w:rPr>
          <w:rFonts w:ascii="Arial" w:hAnsi="Arial" w:cs="Arial"/>
          <w:noProof/>
        </w:rPr>
        <w:t xml:space="preserve"> </w:t>
      </w:r>
      <w:r w:rsidRPr="00374E58">
        <w:rPr>
          <w:rFonts w:ascii="Arial" w:hAnsi="Arial" w:cs="Arial"/>
          <w:b/>
          <w:noProof/>
          <w:sz w:val="24"/>
          <w:szCs w:val="24"/>
        </w:rPr>
        <w:t>Operational and Financial Burden on Letting Agents/Landlords</w:t>
      </w:r>
    </w:p>
    <w:p w14:paraId="699A2E02" w14:textId="04272493" w:rsidR="00E4299C" w:rsidRPr="001170D2" w:rsidRDefault="00374E58" w:rsidP="000E2633">
      <w:pPr>
        <w:spacing w:line="360" w:lineRule="auto"/>
        <w:jc w:val="both"/>
        <w:rPr>
          <w:rFonts w:ascii="Arial" w:hAnsi="Arial" w:cs="Arial"/>
          <w:noProof/>
        </w:rPr>
      </w:pPr>
      <w:r>
        <w:rPr>
          <w:rFonts w:ascii="Arial" w:hAnsi="Arial" w:cs="Arial"/>
          <w:noProof/>
        </w:rPr>
        <w:t xml:space="preserve">                  </w:t>
      </w:r>
      <w:r w:rsidR="000C5E41" w:rsidRPr="001170D2">
        <w:rPr>
          <w:rFonts w:ascii="Arial" w:hAnsi="Arial" w:cs="Arial"/>
          <w:noProof/>
        </w:rPr>
        <w:t xml:space="preserve">On the second theme, </w:t>
      </w:r>
      <w:r w:rsidR="001069A6">
        <w:rPr>
          <w:rFonts w:ascii="Arial" w:hAnsi="Arial" w:cs="Arial"/>
          <w:noProof/>
        </w:rPr>
        <w:t>fin</w:t>
      </w:r>
      <w:r w:rsidR="000C5E41" w:rsidRPr="001170D2">
        <w:rPr>
          <w:rFonts w:ascii="Arial" w:hAnsi="Arial" w:cs="Arial"/>
          <w:noProof/>
        </w:rPr>
        <w:t xml:space="preserve">dings show </w:t>
      </w:r>
      <w:r w:rsidR="001069A6" w:rsidRPr="00374E58">
        <w:rPr>
          <w:rFonts w:ascii="Arial" w:hAnsi="Arial" w:cs="Arial"/>
          <w:noProof/>
        </w:rPr>
        <w:t xml:space="preserve">that the rent </w:t>
      </w:r>
      <w:r w:rsidR="000C5E41" w:rsidRPr="00374E58">
        <w:rPr>
          <w:rFonts w:ascii="Arial" w:hAnsi="Arial" w:cs="Arial"/>
          <w:noProof/>
        </w:rPr>
        <w:t xml:space="preserve">due </w:t>
      </w:r>
      <w:r w:rsidR="001069A6" w:rsidRPr="00374E58">
        <w:rPr>
          <w:rFonts w:ascii="Arial" w:hAnsi="Arial" w:cs="Arial"/>
          <w:noProof/>
        </w:rPr>
        <w:t xml:space="preserve">in </w:t>
      </w:r>
      <w:r w:rsidR="000C5E41" w:rsidRPr="00374E58">
        <w:rPr>
          <w:rFonts w:ascii="Arial" w:hAnsi="Arial" w:cs="Arial"/>
          <w:noProof/>
        </w:rPr>
        <w:t>arrears have resulted in accruing operational and financial strains among the estate agents and landlords. Mos</w:t>
      </w:r>
      <w:r w:rsidR="00F44D42" w:rsidRPr="00374E58">
        <w:rPr>
          <w:rFonts w:ascii="Arial" w:hAnsi="Arial" w:cs="Arial"/>
          <w:noProof/>
        </w:rPr>
        <w:t>t landlords</w:t>
      </w:r>
      <w:r w:rsidR="005178AC" w:rsidRPr="00374E58">
        <w:rPr>
          <w:rFonts w:ascii="Arial" w:hAnsi="Arial" w:cs="Arial"/>
          <w:noProof/>
        </w:rPr>
        <w:t xml:space="preserve">, as Figure 7 </w:t>
      </w:r>
      <w:r w:rsidR="00F44D42" w:rsidRPr="00374E58">
        <w:rPr>
          <w:rFonts w:ascii="Arial" w:hAnsi="Arial" w:cs="Arial"/>
          <w:noProof/>
        </w:rPr>
        <w:t xml:space="preserve">shows that have </w:t>
      </w:r>
      <w:r w:rsidR="000C5E41" w:rsidRPr="00374E58">
        <w:rPr>
          <w:rFonts w:ascii="Arial" w:hAnsi="Arial" w:cs="Arial"/>
          <w:noProof/>
        </w:rPr>
        <w:t xml:space="preserve">financed their initial property with the help of a mortgage, which puts them in a very risky position when it comes to lost rental income (Department for Levelling Up, Housing </w:t>
      </w:r>
      <w:r w:rsidR="005178AC" w:rsidRPr="00374E58">
        <w:rPr>
          <w:rFonts w:ascii="Arial" w:hAnsi="Arial" w:cs="Arial"/>
          <w:noProof/>
        </w:rPr>
        <w:t>and Communities, 2022). Figure 8</w:t>
      </w:r>
      <w:r w:rsidR="000C5E41" w:rsidRPr="00374E58">
        <w:rPr>
          <w:rFonts w:ascii="Arial" w:hAnsi="Arial" w:cs="Arial"/>
          <w:noProof/>
        </w:rPr>
        <w:t xml:space="preserve"> demonstrates that the arrears increased to their maximum point of £940 per tenancy in March 2021 (Centre for Housing Evidence, 2024). Further, </w:t>
      </w:r>
      <w:r w:rsidR="000C5E41" w:rsidRPr="00374E58">
        <w:rPr>
          <w:rFonts w:ascii="Arial" w:hAnsi="Arial" w:cs="Arial"/>
          <w:b/>
          <w:noProof/>
        </w:rPr>
        <w:t>Figu</w:t>
      </w:r>
      <w:r w:rsidR="00C134E4">
        <w:rPr>
          <w:rFonts w:ascii="Arial" w:hAnsi="Arial" w:cs="Arial"/>
          <w:b/>
          <w:noProof/>
        </w:rPr>
        <w:t xml:space="preserve">re 9 </w:t>
      </w:r>
      <w:r w:rsidR="000C5E41" w:rsidRPr="00374E58">
        <w:rPr>
          <w:rFonts w:ascii="Arial" w:hAnsi="Arial" w:cs="Arial"/>
          <w:noProof/>
        </w:rPr>
        <w:t xml:space="preserve">shows that 11 percent of PRS tenants were behind, at most. The </w:t>
      </w:r>
      <w:r w:rsidR="001069A6" w:rsidRPr="00374E58">
        <w:rPr>
          <w:rFonts w:ascii="Arial" w:hAnsi="Arial" w:cs="Arial"/>
          <w:noProof/>
        </w:rPr>
        <w:t xml:space="preserve">estate </w:t>
      </w:r>
      <w:r w:rsidR="000C5E41" w:rsidRPr="00374E58">
        <w:rPr>
          <w:rFonts w:ascii="Arial" w:hAnsi="Arial" w:cs="Arial"/>
          <w:noProof/>
        </w:rPr>
        <w:t>agents record</w:t>
      </w:r>
      <w:r w:rsidR="000C5E41" w:rsidRPr="001170D2">
        <w:rPr>
          <w:rFonts w:ascii="Arial" w:hAnsi="Arial" w:cs="Arial"/>
          <w:noProof/>
        </w:rPr>
        <w:t xml:space="preserve"> the risk as absorbed in the course of eviction bans and some landlords are even considering becoming entirely out of the market.</w:t>
      </w:r>
    </w:p>
    <w:p w14:paraId="03B40C16" w14:textId="0F6F9177" w:rsidR="00CD3A07" w:rsidRPr="001170D2" w:rsidRDefault="00CD3A07" w:rsidP="000E2633">
      <w:pPr>
        <w:spacing w:line="360" w:lineRule="auto"/>
        <w:jc w:val="center"/>
        <w:rPr>
          <w:rFonts w:ascii="Arial" w:hAnsi="Arial" w:cs="Arial"/>
          <w:noProof/>
        </w:rPr>
      </w:pPr>
      <w:r w:rsidRPr="001170D2">
        <w:rPr>
          <w:rFonts w:ascii="Arial" w:hAnsi="Arial" w:cs="Arial"/>
          <w:noProof/>
        </w:rPr>
        <w:drawing>
          <wp:inline distT="0" distB="0" distL="0" distR="0" wp14:anchorId="462C3C3A" wp14:editId="0DC19E9C">
            <wp:extent cx="6428105" cy="2352675"/>
            <wp:effectExtent l="0" t="0" r="0" b="9525"/>
            <wp:docPr id="2850470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22639" b="9602"/>
                    <a:stretch/>
                  </pic:blipFill>
                  <pic:spPr bwMode="auto">
                    <a:xfrm>
                      <a:off x="0" y="0"/>
                      <a:ext cx="6462152" cy="2365136"/>
                    </a:xfrm>
                    <a:prstGeom prst="rect">
                      <a:avLst/>
                    </a:prstGeom>
                    <a:noFill/>
                    <a:ln>
                      <a:noFill/>
                    </a:ln>
                    <a:extLst>
                      <a:ext uri="{53640926-AAD7-44D8-BBD7-CCE9431645EC}">
                        <a14:shadowObscured xmlns:a14="http://schemas.microsoft.com/office/drawing/2010/main"/>
                      </a:ext>
                    </a:extLst>
                  </pic:spPr>
                </pic:pic>
              </a:graphicData>
            </a:graphic>
          </wp:inline>
        </w:drawing>
      </w:r>
    </w:p>
    <w:p w14:paraId="652404D7" w14:textId="027D9B33" w:rsidR="00374E58" w:rsidRDefault="005178AC" w:rsidP="00374E58">
      <w:pPr>
        <w:spacing w:line="360" w:lineRule="auto"/>
        <w:jc w:val="center"/>
        <w:rPr>
          <w:rFonts w:ascii="Arial" w:hAnsi="Arial" w:cs="Arial"/>
          <w:noProof/>
        </w:rPr>
      </w:pPr>
      <w:r w:rsidRPr="00374E58">
        <w:rPr>
          <w:rFonts w:ascii="Arial" w:hAnsi="Arial" w:cs="Arial"/>
          <w:b/>
          <w:noProof/>
        </w:rPr>
        <w:t>Figure 7</w:t>
      </w:r>
      <w:r w:rsidR="00374E58">
        <w:rPr>
          <w:rFonts w:ascii="Arial" w:hAnsi="Arial" w:cs="Arial"/>
          <w:noProof/>
        </w:rPr>
        <w:t>: F</w:t>
      </w:r>
      <w:r w:rsidR="000E2633" w:rsidRPr="001170D2">
        <w:rPr>
          <w:rFonts w:ascii="Arial" w:hAnsi="Arial" w:cs="Arial"/>
          <w:noProof/>
        </w:rPr>
        <w:t>unding of rental propoerty (</w:t>
      </w:r>
      <w:r w:rsidR="00CD3A07" w:rsidRPr="001170D2">
        <w:rPr>
          <w:rFonts w:ascii="Arial" w:hAnsi="Arial" w:cs="Arial"/>
          <w:noProof/>
        </w:rPr>
        <w:t>Department for Levelling Up, Housing and Communities (2022)</w:t>
      </w:r>
      <w:r w:rsidR="00374E58">
        <w:rPr>
          <w:rFonts w:ascii="Arial" w:hAnsi="Arial" w:cs="Arial"/>
          <w:noProof/>
        </w:rPr>
        <w:t>.</w:t>
      </w:r>
    </w:p>
    <w:p w14:paraId="0BF54AD1" w14:textId="77777777" w:rsidR="00374E58" w:rsidRPr="001170D2" w:rsidRDefault="00374E58" w:rsidP="000E2633">
      <w:pPr>
        <w:spacing w:line="360" w:lineRule="auto"/>
        <w:jc w:val="center"/>
        <w:rPr>
          <w:rFonts w:ascii="Arial" w:hAnsi="Arial" w:cs="Arial"/>
          <w:noProof/>
        </w:rPr>
      </w:pPr>
    </w:p>
    <w:p w14:paraId="3EE07332" w14:textId="43B01A6F" w:rsidR="00CD3A07" w:rsidRPr="001170D2" w:rsidRDefault="00CD3A07" w:rsidP="000E2633">
      <w:pPr>
        <w:spacing w:line="360" w:lineRule="auto"/>
        <w:jc w:val="center"/>
        <w:rPr>
          <w:rFonts w:ascii="Arial" w:hAnsi="Arial" w:cs="Arial"/>
          <w:noProof/>
        </w:rPr>
      </w:pPr>
      <w:r w:rsidRPr="001170D2">
        <w:rPr>
          <w:rFonts w:ascii="Arial" w:hAnsi="Arial" w:cs="Arial"/>
          <w:noProof/>
        </w:rPr>
        <w:drawing>
          <wp:inline distT="0" distB="0" distL="0" distR="0" wp14:anchorId="55F2E2EC" wp14:editId="76688B76">
            <wp:extent cx="6081633" cy="2162175"/>
            <wp:effectExtent l="0" t="0" r="0" b="0"/>
            <wp:docPr id="10605371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537116" name="Picture 1060537116"/>
                    <pic:cNvPicPr/>
                  </pic:nvPicPr>
                  <pic:blipFill rotWithShape="1">
                    <a:blip r:embed="rId17" cstate="print">
                      <a:extLst>
                        <a:ext uri="{28A0092B-C50C-407E-A947-70E740481C1C}">
                          <a14:useLocalDpi xmlns:a14="http://schemas.microsoft.com/office/drawing/2010/main" val="0"/>
                        </a:ext>
                      </a:extLst>
                    </a:blip>
                    <a:srcRect t="16094"/>
                    <a:stretch/>
                  </pic:blipFill>
                  <pic:spPr bwMode="auto">
                    <a:xfrm>
                      <a:off x="0" y="0"/>
                      <a:ext cx="6095974" cy="2167273"/>
                    </a:xfrm>
                    <a:prstGeom prst="rect">
                      <a:avLst/>
                    </a:prstGeom>
                    <a:ln>
                      <a:noFill/>
                    </a:ln>
                    <a:extLst>
                      <a:ext uri="{53640926-AAD7-44D8-BBD7-CCE9431645EC}">
                        <a14:shadowObscured xmlns:a14="http://schemas.microsoft.com/office/drawing/2010/main"/>
                      </a:ext>
                    </a:extLst>
                  </pic:spPr>
                </pic:pic>
              </a:graphicData>
            </a:graphic>
          </wp:inline>
        </w:drawing>
      </w:r>
    </w:p>
    <w:p w14:paraId="579D9D32" w14:textId="410FE19B" w:rsidR="000E2633" w:rsidRPr="001170D2" w:rsidRDefault="005178AC" w:rsidP="000E2633">
      <w:pPr>
        <w:spacing w:line="360" w:lineRule="auto"/>
        <w:jc w:val="center"/>
        <w:rPr>
          <w:rFonts w:ascii="Arial" w:hAnsi="Arial" w:cs="Arial"/>
          <w:noProof/>
        </w:rPr>
      </w:pPr>
      <w:r w:rsidRPr="00374E58">
        <w:rPr>
          <w:rFonts w:ascii="Arial" w:hAnsi="Arial" w:cs="Arial"/>
          <w:b/>
          <w:noProof/>
        </w:rPr>
        <w:t>Figure 8</w:t>
      </w:r>
      <w:r w:rsidR="00374E58">
        <w:rPr>
          <w:rFonts w:ascii="Arial" w:hAnsi="Arial" w:cs="Arial"/>
          <w:noProof/>
        </w:rPr>
        <w:t>: R</w:t>
      </w:r>
      <w:r w:rsidR="000E2633" w:rsidRPr="001170D2">
        <w:rPr>
          <w:rFonts w:ascii="Arial" w:hAnsi="Arial" w:cs="Arial"/>
          <w:noProof/>
        </w:rPr>
        <w:t>ent arrears poer PRS tenancy by Centre for Housing Evidence (2024)</w:t>
      </w:r>
      <w:r w:rsidR="00374E58">
        <w:rPr>
          <w:rFonts w:ascii="Arial" w:hAnsi="Arial" w:cs="Arial"/>
          <w:noProof/>
        </w:rPr>
        <w:t>.</w:t>
      </w:r>
    </w:p>
    <w:p w14:paraId="1036A32E" w14:textId="0A357CA3" w:rsidR="00CD3A07" w:rsidRPr="001170D2" w:rsidRDefault="00CD3A07" w:rsidP="000E2633">
      <w:pPr>
        <w:spacing w:line="360" w:lineRule="auto"/>
        <w:jc w:val="center"/>
        <w:rPr>
          <w:rFonts w:ascii="Arial" w:hAnsi="Arial" w:cs="Arial"/>
          <w:noProof/>
        </w:rPr>
      </w:pPr>
      <w:r w:rsidRPr="001170D2">
        <w:rPr>
          <w:rFonts w:ascii="Arial" w:hAnsi="Arial" w:cs="Arial"/>
          <w:noProof/>
        </w:rPr>
        <w:lastRenderedPageBreak/>
        <w:drawing>
          <wp:inline distT="0" distB="0" distL="0" distR="0" wp14:anchorId="40FB2606" wp14:editId="1DD28F39">
            <wp:extent cx="5581650" cy="2105025"/>
            <wp:effectExtent l="0" t="0" r="0" b="9525"/>
            <wp:docPr id="206506540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065401" name="Picture 2065065401"/>
                    <pic:cNvPicPr/>
                  </pic:nvPicPr>
                  <pic:blipFill rotWithShape="1">
                    <a:blip r:embed="rId18" cstate="print">
                      <a:extLst>
                        <a:ext uri="{28A0092B-C50C-407E-A947-70E740481C1C}">
                          <a14:useLocalDpi xmlns:a14="http://schemas.microsoft.com/office/drawing/2010/main" val="0"/>
                        </a:ext>
                      </a:extLst>
                    </a:blip>
                    <a:srcRect t="11258"/>
                    <a:stretch/>
                  </pic:blipFill>
                  <pic:spPr bwMode="auto">
                    <a:xfrm>
                      <a:off x="0" y="0"/>
                      <a:ext cx="5581650" cy="2105025"/>
                    </a:xfrm>
                    <a:prstGeom prst="rect">
                      <a:avLst/>
                    </a:prstGeom>
                    <a:ln>
                      <a:noFill/>
                    </a:ln>
                    <a:extLst>
                      <a:ext uri="{53640926-AAD7-44D8-BBD7-CCE9431645EC}">
                        <a14:shadowObscured xmlns:a14="http://schemas.microsoft.com/office/drawing/2010/main"/>
                      </a:ext>
                    </a:extLst>
                  </pic:spPr>
                </pic:pic>
              </a:graphicData>
            </a:graphic>
          </wp:inline>
        </w:drawing>
      </w:r>
    </w:p>
    <w:p w14:paraId="2E9DA6C2" w14:textId="6A405711" w:rsidR="00CD3A07" w:rsidRPr="001170D2" w:rsidRDefault="005178AC" w:rsidP="000E2633">
      <w:pPr>
        <w:spacing w:line="360" w:lineRule="auto"/>
        <w:jc w:val="center"/>
        <w:rPr>
          <w:rFonts w:ascii="Arial" w:hAnsi="Arial" w:cs="Arial"/>
          <w:noProof/>
        </w:rPr>
      </w:pPr>
      <w:r w:rsidRPr="00374E58">
        <w:rPr>
          <w:rFonts w:ascii="Arial" w:hAnsi="Arial" w:cs="Arial"/>
          <w:b/>
          <w:noProof/>
        </w:rPr>
        <w:t>Figure 9</w:t>
      </w:r>
      <w:r w:rsidR="000E2633" w:rsidRPr="001170D2">
        <w:rPr>
          <w:rFonts w:ascii="Arial" w:hAnsi="Arial" w:cs="Arial"/>
          <w:noProof/>
        </w:rPr>
        <w:t xml:space="preserve">: PRS tenants arrears estimates By </w:t>
      </w:r>
      <w:r w:rsidR="00CD3A07" w:rsidRPr="001170D2">
        <w:rPr>
          <w:rFonts w:ascii="Arial" w:hAnsi="Arial" w:cs="Arial"/>
          <w:noProof/>
        </w:rPr>
        <w:t>Centre for Housing Evidence (2024)</w:t>
      </w:r>
      <w:r w:rsidR="00C134E4">
        <w:rPr>
          <w:rFonts w:ascii="Arial" w:hAnsi="Arial" w:cs="Arial"/>
          <w:noProof/>
        </w:rPr>
        <w:t>.</w:t>
      </w:r>
    </w:p>
    <w:p w14:paraId="077220F7" w14:textId="77777777" w:rsidR="00CD3A07" w:rsidRPr="001170D2" w:rsidRDefault="00CD3A07" w:rsidP="000E2633">
      <w:pPr>
        <w:spacing w:line="360" w:lineRule="auto"/>
        <w:jc w:val="both"/>
        <w:rPr>
          <w:rFonts w:ascii="Arial" w:hAnsi="Arial" w:cs="Arial"/>
          <w:noProof/>
        </w:rPr>
      </w:pPr>
    </w:p>
    <w:p w14:paraId="7FEF9D18" w14:textId="1FA48F61" w:rsidR="0034345C" w:rsidRDefault="0034345C" w:rsidP="000E2633">
      <w:pPr>
        <w:spacing w:line="360" w:lineRule="auto"/>
        <w:jc w:val="both"/>
        <w:rPr>
          <w:rFonts w:ascii="Arial" w:hAnsi="Arial" w:cs="Arial"/>
        </w:rPr>
      </w:pPr>
      <w:r w:rsidRPr="00C134E4">
        <w:rPr>
          <w:rFonts w:ascii="Arial" w:hAnsi="Arial" w:cs="Arial"/>
          <w:b/>
        </w:rPr>
        <w:t>4.1.3</w:t>
      </w:r>
      <w:r>
        <w:rPr>
          <w:rFonts w:ascii="Arial" w:hAnsi="Arial" w:cs="Arial"/>
        </w:rPr>
        <w:t xml:space="preserve"> </w:t>
      </w:r>
      <w:r w:rsidRPr="00C134E4">
        <w:rPr>
          <w:rFonts w:ascii="Arial" w:hAnsi="Arial" w:cs="Arial"/>
          <w:b/>
          <w:sz w:val="24"/>
          <w:szCs w:val="24"/>
        </w:rPr>
        <w:t>R</w:t>
      </w:r>
      <w:r w:rsidR="005065DC" w:rsidRPr="00C134E4">
        <w:rPr>
          <w:rFonts w:ascii="Arial" w:hAnsi="Arial" w:cs="Arial"/>
          <w:b/>
          <w:sz w:val="24"/>
          <w:szCs w:val="24"/>
        </w:rPr>
        <w:t>esilience</w:t>
      </w:r>
      <w:r w:rsidR="000E2633" w:rsidRPr="00C134E4">
        <w:rPr>
          <w:rFonts w:ascii="Arial" w:hAnsi="Arial" w:cs="Arial"/>
          <w:b/>
          <w:sz w:val="24"/>
          <w:szCs w:val="24"/>
        </w:rPr>
        <w:t>-developing and cost-effective mitigation measures</w:t>
      </w:r>
    </w:p>
    <w:p w14:paraId="6965C07E" w14:textId="32D10138" w:rsidR="00CD3A07" w:rsidRPr="001170D2" w:rsidRDefault="0034345C" w:rsidP="000E2633">
      <w:pPr>
        <w:spacing w:line="360" w:lineRule="auto"/>
        <w:jc w:val="both"/>
        <w:rPr>
          <w:rFonts w:ascii="Arial" w:hAnsi="Arial" w:cs="Arial"/>
        </w:rPr>
      </w:pPr>
      <w:r w:rsidRPr="0034345C">
        <w:rPr>
          <w:rFonts w:ascii="Arial" w:hAnsi="Arial" w:cs="Arial"/>
        </w:rPr>
        <w:t xml:space="preserve">On the last theme on </w:t>
      </w:r>
      <w:r w:rsidR="000C5E41" w:rsidRPr="001170D2">
        <w:rPr>
          <w:rFonts w:ascii="Arial" w:hAnsi="Arial" w:cs="Arial"/>
        </w:rPr>
        <w:t xml:space="preserve">the findings revealed </w:t>
      </w:r>
      <w:r w:rsidR="005065DC" w:rsidRPr="001170D2">
        <w:rPr>
          <w:rFonts w:ascii="Arial" w:hAnsi="Arial" w:cs="Arial"/>
        </w:rPr>
        <w:t>that measures</w:t>
      </w:r>
      <w:r w:rsidR="005C5963" w:rsidRPr="001170D2">
        <w:rPr>
          <w:rFonts w:ascii="Arial" w:hAnsi="Arial" w:cs="Arial"/>
        </w:rPr>
        <w:t xml:space="preserve"> to develop resilience are behavioural nudges, protocols of arrears, and mechanisms of supporting tenan</w:t>
      </w:r>
      <w:r w:rsidR="005178AC">
        <w:rPr>
          <w:rFonts w:ascii="Arial" w:hAnsi="Arial" w:cs="Arial"/>
        </w:rPr>
        <w:t>ts. As an illustration, Figure 10</w:t>
      </w:r>
      <w:r w:rsidR="005C5963" w:rsidRPr="001170D2">
        <w:rPr>
          <w:rFonts w:ascii="Arial" w:hAnsi="Arial" w:cs="Arial"/>
        </w:rPr>
        <w:t>: Volume of cleared arrears shows that, although the behavioural intervention trial failed to significantly influence the number of arrears cleared, the behavioural intervention trail did increase the number of contacts with tenants by 17 per cent (Fitzhugh et al., 2018). Also, proactive measures such as SMS reminders have recorded a reduction in arrears by 14 percent (Fitzhugh et al., 2018). As Crisis (2017) and Propertymark (2024) report, agencies that implemented early support interventions had a lower number of evictions and a better response to payments, which show the effectiveness of non-punitive and cost-effective interventions.</w:t>
      </w:r>
    </w:p>
    <w:p w14:paraId="08D43A34" w14:textId="77777777" w:rsidR="00733D7E" w:rsidRDefault="00733D7E" w:rsidP="000E2633">
      <w:pPr>
        <w:spacing w:line="360" w:lineRule="auto"/>
        <w:jc w:val="center"/>
        <w:rPr>
          <w:rFonts w:ascii="Arial" w:hAnsi="Arial" w:cs="Arial"/>
        </w:rPr>
      </w:pPr>
    </w:p>
    <w:p w14:paraId="560D2659" w14:textId="44EE6638" w:rsidR="00CD3A07" w:rsidRPr="001170D2" w:rsidRDefault="00B107A4" w:rsidP="000E2633">
      <w:pPr>
        <w:spacing w:line="360" w:lineRule="auto"/>
        <w:jc w:val="center"/>
        <w:rPr>
          <w:rFonts w:ascii="Arial" w:hAnsi="Arial" w:cs="Arial"/>
        </w:rPr>
      </w:pPr>
      <w:r w:rsidRPr="001170D2">
        <w:rPr>
          <w:rFonts w:ascii="Arial" w:hAnsi="Arial" w:cs="Arial"/>
          <w:noProof/>
        </w:rPr>
        <w:drawing>
          <wp:inline distT="0" distB="0" distL="0" distR="0" wp14:anchorId="1D3C0CC9" wp14:editId="4C0BCEC4">
            <wp:extent cx="4086225" cy="2438400"/>
            <wp:effectExtent l="0" t="0" r="0" b="0"/>
            <wp:docPr id="37919706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9516" t="18653" r="10436" b="6400"/>
                    <a:stretch/>
                  </pic:blipFill>
                  <pic:spPr bwMode="auto">
                    <a:xfrm>
                      <a:off x="0" y="0"/>
                      <a:ext cx="4086225" cy="2438400"/>
                    </a:xfrm>
                    <a:prstGeom prst="rect">
                      <a:avLst/>
                    </a:prstGeom>
                    <a:noFill/>
                    <a:ln>
                      <a:noFill/>
                    </a:ln>
                    <a:extLst>
                      <a:ext uri="{53640926-AAD7-44D8-BBD7-CCE9431645EC}">
                        <a14:shadowObscured xmlns:a14="http://schemas.microsoft.com/office/drawing/2010/main"/>
                      </a:ext>
                    </a:extLst>
                  </pic:spPr>
                </pic:pic>
              </a:graphicData>
            </a:graphic>
          </wp:inline>
        </w:drawing>
      </w:r>
    </w:p>
    <w:p w14:paraId="1B49F1BD" w14:textId="71C76B5F" w:rsidR="00733D7E" w:rsidRDefault="005178AC" w:rsidP="00302347">
      <w:pPr>
        <w:spacing w:line="360" w:lineRule="auto"/>
        <w:jc w:val="center"/>
        <w:rPr>
          <w:rFonts w:ascii="Arial" w:hAnsi="Arial" w:cs="Arial"/>
        </w:rPr>
      </w:pPr>
      <w:r w:rsidRPr="00C134E4">
        <w:rPr>
          <w:rFonts w:ascii="Arial" w:hAnsi="Arial" w:cs="Arial"/>
          <w:b/>
        </w:rPr>
        <w:t>Figure 10</w:t>
      </w:r>
      <w:r w:rsidR="00C134E4">
        <w:rPr>
          <w:rFonts w:ascii="Arial" w:hAnsi="Arial" w:cs="Arial"/>
        </w:rPr>
        <w:t>: V</w:t>
      </w:r>
      <w:r w:rsidR="000E2633" w:rsidRPr="001170D2">
        <w:rPr>
          <w:rFonts w:ascii="Arial" w:hAnsi="Arial" w:cs="Arial"/>
        </w:rPr>
        <w:t>olume of cleared arrears (Fitzhugh et al., 2018)</w:t>
      </w:r>
      <w:r w:rsidR="00302347">
        <w:rPr>
          <w:rFonts w:ascii="Arial" w:hAnsi="Arial" w:cs="Arial"/>
        </w:rPr>
        <w:t>.</w:t>
      </w:r>
    </w:p>
    <w:p w14:paraId="5552646E" w14:textId="77777777" w:rsidR="00733D7E" w:rsidRPr="001170D2" w:rsidRDefault="00733D7E" w:rsidP="000E2633">
      <w:pPr>
        <w:spacing w:line="360" w:lineRule="auto"/>
        <w:jc w:val="center"/>
        <w:rPr>
          <w:rFonts w:ascii="Arial" w:hAnsi="Arial" w:cs="Arial"/>
        </w:rPr>
      </w:pPr>
    </w:p>
    <w:p w14:paraId="128F2F74" w14:textId="4FAF4A16" w:rsidR="00302347" w:rsidRPr="003E3BB8" w:rsidRDefault="000E2633" w:rsidP="003E3BB8">
      <w:pPr>
        <w:pStyle w:val="Heading2"/>
        <w:spacing w:line="360" w:lineRule="auto"/>
        <w:rPr>
          <w:rFonts w:ascii="Arial" w:hAnsi="Arial" w:cs="Arial"/>
        </w:rPr>
      </w:pPr>
      <w:bookmarkStart w:id="35" w:name="_Toc214096818"/>
      <w:r w:rsidRPr="001170D2">
        <w:rPr>
          <w:rFonts w:ascii="Arial" w:hAnsi="Arial" w:cs="Arial"/>
          <w:sz w:val="22"/>
          <w:szCs w:val="22"/>
        </w:rPr>
        <w:t xml:space="preserve">4.2 </w:t>
      </w:r>
      <w:r w:rsidR="000C5E41" w:rsidRPr="00302347">
        <w:rPr>
          <w:rFonts w:ascii="Arial" w:hAnsi="Arial" w:cs="Arial"/>
        </w:rPr>
        <w:t>Discussion</w:t>
      </w:r>
      <w:bookmarkEnd w:id="35"/>
      <w:r w:rsidR="000C5E41" w:rsidRPr="00302347">
        <w:rPr>
          <w:rFonts w:ascii="Arial" w:hAnsi="Arial" w:cs="Arial"/>
        </w:rPr>
        <w:t xml:space="preserve"> </w:t>
      </w:r>
    </w:p>
    <w:p w14:paraId="3F28BE24" w14:textId="4E55EE68" w:rsidR="002131B4" w:rsidRPr="001170D2" w:rsidRDefault="000E2633" w:rsidP="00302347">
      <w:pPr>
        <w:pStyle w:val="Heading3"/>
      </w:pPr>
      <w:bookmarkStart w:id="36" w:name="_Toc214096819"/>
      <w:r w:rsidRPr="001170D2">
        <w:t xml:space="preserve">4.2.1 </w:t>
      </w:r>
      <w:r w:rsidR="002131B4" w:rsidRPr="00302347">
        <w:rPr>
          <w:sz w:val="24"/>
          <w:szCs w:val="24"/>
        </w:rPr>
        <w:t>Structural and Behavioural Drivers of Rent Arrears.</w:t>
      </w:r>
      <w:bookmarkEnd w:id="36"/>
    </w:p>
    <w:p w14:paraId="56BD6683" w14:textId="025ABBC2" w:rsidR="002131B4" w:rsidRPr="001170D2" w:rsidRDefault="006E26B2" w:rsidP="000E2633">
      <w:pPr>
        <w:spacing w:line="360" w:lineRule="auto"/>
        <w:jc w:val="both"/>
        <w:rPr>
          <w:rFonts w:ascii="Arial" w:hAnsi="Arial" w:cs="Arial"/>
        </w:rPr>
      </w:pPr>
      <w:r>
        <w:rPr>
          <w:rFonts w:ascii="Arial" w:hAnsi="Arial" w:cs="Arial"/>
        </w:rPr>
        <w:t xml:space="preserve">               </w:t>
      </w:r>
      <w:r w:rsidR="000C5E41" w:rsidRPr="001170D2">
        <w:rPr>
          <w:rFonts w:ascii="Arial" w:hAnsi="Arial" w:cs="Arial"/>
        </w:rPr>
        <w:t xml:space="preserve">This theme responds </w:t>
      </w:r>
      <w:r w:rsidR="005065DC" w:rsidRPr="001170D2">
        <w:rPr>
          <w:rFonts w:ascii="Arial" w:hAnsi="Arial" w:cs="Arial"/>
        </w:rPr>
        <w:t>to the</w:t>
      </w:r>
      <w:r w:rsidR="004F660E" w:rsidRPr="001170D2">
        <w:rPr>
          <w:rFonts w:ascii="Arial" w:hAnsi="Arial" w:cs="Arial"/>
        </w:rPr>
        <w:t xml:space="preserve"> second objective on finding </w:t>
      </w:r>
      <w:r w:rsidR="002131B4" w:rsidRPr="001170D2">
        <w:rPr>
          <w:rFonts w:ascii="Arial" w:hAnsi="Arial" w:cs="Arial"/>
        </w:rPr>
        <w:t>out the underlying reasons about rent arrears</w:t>
      </w:r>
      <w:r w:rsidR="00980E23" w:rsidRPr="001170D2">
        <w:rPr>
          <w:rFonts w:ascii="Arial" w:hAnsi="Arial" w:cs="Arial"/>
        </w:rPr>
        <w:t>. T</w:t>
      </w:r>
      <w:r w:rsidR="002131B4" w:rsidRPr="001170D2">
        <w:rPr>
          <w:rFonts w:ascii="Arial" w:hAnsi="Arial" w:cs="Arial"/>
        </w:rPr>
        <w:t xml:space="preserve">he results indicate that the effects of both structural and behavioural variables have a significant effect on rent arrears. </w:t>
      </w:r>
      <w:r w:rsidR="00302347">
        <w:rPr>
          <w:rFonts w:ascii="Arial" w:hAnsi="Arial" w:cs="Arial"/>
        </w:rPr>
        <w:t xml:space="preserve">Among the tenants shown </w:t>
      </w:r>
      <w:r w:rsidR="005178AC">
        <w:rPr>
          <w:rFonts w:ascii="Arial" w:hAnsi="Arial" w:cs="Arial"/>
        </w:rPr>
        <w:t xml:space="preserve">in </w:t>
      </w:r>
      <w:r w:rsidR="005178AC" w:rsidRPr="00302347">
        <w:rPr>
          <w:rFonts w:ascii="Arial" w:hAnsi="Arial" w:cs="Arial"/>
        </w:rPr>
        <w:t>Fig</w:t>
      </w:r>
      <w:r>
        <w:rPr>
          <w:rFonts w:ascii="Arial" w:hAnsi="Arial" w:cs="Arial"/>
        </w:rPr>
        <w:t>ure 5</w:t>
      </w:r>
      <w:r w:rsidR="002131B4" w:rsidRPr="00302347">
        <w:rPr>
          <w:rFonts w:ascii="Arial" w:hAnsi="Arial" w:cs="Arial"/>
        </w:rPr>
        <w:t xml:space="preserve">, </w:t>
      </w:r>
      <w:r w:rsidR="002131B4" w:rsidRPr="001170D2">
        <w:rPr>
          <w:rFonts w:ascii="Arial" w:hAnsi="Arial" w:cs="Arial"/>
        </w:rPr>
        <w:t>arrears were attributed to issues with Housing Benefit, employment or personal changes, and rising living costs at the first place (Bimpson and Manzi, 2022). These predicaments fit the broader-systemic limits that tenants have experienced especially unpredictability concerning wealth and benefit-related predi</w:t>
      </w:r>
      <w:r w:rsidR="005178AC">
        <w:rPr>
          <w:rFonts w:ascii="Arial" w:hAnsi="Arial" w:cs="Arial"/>
        </w:rPr>
        <w:t xml:space="preserve">caments. To </w:t>
      </w:r>
      <w:r w:rsidR="005178AC" w:rsidRPr="006E26B2">
        <w:rPr>
          <w:rFonts w:ascii="Arial" w:hAnsi="Arial" w:cs="Arial"/>
        </w:rPr>
        <w:t>illustrate</w:t>
      </w:r>
      <w:r w:rsidRPr="006E26B2">
        <w:rPr>
          <w:rFonts w:ascii="Arial" w:hAnsi="Arial" w:cs="Arial"/>
        </w:rPr>
        <w:t>, Figure 6</w:t>
      </w:r>
      <w:r w:rsidR="002131B4" w:rsidRPr="006E26B2">
        <w:rPr>
          <w:rFonts w:ascii="Arial" w:hAnsi="Arial" w:cs="Arial"/>
        </w:rPr>
        <w:t xml:space="preserve"> shows </w:t>
      </w:r>
      <w:r w:rsidR="002131B4" w:rsidRPr="001170D2">
        <w:rPr>
          <w:rFonts w:ascii="Arial" w:hAnsi="Arial" w:cs="Arial"/>
        </w:rPr>
        <w:t>that in regions with high demand, like London and South East, the median price of rental housing is higher than 30 percent of the income, which puts additional stress on low-to-moderate income ten</w:t>
      </w:r>
      <w:r>
        <w:rPr>
          <w:rFonts w:ascii="Arial" w:hAnsi="Arial" w:cs="Arial"/>
        </w:rPr>
        <w:t>ants (McNally and Lally, 2024).</w:t>
      </w:r>
    </w:p>
    <w:p w14:paraId="525A052F" w14:textId="50208829" w:rsidR="002131B4" w:rsidRPr="001170D2" w:rsidRDefault="006E26B2" w:rsidP="000E2633">
      <w:pPr>
        <w:spacing w:line="360" w:lineRule="auto"/>
        <w:jc w:val="both"/>
        <w:rPr>
          <w:rFonts w:ascii="Arial" w:hAnsi="Arial" w:cs="Arial"/>
        </w:rPr>
      </w:pPr>
      <w:r>
        <w:rPr>
          <w:rFonts w:ascii="Arial" w:hAnsi="Arial" w:cs="Arial"/>
        </w:rPr>
        <w:t xml:space="preserve">             </w:t>
      </w:r>
      <w:r w:rsidR="002131B4" w:rsidRPr="001170D2">
        <w:rPr>
          <w:rFonts w:ascii="Arial" w:hAnsi="Arial" w:cs="Arial"/>
        </w:rPr>
        <w:t>These stressors are su</w:t>
      </w:r>
      <w:r>
        <w:rPr>
          <w:rFonts w:ascii="Arial" w:hAnsi="Arial" w:cs="Arial"/>
        </w:rPr>
        <w:t>pported in scholarly literature</w:t>
      </w:r>
      <w:r w:rsidR="002131B4" w:rsidRPr="001170D2">
        <w:rPr>
          <w:rFonts w:ascii="Arial" w:hAnsi="Arial" w:cs="Arial"/>
        </w:rPr>
        <w:t xml:space="preserve"> Hardie (2024) discovers a direct correlation between Universal Credit delays and increased arrears, especially in those whose earnings are not predictable. These delays, in turn, decrease the capacity of the tenants to pay their rents in time, which leads to debt and instability cycles. The same argument has been made by Hickman (2021) who states that most of the rent arrears demonstrate the nature of insecure employment and volatile income, but not poor financial behaviour. He </w:t>
      </w:r>
      <w:r w:rsidR="003E3BB8">
        <w:rPr>
          <w:rFonts w:ascii="Arial" w:hAnsi="Arial" w:cs="Arial"/>
        </w:rPr>
        <w:t>emphasises</w:t>
      </w:r>
      <w:r w:rsidR="002131B4" w:rsidRPr="001170D2">
        <w:rPr>
          <w:rFonts w:ascii="Arial" w:hAnsi="Arial" w:cs="Arial"/>
        </w:rPr>
        <w:t xml:space="preserve"> that most social housing tenants spend their resources in an effective way, however, the outside shocks impair their</w:t>
      </w:r>
      <w:r w:rsidR="003E3BB8">
        <w:rPr>
          <w:rFonts w:ascii="Arial" w:hAnsi="Arial" w:cs="Arial"/>
        </w:rPr>
        <w:t xml:space="preserve"> capacity to maintain payments.</w:t>
      </w:r>
    </w:p>
    <w:p w14:paraId="038E74BB" w14:textId="24B464EF" w:rsidR="002131B4" w:rsidRDefault="003E3BB8" w:rsidP="000E2633">
      <w:pPr>
        <w:spacing w:line="360" w:lineRule="auto"/>
        <w:jc w:val="both"/>
        <w:rPr>
          <w:rFonts w:ascii="Arial" w:hAnsi="Arial" w:cs="Arial"/>
        </w:rPr>
      </w:pPr>
      <w:r>
        <w:rPr>
          <w:rFonts w:ascii="Arial" w:hAnsi="Arial" w:cs="Arial"/>
        </w:rPr>
        <w:t xml:space="preserve">                On a system</w:t>
      </w:r>
      <w:r w:rsidR="002131B4" w:rsidRPr="001170D2">
        <w:rPr>
          <w:rFonts w:ascii="Arial" w:hAnsi="Arial" w:cs="Arial"/>
        </w:rPr>
        <w:t xml:space="preserve"> level, Byrne and McArdle (2020) note that digital profiling and algorithmic risk assessment in the PRS marginalise tenants who are not truly high risk and minimise their chances of receiving support and inflate the possibility of arrears. This framing provides support to a culture of blame whilst tenants are making rational decisions given limited </w:t>
      </w:r>
      <w:r w:rsidR="005065DC" w:rsidRPr="001170D2">
        <w:rPr>
          <w:rFonts w:ascii="Arial" w:hAnsi="Arial" w:cs="Arial"/>
        </w:rPr>
        <w:t>options. Glover</w:t>
      </w:r>
      <w:r w:rsidR="002131B4" w:rsidRPr="001170D2">
        <w:rPr>
          <w:rFonts w:ascii="Arial" w:hAnsi="Arial" w:cs="Arial"/>
        </w:rPr>
        <w:t xml:space="preserve"> and Jeyabraba (2022) further state that some of the tenants identified as the financially vulnerable were already on the periphery prior to COVID-19 and welfare reductions, and therefore arrears are connected to historical affordability gaps. Their report </w:t>
      </w:r>
      <w:r w:rsidRPr="001170D2">
        <w:rPr>
          <w:rFonts w:ascii="Arial" w:hAnsi="Arial" w:cs="Arial"/>
        </w:rPr>
        <w:t>backs</w:t>
      </w:r>
      <w:r>
        <w:rPr>
          <w:rFonts w:ascii="Arial" w:hAnsi="Arial" w:cs="Arial"/>
        </w:rPr>
        <w:t xml:space="preserve"> up</w:t>
      </w:r>
      <w:r w:rsidR="002131B4" w:rsidRPr="001170D2">
        <w:rPr>
          <w:rFonts w:ascii="Arial" w:hAnsi="Arial" w:cs="Arial"/>
        </w:rPr>
        <w:t xml:space="preserve"> the opinion that arrears are consequences of cumulative systematic failures and not an abrupt lapse of </w:t>
      </w:r>
      <w:r w:rsidR="005065DC" w:rsidRPr="001170D2">
        <w:rPr>
          <w:rFonts w:ascii="Arial" w:hAnsi="Arial" w:cs="Arial"/>
        </w:rPr>
        <w:t>behaviour. It</w:t>
      </w:r>
      <w:r w:rsidR="002131B4" w:rsidRPr="001170D2">
        <w:rPr>
          <w:rFonts w:ascii="Arial" w:hAnsi="Arial" w:cs="Arial"/>
        </w:rPr>
        <w:t xml:space="preserve"> was also noted by Fitzhugh et al. (2018) that tenants react favourably to supportive communication, and therefore, behavioural interventions could be used to enhance engagement even when they fail to solve arrears directly. This underlines the importance of Cullen, Key and Speed (2017) on the tenancy management in the early stage as a procedure that can be used to prevent arrears due to proper support and setting </w:t>
      </w:r>
      <w:r w:rsidR="005065DC" w:rsidRPr="001170D2">
        <w:rPr>
          <w:rFonts w:ascii="Arial" w:hAnsi="Arial" w:cs="Arial"/>
        </w:rPr>
        <w:t>expectations. In</w:t>
      </w:r>
      <w:r w:rsidR="002131B4" w:rsidRPr="001170D2">
        <w:rPr>
          <w:rFonts w:ascii="Arial" w:hAnsi="Arial" w:cs="Arial"/>
        </w:rPr>
        <w:t xml:space="preserve"> general, the facts justify Objective 1 because they </w:t>
      </w:r>
      <w:r w:rsidR="002131B4" w:rsidRPr="001170D2">
        <w:rPr>
          <w:rFonts w:ascii="Arial" w:hAnsi="Arial" w:cs="Arial"/>
        </w:rPr>
        <w:lastRenderedPageBreak/>
        <w:t xml:space="preserve">show that rent arrears are not only caused by </w:t>
      </w:r>
      <w:r w:rsidR="005065DC" w:rsidRPr="001170D2">
        <w:rPr>
          <w:rFonts w:ascii="Arial" w:hAnsi="Arial" w:cs="Arial"/>
        </w:rPr>
        <w:t>tenant’s</w:t>
      </w:r>
      <w:r w:rsidR="002131B4" w:rsidRPr="001170D2">
        <w:rPr>
          <w:rFonts w:ascii="Arial" w:hAnsi="Arial" w:cs="Arial"/>
        </w:rPr>
        <w:t xml:space="preserve"> mismanagement, but also through macroeconomic precarity, flaws in the benefit system, and tenancy management gaps (Hardie, 2024; Byrne and McArdle, 2020; Hickman, 2021).</w:t>
      </w:r>
    </w:p>
    <w:p w14:paraId="01B209F3" w14:textId="77777777" w:rsidR="00733D7E" w:rsidRPr="001170D2" w:rsidRDefault="00733D7E" w:rsidP="000E2633">
      <w:pPr>
        <w:spacing w:line="360" w:lineRule="auto"/>
        <w:jc w:val="both"/>
        <w:rPr>
          <w:rFonts w:ascii="Arial" w:hAnsi="Arial" w:cs="Arial"/>
        </w:rPr>
      </w:pPr>
    </w:p>
    <w:p w14:paraId="0725BF68" w14:textId="6DB2575A" w:rsidR="001E2682" w:rsidRPr="003E3BB8" w:rsidRDefault="000E2633" w:rsidP="003E3BB8">
      <w:pPr>
        <w:pStyle w:val="Heading3"/>
        <w:rPr>
          <w:bCs/>
        </w:rPr>
      </w:pPr>
      <w:bookmarkStart w:id="37" w:name="_Toc214096820"/>
      <w:r w:rsidRPr="001170D2">
        <w:rPr>
          <w:rStyle w:val="Heading8Char"/>
          <w:b/>
          <w:bCs w:val="0"/>
        </w:rPr>
        <w:t xml:space="preserve">4.2.2 </w:t>
      </w:r>
      <w:r w:rsidR="001E2682" w:rsidRPr="001170D2">
        <w:rPr>
          <w:rStyle w:val="Heading8Char"/>
          <w:b/>
          <w:bCs w:val="0"/>
        </w:rPr>
        <w:t>Operational and Financial burden on Letting Agents and Landlords.</w:t>
      </w:r>
      <w:bookmarkEnd w:id="37"/>
    </w:p>
    <w:p w14:paraId="0F08F239" w14:textId="77777777" w:rsidR="007D2A11" w:rsidRDefault="003E3BB8" w:rsidP="000E2633">
      <w:pPr>
        <w:spacing w:line="360" w:lineRule="auto"/>
        <w:jc w:val="both"/>
        <w:rPr>
          <w:rFonts w:ascii="Arial" w:hAnsi="Arial" w:cs="Arial"/>
        </w:rPr>
      </w:pPr>
      <w:r>
        <w:rPr>
          <w:rFonts w:ascii="Arial" w:hAnsi="Arial" w:cs="Arial"/>
        </w:rPr>
        <w:t xml:space="preserve">           </w:t>
      </w:r>
      <w:r w:rsidR="00AF5188" w:rsidRPr="003E3BB8">
        <w:rPr>
          <w:rFonts w:ascii="Arial" w:hAnsi="Arial" w:cs="Arial"/>
        </w:rPr>
        <w:t>This</w:t>
      </w:r>
      <w:r w:rsidR="00980E23" w:rsidRPr="003E3BB8">
        <w:rPr>
          <w:rFonts w:ascii="Arial" w:hAnsi="Arial" w:cs="Arial"/>
        </w:rPr>
        <w:t xml:space="preserve"> theme</w:t>
      </w:r>
      <w:r w:rsidR="00980E23" w:rsidRPr="001170D2">
        <w:rPr>
          <w:rFonts w:ascii="Arial" w:hAnsi="Arial" w:cs="Arial"/>
        </w:rPr>
        <w:t xml:space="preserve"> </w:t>
      </w:r>
      <w:r w:rsidR="004F660E" w:rsidRPr="001170D2">
        <w:rPr>
          <w:rFonts w:ascii="Arial" w:hAnsi="Arial" w:cs="Arial"/>
        </w:rPr>
        <w:t>responds</w:t>
      </w:r>
      <w:r w:rsidR="00980E23" w:rsidRPr="001170D2">
        <w:rPr>
          <w:rFonts w:ascii="Arial" w:hAnsi="Arial" w:cs="Arial"/>
        </w:rPr>
        <w:t xml:space="preserve"> to the second objective </w:t>
      </w:r>
      <w:r w:rsidR="005065DC" w:rsidRPr="001170D2">
        <w:rPr>
          <w:rFonts w:ascii="Arial" w:hAnsi="Arial" w:cs="Arial"/>
        </w:rPr>
        <w:t>on Financial</w:t>
      </w:r>
      <w:r w:rsidR="00980E23" w:rsidRPr="001170D2">
        <w:rPr>
          <w:rFonts w:ascii="Arial" w:hAnsi="Arial" w:cs="Arial"/>
        </w:rPr>
        <w:t xml:space="preserve"> and operation </w:t>
      </w:r>
      <w:r w:rsidR="005065DC" w:rsidRPr="001170D2">
        <w:rPr>
          <w:rFonts w:ascii="Arial" w:hAnsi="Arial" w:cs="Arial"/>
        </w:rPr>
        <w:t>impact. These</w:t>
      </w:r>
      <w:r w:rsidR="001E2682" w:rsidRPr="001170D2">
        <w:rPr>
          <w:rFonts w:ascii="Arial" w:hAnsi="Arial" w:cs="Arial"/>
        </w:rPr>
        <w:t xml:space="preserve"> results affirm that rent arrears pose a significant financial risk and burden of operation. As demonstrated by </w:t>
      </w:r>
      <w:r w:rsidR="001E2682" w:rsidRPr="003E3BB8">
        <w:rPr>
          <w:rFonts w:ascii="Arial" w:hAnsi="Arial" w:cs="Arial"/>
        </w:rPr>
        <w:t xml:space="preserve">Figure </w:t>
      </w:r>
      <w:r w:rsidRPr="003E3BB8">
        <w:rPr>
          <w:rFonts w:ascii="Arial" w:hAnsi="Arial" w:cs="Arial"/>
        </w:rPr>
        <w:t>7</w:t>
      </w:r>
      <w:r w:rsidR="001E2682" w:rsidRPr="001170D2">
        <w:rPr>
          <w:rFonts w:ascii="Arial" w:hAnsi="Arial" w:cs="Arial"/>
        </w:rPr>
        <w:t>, the vast majority of landlords finance their first house with the help of mortgages, which implies that lost rent causes them a straight threat to meet the repayments (Department for Levelling Up, Housing and Communities, 2022). In March 2021, arrears hit a hi</w:t>
      </w:r>
      <w:r>
        <w:rPr>
          <w:rFonts w:ascii="Arial" w:hAnsi="Arial" w:cs="Arial"/>
        </w:rPr>
        <w:t>gh of £940 per tenancy (Figure 8</w:t>
      </w:r>
      <w:r w:rsidR="001E2682" w:rsidRPr="001170D2">
        <w:rPr>
          <w:rFonts w:ascii="Arial" w:hAnsi="Arial" w:cs="Arial"/>
        </w:rPr>
        <w:t>) and at their highest points, up to 11% of t</w:t>
      </w:r>
      <w:r>
        <w:rPr>
          <w:rFonts w:ascii="Arial" w:hAnsi="Arial" w:cs="Arial"/>
        </w:rPr>
        <w:t>enants were in arrears (Figure 9</w:t>
      </w:r>
      <w:r w:rsidR="001E2682" w:rsidRPr="001170D2">
        <w:rPr>
          <w:rFonts w:ascii="Arial" w:hAnsi="Arial" w:cs="Arial"/>
        </w:rPr>
        <w:t>) (Centre for Housing Evidence, 2024</w:t>
      </w:r>
      <w:r w:rsidR="005065DC" w:rsidRPr="001170D2">
        <w:rPr>
          <w:rFonts w:ascii="Arial" w:hAnsi="Arial" w:cs="Arial"/>
        </w:rPr>
        <w:t>). Allowing</w:t>
      </w:r>
      <w:r w:rsidR="001E2682" w:rsidRPr="001170D2">
        <w:rPr>
          <w:rFonts w:ascii="Arial" w:hAnsi="Arial" w:cs="Arial"/>
        </w:rPr>
        <w:t xml:space="preserve"> agent to bear this cost in terms of lower revenue, increased workloads on arrears management and limited decision-making. Arrears compel </w:t>
      </w:r>
      <w:r>
        <w:rPr>
          <w:rFonts w:ascii="Arial" w:hAnsi="Arial" w:cs="Arial"/>
        </w:rPr>
        <w:t xml:space="preserve">lettings </w:t>
      </w:r>
      <w:r w:rsidR="001E2682" w:rsidRPr="001170D2">
        <w:rPr>
          <w:rFonts w:ascii="Arial" w:hAnsi="Arial" w:cs="Arial"/>
        </w:rPr>
        <w:t>agencies to contact tenants more frequently, change the way things are done internally, and monitor missed payments more closely (Glover and Jeyabraba, 2022). It further aggravated the operational disruption during eviction bans, during which legal avenues to reclaim rent were shut over months at once (Simpson, 2021</w:t>
      </w:r>
      <w:r w:rsidR="005065DC" w:rsidRPr="001170D2">
        <w:rPr>
          <w:rFonts w:ascii="Arial" w:hAnsi="Arial" w:cs="Arial"/>
        </w:rPr>
        <w:t>). The</w:t>
      </w:r>
      <w:r w:rsidR="001E2682" w:rsidRPr="001170D2">
        <w:rPr>
          <w:rFonts w:ascii="Arial" w:hAnsi="Arial" w:cs="Arial"/>
        </w:rPr>
        <w:t xml:space="preserve"> pressure of finances is changing long-term strategy. </w:t>
      </w:r>
    </w:p>
    <w:p w14:paraId="4307B461" w14:textId="42E963A3" w:rsidR="001E2682" w:rsidRPr="001170D2" w:rsidRDefault="007D2A11" w:rsidP="000E2633">
      <w:pPr>
        <w:spacing w:line="360" w:lineRule="auto"/>
        <w:jc w:val="both"/>
        <w:rPr>
          <w:rFonts w:ascii="Arial" w:hAnsi="Arial" w:cs="Arial"/>
        </w:rPr>
      </w:pPr>
      <w:r>
        <w:rPr>
          <w:rFonts w:ascii="Arial" w:hAnsi="Arial" w:cs="Arial"/>
        </w:rPr>
        <w:t xml:space="preserve">             </w:t>
      </w:r>
      <w:r w:rsidR="001E2682" w:rsidRPr="001170D2">
        <w:rPr>
          <w:rFonts w:ascii="Arial" w:hAnsi="Arial" w:cs="Arial"/>
        </w:rPr>
        <w:t>Approximately 1 out of 10 landlords thought of selling part or all of their rental houses due to increased arrears and exposure to risk (Department for Levelling Up, Housing and Communities, 2022). This behaviour is consistent with the description of Lam where prolonged income destabilization leads to portfolio rebalancing and risk-reducing decisions (Lam, 2014</w:t>
      </w:r>
      <w:r w:rsidR="005065DC" w:rsidRPr="001170D2">
        <w:rPr>
          <w:rFonts w:ascii="Arial" w:hAnsi="Arial" w:cs="Arial"/>
        </w:rPr>
        <w:t>). Most</w:t>
      </w:r>
      <w:r w:rsidR="001E2682" w:rsidRPr="001170D2">
        <w:rPr>
          <w:rFonts w:ascii="Arial" w:hAnsi="Arial" w:cs="Arial"/>
        </w:rPr>
        <w:t xml:space="preserve"> agents are embracing technology-based risk filters to deal with exposures. Increased screening of tenants by their landlords is being done more aggressively via digital platforms and algorithmic risk scores (Byrne and McArdle, 2020). It has become standard in online listings to have a tool to compute affordability, credit risk, or income history (Livingston et al., 2021). Such systems limit the exposure to arrears and, at the same time, increase the barrier to access among the renters with inconsistent revenue or previous incurred debt.</w:t>
      </w:r>
    </w:p>
    <w:p w14:paraId="0B21DC88" w14:textId="3E8BC4A2" w:rsidR="00DE277F" w:rsidRPr="001170D2" w:rsidRDefault="007D2A11" w:rsidP="000E2633">
      <w:pPr>
        <w:spacing w:line="360" w:lineRule="auto"/>
        <w:jc w:val="both"/>
        <w:rPr>
          <w:rFonts w:ascii="Arial" w:hAnsi="Arial" w:cs="Arial"/>
        </w:rPr>
      </w:pPr>
      <w:r>
        <w:rPr>
          <w:rFonts w:ascii="Arial" w:hAnsi="Arial" w:cs="Arial"/>
        </w:rPr>
        <w:t xml:space="preserve">               </w:t>
      </w:r>
      <w:r w:rsidRPr="001170D2">
        <w:rPr>
          <w:rFonts w:ascii="Arial" w:hAnsi="Arial" w:cs="Arial"/>
        </w:rPr>
        <w:t xml:space="preserve">Other </w:t>
      </w:r>
      <w:r>
        <w:rPr>
          <w:rFonts w:ascii="Arial" w:hAnsi="Arial" w:cs="Arial"/>
        </w:rPr>
        <w:t xml:space="preserve">estate </w:t>
      </w:r>
      <w:r w:rsidR="001E2682" w:rsidRPr="001170D2">
        <w:rPr>
          <w:rFonts w:ascii="Arial" w:hAnsi="Arial" w:cs="Arial"/>
        </w:rPr>
        <w:t xml:space="preserve">agents will lower arrears risk at an earlier stage in the tenancy process. The agencies that have organized pre-tenancy procedures have fewer instances of arrears or fewer instances of operational failures (Cullen et al., 2017). Understanding of rent expectation, affordability tests, and initial assistance minimize confusion and payment disputes in future of the </w:t>
      </w:r>
      <w:r w:rsidR="005065DC" w:rsidRPr="001170D2">
        <w:rPr>
          <w:rFonts w:ascii="Arial" w:hAnsi="Arial" w:cs="Arial"/>
        </w:rPr>
        <w:t>tenancy. All</w:t>
      </w:r>
      <w:r w:rsidR="001E2682" w:rsidRPr="001170D2">
        <w:rPr>
          <w:rFonts w:ascii="Arial" w:hAnsi="Arial" w:cs="Arial"/>
        </w:rPr>
        <w:t xml:space="preserve"> in all, the evidence reveals that arrears hurt cash flow as well as agency capacity. </w:t>
      </w:r>
      <w:r w:rsidR="001E2682" w:rsidRPr="001170D2">
        <w:rPr>
          <w:rFonts w:ascii="Arial" w:hAnsi="Arial" w:cs="Arial"/>
        </w:rPr>
        <w:lastRenderedPageBreak/>
        <w:t>There is more severe screening, risk-averse exits, and digital tools being used by agents. Though these plans guard income, they redefine access to tenants and flexibility, particularly in relation to low and erratic-income families.</w:t>
      </w:r>
    </w:p>
    <w:p w14:paraId="6506AD48" w14:textId="1C99484A" w:rsidR="001E2682" w:rsidRPr="001170D2" w:rsidRDefault="000E2633" w:rsidP="000E2633">
      <w:pPr>
        <w:pStyle w:val="Heading3"/>
      </w:pPr>
      <w:bookmarkStart w:id="38" w:name="_Toc214096821"/>
      <w:r w:rsidRPr="001170D2">
        <w:rPr>
          <w:rStyle w:val="Heading8Char"/>
          <w:b/>
          <w:bCs w:val="0"/>
        </w:rPr>
        <w:t xml:space="preserve">4.2.3 </w:t>
      </w:r>
      <w:r w:rsidR="001E2682" w:rsidRPr="00DE277F">
        <w:rPr>
          <w:rStyle w:val="Heading8Char"/>
          <w:b/>
          <w:bCs w:val="0"/>
          <w:sz w:val="24"/>
          <w:szCs w:val="24"/>
        </w:rPr>
        <w:t>Resilience-Developing and Cost-Effective Mitigation Measures.</w:t>
      </w:r>
      <w:bookmarkEnd w:id="38"/>
    </w:p>
    <w:p w14:paraId="7EAC67E1" w14:textId="128754F3" w:rsidR="00DE277F" w:rsidRDefault="00DE277F" w:rsidP="000E2633">
      <w:pPr>
        <w:spacing w:line="360" w:lineRule="auto"/>
        <w:jc w:val="both"/>
        <w:rPr>
          <w:rFonts w:ascii="Arial" w:hAnsi="Arial" w:cs="Arial"/>
        </w:rPr>
      </w:pPr>
      <w:r>
        <w:rPr>
          <w:rFonts w:ascii="Arial" w:hAnsi="Arial" w:cs="Arial"/>
        </w:rPr>
        <w:t xml:space="preserve">                </w:t>
      </w:r>
      <w:r w:rsidR="00980E23" w:rsidRPr="001170D2">
        <w:rPr>
          <w:rFonts w:ascii="Arial" w:hAnsi="Arial" w:cs="Arial"/>
        </w:rPr>
        <w:t>This theme responds to the third objective</w:t>
      </w:r>
      <w:r w:rsidR="004F660E" w:rsidRPr="001170D2">
        <w:rPr>
          <w:rFonts w:ascii="Arial" w:hAnsi="Arial" w:cs="Arial"/>
        </w:rPr>
        <w:t xml:space="preserve">. </w:t>
      </w:r>
      <w:r w:rsidR="005065DC" w:rsidRPr="001170D2">
        <w:rPr>
          <w:rFonts w:ascii="Arial" w:hAnsi="Arial" w:cs="Arial"/>
        </w:rPr>
        <w:t>As information</w:t>
      </w:r>
      <w:r w:rsidR="001E2682" w:rsidRPr="001170D2">
        <w:rPr>
          <w:rFonts w:ascii="Arial" w:hAnsi="Arial" w:cs="Arial"/>
        </w:rPr>
        <w:t xml:space="preserve"> shows useful, affordable interventions that enhance resilience among agent ag</w:t>
      </w:r>
      <w:r>
        <w:rPr>
          <w:rFonts w:ascii="Arial" w:hAnsi="Arial" w:cs="Arial"/>
        </w:rPr>
        <w:t>ents to tenant arrears. Figure 10</w:t>
      </w:r>
      <w:r w:rsidR="001E2682" w:rsidRPr="001170D2">
        <w:rPr>
          <w:rFonts w:ascii="Arial" w:hAnsi="Arial" w:cs="Arial"/>
        </w:rPr>
        <w:t xml:space="preserve"> demonstrates that despite the fact that the behavioural trial did not have a significant impact on arrears clearance, it resulted in an increase in the tenant contact, which is a crucial stage of the resolution process, by 17 percent (Fitzhugh et al., 2018). Even simple interventions like SMS payment reminders have been seen to eliminate arrears by 14 percent (Fitzhugh et al., 2018, p.11</w:t>
      </w:r>
      <w:r w:rsidR="005065DC" w:rsidRPr="001170D2">
        <w:rPr>
          <w:rFonts w:ascii="Arial" w:hAnsi="Arial" w:cs="Arial"/>
        </w:rPr>
        <w:t>). These</w:t>
      </w:r>
      <w:r w:rsidR="001E2682" w:rsidRPr="001170D2">
        <w:rPr>
          <w:rFonts w:ascii="Arial" w:hAnsi="Arial" w:cs="Arial"/>
        </w:rPr>
        <w:t xml:space="preserve"> behavioural cues redirect the emphasis on law enforcement toward initial interaction. Glover and Jeyabraba (2022) discovered that proactive interventions, such as structured outreach and arrears support, minimized the conflict and increased payment outcomes. </w:t>
      </w:r>
    </w:p>
    <w:p w14:paraId="064B66BC" w14:textId="1D8107CB" w:rsidR="001E2682" w:rsidRPr="001170D2" w:rsidRDefault="00DE277F" w:rsidP="000E2633">
      <w:pPr>
        <w:spacing w:line="360" w:lineRule="auto"/>
        <w:jc w:val="both"/>
        <w:rPr>
          <w:rFonts w:ascii="Arial" w:hAnsi="Arial" w:cs="Arial"/>
        </w:rPr>
      </w:pPr>
      <w:r>
        <w:rPr>
          <w:rFonts w:ascii="Arial" w:hAnsi="Arial" w:cs="Arial"/>
        </w:rPr>
        <w:t xml:space="preserve">                </w:t>
      </w:r>
      <w:r w:rsidR="001E2682" w:rsidRPr="001170D2">
        <w:rPr>
          <w:rFonts w:ascii="Arial" w:hAnsi="Arial" w:cs="Arial"/>
        </w:rPr>
        <w:t xml:space="preserve">Their results emphasize that the key to proper arrears management is not punishment but </w:t>
      </w:r>
      <w:r>
        <w:rPr>
          <w:rFonts w:ascii="Arial" w:hAnsi="Arial" w:cs="Arial"/>
        </w:rPr>
        <w:t>engagement.</w:t>
      </w:r>
      <w:r w:rsidRPr="001170D2">
        <w:rPr>
          <w:rFonts w:ascii="Arial" w:hAnsi="Arial" w:cs="Arial"/>
        </w:rPr>
        <w:t xml:space="preserve"> According</w:t>
      </w:r>
      <w:r w:rsidR="001E2682" w:rsidRPr="001170D2">
        <w:rPr>
          <w:rFonts w:ascii="Arial" w:hAnsi="Arial" w:cs="Arial"/>
        </w:rPr>
        <w:t xml:space="preserve"> to Isa et al. (2023) tenants experience higher chances of keeping pace with payments when they are </w:t>
      </w:r>
      <w:r w:rsidR="005065DC" w:rsidRPr="001170D2">
        <w:rPr>
          <w:rFonts w:ascii="Arial" w:hAnsi="Arial" w:cs="Arial"/>
        </w:rPr>
        <w:t>upfront</w:t>
      </w:r>
      <w:r w:rsidR="001E2682" w:rsidRPr="001170D2">
        <w:rPr>
          <w:rFonts w:ascii="Arial" w:hAnsi="Arial" w:cs="Arial"/>
        </w:rPr>
        <w:t xml:space="preserve"> informed and advised on their budgets. Those agencies that incorporated support systems initially had enhanced flows of rent and reduction in disruptions. This implies that good </w:t>
      </w:r>
      <w:r w:rsidR="005065DC" w:rsidRPr="001170D2">
        <w:rPr>
          <w:rFonts w:ascii="Arial" w:hAnsi="Arial" w:cs="Arial"/>
        </w:rPr>
        <w:t>on boarding</w:t>
      </w:r>
      <w:r w:rsidR="001E2682" w:rsidRPr="001170D2">
        <w:rPr>
          <w:rFonts w:ascii="Arial" w:hAnsi="Arial" w:cs="Arial"/>
        </w:rPr>
        <w:t xml:space="preserve"> rather than crisis response is the beginning of </w:t>
      </w:r>
      <w:r w:rsidR="005065DC" w:rsidRPr="001170D2">
        <w:rPr>
          <w:rFonts w:ascii="Arial" w:hAnsi="Arial" w:cs="Arial"/>
        </w:rPr>
        <w:t>resilience. Hickman</w:t>
      </w:r>
      <w:r w:rsidR="001E2682" w:rsidRPr="001170D2">
        <w:rPr>
          <w:rFonts w:ascii="Arial" w:hAnsi="Arial" w:cs="Arial"/>
        </w:rPr>
        <w:t xml:space="preserve"> (2021) established that the condition of income shocks and sporadic incomes were the main causes of arrears - not an intentional non-payment. He says approaches of flexibility and contact, as opposed to enforcing are better in the long term. This supports the opinion that contact is not a tender approach but a strategic </w:t>
      </w:r>
      <w:r w:rsidR="005065DC" w:rsidRPr="001170D2">
        <w:rPr>
          <w:rFonts w:ascii="Arial" w:hAnsi="Arial" w:cs="Arial"/>
        </w:rPr>
        <w:t>one. Cullen</w:t>
      </w:r>
      <w:r w:rsidR="001E2682" w:rsidRPr="001170D2">
        <w:rPr>
          <w:rFonts w:ascii="Arial" w:hAnsi="Arial" w:cs="Arial"/>
        </w:rPr>
        <w:t xml:space="preserve"> et al. (2017) contribute that the pre-tenancy processes can be well managed, which will decrease the ar</w:t>
      </w:r>
      <w:r>
        <w:rPr>
          <w:rFonts w:ascii="Arial" w:hAnsi="Arial" w:cs="Arial"/>
        </w:rPr>
        <w:t xml:space="preserve">rears prior to beginning. The estate </w:t>
      </w:r>
      <w:r w:rsidR="001E2682" w:rsidRPr="001170D2">
        <w:rPr>
          <w:rFonts w:ascii="Arial" w:hAnsi="Arial" w:cs="Arial"/>
        </w:rPr>
        <w:t>agencies with clear expectations, checking affordability and early contact recorded fewer cases of arrears. This implies that arrears prevention is not a financial only issue</w:t>
      </w:r>
      <w:r w:rsidR="00733D7E">
        <w:rPr>
          <w:rFonts w:ascii="Arial" w:hAnsi="Arial" w:cs="Arial"/>
        </w:rPr>
        <w:t>,</w:t>
      </w:r>
      <w:r w:rsidR="001E2682" w:rsidRPr="001170D2">
        <w:rPr>
          <w:rFonts w:ascii="Arial" w:hAnsi="Arial" w:cs="Arial"/>
        </w:rPr>
        <w:t xml:space="preserve"> but a procedure </w:t>
      </w:r>
      <w:r w:rsidR="005065DC" w:rsidRPr="001170D2">
        <w:rPr>
          <w:rFonts w:ascii="Arial" w:hAnsi="Arial" w:cs="Arial"/>
        </w:rPr>
        <w:t>issue. According</w:t>
      </w:r>
      <w:r w:rsidR="001E2682" w:rsidRPr="001170D2">
        <w:rPr>
          <w:rFonts w:ascii="Arial" w:hAnsi="Arial" w:cs="Arial"/>
        </w:rPr>
        <w:t xml:space="preserve"> to McNally and Lally (2024), the capacity to adjust processes in a short time is also a determinant of r</w:t>
      </w:r>
      <w:r w:rsidR="00733D7E">
        <w:rPr>
          <w:rFonts w:ascii="Arial" w:hAnsi="Arial" w:cs="Arial"/>
        </w:rPr>
        <w:t>esilience within agencies</w:t>
      </w:r>
      <w:r w:rsidR="00733D7E" w:rsidRPr="00DE277F">
        <w:rPr>
          <w:rFonts w:ascii="Arial" w:hAnsi="Arial" w:cs="Arial"/>
        </w:rPr>
        <w:t>. The estate</w:t>
      </w:r>
      <w:r w:rsidR="001E2682" w:rsidRPr="00DE277F">
        <w:rPr>
          <w:rFonts w:ascii="Arial" w:hAnsi="Arial" w:cs="Arial"/>
        </w:rPr>
        <w:t xml:space="preserve"> agencies that </w:t>
      </w:r>
      <w:r w:rsidR="00733D7E" w:rsidRPr="00DE277F">
        <w:rPr>
          <w:rFonts w:ascii="Arial" w:hAnsi="Arial" w:cs="Arial"/>
        </w:rPr>
        <w:t xml:space="preserve">have </w:t>
      </w:r>
      <w:r w:rsidR="001E2682" w:rsidRPr="00DE277F">
        <w:rPr>
          <w:rFonts w:ascii="Arial" w:hAnsi="Arial" w:cs="Arial"/>
        </w:rPr>
        <w:t>created arrears procedures and escalation routes reacted more swiftly to external shocks. This</w:t>
      </w:r>
      <w:r w:rsidR="001E2682" w:rsidRPr="001170D2">
        <w:rPr>
          <w:rFonts w:ascii="Arial" w:hAnsi="Arial" w:cs="Arial"/>
        </w:rPr>
        <w:t xml:space="preserve"> shows that resilience has more to do with tenant support, but it has to do with internal systems and </w:t>
      </w:r>
      <w:r w:rsidR="005065DC" w:rsidRPr="001170D2">
        <w:rPr>
          <w:rFonts w:ascii="Arial" w:hAnsi="Arial" w:cs="Arial"/>
        </w:rPr>
        <w:t>readiness. Altogether</w:t>
      </w:r>
      <w:r w:rsidR="001E2682" w:rsidRPr="001170D2">
        <w:rPr>
          <w:rFonts w:ascii="Arial" w:hAnsi="Arial" w:cs="Arial"/>
        </w:rPr>
        <w:t>, there is evidence that attests to a transition to cost-effective engagement models. Organised communication, operational preparation and behavioural aids assist agents to handle arrears without the use of eviction. These plans lower the risks, maintain tenancies, and secure cash flows.</w:t>
      </w:r>
    </w:p>
    <w:p w14:paraId="3CD56FCC" w14:textId="44FFC895" w:rsidR="00DD1975" w:rsidRDefault="005F2975" w:rsidP="000E2633">
      <w:pPr>
        <w:pStyle w:val="Heading1"/>
        <w:spacing w:line="360" w:lineRule="auto"/>
        <w:jc w:val="both"/>
        <w:rPr>
          <w:rFonts w:ascii="Arial" w:eastAsia="Calibri" w:hAnsi="Arial" w:cs="Arial"/>
          <w:sz w:val="22"/>
          <w:szCs w:val="22"/>
        </w:rPr>
      </w:pPr>
      <w:bookmarkStart w:id="39" w:name="_Toc214096822"/>
      <w:r w:rsidRPr="001170D2">
        <w:rPr>
          <w:rFonts w:ascii="Arial" w:eastAsia="Calibri" w:hAnsi="Arial" w:cs="Arial"/>
          <w:sz w:val="22"/>
          <w:szCs w:val="22"/>
        </w:rPr>
        <w:lastRenderedPageBreak/>
        <w:t xml:space="preserve">5.0 </w:t>
      </w:r>
      <w:r w:rsidRPr="0086274E">
        <w:rPr>
          <w:rFonts w:ascii="Arial" w:eastAsia="Calibri" w:hAnsi="Arial" w:cs="Arial"/>
        </w:rPr>
        <w:t>Conclusions and Recommendations</w:t>
      </w:r>
      <w:bookmarkEnd w:id="39"/>
      <w:r w:rsidRPr="001170D2">
        <w:rPr>
          <w:rFonts w:ascii="Arial" w:eastAsia="Calibri" w:hAnsi="Arial" w:cs="Arial"/>
          <w:sz w:val="22"/>
          <w:szCs w:val="22"/>
        </w:rPr>
        <w:t xml:space="preserve"> </w:t>
      </w:r>
    </w:p>
    <w:p w14:paraId="23BECF27" w14:textId="77777777" w:rsidR="00733D7E" w:rsidRPr="00733D7E" w:rsidRDefault="00733D7E" w:rsidP="00733D7E"/>
    <w:p w14:paraId="5480FF75" w14:textId="658BCAEC" w:rsidR="000E2633" w:rsidRPr="001170D2" w:rsidRDefault="00733D7E" w:rsidP="000E2633">
      <w:pPr>
        <w:pStyle w:val="Heading2"/>
        <w:rPr>
          <w:rFonts w:ascii="Arial" w:hAnsi="Arial" w:cs="Arial"/>
          <w:sz w:val="22"/>
          <w:szCs w:val="22"/>
        </w:rPr>
      </w:pPr>
      <w:bookmarkStart w:id="40" w:name="_Toc214096823"/>
      <w:r>
        <w:rPr>
          <w:rFonts w:ascii="Arial" w:hAnsi="Arial" w:cs="Arial"/>
          <w:sz w:val="22"/>
          <w:szCs w:val="22"/>
        </w:rPr>
        <w:t xml:space="preserve">5.1 </w:t>
      </w:r>
      <w:r w:rsidRPr="0086274E">
        <w:rPr>
          <w:rFonts w:ascii="Arial" w:hAnsi="Arial" w:cs="Arial"/>
        </w:rPr>
        <w:t>C</w:t>
      </w:r>
      <w:r w:rsidR="000E2633" w:rsidRPr="0086274E">
        <w:rPr>
          <w:rFonts w:ascii="Arial" w:hAnsi="Arial" w:cs="Arial"/>
        </w:rPr>
        <w:t>onclusions</w:t>
      </w:r>
      <w:bookmarkEnd w:id="40"/>
      <w:r w:rsidR="000E2633" w:rsidRPr="0086274E">
        <w:rPr>
          <w:rFonts w:ascii="Arial" w:hAnsi="Arial" w:cs="Arial"/>
        </w:rPr>
        <w:t xml:space="preserve"> </w:t>
      </w:r>
    </w:p>
    <w:p w14:paraId="7002FBEC" w14:textId="234D2469" w:rsidR="00DD1975" w:rsidRPr="001170D2" w:rsidRDefault="0086274E" w:rsidP="000E2633">
      <w:pPr>
        <w:spacing w:line="360" w:lineRule="auto"/>
        <w:jc w:val="both"/>
        <w:rPr>
          <w:rFonts w:ascii="Arial" w:hAnsi="Arial" w:cs="Arial"/>
        </w:rPr>
      </w:pPr>
      <w:r>
        <w:rPr>
          <w:rFonts w:ascii="Arial" w:hAnsi="Arial" w:cs="Arial"/>
        </w:rPr>
        <w:t xml:space="preserve">       </w:t>
      </w:r>
      <w:r w:rsidR="00DD1975" w:rsidRPr="001170D2">
        <w:rPr>
          <w:rFonts w:ascii="Arial" w:hAnsi="Arial" w:cs="Arial"/>
        </w:rPr>
        <w:t xml:space="preserve">This research study explored the causes, effects and mitigation measures </w:t>
      </w:r>
      <w:r w:rsidR="008F3139" w:rsidRPr="001170D2">
        <w:rPr>
          <w:rFonts w:ascii="Arial" w:hAnsi="Arial" w:cs="Arial"/>
        </w:rPr>
        <w:t>regarding</w:t>
      </w:r>
      <w:r w:rsidR="00DD1975" w:rsidRPr="001170D2">
        <w:rPr>
          <w:rFonts w:ascii="Arial" w:hAnsi="Arial" w:cs="Arial"/>
        </w:rPr>
        <w:t xml:space="preserve"> the tenant arrears within the UK private rented sector</w:t>
      </w:r>
      <w:r w:rsidR="00DD1975" w:rsidRPr="0086274E">
        <w:rPr>
          <w:rFonts w:ascii="Arial" w:hAnsi="Arial" w:cs="Arial"/>
        </w:rPr>
        <w:t xml:space="preserve">. </w:t>
      </w:r>
      <w:r w:rsidR="00D64CC2" w:rsidRPr="0086274E">
        <w:rPr>
          <w:rFonts w:ascii="Arial" w:hAnsi="Arial" w:cs="Arial"/>
        </w:rPr>
        <w:t xml:space="preserve">Using the thematic analysis, the </w:t>
      </w:r>
      <w:r w:rsidR="00DD1975" w:rsidRPr="0086274E">
        <w:rPr>
          <w:rFonts w:ascii="Arial" w:hAnsi="Arial" w:cs="Arial"/>
        </w:rPr>
        <w:t>results</w:t>
      </w:r>
      <w:r w:rsidR="00DD1975" w:rsidRPr="001170D2">
        <w:rPr>
          <w:rFonts w:ascii="Arial" w:hAnsi="Arial" w:cs="Arial"/>
        </w:rPr>
        <w:t xml:space="preserve"> confirm that rent arrears are never due to tenant negligence mostly; on the contrary, structural factors such as benefit delays, volatile incomes, and affordability pressure are some of the significant contributors. Since estate agents and landlords are unable to increase their property rent to cover operational expenses, they have to endure aggravated financial and operational pressures, especially when there is a policy restriction, like an eviction ban. Nonetheless, cost-effective measures, such as behavioural nudges, structured communication, and early intervention, have proven to be effective in the control of the arrears without the use of the enforcement step. The information promotes the shift of the reactive and punitive strategies to proactive and resilience-oriented practice. Agents who operate on the basis of letting and invest in initial contact and tenant support have better chances of keeping their rents flowing and ensuring less stress on arrears. With mounting pressures in the sector particularly during economic unpredictability, the agents and property owners should implement viable systems that focus on prevention, flexibility, and involvement of tenants.</w:t>
      </w:r>
    </w:p>
    <w:p w14:paraId="3D87770F" w14:textId="77777777" w:rsidR="00DD1975" w:rsidRPr="001170D2" w:rsidRDefault="00DD1975" w:rsidP="000E2633">
      <w:pPr>
        <w:spacing w:line="360" w:lineRule="auto"/>
        <w:jc w:val="both"/>
        <w:rPr>
          <w:rFonts w:ascii="Arial" w:hAnsi="Arial" w:cs="Arial"/>
        </w:rPr>
      </w:pPr>
    </w:p>
    <w:p w14:paraId="10EF4AB3" w14:textId="7759741E" w:rsidR="00DD1975" w:rsidRPr="001170D2" w:rsidRDefault="00DD1975" w:rsidP="000E2633">
      <w:pPr>
        <w:pStyle w:val="Heading2"/>
        <w:rPr>
          <w:rFonts w:ascii="Arial" w:hAnsi="Arial" w:cs="Arial"/>
          <w:sz w:val="22"/>
          <w:szCs w:val="22"/>
        </w:rPr>
      </w:pPr>
      <w:bookmarkStart w:id="41" w:name="_Toc214096824"/>
      <w:r w:rsidRPr="001170D2">
        <w:rPr>
          <w:rFonts w:ascii="Arial" w:hAnsi="Arial" w:cs="Arial"/>
          <w:sz w:val="22"/>
          <w:szCs w:val="22"/>
        </w:rPr>
        <w:t>5.</w:t>
      </w:r>
      <w:r w:rsidR="000E2633" w:rsidRPr="001170D2">
        <w:rPr>
          <w:rFonts w:ascii="Arial" w:hAnsi="Arial" w:cs="Arial"/>
          <w:sz w:val="22"/>
          <w:szCs w:val="22"/>
        </w:rPr>
        <w:t>2</w:t>
      </w:r>
      <w:r w:rsidRPr="001170D2">
        <w:rPr>
          <w:rFonts w:ascii="Arial" w:hAnsi="Arial" w:cs="Arial"/>
          <w:sz w:val="22"/>
          <w:szCs w:val="22"/>
        </w:rPr>
        <w:t xml:space="preserve"> </w:t>
      </w:r>
      <w:r w:rsidRPr="0086274E">
        <w:rPr>
          <w:rFonts w:ascii="Arial" w:hAnsi="Arial" w:cs="Arial"/>
        </w:rPr>
        <w:t>Recommendations</w:t>
      </w:r>
      <w:bookmarkEnd w:id="41"/>
    </w:p>
    <w:p w14:paraId="04F96AF9" w14:textId="23D449F2" w:rsidR="00DD1975" w:rsidRPr="001170D2" w:rsidRDefault="000E2633" w:rsidP="000E2633">
      <w:pPr>
        <w:pStyle w:val="Heading3"/>
      </w:pPr>
      <w:bookmarkStart w:id="42" w:name="_Toc214096825"/>
      <w:r w:rsidRPr="001170D2">
        <w:rPr>
          <w:rStyle w:val="SubtleEmphasis"/>
          <w:i/>
          <w:iCs w:val="0"/>
          <w:color w:val="auto"/>
        </w:rPr>
        <w:t>5.2.</w:t>
      </w:r>
      <w:r w:rsidR="00DD1975" w:rsidRPr="001170D2">
        <w:rPr>
          <w:rStyle w:val="SubtleEmphasis"/>
          <w:i/>
          <w:iCs w:val="0"/>
          <w:color w:val="auto"/>
        </w:rPr>
        <w:t xml:space="preserve">1. </w:t>
      </w:r>
      <w:r w:rsidR="00DD1975" w:rsidRPr="0086274E">
        <w:rPr>
          <w:rStyle w:val="SubtleEmphasis"/>
          <w:i/>
          <w:iCs w:val="0"/>
          <w:color w:val="auto"/>
          <w:sz w:val="24"/>
          <w:szCs w:val="24"/>
        </w:rPr>
        <w:t>Standardise Early Arrears Intervention Procedures</w:t>
      </w:r>
      <w:bookmarkEnd w:id="42"/>
    </w:p>
    <w:p w14:paraId="6F899717" w14:textId="317E7DE6" w:rsidR="00DD1975" w:rsidRPr="001170D2" w:rsidRDefault="0086274E" w:rsidP="000E2633">
      <w:pPr>
        <w:spacing w:line="360" w:lineRule="auto"/>
        <w:jc w:val="both"/>
        <w:rPr>
          <w:rFonts w:ascii="Arial" w:hAnsi="Arial" w:cs="Arial"/>
        </w:rPr>
      </w:pPr>
      <w:r>
        <w:rPr>
          <w:rFonts w:ascii="Arial" w:hAnsi="Arial" w:cs="Arial"/>
        </w:rPr>
        <w:t xml:space="preserve">           </w:t>
      </w:r>
      <w:r w:rsidR="00DD1975" w:rsidRPr="001170D2">
        <w:rPr>
          <w:rFonts w:ascii="Arial" w:hAnsi="Arial" w:cs="Arial"/>
        </w:rPr>
        <w:t>Letting agents must incorporate early arrears identification and contact techniques into the regular functions. Activities like sending reminders well before the due date, calling when the payments are not made in 48 hours, and flexible payment rates can go a long way to preventing the accumulation of arrears (Fitzhugh et al., 2018). Experience demonstrates that tenants will be better responsive and cooperative in being approached in a positive manner at the beginning of the conversation. Organized communication is also associated with reduced eviction rates and enhanced payment agreements (Isa et al., 2023). Instead of letting arrears build up, regular early interaction has the effect of ensuring that agents are able to solve problems sooner and save tenancies.</w:t>
      </w:r>
    </w:p>
    <w:p w14:paraId="0C7635E2" w14:textId="77777777" w:rsidR="00DD1975" w:rsidRPr="001170D2" w:rsidRDefault="00DD1975" w:rsidP="000E2633">
      <w:pPr>
        <w:spacing w:line="360" w:lineRule="auto"/>
        <w:jc w:val="both"/>
        <w:rPr>
          <w:rFonts w:ascii="Arial" w:hAnsi="Arial" w:cs="Arial"/>
        </w:rPr>
      </w:pPr>
    </w:p>
    <w:p w14:paraId="7FC32F92" w14:textId="74BD24E8" w:rsidR="00DD1975" w:rsidRPr="0086274E" w:rsidRDefault="000E2633" w:rsidP="000E2633">
      <w:pPr>
        <w:pStyle w:val="Heading3"/>
        <w:rPr>
          <w:i w:val="0"/>
          <w:iCs/>
          <w:sz w:val="24"/>
          <w:szCs w:val="24"/>
        </w:rPr>
      </w:pPr>
      <w:bookmarkStart w:id="43" w:name="_Toc214096826"/>
      <w:r w:rsidRPr="0086274E">
        <w:rPr>
          <w:rStyle w:val="SubtleEmphasis"/>
          <w:i/>
          <w:color w:val="auto"/>
        </w:rPr>
        <w:lastRenderedPageBreak/>
        <w:t>5.2.</w:t>
      </w:r>
      <w:r w:rsidR="00DD1975" w:rsidRPr="0086274E">
        <w:rPr>
          <w:rStyle w:val="SubtleEmphasis"/>
          <w:i/>
          <w:color w:val="auto"/>
        </w:rPr>
        <w:t>2.</w:t>
      </w:r>
      <w:r w:rsidR="00DD1975" w:rsidRPr="0086274E">
        <w:rPr>
          <w:rStyle w:val="SubtleEmphasis"/>
          <w:i/>
          <w:color w:val="auto"/>
          <w:sz w:val="24"/>
          <w:szCs w:val="24"/>
        </w:rPr>
        <w:t xml:space="preserve"> Invest in </w:t>
      </w:r>
      <w:r w:rsidR="005065DC" w:rsidRPr="0086274E">
        <w:rPr>
          <w:rStyle w:val="SubtleEmphasis"/>
          <w:i/>
          <w:color w:val="auto"/>
          <w:sz w:val="24"/>
          <w:szCs w:val="24"/>
        </w:rPr>
        <w:t>On boarding</w:t>
      </w:r>
      <w:r w:rsidR="00DD1975" w:rsidRPr="0086274E">
        <w:rPr>
          <w:rStyle w:val="SubtleEmphasis"/>
          <w:i/>
          <w:color w:val="auto"/>
          <w:sz w:val="24"/>
          <w:szCs w:val="24"/>
        </w:rPr>
        <w:t xml:space="preserve"> and Preparation to be a tenant</w:t>
      </w:r>
      <w:bookmarkEnd w:id="43"/>
    </w:p>
    <w:p w14:paraId="1C40A11F" w14:textId="3A5BBA22" w:rsidR="00DD1975" w:rsidRDefault="0086274E" w:rsidP="000E2633">
      <w:pPr>
        <w:spacing w:line="360" w:lineRule="auto"/>
        <w:jc w:val="both"/>
        <w:rPr>
          <w:rFonts w:ascii="Arial" w:hAnsi="Arial" w:cs="Arial"/>
        </w:rPr>
      </w:pPr>
      <w:r>
        <w:rPr>
          <w:rFonts w:ascii="Arial" w:hAnsi="Arial" w:cs="Arial"/>
        </w:rPr>
        <w:t xml:space="preserve">             </w:t>
      </w:r>
      <w:r w:rsidR="00DD1975" w:rsidRPr="001170D2">
        <w:rPr>
          <w:rFonts w:ascii="Arial" w:hAnsi="Arial" w:cs="Arial"/>
        </w:rPr>
        <w:t xml:space="preserve">Prevention of arrears is prior to the commencement of tenancy. During the </w:t>
      </w:r>
      <w:r w:rsidR="005065DC" w:rsidRPr="001170D2">
        <w:rPr>
          <w:rFonts w:ascii="Arial" w:hAnsi="Arial" w:cs="Arial"/>
        </w:rPr>
        <w:t>on boarding</w:t>
      </w:r>
      <w:r w:rsidR="00DD1975" w:rsidRPr="001170D2">
        <w:rPr>
          <w:rFonts w:ascii="Arial" w:hAnsi="Arial" w:cs="Arial"/>
        </w:rPr>
        <w:t xml:space="preserve">, letting agents are expected to perform affordability checks, explain the expectations of rent, and provide advice on budgeting. It is essential because these steps allow </w:t>
      </w:r>
      <w:r w:rsidR="00733D7E" w:rsidRPr="0086274E">
        <w:rPr>
          <w:rFonts w:ascii="Arial" w:hAnsi="Arial" w:cs="Arial"/>
        </w:rPr>
        <w:t xml:space="preserve">to establish </w:t>
      </w:r>
      <w:r w:rsidR="00DD1975" w:rsidRPr="0086274E">
        <w:rPr>
          <w:rFonts w:ascii="Arial" w:hAnsi="Arial" w:cs="Arial"/>
        </w:rPr>
        <w:t>achievable</w:t>
      </w:r>
      <w:r w:rsidR="00DD1975" w:rsidRPr="001170D2">
        <w:rPr>
          <w:rFonts w:ascii="Arial" w:hAnsi="Arial" w:cs="Arial"/>
        </w:rPr>
        <w:t xml:space="preserve"> promises and minimizing misunderstandings, particularly among the first-time tenants (Cullen et al., 2017). </w:t>
      </w:r>
      <w:r w:rsidR="005065DC" w:rsidRPr="001170D2">
        <w:rPr>
          <w:rFonts w:ascii="Arial" w:hAnsi="Arial" w:cs="Arial"/>
        </w:rPr>
        <w:t>On boarding</w:t>
      </w:r>
      <w:r w:rsidR="00DD1975" w:rsidRPr="001170D2">
        <w:rPr>
          <w:rFonts w:ascii="Arial" w:hAnsi="Arial" w:cs="Arial"/>
        </w:rPr>
        <w:t xml:space="preserve"> education has been linked to increased compliance in rent and reduction in conflict. The role of financial resilience in managing the finances of tenants with higher awareness of their rights and responsibilities is also outlined by McNally and Lally (2024). The financial literacy and communication at an early stage can help agents to mitigate risk of both sides.</w:t>
      </w:r>
    </w:p>
    <w:p w14:paraId="6C008922" w14:textId="77777777" w:rsidR="0086274E" w:rsidRPr="001170D2" w:rsidRDefault="0086274E" w:rsidP="000E2633">
      <w:pPr>
        <w:spacing w:line="360" w:lineRule="auto"/>
        <w:jc w:val="both"/>
        <w:rPr>
          <w:rFonts w:ascii="Arial" w:hAnsi="Arial" w:cs="Arial"/>
        </w:rPr>
      </w:pPr>
    </w:p>
    <w:p w14:paraId="0AC22713" w14:textId="4199EA99" w:rsidR="00DD1975" w:rsidRPr="0086274E" w:rsidRDefault="000E2633" w:rsidP="000E2633">
      <w:pPr>
        <w:pStyle w:val="Heading3"/>
        <w:rPr>
          <w:i w:val="0"/>
          <w:iCs/>
        </w:rPr>
      </w:pPr>
      <w:bookmarkStart w:id="44" w:name="_Toc214096827"/>
      <w:r w:rsidRPr="0086274E">
        <w:rPr>
          <w:rStyle w:val="SubtleEmphasis"/>
          <w:color w:val="auto"/>
        </w:rPr>
        <w:t>5.2.</w:t>
      </w:r>
      <w:r w:rsidR="00DD1975" w:rsidRPr="0086274E">
        <w:rPr>
          <w:rStyle w:val="SubtleEmphasis"/>
          <w:color w:val="auto"/>
        </w:rPr>
        <w:t xml:space="preserve">3. </w:t>
      </w:r>
      <w:r w:rsidR="00DD1975" w:rsidRPr="0086274E">
        <w:rPr>
          <w:rStyle w:val="SubtleEmphasis"/>
          <w:i/>
          <w:color w:val="auto"/>
          <w:sz w:val="24"/>
          <w:szCs w:val="24"/>
        </w:rPr>
        <w:t>Improve Tenant Engagement using Behavioural Tools</w:t>
      </w:r>
      <w:bookmarkEnd w:id="44"/>
    </w:p>
    <w:p w14:paraId="31DF4299" w14:textId="786C7DDB" w:rsidR="00B3589F" w:rsidRDefault="0086274E" w:rsidP="005065DC">
      <w:pPr>
        <w:spacing w:line="360" w:lineRule="auto"/>
        <w:jc w:val="both"/>
        <w:rPr>
          <w:rFonts w:ascii="Arial" w:hAnsi="Arial" w:cs="Arial"/>
        </w:rPr>
      </w:pPr>
      <w:r>
        <w:rPr>
          <w:rFonts w:ascii="Arial" w:hAnsi="Arial" w:cs="Arial"/>
        </w:rPr>
        <w:t xml:space="preserve">          </w:t>
      </w:r>
      <w:r w:rsidR="00DD1975" w:rsidRPr="001170D2">
        <w:rPr>
          <w:rFonts w:ascii="Arial" w:hAnsi="Arial" w:cs="Arial"/>
        </w:rPr>
        <w:t>Insight on behaviour can be used to motivate prompt payment of rents without having to spend a lot of money. SMS reminders, encouraging letters, and fewer contacts channels have proven to have quantifiable effects on tenant responsiveness and a decrease in arrears (Fitzhugh et al., 2018). These measures particularly succeed where tenants are in temporary distress or disarray as opposed to non-payment purposefully. Glover and Jeyabraba (2022) have discovered that there were high arrears recovery rates and a reduced number of legal disputes among landlords who employed behavioural approaches. Low-cost nudges should be experimented by the agents as part of a wider arrears policy which emphasized engagement and support over enforcing.</w:t>
      </w:r>
    </w:p>
    <w:p w14:paraId="52F71ACC" w14:textId="658F5094" w:rsidR="0086274E" w:rsidRDefault="0086274E" w:rsidP="005065DC">
      <w:pPr>
        <w:spacing w:line="360" w:lineRule="auto"/>
        <w:jc w:val="both"/>
        <w:rPr>
          <w:rFonts w:ascii="Arial" w:hAnsi="Arial" w:cs="Arial"/>
        </w:rPr>
      </w:pPr>
    </w:p>
    <w:p w14:paraId="46131F3F" w14:textId="01774BF6" w:rsidR="0086274E" w:rsidRDefault="0086274E" w:rsidP="005065DC">
      <w:pPr>
        <w:spacing w:line="360" w:lineRule="auto"/>
        <w:jc w:val="both"/>
        <w:rPr>
          <w:rFonts w:ascii="Arial" w:hAnsi="Arial" w:cs="Arial"/>
        </w:rPr>
      </w:pPr>
    </w:p>
    <w:p w14:paraId="58A9D623" w14:textId="05B01ED5" w:rsidR="0086274E" w:rsidRDefault="0086274E" w:rsidP="005065DC">
      <w:pPr>
        <w:spacing w:line="360" w:lineRule="auto"/>
        <w:jc w:val="both"/>
        <w:rPr>
          <w:rFonts w:ascii="Arial" w:hAnsi="Arial" w:cs="Arial"/>
        </w:rPr>
      </w:pPr>
    </w:p>
    <w:p w14:paraId="509B908B" w14:textId="5B5AE53A" w:rsidR="0086274E" w:rsidRDefault="0086274E" w:rsidP="005065DC">
      <w:pPr>
        <w:spacing w:line="360" w:lineRule="auto"/>
        <w:jc w:val="both"/>
        <w:rPr>
          <w:rFonts w:ascii="Arial" w:hAnsi="Arial" w:cs="Arial"/>
        </w:rPr>
      </w:pPr>
    </w:p>
    <w:p w14:paraId="4918B9A9" w14:textId="3661665B" w:rsidR="0086274E" w:rsidRDefault="0086274E" w:rsidP="005065DC">
      <w:pPr>
        <w:spacing w:line="360" w:lineRule="auto"/>
        <w:jc w:val="both"/>
        <w:rPr>
          <w:rFonts w:ascii="Arial" w:hAnsi="Arial" w:cs="Arial"/>
        </w:rPr>
      </w:pPr>
    </w:p>
    <w:p w14:paraId="51A0916A" w14:textId="3CEE3E1A" w:rsidR="0086274E" w:rsidRDefault="0086274E" w:rsidP="005065DC">
      <w:pPr>
        <w:spacing w:line="360" w:lineRule="auto"/>
        <w:jc w:val="both"/>
        <w:rPr>
          <w:rFonts w:ascii="Arial" w:hAnsi="Arial" w:cs="Arial"/>
        </w:rPr>
      </w:pPr>
    </w:p>
    <w:p w14:paraId="1AD14630" w14:textId="6442826B" w:rsidR="0086274E" w:rsidRDefault="0086274E" w:rsidP="005065DC">
      <w:pPr>
        <w:spacing w:line="360" w:lineRule="auto"/>
        <w:jc w:val="both"/>
        <w:rPr>
          <w:rFonts w:ascii="Arial" w:hAnsi="Arial" w:cs="Arial"/>
        </w:rPr>
      </w:pPr>
    </w:p>
    <w:p w14:paraId="66923EE0" w14:textId="4F915ED5" w:rsidR="0086274E" w:rsidRDefault="0086274E" w:rsidP="005065DC">
      <w:pPr>
        <w:spacing w:line="360" w:lineRule="auto"/>
        <w:jc w:val="both"/>
        <w:rPr>
          <w:rFonts w:ascii="Arial" w:hAnsi="Arial" w:cs="Arial"/>
        </w:rPr>
      </w:pPr>
    </w:p>
    <w:p w14:paraId="16EFFC9B" w14:textId="74349FE4" w:rsidR="0086274E" w:rsidRDefault="0086274E" w:rsidP="005065DC">
      <w:pPr>
        <w:spacing w:line="360" w:lineRule="auto"/>
        <w:jc w:val="both"/>
        <w:rPr>
          <w:rFonts w:ascii="Arial" w:hAnsi="Arial" w:cs="Arial"/>
        </w:rPr>
      </w:pPr>
    </w:p>
    <w:p w14:paraId="55606B4E" w14:textId="77777777" w:rsidR="0086274E" w:rsidRPr="005065DC" w:rsidRDefault="0086274E" w:rsidP="005065DC">
      <w:pPr>
        <w:spacing w:line="360" w:lineRule="auto"/>
        <w:jc w:val="both"/>
        <w:rPr>
          <w:rFonts w:ascii="Arial" w:hAnsi="Arial" w:cs="Arial"/>
          <w:color w:val="000000"/>
        </w:rPr>
      </w:pPr>
    </w:p>
    <w:p w14:paraId="6787797C" w14:textId="3A547040" w:rsidR="00542E31" w:rsidRPr="0086274E" w:rsidRDefault="00FA4A4E" w:rsidP="0086274E">
      <w:pPr>
        <w:pStyle w:val="Heading1"/>
        <w:spacing w:before="280" w:after="280" w:line="360" w:lineRule="auto"/>
        <w:jc w:val="both"/>
        <w:rPr>
          <w:rFonts w:ascii="Arial" w:eastAsia="Calibri" w:hAnsi="Arial" w:cs="Arial"/>
          <w:color w:val="000000"/>
          <w:sz w:val="22"/>
          <w:szCs w:val="22"/>
        </w:rPr>
      </w:pPr>
      <w:bookmarkStart w:id="45" w:name="_Toc214096828"/>
      <w:r w:rsidRPr="001170D2">
        <w:rPr>
          <w:rFonts w:ascii="Arial" w:eastAsia="Calibri" w:hAnsi="Arial" w:cs="Arial"/>
          <w:color w:val="000000"/>
          <w:sz w:val="22"/>
          <w:szCs w:val="22"/>
        </w:rPr>
        <w:lastRenderedPageBreak/>
        <w:t xml:space="preserve">6.0 </w:t>
      </w:r>
      <w:r w:rsidR="005F2975" w:rsidRPr="0086274E">
        <w:rPr>
          <w:rFonts w:ascii="Arial" w:eastAsia="Calibri" w:hAnsi="Arial" w:cs="Arial"/>
          <w:color w:val="000000"/>
        </w:rPr>
        <w:t>References</w:t>
      </w:r>
      <w:bookmarkEnd w:id="45"/>
      <w:r w:rsidR="005F2975" w:rsidRPr="0086274E">
        <w:rPr>
          <w:rFonts w:ascii="Arial" w:eastAsia="Calibri" w:hAnsi="Arial" w:cs="Arial"/>
          <w:color w:val="000000"/>
        </w:rPr>
        <w:t xml:space="preserve"> </w:t>
      </w:r>
    </w:p>
    <w:p w14:paraId="2A59117C" w14:textId="77777777" w:rsidR="009601C6" w:rsidRDefault="00542E31" w:rsidP="009601C6">
      <w:pPr>
        <w:spacing w:line="360" w:lineRule="auto"/>
        <w:ind w:left="284"/>
        <w:jc w:val="both"/>
        <w:rPr>
          <w:rFonts w:ascii="Arial" w:hAnsi="Arial" w:cs="Arial"/>
          <w:color w:val="000000"/>
        </w:rPr>
      </w:pPr>
      <w:r w:rsidRPr="00F035B9">
        <w:rPr>
          <w:rFonts w:ascii="Arial" w:hAnsi="Arial" w:cs="Arial"/>
          <w:color w:val="000000"/>
        </w:rPr>
        <w:t xml:space="preserve">Adetoro-Folorunso, Z. and Ogunbajo, O. (2023) ‘Assessing the effects of rental default by commercial property occupiers on property management in Minna, Niger State, Nigeria’, </w:t>
      </w:r>
      <w:r w:rsidRPr="00F035B9">
        <w:rPr>
          <w:rFonts w:ascii="Arial" w:hAnsi="Arial" w:cs="Arial"/>
          <w:i/>
          <w:color w:val="000000"/>
        </w:rPr>
        <w:t>JABU International Journal of Social and Management Sciences</w:t>
      </w:r>
      <w:r w:rsidRPr="00F035B9">
        <w:rPr>
          <w:rFonts w:ascii="Arial" w:hAnsi="Arial" w:cs="Arial"/>
          <w:color w:val="000000"/>
        </w:rPr>
        <w:t xml:space="preserve">, [online] Available at: </w:t>
      </w:r>
      <w:hyperlink r:id="rId20">
        <w:r w:rsidRPr="00F035B9">
          <w:rPr>
            <w:rFonts w:ascii="Arial" w:hAnsi="Arial" w:cs="Arial"/>
            <w:color w:val="1F497D" w:themeColor="text2"/>
            <w:u w:val="single"/>
          </w:rPr>
          <w:t>https://jabu.edu.ng/wp-content/uploads/2024/04/Assessing-the-Effects-of-Rental-Default-by-Commercial-Property-Occupiers-on-Property-Management-in-Minna-Niger-State-Nigeria.pdf</w:t>
        </w:r>
      </w:hyperlink>
      <w:r w:rsidRPr="00F035B9">
        <w:rPr>
          <w:rFonts w:ascii="Arial" w:hAnsi="Arial" w:cs="Arial"/>
          <w:color w:val="000000"/>
        </w:rPr>
        <w:t xml:space="preserve"> [Accessed 7 Oct. 2025].</w:t>
      </w:r>
    </w:p>
    <w:p w14:paraId="4CA686F4" w14:textId="77777777" w:rsidR="009601C6" w:rsidRDefault="009601C6" w:rsidP="009601C6">
      <w:pPr>
        <w:spacing w:line="360" w:lineRule="auto"/>
        <w:ind w:left="284"/>
        <w:jc w:val="both"/>
        <w:rPr>
          <w:rFonts w:ascii="Arial" w:hAnsi="Arial" w:cs="Arial"/>
          <w:color w:val="000000"/>
        </w:rPr>
      </w:pPr>
    </w:p>
    <w:p w14:paraId="4A94DDD5" w14:textId="44CB7724" w:rsidR="00542E31" w:rsidRPr="009601C6" w:rsidRDefault="00542E31" w:rsidP="009601C6">
      <w:pPr>
        <w:spacing w:line="360" w:lineRule="auto"/>
        <w:ind w:left="284"/>
        <w:jc w:val="both"/>
        <w:rPr>
          <w:rFonts w:ascii="Arial" w:hAnsi="Arial" w:cs="Arial"/>
          <w:color w:val="000000"/>
        </w:rPr>
      </w:pPr>
      <w:r w:rsidRPr="00F035B9">
        <w:rPr>
          <w:rFonts w:ascii="Arial" w:hAnsi="Arial" w:cs="Arial"/>
        </w:rPr>
        <w:t>Bimpson, E. and Manzi, T., 2022. Drivers of rent arrears in social housing: an evidence review.</w:t>
      </w:r>
    </w:p>
    <w:p w14:paraId="4094BD49" w14:textId="77777777" w:rsidR="009601C6" w:rsidRDefault="009601C6" w:rsidP="009601C6">
      <w:pPr>
        <w:spacing w:line="360" w:lineRule="auto"/>
        <w:ind w:left="284"/>
        <w:jc w:val="both"/>
        <w:rPr>
          <w:rFonts w:ascii="Arial" w:hAnsi="Arial" w:cs="Arial"/>
        </w:rPr>
      </w:pPr>
    </w:p>
    <w:p w14:paraId="4C0F2106" w14:textId="64B2F603" w:rsidR="00542E31" w:rsidRPr="00F035B9" w:rsidRDefault="00542E31" w:rsidP="009601C6">
      <w:pPr>
        <w:spacing w:line="360" w:lineRule="auto"/>
        <w:ind w:left="284"/>
        <w:jc w:val="both"/>
        <w:rPr>
          <w:rFonts w:ascii="Arial" w:hAnsi="Arial" w:cs="Arial"/>
        </w:rPr>
      </w:pPr>
      <w:r w:rsidRPr="00F035B9">
        <w:rPr>
          <w:rFonts w:ascii="Arial" w:hAnsi="Arial" w:cs="Arial"/>
        </w:rPr>
        <w:t xml:space="preserve">Byrne, M. and McArdle, R. (2020) ‘Algorithmic tenancies and the ordinal tenant: digital risk-profiling in England’s private rented sector’, </w:t>
      </w:r>
      <w:r w:rsidRPr="00F035B9">
        <w:rPr>
          <w:rFonts w:ascii="Arial" w:hAnsi="Arial" w:cs="Arial"/>
          <w:i/>
          <w:iCs/>
        </w:rPr>
        <w:t>Housing Studies</w:t>
      </w:r>
      <w:r w:rsidRPr="00F035B9">
        <w:rPr>
          <w:rFonts w:ascii="Arial" w:hAnsi="Arial" w:cs="Arial"/>
        </w:rPr>
        <w:t>, 37(6), pp. 961–983. doi:10.1080/02673037.2020.1798343.</w:t>
      </w:r>
    </w:p>
    <w:p w14:paraId="3719053A" w14:textId="77777777" w:rsidR="009601C6" w:rsidRDefault="009601C6" w:rsidP="009601C6">
      <w:pPr>
        <w:spacing w:line="360" w:lineRule="auto"/>
        <w:ind w:left="284"/>
        <w:jc w:val="both"/>
        <w:rPr>
          <w:rFonts w:ascii="Arial" w:hAnsi="Arial" w:cs="Arial"/>
          <w:color w:val="000000"/>
        </w:rPr>
      </w:pPr>
    </w:p>
    <w:p w14:paraId="7B72CB8D" w14:textId="1B4166FF" w:rsidR="00542E31" w:rsidRPr="00F035B9" w:rsidRDefault="00542E31" w:rsidP="009601C6">
      <w:pPr>
        <w:spacing w:line="360" w:lineRule="auto"/>
        <w:ind w:left="284"/>
        <w:jc w:val="both"/>
        <w:rPr>
          <w:rFonts w:ascii="Arial" w:hAnsi="Arial" w:cs="Arial"/>
          <w:color w:val="000000"/>
        </w:rPr>
      </w:pPr>
      <w:r w:rsidRPr="00F035B9">
        <w:rPr>
          <w:rFonts w:ascii="Arial" w:hAnsi="Arial" w:cs="Arial"/>
          <w:color w:val="000000"/>
        </w:rPr>
        <w:t xml:space="preserve">Byrne, M., McArdle, R. and Wallace, A. (2020) ‘Algorithmic tenancies and the ordinal tenant: digital risk-profiling in England’s private rented sector’, </w:t>
      </w:r>
      <w:r w:rsidRPr="00F035B9">
        <w:rPr>
          <w:rFonts w:ascii="Arial" w:hAnsi="Arial" w:cs="Arial"/>
          <w:i/>
          <w:color w:val="000000"/>
        </w:rPr>
        <w:t>Housing Studies</w:t>
      </w:r>
      <w:r w:rsidRPr="00F035B9">
        <w:rPr>
          <w:rFonts w:ascii="Arial" w:hAnsi="Arial" w:cs="Arial"/>
          <w:color w:val="000000"/>
        </w:rPr>
        <w:t>, 37(6), pp. 961–983. https://doi.org/10.1080/02673037.2020.1798343</w:t>
      </w:r>
    </w:p>
    <w:p w14:paraId="60E9A5B1" w14:textId="77777777" w:rsidR="009601C6" w:rsidRDefault="009601C6" w:rsidP="009601C6">
      <w:pPr>
        <w:spacing w:line="360" w:lineRule="auto"/>
        <w:ind w:left="284"/>
        <w:jc w:val="both"/>
        <w:rPr>
          <w:rFonts w:ascii="Arial" w:hAnsi="Arial" w:cs="Arial"/>
          <w:color w:val="000000"/>
          <w:lang w:val="en-US"/>
        </w:rPr>
      </w:pPr>
    </w:p>
    <w:p w14:paraId="7DF7E165" w14:textId="28EE8178" w:rsidR="00542E31" w:rsidRPr="00F035B9" w:rsidRDefault="00542E31" w:rsidP="009601C6">
      <w:pPr>
        <w:spacing w:line="360" w:lineRule="auto"/>
        <w:ind w:left="284"/>
        <w:jc w:val="both"/>
        <w:rPr>
          <w:rFonts w:ascii="Arial" w:hAnsi="Arial" w:cs="Arial"/>
          <w:color w:val="002060"/>
          <w:lang w:val="en-US"/>
        </w:rPr>
      </w:pPr>
      <w:r w:rsidRPr="00F035B9">
        <w:rPr>
          <w:rFonts w:ascii="Arial" w:hAnsi="Arial" w:cs="Arial"/>
          <w:color w:val="000000"/>
          <w:lang w:val="en-US"/>
        </w:rPr>
        <w:t xml:space="preserve">Centre for Housing Evidence (2024) </w:t>
      </w:r>
      <w:r w:rsidRPr="00F035B9">
        <w:rPr>
          <w:rFonts w:ascii="Arial" w:hAnsi="Arial" w:cs="Arial"/>
          <w:i/>
          <w:iCs/>
          <w:color w:val="000000"/>
          <w:lang w:val="en-US"/>
        </w:rPr>
        <w:t>The Pandemic Rent Arrears Crisis</w:t>
      </w:r>
      <w:r w:rsidRPr="00F035B9">
        <w:rPr>
          <w:rFonts w:ascii="Arial" w:hAnsi="Arial" w:cs="Arial"/>
          <w:color w:val="000000"/>
          <w:lang w:val="en-US"/>
        </w:rPr>
        <w:t xml:space="preserve">. [online] UK Collaborative Centre for Housing </w:t>
      </w:r>
      <w:r w:rsidR="0086274E" w:rsidRPr="00F035B9">
        <w:rPr>
          <w:rFonts w:ascii="Arial" w:hAnsi="Arial" w:cs="Arial"/>
          <w:color w:val="000000"/>
          <w:lang w:val="en-US"/>
        </w:rPr>
        <w:t>Evidence. Available at:</w:t>
      </w:r>
      <w:hyperlink r:id="rId21" w:tgtFrame="_new" w:history="1">
        <w:r w:rsidRPr="00F035B9">
          <w:rPr>
            <w:rStyle w:val="Hyperlink"/>
            <w:rFonts w:ascii="Arial" w:hAnsi="Arial" w:cs="Arial"/>
            <w:color w:val="002060"/>
            <w:lang w:val="en-US"/>
          </w:rPr>
          <w:t>https://housingevidence.ac.uk/wp-content/uploads/2024/02/20211028_CaCHE_ThePandemicRentArrearsCrisis_FINAL.pdf</w:t>
        </w:r>
      </w:hyperlink>
    </w:p>
    <w:p w14:paraId="2270193C" w14:textId="77777777" w:rsidR="009601C6" w:rsidRDefault="009601C6" w:rsidP="009601C6">
      <w:pPr>
        <w:spacing w:line="360" w:lineRule="auto"/>
        <w:ind w:left="284"/>
        <w:jc w:val="both"/>
        <w:rPr>
          <w:rFonts w:ascii="Arial" w:hAnsi="Arial" w:cs="Arial"/>
          <w:color w:val="000000"/>
          <w:lang w:val="en-US"/>
        </w:rPr>
      </w:pPr>
    </w:p>
    <w:p w14:paraId="298EE597" w14:textId="512563BD" w:rsidR="00542E31" w:rsidRPr="00F035B9" w:rsidRDefault="00542E31" w:rsidP="009601C6">
      <w:pPr>
        <w:spacing w:line="360" w:lineRule="auto"/>
        <w:ind w:left="284"/>
        <w:jc w:val="both"/>
        <w:rPr>
          <w:rFonts w:ascii="Arial" w:hAnsi="Arial" w:cs="Arial"/>
          <w:color w:val="002060"/>
          <w:lang w:val="en-US"/>
        </w:rPr>
      </w:pPr>
      <w:r w:rsidRPr="00F035B9">
        <w:rPr>
          <w:rFonts w:ascii="Arial" w:hAnsi="Arial" w:cs="Arial"/>
          <w:color w:val="000000"/>
          <w:lang w:val="en-US"/>
        </w:rPr>
        <w:t xml:space="preserve">Crisis (2017) </w:t>
      </w:r>
      <w:r w:rsidRPr="00F035B9">
        <w:rPr>
          <w:rFonts w:ascii="Arial" w:hAnsi="Arial" w:cs="Arial"/>
          <w:i/>
          <w:iCs/>
          <w:color w:val="000000"/>
          <w:lang w:val="en-US"/>
        </w:rPr>
        <w:t>Local Lettings Agencies: A Good Practice Guide</w:t>
      </w:r>
      <w:r w:rsidRPr="00F035B9">
        <w:rPr>
          <w:rFonts w:ascii="Arial" w:hAnsi="Arial" w:cs="Arial"/>
          <w:color w:val="000000"/>
          <w:lang w:val="en-US"/>
        </w:rPr>
        <w:t xml:space="preserve">. [online] Available at: </w:t>
      </w:r>
      <w:hyperlink r:id="rId22" w:tgtFrame="_new" w:history="1">
        <w:r w:rsidRPr="00F035B9">
          <w:rPr>
            <w:rStyle w:val="Hyperlink"/>
            <w:rFonts w:ascii="Arial" w:hAnsi="Arial" w:cs="Arial"/>
            <w:color w:val="002060"/>
            <w:lang w:val="en-US"/>
          </w:rPr>
          <w:t>https://www.crisis.org.uk/media/236935/local_lettings_agency_guide.pdf</w:t>
        </w:r>
      </w:hyperlink>
    </w:p>
    <w:p w14:paraId="75015EC1" w14:textId="77777777" w:rsidR="009601C6" w:rsidRDefault="009601C6" w:rsidP="009601C6">
      <w:pPr>
        <w:spacing w:line="360" w:lineRule="auto"/>
        <w:ind w:left="284"/>
        <w:jc w:val="both"/>
        <w:rPr>
          <w:rFonts w:ascii="Arial" w:hAnsi="Arial" w:cs="Arial"/>
          <w:color w:val="000000"/>
        </w:rPr>
      </w:pPr>
    </w:p>
    <w:p w14:paraId="6A0A9C1B" w14:textId="09CC12FE" w:rsidR="00542E31" w:rsidRPr="00F035B9" w:rsidRDefault="00542E31" w:rsidP="009601C6">
      <w:pPr>
        <w:spacing w:line="360" w:lineRule="auto"/>
        <w:ind w:left="284"/>
        <w:jc w:val="both"/>
        <w:rPr>
          <w:rFonts w:ascii="Arial" w:hAnsi="Arial" w:cs="Arial"/>
          <w:color w:val="000000"/>
        </w:rPr>
      </w:pPr>
      <w:r w:rsidRPr="00F035B9">
        <w:rPr>
          <w:rFonts w:ascii="Arial" w:hAnsi="Arial" w:cs="Arial"/>
          <w:color w:val="000000"/>
        </w:rPr>
        <w:t xml:space="preserve">Cullen, D., Key, T. and Speed, L. (2017) </w:t>
      </w:r>
      <w:r w:rsidRPr="00F035B9">
        <w:rPr>
          <w:rFonts w:ascii="Arial" w:hAnsi="Arial" w:cs="Arial"/>
          <w:i/>
          <w:color w:val="000000"/>
        </w:rPr>
        <w:t>Tenancy management: Tenant perceptions of the pre-tenancy and tenancy execution phases</w:t>
      </w:r>
      <w:r w:rsidRPr="00F035B9">
        <w:rPr>
          <w:rFonts w:ascii="Arial" w:hAnsi="Arial" w:cs="Arial"/>
          <w:color w:val="000000"/>
        </w:rPr>
        <w:t xml:space="preserve">. London: HouseMark. Available at: </w:t>
      </w:r>
      <w:hyperlink r:id="rId23">
        <w:r w:rsidRPr="00F035B9">
          <w:rPr>
            <w:rFonts w:ascii="Arial" w:hAnsi="Arial" w:cs="Arial"/>
            <w:color w:val="002060"/>
            <w:u w:val="single"/>
          </w:rPr>
          <w:t>https://www.housemark.co.uk</w:t>
        </w:r>
      </w:hyperlink>
      <w:r w:rsidRPr="00F035B9">
        <w:rPr>
          <w:rFonts w:ascii="Arial" w:hAnsi="Arial" w:cs="Arial"/>
          <w:color w:val="002060"/>
        </w:rPr>
        <w:t xml:space="preserve"> </w:t>
      </w:r>
      <w:r w:rsidRPr="00F035B9">
        <w:rPr>
          <w:rFonts w:ascii="Arial" w:hAnsi="Arial" w:cs="Arial"/>
          <w:color w:val="000000"/>
        </w:rPr>
        <w:t>[Accessed 7 Oct. 2025].</w:t>
      </w:r>
    </w:p>
    <w:p w14:paraId="3413B83D" w14:textId="77777777" w:rsidR="00542E31" w:rsidRPr="00F035B9" w:rsidRDefault="00542E31" w:rsidP="009601C6">
      <w:pPr>
        <w:spacing w:line="360" w:lineRule="auto"/>
        <w:ind w:left="284"/>
        <w:jc w:val="both"/>
        <w:rPr>
          <w:rFonts w:ascii="Arial" w:hAnsi="Arial" w:cs="Arial"/>
        </w:rPr>
      </w:pPr>
      <w:r w:rsidRPr="00F035B9">
        <w:rPr>
          <w:rFonts w:ascii="Arial" w:hAnsi="Arial" w:cs="Arial"/>
        </w:rPr>
        <w:t xml:space="preserve">Cullen, D., Key, T. and Speed, L. (2017) </w:t>
      </w:r>
      <w:r w:rsidRPr="00F035B9">
        <w:rPr>
          <w:rFonts w:ascii="Arial" w:hAnsi="Arial" w:cs="Arial"/>
          <w:i/>
          <w:iCs/>
        </w:rPr>
        <w:t>Tenancy management: Tenant perceptions of the pre-tenancy and tenancy execution phases</w:t>
      </w:r>
      <w:r w:rsidRPr="00F035B9">
        <w:rPr>
          <w:rFonts w:ascii="Arial" w:hAnsi="Arial" w:cs="Arial"/>
        </w:rPr>
        <w:t xml:space="preserve">. London: HouseMark. Available at: </w:t>
      </w:r>
      <w:hyperlink r:id="rId24" w:tgtFrame="_new" w:history="1">
        <w:r w:rsidRPr="00F035B9">
          <w:rPr>
            <w:rStyle w:val="Hyperlink"/>
            <w:rFonts w:ascii="Arial" w:hAnsi="Arial" w:cs="Arial"/>
            <w:color w:val="002060"/>
          </w:rPr>
          <w:t>https://www.housemark.co.uk</w:t>
        </w:r>
      </w:hyperlink>
      <w:r w:rsidRPr="00F035B9">
        <w:rPr>
          <w:rFonts w:ascii="Arial" w:hAnsi="Arial" w:cs="Arial"/>
        </w:rPr>
        <w:t xml:space="preserve"> (Accessed: 18 July 2025).</w:t>
      </w:r>
    </w:p>
    <w:p w14:paraId="3FFC433F" w14:textId="77777777" w:rsidR="009601C6" w:rsidRDefault="009601C6" w:rsidP="009601C6">
      <w:pPr>
        <w:spacing w:line="360" w:lineRule="auto"/>
        <w:ind w:left="284"/>
        <w:jc w:val="both"/>
        <w:rPr>
          <w:rFonts w:ascii="Arial" w:hAnsi="Arial" w:cs="Arial"/>
          <w:color w:val="000000"/>
          <w:lang w:val="en-US"/>
        </w:rPr>
      </w:pPr>
    </w:p>
    <w:p w14:paraId="738FBC5F" w14:textId="55C543D5" w:rsidR="00542E31" w:rsidRPr="00F035B9" w:rsidRDefault="00542E31" w:rsidP="009601C6">
      <w:pPr>
        <w:spacing w:line="360" w:lineRule="auto"/>
        <w:ind w:left="284"/>
        <w:jc w:val="both"/>
        <w:rPr>
          <w:rFonts w:ascii="Arial" w:hAnsi="Arial" w:cs="Arial"/>
          <w:color w:val="002060"/>
          <w:lang w:val="en-US"/>
        </w:rPr>
      </w:pPr>
      <w:r w:rsidRPr="00F035B9">
        <w:rPr>
          <w:rFonts w:ascii="Arial" w:hAnsi="Arial" w:cs="Arial"/>
          <w:color w:val="000000"/>
          <w:lang w:val="en-US"/>
        </w:rPr>
        <w:lastRenderedPageBreak/>
        <w:t xml:space="preserve">Department for Levelling Up, Housing and Communities (2022) </w:t>
      </w:r>
      <w:r w:rsidRPr="00F035B9">
        <w:rPr>
          <w:rFonts w:ascii="Arial" w:hAnsi="Arial" w:cs="Arial"/>
          <w:i/>
          <w:iCs/>
          <w:color w:val="000000"/>
          <w:lang w:val="en-US"/>
        </w:rPr>
        <w:t>English Private Landlord Survey 2021: Headline Report</w:t>
      </w:r>
      <w:r w:rsidRPr="00F035B9">
        <w:rPr>
          <w:rFonts w:ascii="Arial" w:hAnsi="Arial" w:cs="Arial"/>
          <w:color w:val="000000"/>
          <w:lang w:val="en-US"/>
        </w:rPr>
        <w:t xml:space="preserve">. [online] London: UK Government. Available at: </w:t>
      </w:r>
      <w:hyperlink r:id="rId25" w:history="1">
        <w:r w:rsidR="009601C6" w:rsidRPr="009D3A74">
          <w:rPr>
            <w:rStyle w:val="Hyperlink"/>
            <w:rFonts w:ascii="Arial" w:hAnsi="Arial" w:cs="Arial"/>
            <w:lang w:val="en-US"/>
          </w:rPr>
          <w:t>https://assets.publishing.service.gov.uk/media/66ab81a4ab418ab0555931ac/EPLS_Headline_Report_2021_FINAL.pdf</w:t>
        </w:r>
      </w:hyperlink>
      <w:r w:rsidRPr="00F035B9">
        <w:rPr>
          <w:rFonts w:ascii="Arial" w:hAnsi="Arial" w:cs="Arial"/>
          <w:noProof/>
          <w:color w:val="002060"/>
        </w:rPr>
        <mc:AlternateContent>
          <mc:Choice Requires="wps">
            <w:drawing>
              <wp:inline distT="0" distB="0" distL="0" distR="0" wp14:anchorId="4E3D4252" wp14:editId="1F261158">
                <wp:extent cx="304800" cy="304800"/>
                <wp:effectExtent l="0" t="0" r="0" b="0"/>
                <wp:docPr id="87671759" name="Rectangle 5">
                  <a:hlinkClick xmlns:a="http://schemas.openxmlformats.org/drawingml/2006/main" r:id="rId26" tooltip="&quot;View this pdf fil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A999D3C" id="Rectangle 5" o:spid="_x0000_s1026" href="https://docs.google.com/viewer?url=https%3A%2F%2Fassets.publishing.service.gov.uk%2Fmedia%2F66ab81a4ab418ab0555931ac%2FEPLS_Headline_Report_2021_FINAL.pdf%3Futm_source%3Dchatgpt.com&amp;embedded=true&amp;chrome=false&amp;dov=1" title="&quot;View this pdf fil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p w14:paraId="4329D4A5" w14:textId="77777777" w:rsidR="009601C6" w:rsidRDefault="009601C6" w:rsidP="009601C6">
      <w:pPr>
        <w:spacing w:line="360" w:lineRule="auto"/>
        <w:ind w:left="284"/>
        <w:jc w:val="both"/>
        <w:rPr>
          <w:rFonts w:ascii="Arial" w:hAnsi="Arial" w:cs="Arial"/>
          <w:color w:val="000000"/>
        </w:rPr>
      </w:pPr>
    </w:p>
    <w:p w14:paraId="6C3A7BE6" w14:textId="511F91D1" w:rsidR="00542E31" w:rsidRPr="00F035B9" w:rsidRDefault="00542E31" w:rsidP="009601C6">
      <w:pPr>
        <w:spacing w:line="360" w:lineRule="auto"/>
        <w:ind w:left="284"/>
        <w:jc w:val="both"/>
        <w:rPr>
          <w:rFonts w:ascii="Arial" w:hAnsi="Arial" w:cs="Arial"/>
          <w:color w:val="000000"/>
        </w:rPr>
      </w:pPr>
      <w:r w:rsidRPr="00F035B9">
        <w:rPr>
          <w:rFonts w:ascii="Arial" w:hAnsi="Arial" w:cs="Arial"/>
          <w:color w:val="000000"/>
        </w:rPr>
        <w:t xml:space="preserve">Ferreri, M. (2021) ‘Rental housing, platforms, and the management of risk’, </w:t>
      </w:r>
      <w:r w:rsidRPr="00F035B9">
        <w:rPr>
          <w:rFonts w:ascii="Arial" w:hAnsi="Arial" w:cs="Arial"/>
          <w:i/>
          <w:color w:val="000000"/>
        </w:rPr>
        <w:t>Housing Studies</w:t>
      </w:r>
      <w:r w:rsidRPr="00F035B9">
        <w:rPr>
          <w:rFonts w:ascii="Arial" w:hAnsi="Arial" w:cs="Arial"/>
          <w:color w:val="000000"/>
        </w:rPr>
        <w:t xml:space="preserve">, 36(8), pp. 1249–1269. Available at: </w:t>
      </w:r>
      <w:hyperlink r:id="rId27">
        <w:r w:rsidRPr="00F035B9">
          <w:rPr>
            <w:rFonts w:ascii="Arial" w:hAnsi="Arial" w:cs="Arial"/>
            <w:color w:val="002060"/>
            <w:u w:val="single"/>
          </w:rPr>
          <w:t>https://researchportal.northumbria.ac.uk/files/63567811/02673037.2021.pdf</w:t>
        </w:r>
      </w:hyperlink>
      <w:r w:rsidRPr="00F035B9">
        <w:rPr>
          <w:rFonts w:ascii="Arial" w:hAnsi="Arial" w:cs="Arial"/>
          <w:color w:val="002060"/>
        </w:rPr>
        <w:t xml:space="preserve"> </w:t>
      </w:r>
      <w:r w:rsidRPr="00F035B9">
        <w:rPr>
          <w:rFonts w:ascii="Arial" w:hAnsi="Arial" w:cs="Arial"/>
          <w:color w:val="000000"/>
        </w:rPr>
        <w:t>[Accessed 7 Oct. 2025].</w:t>
      </w:r>
    </w:p>
    <w:p w14:paraId="644DB27C" w14:textId="77777777" w:rsidR="009601C6" w:rsidRDefault="009601C6" w:rsidP="009601C6">
      <w:pPr>
        <w:spacing w:line="360" w:lineRule="auto"/>
        <w:ind w:left="284"/>
        <w:jc w:val="both"/>
        <w:rPr>
          <w:rFonts w:ascii="Arial" w:hAnsi="Arial" w:cs="Arial"/>
          <w:color w:val="000000"/>
        </w:rPr>
      </w:pPr>
    </w:p>
    <w:p w14:paraId="71394454" w14:textId="20FEA6B2" w:rsidR="00542E31" w:rsidRPr="00F035B9" w:rsidRDefault="00542E31" w:rsidP="009601C6">
      <w:pPr>
        <w:spacing w:line="360" w:lineRule="auto"/>
        <w:ind w:left="284"/>
        <w:jc w:val="both"/>
        <w:rPr>
          <w:rFonts w:ascii="Arial" w:hAnsi="Arial" w:cs="Arial"/>
          <w:color w:val="000000"/>
        </w:rPr>
      </w:pPr>
      <w:r w:rsidRPr="00F035B9">
        <w:rPr>
          <w:rFonts w:ascii="Arial" w:hAnsi="Arial" w:cs="Arial"/>
          <w:color w:val="000000"/>
        </w:rPr>
        <w:t>Fitzhugh, E., Park, T., Nolan, D. and Gibbons, D., 2018. Reducing rent arrears at Metropolitan Housing. </w:t>
      </w:r>
      <w:r w:rsidRPr="00F035B9">
        <w:rPr>
          <w:rFonts w:ascii="Arial" w:hAnsi="Arial" w:cs="Arial"/>
          <w:i/>
          <w:color w:val="000000"/>
        </w:rPr>
        <w:t>Final project report from The Behavioural Insights Team. Accessible</w:t>
      </w:r>
      <w:r w:rsidRPr="00F035B9">
        <w:rPr>
          <w:rFonts w:ascii="Arial" w:hAnsi="Arial" w:cs="Arial"/>
          <w:color w:val="000000"/>
        </w:rPr>
        <w:t>.</w:t>
      </w:r>
    </w:p>
    <w:p w14:paraId="56C9B0B4" w14:textId="77777777" w:rsidR="009601C6" w:rsidRDefault="009601C6" w:rsidP="009601C6">
      <w:pPr>
        <w:spacing w:line="360" w:lineRule="auto"/>
        <w:ind w:left="284"/>
        <w:jc w:val="both"/>
        <w:rPr>
          <w:rFonts w:ascii="Arial" w:hAnsi="Arial" w:cs="Arial"/>
          <w:color w:val="000000"/>
        </w:rPr>
      </w:pPr>
    </w:p>
    <w:p w14:paraId="3CFF2C5F" w14:textId="65DFD3B5" w:rsidR="00542E31" w:rsidRPr="00F035B9" w:rsidRDefault="00542E31" w:rsidP="009601C6">
      <w:pPr>
        <w:spacing w:line="360" w:lineRule="auto"/>
        <w:ind w:left="284"/>
        <w:jc w:val="both"/>
        <w:rPr>
          <w:rFonts w:ascii="Arial" w:hAnsi="Arial" w:cs="Arial"/>
          <w:color w:val="000000"/>
        </w:rPr>
      </w:pPr>
      <w:r w:rsidRPr="00F035B9">
        <w:rPr>
          <w:rFonts w:ascii="Arial" w:hAnsi="Arial" w:cs="Arial"/>
          <w:color w:val="000000"/>
        </w:rPr>
        <w:t xml:space="preserve">Fitzhugh, H., O’Dell, C., Corbett, D. and Mathew, L. (2018) ‘Nudging in practice: Behavioural insights to reduce rent arrears’, </w:t>
      </w:r>
      <w:r w:rsidRPr="00F035B9">
        <w:rPr>
          <w:rFonts w:ascii="Arial" w:hAnsi="Arial" w:cs="Arial"/>
          <w:i/>
          <w:iCs/>
          <w:color w:val="000000"/>
        </w:rPr>
        <w:t>Metropolitan Housing Trust Internal Report</w:t>
      </w:r>
      <w:r w:rsidRPr="00F035B9">
        <w:rPr>
          <w:rFonts w:ascii="Arial" w:hAnsi="Arial" w:cs="Arial"/>
          <w:color w:val="000000"/>
        </w:rPr>
        <w:t>.</w:t>
      </w:r>
    </w:p>
    <w:p w14:paraId="0EACEF65" w14:textId="77777777" w:rsidR="009601C6" w:rsidRDefault="009601C6" w:rsidP="009601C6">
      <w:pPr>
        <w:spacing w:line="360" w:lineRule="auto"/>
        <w:ind w:left="284"/>
        <w:jc w:val="both"/>
        <w:rPr>
          <w:rFonts w:ascii="Arial" w:hAnsi="Arial" w:cs="Arial"/>
          <w:color w:val="000000"/>
        </w:rPr>
      </w:pPr>
    </w:p>
    <w:p w14:paraId="24561B0B" w14:textId="66881C27" w:rsidR="00542E31" w:rsidRPr="00F035B9" w:rsidRDefault="00542E31" w:rsidP="009601C6">
      <w:pPr>
        <w:spacing w:line="360" w:lineRule="auto"/>
        <w:ind w:left="284"/>
        <w:jc w:val="both"/>
        <w:rPr>
          <w:rFonts w:ascii="Arial" w:hAnsi="Arial" w:cs="Arial"/>
          <w:color w:val="000000"/>
        </w:rPr>
      </w:pPr>
      <w:r w:rsidRPr="00F035B9">
        <w:rPr>
          <w:rFonts w:ascii="Arial" w:hAnsi="Arial" w:cs="Arial"/>
          <w:color w:val="000000"/>
        </w:rPr>
        <w:t xml:space="preserve"> Flick, U. (2022) </w:t>
      </w:r>
      <w:r w:rsidRPr="00F035B9">
        <w:rPr>
          <w:rFonts w:ascii="Arial" w:hAnsi="Arial" w:cs="Arial"/>
          <w:i/>
          <w:iCs/>
          <w:color w:val="000000"/>
        </w:rPr>
        <w:t>An Introduction to Qualitative Research</w:t>
      </w:r>
      <w:r w:rsidRPr="00F035B9">
        <w:rPr>
          <w:rFonts w:ascii="Arial" w:hAnsi="Arial" w:cs="Arial"/>
          <w:color w:val="000000"/>
        </w:rPr>
        <w:t>. 7th edn. London: Sage Publications.</w:t>
      </w:r>
    </w:p>
    <w:p w14:paraId="7CFC4C9E" w14:textId="77777777" w:rsidR="009601C6" w:rsidRDefault="009601C6" w:rsidP="009601C6">
      <w:pPr>
        <w:spacing w:line="360" w:lineRule="auto"/>
        <w:ind w:left="284"/>
        <w:jc w:val="both"/>
        <w:rPr>
          <w:rFonts w:ascii="Arial" w:hAnsi="Arial" w:cs="Arial"/>
          <w:color w:val="000000"/>
        </w:rPr>
      </w:pPr>
    </w:p>
    <w:p w14:paraId="1658495E" w14:textId="6229E9D4" w:rsidR="00542E31" w:rsidRPr="00F035B9" w:rsidRDefault="00542E31" w:rsidP="009601C6">
      <w:pPr>
        <w:spacing w:line="360" w:lineRule="auto"/>
        <w:ind w:left="284"/>
        <w:jc w:val="both"/>
        <w:rPr>
          <w:rFonts w:ascii="Arial" w:hAnsi="Arial" w:cs="Arial"/>
          <w:color w:val="002060"/>
        </w:rPr>
      </w:pPr>
      <w:r w:rsidRPr="00F035B9">
        <w:rPr>
          <w:rFonts w:ascii="Arial" w:hAnsi="Arial" w:cs="Arial"/>
          <w:color w:val="000000"/>
        </w:rPr>
        <w:t xml:space="preserve">Glover, B. and Jeyabraba, M. (2022) </w:t>
      </w:r>
      <w:r w:rsidRPr="00F035B9">
        <w:rPr>
          <w:rFonts w:ascii="Arial" w:hAnsi="Arial" w:cs="Arial"/>
          <w:i/>
          <w:color w:val="000000"/>
        </w:rPr>
        <w:t>The Bottom Line: An investigation of rent arrears in social housing</w:t>
      </w:r>
      <w:r w:rsidRPr="00F035B9">
        <w:rPr>
          <w:rFonts w:ascii="Arial" w:hAnsi="Arial" w:cs="Arial"/>
          <w:color w:val="000000"/>
        </w:rPr>
        <w:t xml:space="preserve">. London: Demos. Available at: </w:t>
      </w:r>
      <w:hyperlink r:id="rId28">
        <w:r w:rsidRPr="00F035B9">
          <w:rPr>
            <w:rFonts w:ascii="Arial" w:hAnsi="Arial" w:cs="Arial"/>
            <w:color w:val="002060"/>
            <w:u w:val="single"/>
          </w:rPr>
          <w:t>https://demos.co.uk/project/the-bottom-line/</w:t>
        </w:r>
      </w:hyperlink>
    </w:p>
    <w:p w14:paraId="2CC3A07D" w14:textId="77777777" w:rsidR="009601C6" w:rsidRDefault="009601C6" w:rsidP="009601C6">
      <w:pPr>
        <w:pBdr>
          <w:top w:val="nil"/>
          <w:left w:val="nil"/>
          <w:bottom w:val="nil"/>
          <w:right w:val="nil"/>
          <w:between w:val="nil"/>
        </w:pBdr>
        <w:spacing w:before="0" w:line="360" w:lineRule="auto"/>
        <w:ind w:left="284"/>
        <w:jc w:val="both"/>
        <w:rPr>
          <w:rFonts w:ascii="Arial" w:hAnsi="Arial" w:cs="Arial"/>
          <w:color w:val="000000"/>
        </w:rPr>
      </w:pPr>
    </w:p>
    <w:p w14:paraId="20F43EE2" w14:textId="49646D58" w:rsidR="00542E31" w:rsidRPr="00F035B9" w:rsidRDefault="00542E31" w:rsidP="009601C6">
      <w:pPr>
        <w:pBdr>
          <w:top w:val="nil"/>
          <w:left w:val="nil"/>
          <w:bottom w:val="nil"/>
          <w:right w:val="nil"/>
          <w:between w:val="nil"/>
        </w:pBdr>
        <w:spacing w:before="0" w:line="360" w:lineRule="auto"/>
        <w:ind w:left="284"/>
        <w:jc w:val="both"/>
        <w:rPr>
          <w:rFonts w:ascii="Arial" w:hAnsi="Arial" w:cs="Arial"/>
          <w:color w:val="002060"/>
        </w:rPr>
      </w:pPr>
      <w:r w:rsidRPr="00F035B9">
        <w:rPr>
          <w:rFonts w:ascii="Arial" w:hAnsi="Arial" w:cs="Arial"/>
          <w:color w:val="000000"/>
        </w:rPr>
        <w:t xml:space="preserve">GOV.UK (2022) </w:t>
      </w:r>
      <w:r w:rsidRPr="00F035B9">
        <w:rPr>
          <w:rFonts w:ascii="Arial" w:hAnsi="Arial" w:cs="Arial"/>
          <w:i/>
          <w:color w:val="000000"/>
        </w:rPr>
        <w:t>English Private Landlord Survey 2021: Main Report</w:t>
      </w:r>
      <w:r w:rsidRPr="00F035B9">
        <w:rPr>
          <w:rFonts w:ascii="Arial" w:hAnsi="Arial" w:cs="Arial"/>
          <w:color w:val="000000"/>
        </w:rPr>
        <w:t xml:space="preserve">. Available at: </w:t>
      </w:r>
      <w:hyperlink r:id="rId29">
        <w:r w:rsidRPr="00F035B9">
          <w:rPr>
            <w:rFonts w:ascii="Arial" w:hAnsi="Arial" w:cs="Arial"/>
            <w:color w:val="002060"/>
            <w:u w:val="single"/>
          </w:rPr>
          <w:t>https://www.gov.uk/government/statistics/english-private-landlord-survey-2021-main-report/english-private-landlord-survey-2021-main-report--2</w:t>
        </w:r>
      </w:hyperlink>
    </w:p>
    <w:p w14:paraId="2DB31C7D" w14:textId="77777777" w:rsidR="009601C6" w:rsidRDefault="009601C6" w:rsidP="009601C6">
      <w:pPr>
        <w:spacing w:line="360" w:lineRule="auto"/>
        <w:ind w:left="284"/>
        <w:jc w:val="both"/>
        <w:rPr>
          <w:rFonts w:ascii="Arial" w:hAnsi="Arial" w:cs="Arial"/>
        </w:rPr>
      </w:pPr>
    </w:p>
    <w:p w14:paraId="551D16FA" w14:textId="5BE2FA8F" w:rsidR="00542E31" w:rsidRPr="00F035B9" w:rsidRDefault="00542E31" w:rsidP="009601C6">
      <w:pPr>
        <w:spacing w:line="360" w:lineRule="auto"/>
        <w:ind w:left="284"/>
        <w:jc w:val="both"/>
        <w:rPr>
          <w:rFonts w:ascii="Arial" w:hAnsi="Arial" w:cs="Arial"/>
        </w:rPr>
      </w:pPr>
      <w:r w:rsidRPr="00F035B9">
        <w:rPr>
          <w:rFonts w:ascii="Arial" w:hAnsi="Arial" w:cs="Arial"/>
        </w:rPr>
        <w:t xml:space="preserve">GOV.UK (2022) </w:t>
      </w:r>
      <w:r w:rsidRPr="00F035B9">
        <w:rPr>
          <w:rFonts w:ascii="Arial" w:hAnsi="Arial" w:cs="Arial"/>
          <w:i/>
          <w:iCs/>
        </w:rPr>
        <w:t>English Private Landlord Survey 2021: Main Report</w:t>
      </w:r>
      <w:r w:rsidRPr="00F035B9">
        <w:rPr>
          <w:rFonts w:ascii="Arial" w:hAnsi="Arial" w:cs="Arial"/>
        </w:rPr>
        <w:t xml:space="preserve">. [online] Available at: </w:t>
      </w:r>
      <w:hyperlink r:id="rId30" w:tgtFrame="_new" w:history="1">
        <w:r w:rsidRPr="00F035B9">
          <w:rPr>
            <w:rStyle w:val="Hyperlink"/>
            <w:rFonts w:ascii="Arial" w:hAnsi="Arial" w:cs="Arial"/>
            <w:color w:val="002060"/>
          </w:rPr>
          <w:t>https://www.gov.uk/government/statistics/english-private-landlord-survey-2021-main-report/english-private-landlord-survey-2021-main-report--2</w:t>
        </w:r>
      </w:hyperlink>
      <w:r w:rsidRPr="00F035B9">
        <w:rPr>
          <w:rFonts w:ascii="Arial" w:hAnsi="Arial" w:cs="Arial"/>
          <w:color w:val="002060"/>
        </w:rPr>
        <w:t xml:space="preserve"> </w:t>
      </w:r>
      <w:r w:rsidRPr="00F035B9">
        <w:rPr>
          <w:rFonts w:ascii="Arial" w:hAnsi="Arial" w:cs="Arial"/>
        </w:rPr>
        <w:t>[Accessed 4 Jul. 2025].</w:t>
      </w:r>
    </w:p>
    <w:p w14:paraId="58075B79" w14:textId="77777777" w:rsidR="00542E31" w:rsidRPr="00F035B9" w:rsidRDefault="00542E31" w:rsidP="009601C6">
      <w:pPr>
        <w:pBdr>
          <w:top w:val="nil"/>
          <w:left w:val="nil"/>
          <w:bottom w:val="nil"/>
          <w:right w:val="nil"/>
          <w:between w:val="nil"/>
        </w:pBdr>
        <w:spacing w:before="0" w:line="360" w:lineRule="auto"/>
        <w:ind w:left="284"/>
        <w:jc w:val="both"/>
        <w:rPr>
          <w:rFonts w:ascii="Arial" w:hAnsi="Arial" w:cs="Arial"/>
          <w:color w:val="000000"/>
        </w:rPr>
      </w:pPr>
      <w:r w:rsidRPr="00F035B9">
        <w:rPr>
          <w:rFonts w:ascii="Arial" w:hAnsi="Arial" w:cs="Arial"/>
          <w:color w:val="000000"/>
        </w:rPr>
        <w:t xml:space="preserve">Hardie, I. (2024) ‘Welfare reform and housing insecurity: the impact of Universal Credit rollout on demand for rent arrears and homelessness advice from Citizens Advice in England’, </w:t>
      </w:r>
      <w:r w:rsidRPr="00F035B9">
        <w:rPr>
          <w:rFonts w:ascii="Arial" w:hAnsi="Arial" w:cs="Arial"/>
          <w:i/>
          <w:color w:val="000000"/>
        </w:rPr>
        <w:t>Social Policy and Society</w:t>
      </w:r>
      <w:r w:rsidRPr="00F035B9">
        <w:rPr>
          <w:rFonts w:ascii="Arial" w:hAnsi="Arial" w:cs="Arial"/>
          <w:color w:val="000000"/>
        </w:rPr>
        <w:t>, 23(3), pp. 627–650. Available at: https://doi.org/10.1017/S1474746423000026</w:t>
      </w:r>
    </w:p>
    <w:p w14:paraId="6C2C0D78" w14:textId="77777777" w:rsidR="009601C6" w:rsidRDefault="009601C6" w:rsidP="009601C6">
      <w:pPr>
        <w:spacing w:line="360" w:lineRule="auto"/>
        <w:ind w:left="284"/>
        <w:jc w:val="both"/>
        <w:rPr>
          <w:rFonts w:ascii="Arial" w:hAnsi="Arial" w:cs="Arial"/>
          <w:color w:val="000000"/>
        </w:rPr>
      </w:pPr>
    </w:p>
    <w:p w14:paraId="2D4D04F4" w14:textId="45BFDA71" w:rsidR="00542E31" w:rsidRPr="00F035B9" w:rsidRDefault="00542E31" w:rsidP="009601C6">
      <w:pPr>
        <w:spacing w:line="360" w:lineRule="auto"/>
        <w:ind w:left="284"/>
        <w:jc w:val="both"/>
        <w:rPr>
          <w:rFonts w:ascii="Arial" w:hAnsi="Arial" w:cs="Arial"/>
          <w:color w:val="000000"/>
        </w:rPr>
      </w:pPr>
      <w:r w:rsidRPr="00F035B9">
        <w:rPr>
          <w:rFonts w:ascii="Arial" w:hAnsi="Arial" w:cs="Arial"/>
          <w:color w:val="000000"/>
        </w:rPr>
        <w:t>Hickman, P., 2021. Understanding social housing tenants' rent payment behavior: evidence from Great Britain. </w:t>
      </w:r>
      <w:r w:rsidRPr="00F035B9">
        <w:rPr>
          <w:rFonts w:ascii="Arial" w:hAnsi="Arial" w:cs="Arial"/>
          <w:i/>
          <w:color w:val="000000"/>
        </w:rPr>
        <w:t>Housing Studies</w:t>
      </w:r>
      <w:r w:rsidRPr="00F035B9">
        <w:rPr>
          <w:rFonts w:ascii="Arial" w:hAnsi="Arial" w:cs="Arial"/>
          <w:color w:val="000000"/>
        </w:rPr>
        <w:t>, </w:t>
      </w:r>
      <w:r w:rsidRPr="00F035B9">
        <w:rPr>
          <w:rFonts w:ascii="Arial" w:hAnsi="Arial" w:cs="Arial"/>
          <w:i/>
          <w:color w:val="000000"/>
        </w:rPr>
        <w:t>36</w:t>
      </w:r>
      <w:r w:rsidRPr="00F035B9">
        <w:rPr>
          <w:rFonts w:ascii="Arial" w:hAnsi="Arial" w:cs="Arial"/>
          <w:color w:val="000000"/>
        </w:rPr>
        <w:t>(2), pp.235-257.</w:t>
      </w:r>
    </w:p>
    <w:p w14:paraId="24F18FD0" w14:textId="77777777" w:rsidR="009601C6" w:rsidRDefault="009601C6" w:rsidP="009601C6">
      <w:pPr>
        <w:spacing w:line="360" w:lineRule="auto"/>
        <w:ind w:left="284"/>
        <w:jc w:val="both"/>
        <w:rPr>
          <w:rFonts w:ascii="Arial" w:hAnsi="Arial" w:cs="Arial"/>
        </w:rPr>
      </w:pPr>
    </w:p>
    <w:p w14:paraId="7EC3CFDD" w14:textId="39B30C74" w:rsidR="00542E31" w:rsidRPr="00F035B9" w:rsidRDefault="00542E31" w:rsidP="009601C6">
      <w:pPr>
        <w:spacing w:line="360" w:lineRule="auto"/>
        <w:ind w:left="284"/>
        <w:jc w:val="both"/>
        <w:rPr>
          <w:rFonts w:ascii="Arial" w:hAnsi="Arial" w:cs="Arial"/>
        </w:rPr>
      </w:pPr>
      <w:r w:rsidRPr="00F035B9">
        <w:rPr>
          <w:rFonts w:ascii="Arial" w:hAnsi="Arial" w:cs="Arial"/>
        </w:rPr>
        <w:t>Isa, M., Salleh, K.M., Zainol, N.N., Nordin, M.S.A., Jibril, J.D., Idrus, M.S. and Sulaiman, M.A., 2023. Tenancy Management: Tenant perceptions of the pre-tenancy and tenancy execution phases. </w:t>
      </w:r>
      <w:r w:rsidRPr="00F035B9">
        <w:rPr>
          <w:rFonts w:ascii="Arial" w:hAnsi="Arial" w:cs="Arial"/>
          <w:i/>
          <w:iCs/>
        </w:rPr>
        <w:t>Asian Journal of Environment-Behaviour Studies</w:t>
      </w:r>
      <w:r w:rsidRPr="00F035B9">
        <w:rPr>
          <w:rFonts w:ascii="Arial" w:hAnsi="Arial" w:cs="Arial"/>
        </w:rPr>
        <w:t>, </w:t>
      </w:r>
      <w:r w:rsidRPr="00F035B9">
        <w:rPr>
          <w:rFonts w:ascii="Arial" w:hAnsi="Arial" w:cs="Arial"/>
          <w:i/>
          <w:iCs/>
        </w:rPr>
        <w:t>8</w:t>
      </w:r>
      <w:r w:rsidRPr="00F035B9">
        <w:rPr>
          <w:rFonts w:ascii="Arial" w:hAnsi="Arial" w:cs="Arial"/>
        </w:rPr>
        <w:t>(26), pp.55-68.</w:t>
      </w:r>
    </w:p>
    <w:p w14:paraId="7418246A" w14:textId="77777777" w:rsidR="009601C6" w:rsidRDefault="009601C6" w:rsidP="009601C6">
      <w:pPr>
        <w:spacing w:line="360" w:lineRule="auto"/>
        <w:ind w:left="284"/>
        <w:jc w:val="both"/>
        <w:rPr>
          <w:rFonts w:ascii="Arial" w:hAnsi="Arial" w:cs="Arial"/>
          <w:color w:val="000000"/>
        </w:rPr>
      </w:pPr>
    </w:p>
    <w:p w14:paraId="390A5F93" w14:textId="54F5C875" w:rsidR="00542E31" w:rsidRPr="00F035B9" w:rsidRDefault="00542E31" w:rsidP="009601C6">
      <w:pPr>
        <w:spacing w:line="360" w:lineRule="auto"/>
        <w:ind w:left="284"/>
        <w:jc w:val="both"/>
        <w:rPr>
          <w:rFonts w:ascii="Arial" w:hAnsi="Arial" w:cs="Arial"/>
          <w:color w:val="000000"/>
        </w:rPr>
      </w:pPr>
      <w:r w:rsidRPr="00F035B9">
        <w:rPr>
          <w:rFonts w:ascii="Arial" w:hAnsi="Arial" w:cs="Arial"/>
          <w:color w:val="000000"/>
        </w:rPr>
        <w:t xml:space="preserve">Ke, Q., Loosemore, M. and Stewart, R. (2012) ‘Risk allocation in residential property management: the views of UK property professionals’, </w:t>
      </w:r>
      <w:r w:rsidRPr="00F035B9">
        <w:rPr>
          <w:rFonts w:ascii="Arial" w:hAnsi="Arial" w:cs="Arial"/>
          <w:i/>
          <w:color w:val="000000"/>
        </w:rPr>
        <w:t>Property Management</w:t>
      </w:r>
      <w:r w:rsidRPr="00F035B9">
        <w:rPr>
          <w:rFonts w:ascii="Arial" w:hAnsi="Arial" w:cs="Arial"/>
          <w:color w:val="000000"/>
        </w:rPr>
        <w:t>, 30(4), pp. 344–359. https://doi.org/10.1108/02637471211249513</w:t>
      </w:r>
    </w:p>
    <w:p w14:paraId="5F893D9B" w14:textId="77777777" w:rsidR="009601C6" w:rsidRDefault="009601C6" w:rsidP="009601C6">
      <w:pPr>
        <w:spacing w:line="360" w:lineRule="auto"/>
        <w:ind w:left="284"/>
        <w:jc w:val="both"/>
        <w:rPr>
          <w:rFonts w:ascii="Arial" w:hAnsi="Arial" w:cs="Arial"/>
          <w:color w:val="000000"/>
        </w:rPr>
      </w:pPr>
    </w:p>
    <w:p w14:paraId="5E0161D8" w14:textId="2EF09B79" w:rsidR="00542E31" w:rsidRPr="00F035B9" w:rsidRDefault="00542E31" w:rsidP="009601C6">
      <w:pPr>
        <w:spacing w:line="360" w:lineRule="auto"/>
        <w:ind w:left="284"/>
        <w:jc w:val="both"/>
        <w:rPr>
          <w:rFonts w:ascii="Arial" w:hAnsi="Arial" w:cs="Arial"/>
          <w:color w:val="000000"/>
        </w:rPr>
      </w:pPr>
      <w:r w:rsidRPr="00F035B9">
        <w:rPr>
          <w:rFonts w:ascii="Arial" w:hAnsi="Arial" w:cs="Arial"/>
          <w:color w:val="000000"/>
        </w:rPr>
        <w:t xml:space="preserve">KPMG LLP (2018) </w:t>
      </w:r>
      <w:r w:rsidRPr="00F035B9">
        <w:rPr>
          <w:rFonts w:ascii="Arial" w:hAnsi="Arial" w:cs="Arial"/>
          <w:i/>
          <w:color w:val="000000"/>
        </w:rPr>
        <w:t>Property market disruption impacting estate agent profitability</w:t>
      </w:r>
      <w:r w:rsidRPr="00F035B9">
        <w:rPr>
          <w:rFonts w:ascii="Arial" w:hAnsi="Arial" w:cs="Arial"/>
          <w:color w:val="000000"/>
        </w:rPr>
        <w:t>. KPMG. Available at: https://www.kpmg.com/uk (Accessed: 18 July 2025).</w:t>
      </w:r>
    </w:p>
    <w:p w14:paraId="41C25F10" w14:textId="77777777" w:rsidR="009601C6" w:rsidRDefault="009601C6" w:rsidP="009601C6">
      <w:pPr>
        <w:spacing w:line="360" w:lineRule="auto"/>
        <w:ind w:left="284"/>
        <w:jc w:val="both"/>
        <w:rPr>
          <w:rFonts w:ascii="Arial" w:hAnsi="Arial" w:cs="Arial"/>
        </w:rPr>
      </w:pPr>
    </w:p>
    <w:p w14:paraId="76137455" w14:textId="1DAAEFE8" w:rsidR="00542E31" w:rsidRPr="00F035B9" w:rsidRDefault="00542E31" w:rsidP="009601C6">
      <w:pPr>
        <w:spacing w:line="360" w:lineRule="auto"/>
        <w:ind w:left="284"/>
        <w:jc w:val="both"/>
        <w:rPr>
          <w:rFonts w:ascii="Arial" w:hAnsi="Arial" w:cs="Arial"/>
        </w:rPr>
      </w:pPr>
      <w:r w:rsidRPr="00F035B9">
        <w:rPr>
          <w:rFonts w:ascii="Arial" w:hAnsi="Arial" w:cs="Arial"/>
        </w:rPr>
        <w:t xml:space="preserve">KPMG LLP (2018) </w:t>
      </w:r>
      <w:r w:rsidRPr="00F035B9">
        <w:rPr>
          <w:rFonts w:ascii="Arial" w:hAnsi="Arial" w:cs="Arial"/>
          <w:i/>
          <w:iCs/>
        </w:rPr>
        <w:t>Property market disruption impacting estate agent profitability</w:t>
      </w:r>
      <w:r w:rsidRPr="00F035B9">
        <w:rPr>
          <w:rFonts w:ascii="Arial" w:hAnsi="Arial" w:cs="Arial"/>
        </w:rPr>
        <w:t>. KPMG. Available at: https://www.kpmg.com/uk (Accessed: 18 July 2025).</w:t>
      </w:r>
    </w:p>
    <w:p w14:paraId="7CA940D8" w14:textId="77777777" w:rsidR="009601C6" w:rsidRDefault="009601C6" w:rsidP="009601C6">
      <w:pPr>
        <w:spacing w:line="360" w:lineRule="auto"/>
        <w:ind w:left="284"/>
        <w:jc w:val="both"/>
        <w:rPr>
          <w:rFonts w:ascii="Arial" w:hAnsi="Arial" w:cs="Arial"/>
          <w:color w:val="000000"/>
        </w:rPr>
      </w:pPr>
    </w:p>
    <w:p w14:paraId="6362CB0D" w14:textId="391F310B" w:rsidR="00542E31" w:rsidRPr="00F035B9" w:rsidRDefault="00542E31" w:rsidP="009601C6">
      <w:pPr>
        <w:spacing w:line="360" w:lineRule="auto"/>
        <w:ind w:left="284"/>
        <w:jc w:val="both"/>
        <w:rPr>
          <w:rFonts w:ascii="Arial" w:hAnsi="Arial" w:cs="Arial"/>
          <w:color w:val="000000"/>
        </w:rPr>
      </w:pPr>
      <w:r w:rsidRPr="00F035B9">
        <w:rPr>
          <w:rFonts w:ascii="Arial" w:hAnsi="Arial" w:cs="Arial"/>
          <w:color w:val="000000"/>
        </w:rPr>
        <w:t xml:space="preserve">Lam, J. (2014) </w:t>
      </w:r>
      <w:r w:rsidRPr="00F035B9">
        <w:rPr>
          <w:rFonts w:ascii="Arial" w:hAnsi="Arial" w:cs="Arial"/>
          <w:i/>
          <w:color w:val="000000"/>
        </w:rPr>
        <w:t>Enterprise risk management: From incentives to controls</w:t>
      </w:r>
      <w:r w:rsidRPr="00F035B9">
        <w:rPr>
          <w:rFonts w:ascii="Arial" w:hAnsi="Arial" w:cs="Arial"/>
          <w:color w:val="000000"/>
        </w:rPr>
        <w:t>. 2nd edn. Hoboken, NJ: John Wiley &amp; Sons.</w:t>
      </w:r>
    </w:p>
    <w:p w14:paraId="206DFFC9" w14:textId="77777777" w:rsidR="009601C6" w:rsidRDefault="009601C6" w:rsidP="009601C6">
      <w:pPr>
        <w:spacing w:line="360" w:lineRule="auto"/>
        <w:ind w:left="284"/>
        <w:jc w:val="both"/>
        <w:rPr>
          <w:rFonts w:ascii="Arial" w:hAnsi="Arial" w:cs="Arial"/>
        </w:rPr>
      </w:pPr>
    </w:p>
    <w:p w14:paraId="60149A65" w14:textId="01CC949D" w:rsidR="00542E31" w:rsidRPr="00F035B9" w:rsidRDefault="00542E31" w:rsidP="009601C6">
      <w:pPr>
        <w:spacing w:line="360" w:lineRule="auto"/>
        <w:ind w:left="284"/>
        <w:jc w:val="both"/>
        <w:rPr>
          <w:rFonts w:ascii="Arial" w:hAnsi="Arial" w:cs="Arial"/>
        </w:rPr>
      </w:pPr>
      <w:r w:rsidRPr="00F035B9">
        <w:rPr>
          <w:rFonts w:ascii="Arial" w:hAnsi="Arial" w:cs="Arial"/>
        </w:rPr>
        <w:t xml:space="preserve">Lam, J. (2014) </w:t>
      </w:r>
      <w:r w:rsidRPr="00F035B9">
        <w:rPr>
          <w:rFonts w:ascii="Arial" w:hAnsi="Arial" w:cs="Arial"/>
          <w:i/>
          <w:iCs/>
        </w:rPr>
        <w:t>Enterprise risk management: From incentives to controls</w:t>
      </w:r>
      <w:r w:rsidRPr="00F035B9">
        <w:rPr>
          <w:rFonts w:ascii="Arial" w:hAnsi="Arial" w:cs="Arial"/>
        </w:rPr>
        <w:t>. 2nd edn. Hoboken, NJ: John Wiley &amp; Sons.</w:t>
      </w:r>
    </w:p>
    <w:p w14:paraId="2C9C77B2" w14:textId="77777777" w:rsidR="009601C6" w:rsidRDefault="009601C6" w:rsidP="009601C6">
      <w:pPr>
        <w:spacing w:line="360" w:lineRule="auto"/>
        <w:ind w:left="284"/>
        <w:jc w:val="both"/>
        <w:rPr>
          <w:rFonts w:ascii="Arial" w:hAnsi="Arial" w:cs="Arial"/>
          <w:color w:val="000000"/>
        </w:rPr>
      </w:pPr>
    </w:p>
    <w:p w14:paraId="2BE5574A" w14:textId="2B8BC8A0" w:rsidR="00542E31" w:rsidRPr="00F035B9" w:rsidRDefault="00542E31" w:rsidP="009601C6">
      <w:pPr>
        <w:spacing w:line="360" w:lineRule="auto"/>
        <w:ind w:left="284"/>
        <w:jc w:val="both"/>
        <w:rPr>
          <w:rFonts w:ascii="Arial" w:hAnsi="Arial" w:cs="Arial"/>
          <w:color w:val="000000"/>
        </w:rPr>
      </w:pPr>
      <w:r w:rsidRPr="00F035B9">
        <w:rPr>
          <w:rFonts w:ascii="Arial" w:hAnsi="Arial" w:cs="Arial"/>
          <w:color w:val="000000"/>
        </w:rPr>
        <w:t xml:space="preserve">Leung, L. (2021) ‘Serial eviction filing: Civil courts, property management, and the renters’ experience’, </w:t>
      </w:r>
      <w:r w:rsidRPr="00F035B9">
        <w:rPr>
          <w:rFonts w:ascii="Arial" w:hAnsi="Arial" w:cs="Arial"/>
          <w:i/>
          <w:color w:val="000000"/>
        </w:rPr>
        <w:t>Social Forces</w:t>
      </w:r>
      <w:r w:rsidRPr="00F035B9">
        <w:rPr>
          <w:rFonts w:ascii="Arial" w:hAnsi="Arial" w:cs="Arial"/>
          <w:color w:val="000000"/>
        </w:rPr>
        <w:t xml:space="preserve">, 100(1), pp. 316–339. [online] Available at: </w:t>
      </w:r>
      <w:hyperlink r:id="rId31">
        <w:r w:rsidRPr="00F035B9">
          <w:rPr>
            <w:rFonts w:ascii="Arial" w:hAnsi="Arial" w:cs="Arial"/>
            <w:color w:val="1F497D" w:themeColor="text2"/>
            <w:u w:val="single"/>
          </w:rPr>
          <w:t>https://academic.oup.com/sf/article/100/1/316/5903878</w:t>
        </w:r>
      </w:hyperlink>
      <w:r w:rsidRPr="00F035B9">
        <w:rPr>
          <w:rFonts w:ascii="Arial" w:hAnsi="Arial" w:cs="Arial"/>
          <w:color w:val="000000"/>
        </w:rPr>
        <w:t xml:space="preserve"> [Accessed 7 Oct. 2025].</w:t>
      </w:r>
    </w:p>
    <w:p w14:paraId="18527D90" w14:textId="77777777" w:rsidR="00542E31" w:rsidRPr="00F035B9" w:rsidRDefault="00542E31" w:rsidP="009601C6">
      <w:pPr>
        <w:spacing w:line="360" w:lineRule="auto"/>
        <w:ind w:left="284"/>
        <w:jc w:val="both"/>
        <w:rPr>
          <w:rFonts w:ascii="Arial" w:hAnsi="Arial" w:cs="Arial"/>
          <w:color w:val="000000"/>
        </w:rPr>
      </w:pPr>
      <w:r w:rsidRPr="00F035B9">
        <w:rPr>
          <w:rFonts w:ascii="Arial" w:hAnsi="Arial" w:cs="Arial"/>
          <w:color w:val="000000"/>
        </w:rPr>
        <w:t xml:space="preserve">Livingston, M., Pannullo, F., Bowman, A., Scott, M. and Bailey, N. (2021) ‘Exploiting new forms of data to study the private rented sector: strengths and limitations of a database of rental listings’, </w:t>
      </w:r>
      <w:r w:rsidRPr="00F035B9">
        <w:rPr>
          <w:rFonts w:ascii="Arial" w:hAnsi="Arial" w:cs="Arial"/>
          <w:i/>
          <w:iCs/>
          <w:color w:val="000000"/>
        </w:rPr>
        <w:t>Journal of the Royal Statistical Society: Series A (Statistics in Society)</w:t>
      </w:r>
      <w:r w:rsidRPr="00F035B9">
        <w:rPr>
          <w:rFonts w:ascii="Arial" w:hAnsi="Arial" w:cs="Arial"/>
          <w:color w:val="000000"/>
        </w:rPr>
        <w:t xml:space="preserve">, 184(2), pp. 663–682. Available at: </w:t>
      </w:r>
      <w:hyperlink r:id="rId32" w:tgtFrame="_new" w:history="1">
        <w:r w:rsidRPr="00F035B9">
          <w:rPr>
            <w:rStyle w:val="Hyperlink"/>
            <w:rFonts w:ascii="Arial" w:hAnsi="Arial" w:cs="Arial"/>
            <w:color w:val="002060"/>
          </w:rPr>
          <w:t>https://academic.oup.com/jrsssa/article/184/2/663/7056340</w:t>
        </w:r>
      </w:hyperlink>
      <w:r w:rsidRPr="00F035B9">
        <w:rPr>
          <w:rFonts w:ascii="Arial" w:hAnsi="Arial" w:cs="Arial"/>
          <w:color w:val="002060"/>
        </w:rPr>
        <w:t xml:space="preserve"> </w:t>
      </w:r>
      <w:r w:rsidRPr="00F035B9">
        <w:rPr>
          <w:rFonts w:ascii="Arial" w:hAnsi="Arial" w:cs="Arial"/>
          <w:color w:val="000000"/>
        </w:rPr>
        <w:t>[Accessed 7 Oct. 2025].</w:t>
      </w:r>
    </w:p>
    <w:p w14:paraId="3C988AA8" w14:textId="77777777" w:rsidR="009601C6" w:rsidRDefault="009601C6" w:rsidP="009601C6">
      <w:pPr>
        <w:spacing w:line="360" w:lineRule="auto"/>
        <w:ind w:left="284"/>
        <w:jc w:val="both"/>
        <w:rPr>
          <w:rFonts w:ascii="Arial" w:hAnsi="Arial" w:cs="Arial"/>
          <w:color w:val="000000"/>
        </w:rPr>
      </w:pPr>
    </w:p>
    <w:p w14:paraId="2FA7C253" w14:textId="3584A41C" w:rsidR="00542E31" w:rsidRPr="00F035B9" w:rsidRDefault="00542E31" w:rsidP="009601C6">
      <w:pPr>
        <w:spacing w:line="360" w:lineRule="auto"/>
        <w:ind w:left="284"/>
        <w:jc w:val="both"/>
        <w:rPr>
          <w:rFonts w:ascii="Arial" w:hAnsi="Arial" w:cs="Arial"/>
          <w:color w:val="000000"/>
        </w:rPr>
      </w:pPr>
      <w:r w:rsidRPr="00F035B9">
        <w:rPr>
          <w:rFonts w:ascii="Arial" w:hAnsi="Arial" w:cs="Arial"/>
          <w:color w:val="000000"/>
        </w:rPr>
        <w:t>Livingston, M., Pannullo, F., Bowman, A.W., Scott, E.M. and Bailey, N., 2021. Exploiting new forms of data to study the private rented sector: Strengths and limitations of a database of rental listings. </w:t>
      </w:r>
      <w:r w:rsidRPr="00F035B9">
        <w:rPr>
          <w:rFonts w:ascii="Arial" w:hAnsi="Arial" w:cs="Arial"/>
          <w:i/>
          <w:color w:val="000000"/>
        </w:rPr>
        <w:t>Journal of the Royal Statistical Society Series A: Statistics in Society</w:t>
      </w:r>
      <w:r w:rsidRPr="00F035B9">
        <w:rPr>
          <w:rFonts w:ascii="Arial" w:hAnsi="Arial" w:cs="Arial"/>
          <w:color w:val="000000"/>
        </w:rPr>
        <w:t>, </w:t>
      </w:r>
      <w:r w:rsidRPr="00F035B9">
        <w:rPr>
          <w:rFonts w:ascii="Arial" w:hAnsi="Arial" w:cs="Arial"/>
          <w:i/>
          <w:color w:val="000000"/>
        </w:rPr>
        <w:t>184</w:t>
      </w:r>
      <w:r w:rsidRPr="00F035B9">
        <w:rPr>
          <w:rFonts w:ascii="Arial" w:hAnsi="Arial" w:cs="Arial"/>
          <w:color w:val="000000"/>
        </w:rPr>
        <w:t>(2), pp.663-682.</w:t>
      </w:r>
    </w:p>
    <w:p w14:paraId="55D20A7A" w14:textId="77777777" w:rsidR="009601C6" w:rsidRDefault="009601C6" w:rsidP="009601C6">
      <w:pPr>
        <w:spacing w:line="360" w:lineRule="auto"/>
        <w:ind w:left="284"/>
        <w:jc w:val="both"/>
        <w:rPr>
          <w:rFonts w:ascii="Arial" w:hAnsi="Arial" w:cs="Arial"/>
        </w:rPr>
      </w:pPr>
    </w:p>
    <w:p w14:paraId="51D6A8CB" w14:textId="68D53152" w:rsidR="00542E31" w:rsidRPr="00F035B9" w:rsidRDefault="00542E31" w:rsidP="009601C6">
      <w:pPr>
        <w:spacing w:line="360" w:lineRule="auto"/>
        <w:ind w:left="284"/>
        <w:jc w:val="both"/>
        <w:rPr>
          <w:rFonts w:ascii="Arial" w:hAnsi="Arial" w:cs="Arial"/>
        </w:rPr>
      </w:pPr>
      <w:r w:rsidRPr="00F035B9">
        <w:rPr>
          <w:rFonts w:ascii="Arial" w:hAnsi="Arial" w:cs="Arial"/>
        </w:rPr>
        <w:t>Livingston, M., Pannullo, F., Bowman, A.W., Scott, E.M. and Bailey, N., 2021. Exploiting new forms of data to study the private rented sector: Strengths and limitations of a database of rental listings. </w:t>
      </w:r>
      <w:r w:rsidRPr="00F035B9">
        <w:rPr>
          <w:rFonts w:ascii="Arial" w:hAnsi="Arial" w:cs="Arial"/>
          <w:i/>
          <w:iCs/>
        </w:rPr>
        <w:t>Journal of the Royal Statistical Society Series A: Statistics in Society</w:t>
      </w:r>
      <w:r w:rsidRPr="00F035B9">
        <w:rPr>
          <w:rFonts w:ascii="Arial" w:hAnsi="Arial" w:cs="Arial"/>
        </w:rPr>
        <w:t>, </w:t>
      </w:r>
      <w:r w:rsidRPr="00F035B9">
        <w:rPr>
          <w:rFonts w:ascii="Arial" w:hAnsi="Arial" w:cs="Arial"/>
          <w:i/>
          <w:iCs/>
        </w:rPr>
        <w:t>184</w:t>
      </w:r>
      <w:r w:rsidRPr="00F035B9">
        <w:rPr>
          <w:rFonts w:ascii="Arial" w:hAnsi="Arial" w:cs="Arial"/>
        </w:rPr>
        <w:t>(2), pp.663-682.</w:t>
      </w:r>
    </w:p>
    <w:p w14:paraId="0DED0D80" w14:textId="77777777" w:rsidR="009601C6" w:rsidRDefault="009601C6" w:rsidP="009601C6">
      <w:pPr>
        <w:spacing w:line="360" w:lineRule="auto"/>
        <w:ind w:left="284"/>
        <w:jc w:val="both"/>
        <w:rPr>
          <w:rFonts w:ascii="Arial" w:hAnsi="Arial" w:cs="Arial"/>
          <w:color w:val="000000"/>
        </w:rPr>
      </w:pPr>
    </w:p>
    <w:p w14:paraId="331647E4" w14:textId="0A021BB1" w:rsidR="00542E31" w:rsidRPr="00F035B9" w:rsidRDefault="00542E31" w:rsidP="009601C6">
      <w:pPr>
        <w:spacing w:line="360" w:lineRule="auto"/>
        <w:ind w:left="284"/>
        <w:jc w:val="both"/>
        <w:rPr>
          <w:rFonts w:ascii="Arial" w:hAnsi="Arial" w:cs="Arial"/>
          <w:color w:val="000000"/>
        </w:rPr>
      </w:pPr>
      <w:r w:rsidRPr="00F035B9">
        <w:rPr>
          <w:rFonts w:ascii="Arial" w:hAnsi="Arial" w:cs="Arial"/>
          <w:color w:val="000000"/>
        </w:rPr>
        <w:t xml:space="preserve">Manville, M. (2022) ‘Renter nonpayment and landlord response’, </w:t>
      </w:r>
      <w:r w:rsidRPr="00F035B9">
        <w:rPr>
          <w:rFonts w:ascii="Arial" w:hAnsi="Arial" w:cs="Arial"/>
          <w:i/>
          <w:color w:val="000000"/>
        </w:rPr>
        <w:t>Housing Policy Debate</w:t>
      </w:r>
      <w:r w:rsidRPr="00F035B9">
        <w:rPr>
          <w:rFonts w:ascii="Arial" w:hAnsi="Arial" w:cs="Arial"/>
          <w:color w:val="000000"/>
        </w:rPr>
        <w:t>, [online] Available at</w:t>
      </w:r>
      <w:r w:rsidRPr="00F035B9">
        <w:rPr>
          <w:rFonts w:ascii="Arial" w:hAnsi="Arial" w:cs="Arial"/>
          <w:color w:val="1F497D" w:themeColor="text2"/>
        </w:rPr>
        <w:t xml:space="preserve">: </w:t>
      </w:r>
      <w:hyperlink r:id="rId33">
        <w:r w:rsidRPr="00F035B9">
          <w:rPr>
            <w:rFonts w:ascii="Arial" w:hAnsi="Arial" w:cs="Arial"/>
            <w:color w:val="002060"/>
            <w:u w:val="single"/>
          </w:rPr>
          <w:t>https://www.ncbi.nlm.nih.gov/pmc/articles/PMC11160939/</w:t>
        </w:r>
      </w:hyperlink>
      <w:r w:rsidRPr="00F035B9">
        <w:rPr>
          <w:rFonts w:ascii="Arial" w:hAnsi="Arial" w:cs="Arial"/>
          <w:color w:val="000000"/>
        </w:rPr>
        <w:t xml:space="preserve"> [Accessed 7 Oct. 2025].</w:t>
      </w:r>
    </w:p>
    <w:p w14:paraId="49ED5046" w14:textId="77777777" w:rsidR="009601C6" w:rsidRDefault="009601C6" w:rsidP="009601C6">
      <w:pPr>
        <w:spacing w:line="360" w:lineRule="auto"/>
        <w:ind w:left="284"/>
        <w:jc w:val="both"/>
        <w:rPr>
          <w:rFonts w:ascii="Arial" w:hAnsi="Arial" w:cs="Arial"/>
          <w:color w:val="000000"/>
        </w:rPr>
      </w:pPr>
    </w:p>
    <w:p w14:paraId="78D0CEFD" w14:textId="379E2B3B" w:rsidR="00542E31" w:rsidRPr="00F035B9" w:rsidRDefault="00542E31" w:rsidP="009601C6">
      <w:pPr>
        <w:spacing w:line="360" w:lineRule="auto"/>
        <w:ind w:left="284"/>
        <w:jc w:val="both"/>
        <w:rPr>
          <w:rFonts w:ascii="Arial" w:hAnsi="Arial" w:cs="Arial"/>
          <w:color w:val="002060"/>
        </w:rPr>
      </w:pPr>
      <w:r w:rsidRPr="00F035B9">
        <w:rPr>
          <w:rFonts w:ascii="Arial" w:hAnsi="Arial" w:cs="Arial"/>
          <w:color w:val="000000"/>
        </w:rPr>
        <w:t xml:space="preserve">Manzi, T., Bramley, G. and Ford, J. (2022) </w:t>
      </w:r>
      <w:r w:rsidRPr="00F035B9">
        <w:rPr>
          <w:rFonts w:ascii="Arial" w:hAnsi="Arial" w:cs="Arial"/>
          <w:i/>
          <w:color w:val="000000"/>
        </w:rPr>
        <w:t>Drivers of Rent Arrears in Social Housing: An Evidence Review</w:t>
      </w:r>
      <w:r w:rsidRPr="00F035B9">
        <w:rPr>
          <w:rFonts w:ascii="Arial" w:hAnsi="Arial" w:cs="Arial"/>
          <w:color w:val="000000"/>
        </w:rPr>
        <w:t>. Sheffield: Holding On to Home. Available at</w:t>
      </w:r>
      <w:r w:rsidRPr="00F035B9">
        <w:rPr>
          <w:rFonts w:ascii="Arial" w:hAnsi="Arial" w:cs="Arial"/>
          <w:color w:val="1F497D" w:themeColor="text2"/>
        </w:rPr>
        <w:t xml:space="preserve">: </w:t>
      </w:r>
      <w:hyperlink r:id="rId34">
        <w:r w:rsidRPr="00F035B9">
          <w:rPr>
            <w:rFonts w:ascii="Arial" w:hAnsi="Arial" w:cs="Arial"/>
            <w:color w:val="002060"/>
            <w:u w:val="single"/>
          </w:rPr>
          <w:t>https://holdingontohome.org/wp-content/uploads/2022/08/Drivers-of-rent-areas-EV-Report.pdf</w:t>
        </w:r>
      </w:hyperlink>
    </w:p>
    <w:p w14:paraId="7DA1C5F4" w14:textId="63183FDD" w:rsidR="00542E31" w:rsidRPr="0086274E" w:rsidRDefault="00542E31" w:rsidP="009601C6">
      <w:pPr>
        <w:spacing w:line="360" w:lineRule="auto"/>
        <w:ind w:left="284"/>
        <w:jc w:val="both"/>
        <w:rPr>
          <w:rFonts w:ascii="Arial" w:hAnsi="Arial" w:cs="Arial"/>
          <w:color w:val="000000"/>
          <w:lang w:val="en-US"/>
        </w:rPr>
      </w:pPr>
    </w:p>
    <w:p w14:paraId="42342032" w14:textId="77777777" w:rsidR="00542E31" w:rsidRPr="0086274E" w:rsidRDefault="00542E31" w:rsidP="009601C6">
      <w:pPr>
        <w:pBdr>
          <w:top w:val="nil"/>
          <w:left w:val="nil"/>
          <w:bottom w:val="nil"/>
          <w:right w:val="nil"/>
          <w:between w:val="nil"/>
        </w:pBdr>
        <w:spacing w:before="0" w:line="360" w:lineRule="auto"/>
        <w:ind w:left="284"/>
        <w:jc w:val="both"/>
        <w:rPr>
          <w:rFonts w:ascii="Arial" w:hAnsi="Arial" w:cs="Arial"/>
          <w:color w:val="1F497D" w:themeColor="text2"/>
        </w:rPr>
      </w:pPr>
      <w:r w:rsidRPr="0086274E">
        <w:rPr>
          <w:rFonts w:ascii="Arial" w:hAnsi="Arial" w:cs="Arial"/>
          <w:color w:val="000000"/>
        </w:rPr>
        <w:t xml:space="preserve">McNally, X. and Lally, C. (2024) </w:t>
      </w:r>
      <w:r w:rsidRPr="0086274E">
        <w:rPr>
          <w:rFonts w:ascii="Arial" w:hAnsi="Arial" w:cs="Arial"/>
          <w:i/>
          <w:color w:val="000000"/>
        </w:rPr>
        <w:t>Housing insecurity in the private rented sector in England: drivers and impacts</w:t>
      </w:r>
      <w:r w:rsidRPr="0086274E">
        <w:rPr>
          <w:rFonts w:ascii="Arial" w:hAnsi="Arial" w:cs="Arial"/>
          <w:color w:val="000000"/>
        </w:rPr>
        <w:t>. POSTnote 729. London: Parliamentary Office of Science and Technology. Available at:</w:t>
      </w:r>
      <w:r w:rsidRPr="0086274E">
        <w:rPr>
          <w:rFonts w:ascii="Arial" w:hAnsi="Arial" w:cs="Arial"/>
          <w:color w:val="002060"/>
        </w:rPr>
        <w:t xml:space="preserve"> </w:t>
      </w:r>
      <w:hyperlink r:id="rId35">
        <w:r w:rsidRPr="0086274E">
          <w:rPr>
            <w:rFonts w:ascii="Arial" w:hAnsi="Arial" w:cs="Arial"/>
            <w:color w:val="002060"/>
            <w:u w:val="single"/>
          </w:rPr>
          <w:t>https://post.parliament.uk/research-briefings/post-pn-0729/</w:t>
        </w:r>
      </w:hyperlink>
    </w:p>
    <w:p w14:paraId="45085376" w14:textId="77777777" w:rsidR="009601C6" w:rsidRDefault="009601C6" w:rsidP="009601C6">
      <w:pPr>
        <w:spacing w:line="360" w:lineRule="auto"/>
        <w:ind w:left="284"/>
        <w:jc w:val="both"/>
        <w:rPr>
          <w:rFonts w:ascii="Arial" w:hAnsi="Arial" w:cs="Arial"/>
          <w:color w:val="000000"/>
        </w:rPr>
      </w:pPr>
    </w:p>
    <w:p w14:paraId="64C3F00F" w14:textId="349B4DE7" w:rsidR="00542E31" w:rsidRPr="0086274E" w:rsidRDefault="00542E31" w:rsidP="009601C6">
      <w:pPr>
        <w:spacing w:line="360" w:lineRule="auto"/>
        <w:ind w:left="284"/>
        <w:jc w:val="both"/>
        <w:rPr>
          <w:rFonts w:ascii="Arial" w:hAnsi="Arial" w:cs="Arial"/>
          <w:color w:val="000000"/>
        </w:rPr>
      </w:pPr>
      <w:r w:rsidRPr="0086274E">
        <w:rPr>
          <w:rFonts w:ascii="Arial" w:hAnsi="Arial" w:cs="Arial"/>
          <w:color w:val="000000"/>
        </w:rPr>
        <w:t xml:space="preserve">Morris, N. and Rose, M. (2022) ‘Risk management strategies for sustainable rental real estate’, </w:t>
      </w:r>
      <w:r w:rsidRPr="0086274E">
        <w:rPr>
          <w:rFonts w:ascii="Arial" w:hAnsi="Arial" w:cs="Arial"/>
          <w:i/>
          <w:color w:val="000000"/>
        </w:rPr>
        <w:t>Journal of Property Investment &amp; Finance</w:t>
      </w:r>
      <w:r w:rsidRPr="0086274E">
        <w:rPr>
          <w:rFonts w:ascii="Arial" w:hAnsi="Arial" w:cs="Arial"/>
          <w:color w:val="000000"/>
        </w:rPr>
        <w:t>, 40(3), pp. 189–205. doi:10.1108/JPIF-12-2021-0098.</w:t>
      </w:r>
    </w:p>
    <w:p w14:paraId="4BDD5DBE" w14:textId="77777777" w:rsidR="00542E31" w:rsidRPr="0086274E" w:rsidRDefault="00542E31" w:rsidP="009601C6">
      <w:pPr>
        <w:spacing w:line="360" w:lineRule="auto"/>
        <w:ind w:left="284"/>
        <w:jc w:val="both"/>
        <w:rPr>
          <w:rFonts w:ascii="Arial" w:hAnsi="Arial" w:cs="Arial"/>
        </w:rPr>
      </w:pPr>
      <w:r w:rsidRPr="0086274E">
        <w:rPr>
          <w:rFonts w:ascii="Arial" w:hAnsi="Arial" w:cs="Arial"/>
        </w:rPr>
        <w:t xml:space="preserve">Morris, N. and Rose, M. (2022) ‘Risk management strategies for sustainable rental real estate’, </w:t>
      </w:r>
      <w:r w:rsidRPr="0086274E">
        <w:rPr>
          <w:rFonts w:ascii="Arial" w:hAnsi="Arial" w:cs="Arial"/>
          <w:i/>
          <w:iCs/>
        </w:rPr>
        <w:t>Journal of Property Investment &amp; Finance</w:t>
      </w:r>
      <w:r w:rsidRPr="0086274E">
        <w:rPr>
          <w:rFonts w:ascii="Arial" w:hAnsi="Arial" w:cs="Arial"/>
        </w:rPr>
        <w:t>, 40(3), pp. 189–205. doi:10.1108/JPIF-12-2021-0098.</w:t>
      </w:r>
    </w:p>
    <w:p w14:paraId="411CDE93" w14:textId="77777777" w:rsidR="009601C6" w:rsidRDefault="009601C6" w:rsidP="009601C6">
      <w:pPr>
        <w:spacing w:line="360" w:lineRule="auto"/>
        <w:ind w:left="284"/>
        <w:jc w:val="both"/>
        <w:rPr>
          <w:rFonts w:ascii="Arial" w:hAnsi="Arial" w:cs="Arial"/>
          <w:color w:val="000000"/>
          <w:lang w:val="en-US"/>
        </w:rPr>
      </w:pPr>
    </w:p>
    <w:p w14:paraId="17210167" w14:textId="7511A611" w:rsidR="00542E31" w:rsidRPr="0086274E" w:rsidRDefault="00542E31" w:rsidP="009601C6">
      <w:pPr>
        <w:spacing w:line="360" w:lineRule="auto"/>
        <w:ind w:left="284"/>
        <w:jc w:val="both"/>
        <w:rPr>
          <w:rFonts w:ascii="Arial" w:hAnsi="Arial" w:cs="Arial"/>
          <w:color w:val="002060"/>
          <w:lang w:val="en-US"/>
        </w:rPr>
      </w:pPr>
      <w:r w:rsidRPr="0086274E">
        <w:rPr>
          <w:rFonts w:ascii="Arial" w:hAnsi="Arial" w:cs="Arial"/>
          <w:color w:val="000000"/>
          <w:lang w:val="en-US"/>
        </w:rPr>
        <w:t xml:space="preserve">Propertymark (2024) </w:t>
      </w:r>
      <w:r w:rsidRPr="0086274E">
        <w:rPr>
          <w:rFonts w:ascii="Arial" w:hAnsi="Arial" w:cs="Arial"/>
          <w:i/>
          <w:iCs/>
          <w:color w:val="000000"/>
          <w:lang w:val="en-US"/>
        </w:rPr>
        <w:t>Importance of Proactively Managing Arrears</w:t>
      </w:r>
      <w:r w:rsidRPr="0086274E">
        <w:rPr>
          <w:rFonts w:ascii="Arial" w:hAnsi="Arial" w:cs="Arial"/>
          <w:color w:val="000000"/>
          <w:lang w:val="en-US"/>
        </w:rPr>
        <w:t xml:space="preserve">. [online] Available at: </w:t>
      </w:r>
      <w:hyperlink r:id="rId36" w:tgtFrame="_new" w:history="1">
        <w:r w:rsidRPr="0086274E">
          <w:rPr>
            <w:rStyle w:val="Hyperlink"/>
            <w:rFonts w:ascii="Arial" w:hAnsi="Arial" w:cs="Arial"/>
            <w:color w:val="002060"/>
            <w:lang w:val="en-US"/>
          </w:rPr>
          <w:t>https://www.propertymark.co.uk/resource/importance-of-proactively-managing-arrears.html</w:t>
        </w:r>
      </w:hyperlink>
    </w:p>
    <w:p w14:paraId="4DFF6B65" w14:textId="77777777" w:rsidR="009601C6" w:rsidRDefault="009601C6" w:rsidP="009601C6">
      <w:pPr>
        <w:spacing w:line="360" w:lineRule="auto"/>
        <w:ind w:left="284"/>
        <w:jc w:val="both"/>
        <w:rPr>
          <w:rFonts w:ascii="Arial" w:hAnsi="Arial" w:cs="Arial"/>
          <w:color w:val="000000"/>
          <w:lang w:val="en-US"/>
        </w:rPr>
      </w:pPr>
    </w:p>
    <w:p w14:paraId="683F95EC" w14:textId="6351A3A2" w:rsidR="00542E31" w:rsidRPr="0086274E" w:rsidRDefault="00542E31" w:rsidP="009601C6">
      <w:pPr>
        <w:spacing w:line="360" w:lineRule="auto"/>
        <w:ind w:left="284"/>
        <w:jc w:val="both"/>
        <w:rPr>
          <w:rFonts w:ascii="Arial" w:hAnsi="Arial" w:cs="Arial"/>
          <w:color w:val="002060"/>
          <w:lang w:val="en-US"/>
        </w:rPr>
      </w:pPr>
      <w:r w:rsidRPr="0086274E">
        <w:rPr>
          <w:rFonts w:ascii="Arial" w:hAnsi="Arial" w:cs="Arial"/>
          <w:color w:val="000000"/>
          <w:lang w:val="en-US"/>
        </w:rPr>
        <w:t xml:space="preserve">Propertymark (2025) </w:t>
      </w:r>
      <w:r w:rsidRPr="0086274E">
        <w:rPr>
          <w:rFonts w:ascii="Arial" w:hAnsi="Arial" w:cs="Arial"/>
          <w:i/>
          <w:iCs/>
          <w:color w:val="000000"/>
          <w:lang w:val="en-US"/>
        </w:rPr>
        <w:t>Handling Rent Arrears Disputes: What Letting Agents Need to Know in 2025</w:t>
      </w:r>
      <w:r w:rsidRPr="0086274E">
        <w:rPr>
          <w:rFonts w:ascii="Arial" w:hAnsi="Arial" w:cs="Arial"/>
          <w:color w:val="000000"/>
          <w:lang w:val="en-US"/>
        </w:rPr>
        <w:t xml:space="preserve">. [online] Available at: </w:t>
      </w:r>
      <w:hyperlink r:id="rId37" w:tgtFrame="_new" w:history="1">
        <w:r w:rsidRPr="0086274E">
          <w:rPr>
            <w:rStyle w:val="Hyperlink"/>
            <w:rFonts w:ascii="Arial" w:hAnsi="Arial" w:cs="Arial"/>
            <w:color w:val="002060"/>
            <w:lang w:val="en-US"/>
          </w:rPr>
          <w:t>https://www.propertymark.co.uk/resource/handling-rent-arrears-disputes-what-letting-agents-need-to-know-in-2025.html</w:t>
        </w:r>
      </w:hyperlink>
    </w:p>
    <w:p w14:paraId="13D6F3B4" w14:textId="77777777" w:rsidR="009601C6" w:rsidRDefault="009601C6" w:rsidP="009601C6">
      <w:pPr>
        <w:spacing w:line="360" w:lineRule="auto"/>
        <w:ind w:left="284"/>
        <w:jc w:val="both"/>
        <w:rPr>
          <w:rFonts w:ascii="Arial" w:hAnsi="Arial" w:cs="Arial"/>
          <w:color w:val="000000"/>
        </w:rPr>
      </w:pPr>
    </w:p>
    <w:p w14:paraId="6A675FD7" w14:textId="51004EAC" w:rsidR="00542E31" w:rsidRPr="0086274E" w:rsidRDefault="00542E31" w:rsidP="009601C6">
      <w:pPr>
        <w:spacing w:line="360" w:lineRule="auto"/>
        <w:ind w:left="284"/>
        <w:jc w:val="both"/>
        <w:rPr>
          <w:rFonts w:ascii="Arial" w:hAnsi="Arial" w:cs="Arial"/>
          <w:color w:val="000000"/>
        </w:rPr>
      </w:pPr>
      <w:r w:rsidRPr="0086274E">
        <w:rPr>
          <w:rFonts w:ascii="Arial" w:hAnsi="Arial" w:cs="Arial"/>
          <w:color w:val="000000"/>
        </w:rPr>
        <w:t xml:space="preserve">Reeve, K. and Batty, E. (2011) </w:t>
      </w:r>
      <w:r w:rsidRPr="0086274E">
        <w:rPr>
          <w:rFonts w:ascii="Arial" w:hAnsi="Arial" w:cs="Arial"/>
          <w:i/>
          <w:color w:val="000000"/>
        </w:rPr>
        <w:t>The hidden truth about homelessness: Experiences of single homelessness in England</w:t>
      </w:r>
      <w:r w:rsidRPr="0086274E">
        <w:rPr>
          <w:rFonts w:ascii="Arial" w:hAnsi="Arial" w:cs="Arial"/>
          <w:color w:val="000000"/>
        </w:rPr>
        <w:t>. London: Crisis. Available at</w:t>
      </w:r>
      <w:r w:rsidRPr="0086274E">
        <w:rPr>
          <w:rFonts w:ascii="Arial" w:hAnsi="Arial" w:cs="Arial"/>
          <w:color w:val="002060"/>
        </w:rPr>
        <w:t xml:space="preserve">: </w:t>
      </w:r>
      <w:hyperlink r:id="rId38">
        <w:r w:rsidRPr="0086274E">
          <w:rPr>
            <w:rFonts w:ascii="Arial" w:hAnsi="Arial" w:cs="Arial"/>
            <w:color w:val="002060"/>
            <w:u w:val="single"/>
          </w:rPr>
          <w:t>https://www.crisis.org.uk</w:t>
        </w:r>
      </w:hyperlink>
      <w:r w:rsidRPr="0086274E">
        <w:rPr>
          <w:rFonts w:ascii="Arial" w:hAnsi="Arial" w:cs="Arial"/>
          <w:color w:val="000000"/>
        </w:rPr>
        <w:t xml:space="preserve"> (Accessed: 18 July 2025).</w:t>
      </w:r>
    </w:p>
    <w:p w14:paraId="333B3D6B" w14:textId="77777777" w:rsidR="009601C6" w:rsidRDefault="009601C6" w:rsidP="009601C6">
      <w:pPr>
        <w:spacing w:line="360" w:lineRule="auto"/>
        <w:ind w:left="284"/>
        <w:jc w:val="both"/>
        <w:rPr>
          <w:rFonts w:ascii="Arial" w:hAnsi="Arial" w:cs="Arial"/>
          <w:color w:val="000000"/>
        </w:rPr>
      </w:pPr>
    </w:p>
    <w:p w14:paraId="1AD4A488" w14:textId="10E4C3E1" w:rsidR="00542E31" w:rsidRPr="0086274E" w:rsidRDefault="00542E31" w:rsidP="009601C6">
      <w:pPr>
        <w:spacing w:line="360" w:lineRule="auto"/>
        <w:ind w:left="284"/>
        <w:jc w:val="both"/>
        <w:rPr>
          <w:rFonts w:ascii="Arial" w:hAnsi="Arial" w:cs="Arial"/>
          <w:color w:val="000000"/>
        </w:rPr>
      </w:pPr>
      <w:r w:rsidRPr="0086274E">
        <w:rPr>
          <w:rFonts w:ascii="Arial" w:hAnsi="Arial" w:cs="Arial"/>
          <w:color w:val="000000"/>
        </w:rPr>
        <w:t xml:space="preserve">Rogers, P., Bohland, J.R. and Rechkemmer, A. (2023) ‘Risk and resilience in the age of algorithmic governance’, in Cutter, S.L., Burton, C.G. and Emrich, C.T. (eds.) </w:t>
      </w:r>
      <w:r w:rsidRPr="0086274E">
        <w:rPr>
          <w:rFonts w:ascii="Arial" w:hAnsi="Arial" w:cs="Arial"/>
          <w:i/>
          <w:color w:val="000000"/>
        </w:rPr>
        <w:t>The Oxford Handbook of Complex Disaster Risks and Resilience</w:t>
      </w:r>
      <w:r w:rsidRPr="0086274E">
        <w:rPr>
          <w:rFonts w:ascii="Arial" w:hAnsi="Arial" w:cs="Arial"/>
          <w:color w:val="000000"/>
        </w:rPr>
        <w:t xml:space="preserve">. Oxford: Oxford University Press, pp. 315–342. Available at: </w:t>
      </w:r>
      <w:hyperlink r:id="rId39">
        <w:r w:rsidRPr="0086274E">
          <w:rPr>
            <w:rFonts w:ascii="Arial" w:hAnsi="Arial" w:cs="Arial"/>
            <w:color w:val="002060"/>
            <w:u w:val="single"/>
          </w:rPr>
          <w:t>https://www.researchgate.net/publication/369459168_Risk_and_Resilience_in_the_Age_of_Algorithmic_Governance</w:t>
        </w:r>
      </w:hyperlink>
      <w:r w:rsidRPr="0086274E">
        <w:rPr>
          <w:rFonts w:ascii="Arial" w:hAnsi="Arial" w:cs="Arial"/>
          <w:color w:val="000000"/>
        </w:rPr>
        <w:t xml:space="preserve"> [Accessed 7 Oct. 2025].</w:t>
      </w:r>
    </w:p>
    <w:p w14:paraId="7BE189B2" w14:textId="77777777" w:rsidR="009601C6" w:rsidRDefault="009601C6" w:rsidP="009601C6">
      <w:pPr>
        <w:spacing w:line="360" w:lineRule="auto"/>
        <w:ind w:left="284"/>
        <w:jc w:val="both"/>
        <w:rPr>
          <w:rFonts w:ascii="Arial" w:hAnsi="Arial" w:cs="Arial"/>
          <w:color w:val="000000"/>
        </w:rPr>
      </w:pPr>
    </w:p>
    <w:p w14:paraId="6AB8BEAF" w14:textId="698DB18E" w:rsidR="00542E31" w:rsidRPr="0086274E" w:rsidRDefault="00542E31" w:rsidP="009601C6">
      <w:pPr>
        <w:spacing w:line="360" w:lineRule="auto"/>
        <w:ind w:left="284"/>
        <w:jc w:val="both"/>
        <w:rPr>
          <w:rFonts w:ascii="Arial" w:hAnsi="Arial" w:cs="Arial"/>
          <w:color w:val="000000"/>
        </w:rPr>
      </w:pPr>
      <w:r w:rsidRPr="0086274E">
        <w:rPr>
          <w:rFonts w:ascii="Arial" w:hAnsi="Arial" w:cs="Arial"/>
          <w:color w:val="000000"/>
        </w:rPr>
        <w:t xml:space="preserve"> Saunders, M., Lewis, P. and Thornhill, A. (2019) </w:t>
      </w:r>
      <w:r w:rsidRPr="0086274E">
        <w:rPr>
          <w:rFonts w:ascii="Arial" w:hAnsi="Arial" w:cs="Arial"/>
          <w:i/>
          <w:iCs/>
          <w:color w:val="000000"/>
        </w:rPr>
        <w:t>Research Methods for Business Students</w:t>
      </w:r>
      <w:r w:rsidRPr="0086274E">
        <w:rPr>
          <w:rFonts w:ascii="Arial" w:hAnsi="Arial" w:cs="Arial"/>
          <w:color w:val="000000"/>
        </w:rPr>
        <w:t>. 8th edn. Harlow: Pearson Education.</w:t>
      </w:r>
    </w:p>
    <w:p w14:paraId="32CC74E1" w14:textId="77777777" w:rsidR="009601C6" w:rsidRDefault="009601C6" w:rsidP="009601C6">
      <w:pPr>
        <w:spacing w:line="360" w:lineRule="auto"/>
        <w:ind w:left="284"/>
        <w:jc w:val="both"/>
        <w:rPr>
          <w:rFonts w:ascii="Arial" w:hAnsi="Arial" w:cs="Arial"/>
          <w:color w:val="000000"/>
        </w:rPr>
      </w:pPr>
    </w:p>
    <w:p w14:paraId="4C783224" w14:textId="67152F82" w:rsidR="00542E31" w:rsidRPr="0086274E" w:rsidRDefault="00542E31" w:rsidP="009601C6">
      <w:pPr>
        <w:spacing w:line="360" w:lineRule="auto"/>
        <w:ind w:left="284"/>
        <w:jc w:val="both"/>
        <w:rPr>
          <w:rFonts w:ascii="Arial" w:hAnsi="Arial" w:cs="Arial"/>
          <w:color w:val="000000"/>
        </w:rPr>
      </w:pPr>
      <w:r w:rsidRPr="0086274E">
        <w:rPr>
          <w:rFonts w:ascii="Arial" w:hAnsi="Arial" w:cs="Arial"/>
          <w:color w:val="000000"/>
        </w:rPr>
        <w:t xml:space="preserve">Simpson, O. (2021) ‘Risk management practices within the real estate sector: A case study of Knight Frank’, </w:t>
      </w:r>
      <w:r w:rsidRPr="0086274E">
        <w:rPr>
          <w:rFonts w:ascii="Arial" w:hAnsi="Arial" w:cs="Arial"/>
          <w:i/>
          <w:color w:val="000000"/>
        </w:rPr>
        <w:t>SSRN</w:t>
      </w:r>
      <w:r w:rsidRPr="0086274E">
        <w:rPr>
          <w:rFonts w:ascii="Arial" w:hAnsi="Arial" w:cs="Arial"/>
          <w:color w:val="000000"/>
        </w:rPr>
        <w:t>. Available at:</w:t>
      </w:r>
      <w:r w:rsidRPr="0086274E">
        <w:rPr>
          <w:rFonts w:ascii="Arial" w:hAnsi="Arial" w:cs="Arial"/>
          <w:color w:val="002060"/>
        </w:rPr>
        <w:t xml:space="preserve"> </w:t>
      </w:r>
      <w:hyperlink r:id="rId40">
        <w:r w:rsidRPr="0086274E">
          <w:rPr>
            <w:rFonts w:ascii="Arial" w:hAnsi="Arial" w:cs="Arial"/>
            <w:color w:val="002060"/>
            <w:u w:val="single"/>
          </w:rPr>
          <w:t>https://ssrn.com/abstract=4641523</w:t>
        </w:r>
      </w:hyperlink>
      <w:r w:rsidRPr="0086274E">
        <w:rPr>
          <w:rFonts w:ascii="Arial" w:hAnsi="Arial" w:cs="Arial"/>
          <w:color w:val="1F497D" w:themeColor="text2"/>
        </w:rPr>
        <w:t xml:space="preserve"> </w:t>
      </w:r>
      <w:r w:rsidRPr="0086274E">
        <w:rPr>
          <w:rFonts w:ascii="Arial" w:hAnsi="Arial" w:cs="Arial"/>
          <w:color w:val="000000"/>
        </w:rPr>
        <w:t>[Accessed 7 Oct. 2025].</w:t>
      </w:r>
    </w:p>
    <w:p w14:paraId="174EB77A" w14:textId="77777777" w:rsidR="009601C6" w:rsidRDefault="009601C6" w:rsidP="009601C6">
      <w:pPr>
        <w:spacing w:line="360" w:lineRule="auto"/>
        <w:ind w:left="284"/>
        <w:jc w:val="both"/>
        <w:rPr>
          <w:rFonts w:ascii="Arial" w:hAnsi="Arial" w:cs="Arial"/>
          <w:color w:val="000000"/>
        </w:rPr>
      </w:pPr>
    </w:p>
    <w:p w14:paraId="3A285E81" w14:textId="20B33D98" w:rsidR="00542E31" w:rsidRPr="0086274E" w:rsidRDefault="00542E31" w:rsidP="009601C6">
      <w:pPr>
        <w:spacing w:line="360" w:lineRule="auto"/>
        <w:ind w:left="284"/>
        <w:jc w:val="both"/>
        <w:rPr>
          <w:rFonts w:ascii="Arial" w:hAnsi="Arial" w:cs="Arial"/>
          <w:color w:val="000000"/>
        </w:rPr>
      </w:pPr>
      <w:r w:rsidRPr="0086274E">
        <w:rPr>
          <w:rFonts w:ascii="Arial" w:hAnsi="Arial" w:cs="Arial"/>
          <w:color w:val="000000"/>
        </w:rPr>
        <w:t xml:space="preserve">Sitaraman, B. (2023) ‘Data-driven tenancy risk assessments and exclusion in rental housing’, </w:t>
      </w:r>
      <w:r w:rsidRPr="0086274E">
        <w:rPr>
          <w:rFonts w:ascii="Arial" w:hAnsi="Arial" w:cs="Arial"/>
          <w:i/>
          <w:color w:val="000000"/>
        </w:rPr>
        <w:t>Journal of Housing and the Built Environment</w:t>
      </w:r>
      <w:r w:rsidRPr="0086274E">
        <w:rPr>
          <w:rFonts w:ascii="Arial" w:hAnsi="Arial" w:cs="Arial"/>
          <w:color w:val="000000"/>
        </w:rPr>
        <w:t>, Advance online publication. https://doi.org/10.1007/s10901-023-09988-6</w:t>
      </w:r>
    </w:p>
    <w:p w14:paraId="004AA2F4" w14:textId="77777777" w:rsidR="009601C6" w:rsidRDefault="009601C6" w:rsidP="009601C6">
      <w:pPr>
        <w:spacing w:line="360" w:lineRule="auto"/>
        <w:ind w:left="284"/>
        <w:jc w:val="both"/>
        <w:rPr>
          <w:rFonts w:ascii="Arial" w:hAnsi="Arial" w:cs="Arial"/>
        </w:rPr>
      </w:pPr>
    </w:p>
    <w:p w14:paraId="39BE4305" w14:textId="336D39AE" w:rsidR="00542E31" w:rsidRPr="0086274E" w:rsidRDefault="008347FD" w:rsidP="009601C6">
      <w:pPr>
        <w:spacing w:line="360" w:lineRule="auto"/>
        <w:ind w:left="284"/>
        <w:jc w:val="both"/>
        <w:rPr>
          <w:rFonts w:ascii="Arial" w:hAnsi="Arial" w:cs="Arial"/>
        </w:rPr>
      </w:pPr>
      <w:r>
        <w:rPr>
          <w:rFonts w:ascii="Arial" w:hAnsi="Arial" w:cs="Arial"/>
        </w:rPr>
        <w:t>T</w:t>
      </w:r>
      <w:r w:rsidR="00542E31" w:rsidRPr="0086274E">
        <w:rPr>
          <w:rFonts w:ascii="Arial" w:hAnsi="Arial" w:cs="Arial"/>
        </w:rPr>
        <w:t>he Telegraph (2024) Taxpayers hit £500m council housing bill as rent goes unpaid. Available at: https://www.telegraph.co.uk/money/property/taxpayers-hit-500m-council-housing-bill-goes-unpaid/ (Accessed: 11 October 2025).</w:t>
      </w:r>
    </w:p>
    <w:p w14:paraId="5E45895D" w14:textId="77777777" w:rsidR="009601C6" w:rsidRDefault="009601C6" w:rsidP="009601C6">
      <w:pPr>
        <w:spacing w:line="360" w:lineRule="auto"/>
        <w:ind w:left="284"/>
        <w:jc w:val="both"/>
        <w:rPr>
          <w:rFonts w:ascii="Arial" w:hAnsi="Arial" w:cs="Arial"/>
          <w:color w:val="000000"/>
        </w:rPr>
      </w:pPr>
    </w:p>
    <w:p w14:paraId="531DED95" w14:textId="1E9F3F21" w:rsidR="00542E31" w:rsidRPr="0086274E" w:rsidRDefault="00542E31" w:rsidP="009601C6">
      <w:pPr>
        <w:spacing w:line="360" w:lineRule="auto"/>
        <w:ind w:left="284"/>
        <w:jc w:val="both"/>
        <w:rPr>
          <w:rFonts w:ascii="Arial" w:hAnsi="Arial" w:cs="Arial"/>
          <w:color w:val="000000"/>
        </w:rPr>
      </w:pPr>
      <w:r w:rsidRPr="0086274E">
        <w:rPr>
          <w:rFonts w:ascii="Arial" w:hAnsi="Arial" w:cs="Arial"/>
          <w:color w:val="000000"/>
        </w:rPr>
        <w:lastRenderedPageBreak/>
        <w:t xml:space="preserve">Wallace, A. (2025) ‘Algorithmic tenancies and the ordinal tenant: digital risk-profiling tools in England’s private rented sector’, </w:t>
      </w:r>
      <w:r w:rsidRPr="0086274E">
        <w:rPr>
          <w:rFonts w:ascii="Arial" w:hAnsi="Arial" w:cs="Arial"/>
          <w:i/>
          <w:color w:val="000000"/>
        </w:rPr>
        <w:t>Housing Studies</w:t>
      </w:r>
      <w:r w:rsidRPr="0086274E">
        <w:rPr>
          <w:rFonts w:ascii="Arial" w:hAnsi="Arial" w:cs="Arial"/>
          <w:color w:val="000000"/>
        </w:rPr>
        <w:t xml:space="preserve">, 40(1), pp. 35–58. </w:t>
      </w:r>
      <w:hyperlink r:id="rId41" w:history="1">
        <w:r w:rsidRPr="0086274E">
          <w:rPr>
            <w:rStyle w:val="Hyperlink"/>
            <w:rFonts w:ascii="Arial" w:hAnsi="Arial" w:cs="Arial"/>
            <w:color w:val="002060"/>
          </w:rPr>
          <w:t>https://doi.org/10.1080/02673037.2025.2453005</w:t>
        </w:r>
      </w:hyperlink>
    </w:p>
    <w:p w14:paraId="7764B908" w14:textId="77777777" w:rsidR="009601C6" w:rsidRDefault="009601C6" w:rsidP="009601C6">
      <w:pPr>
        <w:spacing w:line="360" w:lineRule="auto"/>
        <w:ind w:left="284"/>
        <w:jc w:val="both"/>
        <w:rPr>
          <w:rFonts w:ascii="Arial" w:hAnsi="Arial" w:cs="Arial"/>
          <w:color w:val="000000"/>
          <w:lang w:val="en-US"/>
        </w:rPr>
      </w:pPr>
    </w:p>
    <w:p w14:paraId="3E305402" w14:textId="2B019959" w:rsidR="00542E31" w:rsidRPr="0086274E" w:rsidRDefault="00542E31" w:rsidP="009601C6">
      <w:pPr>
        <w:spacing w:line="360" w:lineRule="auto"/>
        <w:ind w:left="284"/>
        <w:jc w:val="both"/>
        <w:rPr>
          <w:rFonts w:ascii="Arial" w:hAnsi="Arial" w:cs="Arial"/>
          <w:color w:val="002060"/>
          <w:lang w:val="en-US"/>
        </w:rPr>
      </w:pPr>
      <w:r w:rsidRPr="0086274E">
        <w:rPr>
          <w:rFonts w:ascii="Arial" w:hAnsi="Arial" w:cs="Arial"/>
          <w:color w:val="000000"/>
          <w:lang w:val="en-US"/>
        </w:rPr>
        <w:t xml:space="preserve">Wilson, W. and Keen, R. (2023) </w:t>
      </w:r>
      <w:r w:rsidRPr="0086274E">
        <w:rPr>
          <w:rFonts w:ascii="Arial" w:hAnsi="Arial" w:cs="Arial"/>
          <w:i/>
          <w:iCs/>
          <w:color w:val="000000"/>
          <w:lang w:val="en-US"/>
        </w:rPr>
        <w:t>Housing and the Cost of Living</w:t>
      </w:r>
      <w:r w:rsidRPr="0086274E">
        <w:rPr>
          <w:rFonts w:ascii="Arial" w:hAnsi="Arial" w:cs="Arial"/>
          <w:color w:val="000000"/>
          <w:lang w:val="en-US"/>
        </w:rPr>
        <w:t xml:space="preserve">. [online] House of Commons Library. Available at: </w:t>
      </w:r>
      <w:hyperlink r:id="rId42" w:tgtFrame="_new" w:history="1">
        <w:r w:rsidRPr="0086274E">
          <w:rPr>
            <w:rStyle w:val="Hyperlink"/>
            <w:rFonts w:ascii="Arial" w:hAnsi="Arial" w:cs="Arial"/>
            <w:color w:val="002060"/>
            <w:lang w:val="en-US"/>
          </w:rPr>
          <w:t>https://researchbriefings.files.parliament.uk/documents/CBP-9622/CBP-9622.pdf</w:t>
        </w:r>
      </w:hyperlink>
      <w:r w:rsidRPr="0086274E">
        <w:rPr>
          <w:rFonts w:ascii="Arial" w:hAnsi="Arial" w:cs="Arial"/>
          <w:noProof/>
          <w:color w:val="002060"/>
        </w:rPr>
        <mc:AlternateContent>
          <mc:Choice Requires="wps">
            <w:drawing>
              <wp:inline distT="0" distB="0" distL="0" distR="0" wp14:anchorId="2EAA833A" wp14:editId="5E7907D5">
                <wp:extent cx="304800" cy="304800"/>
                <wp:effectExtent l="0" t="0" r="0" b="0"/>
                <wp:docPr id="334177330" name="Rectangle 1">
                  <a:hlinkClick xmlns:a="http://schemas.openxmlformats.org/drawingml/2006/main" r:id="rId43" tooltip="&quot;View this pdf fil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E62C822" id="Rectangle 1" o:spid="_x0000_s1026" href="https://docs.google.com/viewer?url=https%3A%2F%2Fresearchbriefings.files.parliament.uk%2Fdocuments%2FCBP-9622%2FCBP-9622.pdf%3Futm_source%3Dchatgpt.com&amp;embedded=true&amp;chrome=false&amp;dov=1" title="&quot;View this pdf fil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p w14:paraId="7B669CEF" w14:textId="5ABA083F" w:rsidR="00B3589F" w:rsidRDefault="00B3589F" w:rsidP="009601C6">
      <w:pPr>
        <w:spacing w:line="360" w:lineRule="auto"/>
        <w:jc w:val="both"/>
        <w:rPr>
          <w:rFonts w:ascii="Arial" w:hAnsi="Arial" w:cs="Arial"/>
          <w:color w:val="002060"/>
        </w:rPr>
      </w:pPr>
    </w:p>
    <w:p w14:paraId="2DDB3EF1" w14:textId="62279578" w:rsidR="00B55945" w:rsidRDefault="00B55945" w:rsidP="0076337F">
      <w:pPr>
        <w:spacing w:line="360" w:lineRule="auto"/>
        <w:jc w:val="both"/>
        <w:rPr>
          <w:rFonts w:ascii="Arial" w:hAnsi="Arial" w:cs="Arial"/>
          <w:color w:val="002060"/>
        </w:rPr>
      </w:pPr>
    </w:p>
    <w:p w14:paraId="239DFC5B" w14:textId="309452A4" w:rsidR="00B55945" w:rsidRDefault="00B55945" w:rsidP="0076337F">
      <w:pPr>
        <w:spacing w:line="360" w:lineRule="auto"/>
        <w:jc w:val="both"/>
        <w:rPr>
          <w:rFonts w:ascii="Arial" w:hAnsi="Arial" w:cs="Arial"/>
          <w:color w:val="002060"/>
        </w:rPr>
      </w:pPr>
    </w:p>
    <w:p w14:paraId="453329A1" w14:textId="3A797455" w:rsidR="00B55945" w:rsidRDefault="00B55945" w:rsidP="0076337F">
      <w:pPr>
        <w:spacing w:line="360" w:lineRule="auto"/>
        <w:jc w:val="both"/>
        <w:rPr>
          <w:rFonts w:ascii="Arial" w:hAnsi="Arial" w:cs="Arial"/>
          <w:color w:val="002060"/>
        </w:rPr>
      </w:pPr>
    </w:p>
    <w:p w14:paraId="6070BBEA" w14:textId="11C91546" w:rsidR="00B55945" w:rsidRDefault="00B55945" w:rsidP="0076337F">
      <w:pPr>
        <w:spacing w:line="360" w:lineRule="auto"/>
        <w:jc w:val="both"/>
        <w:rPr>
          <w:rFonts w:ascii="Arial" w:hAnsi="Arial" w:cs="Arial"/>
          <w:color w:val="002060"/>
        </w:rPr>
      </w:pPr>
    </w:p>
    <w:p w14:paraId="6A41CEE8" w14:textId="6B680EC4" w:rsidR="00B55945" w:rsidRDefault="00B55945" w:rsidP="0076337F">
      <w:pPr>
        <w:spacing w:line="360" w:lineRule="auto"/>
        <w:jc w:val="both"/>
        <w:rPr>
          <w:rFonts w:ascii="Arial" w:hAnsi="Arial" w:cs="Arial"/>
          <w:color w:val="002060"/>
        </w:rPr>
      </w:pPr>
    </w:p>
    <w:p w14:paraId="120B6F0A" w14:textId="475D4CFC" w:rsidR="00B55945" w:rsidRDefault="00B55945" w:rsidP="0076337F">
      <w:pPr>
        <w:spacing w:line="360" w:lineRule="auto"/>
        <w:jc w:val="both"/>
        <w:rPr>
          <w:rFonts w:ascii="Arial" w:hAnsi="Arial" w:cs="Arial"/>
          <w:color w:val="002060"/>
        </w:rPr>
      </w:pPr>
    </w:p>
    <w:p w14:paraId="615F3F3B" w14:textId="13B8225A" w:rsidR="00B55945" w:rsidRDefault="00B55945" w:rsidP="0076337F">
      <w:pPr>
        <w:spacing w:line="360" w:lineRule="auto"/>
        <w:jc w:val="both"/>
        <w:rPr>
          <w:rFonts w:ascii="Arial" w:hAnsi="Arial" w:cs="Arial"/>
          <w:color w:val="002060"/>
        </w:rPr>
      </w:pPr>
    </w:p>
    <w:p w14:paraId="1A0A9C75" w14:textId="2B54BFF0" w:rsidR="00B55945" w:rsidRDefault="00B55945" w:rsidP="0076337F">
      <w:pPr>
        <w:spacing w:line="360" w:lineRule="auto"/>
        <w:jc w:val="both"/>
        <w:rPr>
          <w:rFonts w:ascii="Arial" w:hAnsi="Arial" w:cs="Arial"/>
          <w:color w:val="002060"/>
        </w:rPr>
      </w:pPr>
    </w:p>
    <w:p w14:paraId="6D5416A7" w14:textId="6A67A7FE" w:rsidR="00B55945" w:rsidRDefault="00B55945" w:rsidP="0076337F">
      <w:pPr>
        <w:spacing w:line="360" w:lineRule="auto"/>
        <w:jc w:val="both"/>
        <w:rPr>
          <w:rFonts w:ascii="Arial" w:hAnsi="Arial" w:cs="Arial"/>
          <w:color w:val="002060"/>
        </w:rPr>
      </w:pPr>
    </w:p>
    <w:p w14:paraId="25A4A4B3" w14:textId="17CAF758" w:rsidR="00B55945" w:rsidRDefault="00B55945" w:rsidP="0076337F">
      <w:pPr>
        <w:spacing w:line="360" w:lineRule="auto"/>
        <w:jc w:val="both"/>
        <w:rPr>
          <w:rFonts w:ascii="Arial" w:hAnsi="Arial" w:cs="Arial"/>
          <w:color w:val="002060"/>
        </w:rPr>
      </w:pPr>
    </w:p>
    <w:p w14:paraId="607FB31F" w14:textId="6AB0DBCA" w:rsidR="00B55945" w:rsidRDefault="00B55945" w:rsidP="0076337F">
      <w:pPr>
        <w:spacing w:line="360" w:lineRule="auto"/>
        <w:jc w:val="both"/>
        <w:rPr>
          <w:rFonts w:ascii="Arial" w:hAnsi="Arial" w:cs="Arial"/>
          <w:color w:val="002060"/>
        </w:rPr>
      </w:pPr>
    </w:p>
    <w:p w14:paraId="1DECB99D" w14:textId="0E33C98A" w:rsidR="00B55945" w:rsidRDefault="00B55945" w:rsidP="0076337F">
      <w:pPr>
        <w:spacing w:line="360" w:lineRule="auto"/>
        <w:jc w:val="both"/>
        <w:rPr>
          <w:rFonts w:ascii="Arial" w:hAnsi="Arial" w:cs="Arial"/>
          <w:color w:val="002060"/>
        </w:rPr>
      </w:pPr>
    </w:p>
    <w:p w14:paraId="73C75A51" w14:textId="26F27B23" w:rsidR="00B55945" w:rsidRDefault="00B55945" w:rsidP="0076337F">
      <w:pPr>
        <w:spacing w:line="360" w:lineRule="auto"/>
        <w:jc w:val="both"/>
        <w:rPr>
          <w:rFonts w:ascii="Arial" w:hAnsi="Arial" w:cs="Arial"/>
          <w:color w:val="002060"/>
        </w:rPr>
      </w:pPr>
    </w:p>
    <w:p w14:paraId="3F6AB353" w14:textId="26B77AB4" w:rsidR="00B55945" w:rsidRDefault="00B55945" w:rsidP="0076337F">
      <w:pPr>
        <w:spacing w:line="360" w:lineRule="auto"/>
        <w:jc w:val="both"/>
        <w:rPr>
          <w:rFonts w:ascii="Arial" w:hAnsi="Arial" w:cs="Arial"/>
          <w:color w:val="002060"/>
        </w:rPr>
      </w:pPr>
    </w:p>
    <w:p w14:paraId="67EB15DE" w14:textId="6B72997F" w:rsidR="00B55945" w:rsidRDefault="00B55945" w:rsidP="0076337F">
      <w:pPr>
        <w:spacing w:line="360" w:lineRule="auto"/>
        <w:jc w:val="both"/>
        <w:rPr>
          <w:rFonts w:ascii="Arial" w:hAnsi="Arial" w:cs="Arial"/>
          <w:color w:val="002060"/>
        </w:rPr>
      </w:pPr>
    </w:p>
    <w:p w14:paraId="267791B1" w14:textId="4757517F" w:rsidR="00B55945" w:rsidRDefault="00B55945" w:rsidP="0076337F">
      <w:pPr>
        <w:spacing w:line="360" w:lineRule="auto"/>
        <w:jc w:val="both"/>
        <w:rPr>
          <w:rFonts w:ascii="Arial" w:hAnsi="Arial" w:cs="Arial"/>
          <w:color w:val="002060"/>
        </w:rPr>
      </w:pPr>
    </w:p>
    <w:p w14:paraId="7BDE4C6D" w14:textId="31EFDEB3" w:rsidR="00B55945" w:rsidRDefault="00B55945" w:rsidP="0076337F">
      <w:pPr>
        <w:spacing w:line="360" w:lineRule="auto"/>
        <w:jc w:val="both"/>
        <w:rPr>
          <w:rFonts w:ascii="Arial" w:hAnsi="Arial" w:cs="Arial"/>
          <w:color w:val="002060"/>
        </w:rPr>
      </w:pPr>
    </w:p>
    <w:p w14:paraId="5A3F36D8" w14:textId="1C8D4778" w:rsidR="00B55945" w:rsidRDefault="00B55945" w:rsidP="0076337F">
      <w:pPr>
        <w:spacing w:line="360" w:lineRule="auto"/>
        <w:jc w:val="both"/>
        <w:rPr>
          <w:rFonts w:ascii="Arial" w:hAnsi="Arial" w:cs="Arial"/>
          <w:color w:val="002060"/>
        </w:rPr>
      </w:pPr>
    </w:p>
    <w:p w14:paraId="72FB7C17" w14:textId="2E228E59" w:rsidR="00B55945" w:rsidRDefault="00B55945" w:rsidP="0076337F">
      <w:pPr>
        <w:spacing w:line="360" w:lineRule="auto"/>
        <w:jc w:val="both"/>
        <w:rPr>
          <w:rFonts w:ascii="Arial" w:hAnsi="Arial" w:cs="Arial"/>
          <w:color w:val="002060"/>
        </w:rPr>
      </w:pPr>
    </w:p>
    <w:p w14:paraId="7EBBAF8A" w14:textId="77777777" w:rsidR="00B55945" w:rsidRDefault="00B55945" w:rsidP="0076337F">
      <w:pPr>
        <w:spacing w:line="360" w:lineRule="auto"/>
        <w:jc w:val="both"/>
        <w:rPr>
          <w:rFonts w:ascii="Arial" w:hAnsi="Arial" w:cs="Arial"/>
          <w:color w:val="002060"/>
        </w:rPr>
      </w:pPr>
    </w:p>
    <w:p w14:paraId="35D2E885" w14:textId="77777777" w:rsidR="008F3139" w:rsidRDefault="008F3139" w:rsidP="0076337F">
      <w:pPr>
        <w:spacing w:line="360" w:lineRule="auto"/>
        <w:jc w:val="both"/>
        <w:rPr>
          <w:rFonts w:ascii="Arial" w:hAnsi="Arial" w:cs="Arial"/>
          <w:color w:val="002060"/>
        </w:rPr>
      </w:pPr>
    </w:p>
    <w:p w14:paraId="605B44EE" w14:textId="77777777" w:rsidR="008F3139" w:rsidRPr="0076337F" w:rsidRDefault="008F3139" w:rsidP="0076337F">
      <w:pPr>
        <w:spacing w:line="360" w:lineRule="auto"/>
        <w:jc w:val="both"/>
        <w:rPr>
          <w:rFonts w:ascii="Arial" w:hAnsi="Arial" w:cs="Arial"/>
          <w:color w:val="002060"/>
        </w:rPr>
      </w:pPr>
    </w:p>
    <w:p w14:paraId="2A9F784F" w14:textId="77777777" w:rsidR="00B3589F" w:rsidRPr="004E3B4F" w:rsidRDefault="005F2975" w:rsidP="000E2633">
      <w:pPr>
        <w:pStyle w:val="Heading1"/>
        <w:spacing w:before="280" w:after="280" w:line="360" w:lineRule="auto"/>
        <w:jc w:val="both"/>
        <w:rPr>
          <w:rFonts w:ascii="Arial" w:eastAsia="Calibri" w:hAnsi="Arial" w:cs="Arial"/>
          <w:color w:val="000000"/>
        </w:rPr>
      </w:pPr>
      <w:bookmarkStart w:id="46" w:name="_Toc214096829"/>
      <w:r w:rsidRPr="001170D2">
        <w:rPr>
          <w:rFonts w:ascii="Arial" w:eastAsia="Calibri" w:hAnsi="Arial" w:cs="Arial"/>
          <w:color w:val="000000"/>
          <w:sz w:val="22"/>
          <w:szCs w:val="22"/>
        </w:rPr>
        <w:lastRenderedPageBreak/>
        <w:t>7.</w:t>
      </w:r>
      <w:r w:rsidRPr="004E3B4F">
        <w:rPr>
          <w:rFonts w:ascii="Arial" w:eastAsia="Calibri" w:hAnsi="Arial" w:cs="Arial"/>
          <w:color w:val="000000"/>
        </w:rPr>
        <w:t>0 Appendices</w:t>
      </w:r>
      <w:bookmarkEnd w:id="46"/>
    </w:p>
    <w:p w14:paraId="42D72F5D" w14:textId="707F21B2" w:rsidR="00B3589F" w:rsidRPr="004E3B4F" w:rsidRDefault="005F2975" w:rsidP="000E2633">
      <w:pPr>
        <w:pStyle w:val="Heading2"/>
        <w:spacing w:line="360" w:lineRule="auto"/>
        <w:rPr>
          <w:rFonts w:ascii="Arial" w:hAnsi="Arial" w:cs="Arial"/>
          <w:color w:val="000000"/>
        </w:rPr>
      </w:pPr>
      <w:bookmarkStart w:id="47" w:name="_Toc214096830"/>
      <w:r w:rsidRPr="004E3B4F">
        <w:rPr>
          <w:rFonts w:ascii="Arial" w:hAnsi="Arial" w:cs="Arial"/>
          <w:color w:val="000000"/>
        </w:rPr>
        <w:t xml:space="preserve">7.1 APPENDIX A: </w:t>
      </w:r>
      <w:r w:rsidR="00F035B9" w:rsidRPr="004E3B4F">
        <w:rPr>
          <w:rFonts w:ascii="Arial" w:hAnsi="Arial" w:cs="Arial"/>
          <w:color w:val="000000"/>
        </w:rPr>
        <w:t>Planning / Research Timeline Table</w:t>
      </w:r>
      <w:bookmarkEnd w:id="47"/>
    </w:p>
    <w:p w14:paraId="583CAF2F" w14:textId="24C30F1E" w:rsidR="00F035B9" w:rsidRDefault="00F035B9" w:rsidP="00F035B9"/>
    <w:p w14:paraId="6A27AA8B" w14:textId="13D81478" w:rsidR="00F035B9" w:rsidRDefault="00F035B9" w:rsidP="00F035B9"/>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38"/>
        <w:gridCol w:w="1418"/>
        <w:gridCol w:w="1275"/>
        <w:gridCol w:w="993"/>
        <w:gridCol w:w="3497"/>
      </w:tblGrid>
      <w:tr w:rsidR="00DC4B92" w:rsidRPr="00F035B9" w14:paraId="25021789" w14:textId="77777777" w:rsidTr="00C63550">
        <w:trPr>
          <w:tblHeader/>
          <w:tblCellSpacing w:w="15" w:type="dxa"/>
        </w:trPr>
        <w:tc>
          <w:tcPr>
            <w:tcW w:w="1793" w:type="dxa"/>
            <w:vAlign w:val="center"/>
            <w:hideMark/>
          </w:tcPr>
          <w:p w14:paraId="04CB5E44" w14:textId="298F6CB9" w:rsidR="00DC4B92" w:rsidRPr="00C63550" w:rsidRDefault="00DC4B92" w:rsidP="00C63550">
            <w:pPr>
              <w:spacing w:line="360" w:lineRule="auto"/>
              <w:rPr>
                <w:rFonts w:ascii="Arial" w:hAnsi="Arial" w:cs="Arial"/>
                <w:b/>
                <w:bCs/>
              </w:rPr>
            </w:pPr>
            <w:r w:rsidRPr="00C63550">
              <w:rPr>
                <w:rFonts w:ascii="Arial" w:hAnsi="Arial" w:cs="Arial"/>
                <w:b/>
                <w:bCs/>
              </w:rPr>
              <w:t>Task</w:t>
            </w:r>
          </w:p>
        </w:tc>
        <w:tc>
          <w:tcPr>
            <w:tcW w:w="1388" w:type="dxa"/>
            <w:vAlign w:val="center"/>
            <w:hideMark/>
          </w:tcPr>
          <w:p w14:paraId="08EBFEDE" w14:textId="12BD01A9" w:rsidR="00DC4B92" w:rsidRPr="00C63550" w:rsidRDefault="00DC4B92" w:rsidP="00C63550">
            <w:pPr>
              <w:spacing w:line="360" w:lineRule="auto"/>
              <w:rPr>
                <w:rFonts w:ascii="Arial" w:hAnsi="Arial" w:cs="Arial"/>
                <w:b/>
                <w:bCs/>
              </w:rPr>
            </w:pPr>
            <w:r w:rsidRPr="00C63550">
              <w:rPr>
                <w:rFonts w:ascii="Arial" w:hAnsi="Arial" w:cs="Arial"/>
                <w:b/>
                <w:bCs/>
              </w:rPr>
              <w:t>Start Date</w:t>
            </w:r>
          </w:p>
        </w:tc>
        <w:tc>
          <w:tcPr>
            <w:tcW w:w="1245" w:type="dxa"/>
            <w:vAlign w:val="center"/>
            <w:hideMark/>
          </w:tcPr>
          <w:p w14:paraId="609D4BE9" w14:textId="1E389A57" w:rsidR="00DC4B92" w:rsidRPr="00C63550" w:rsidRDefault="00DC4B92" w:rsidP="00C63550">
            <w:pPr>
              <w:spacing w:line="360" w:lineRule="auto"/>
              <w:rPr>
                <w:rFonts w:ascii="Arial" w:hAnsi="Arial" w:cs="Arial"/>
                <w:b/>
                <w:bCs/>
              </w:rPr>
            </w:pPr>
            <w:r w:rsidRPr="00C63550">
              <w:rPr>
                <w:rFonts w:ascii="Arial" w:hAnsi="Arial" w:cs="Arial"/>
                <w:b/>
                <w:bCs/>
              </w:rPr>
              <w:t>End Date</w:t>
            </w:r>
          </w:p>
        </w:tc>
        <w:tc>
          <w:tcPr>
            <w:tcW w:w="963" w:type="dxa"/>
            <w:vAlign w:val="center"/>
            <w:hideMark/>
          </w:tcPr>
          <w:p w14:paraId="0D760B81" w14:textId="2F3E8E71" w:rsidR="00DC4B92" w:rsidRPr="00C63550" w:rsidRDefault="00DC4B92" w:rsidP="00C63550">
            <w:pPr>
              <w:spacing w:line="360" w:lineRule="auto"/>
              <w:rPr>
                <w:rFonts w:ascii="Arial" w:hAnsi="Arial" w:cs="Arial"/>
                <w:b/>
                <w:bCs/>
              </w:rPr>
            </w:pPr>
            <w:r w:rsidRPr="00C63550">
              <w:rPr>
                <w:rFonts w:ascii="Arial" w:hAnsi="Arial" w:cs="Arial"/>
                <w:b/>
                <w:bCs/>
              </w:rPr>
              <w:t>Duration (days)</w:t>
            </w:r>
          </w:p>
        </w:tc>
        <w:tc>
          <w:tcPr>
            <w:tcW w:w="3452" w:type="dxa"/>
            <w:vAlign w:val="center"/>
            <w:hideMark/>
          </w:tcPr>
          <w:p w14:paraId="04A40FE3" w14:textId="165CC844" w:rsidR="00DC4B92" w:rsidRPr="00C63550" w:rsidRDefault="00DC4B92" w:rsidP="00C63550">
            <w:pPr>
              <w:spacing w:line="360" w:lineRule="auto"/>
              <w:rPr>
                <w:rFonts w:ascii="Arial" w:hAnsi="Arial" w:cs="Arial"/>
                <w:b/>
                <w:bCs/>
              </w:rPr>
            </w:pPr>
            <w:r w:rsidRPr="00C63550">
              <w:rPr>
                <w:rFonts w:ascii="Arial" w:hAnsi="Arial" w:cs="Arial"/>
                <w:b/>
                <w:bCs/>
              </w:rPr>
              <w:t>Notes</w:t>
            </w:r>
          </w:p>
        </w:tc>
      </w:tr>
      <w:tr w:rsidR="00DC4B92" w:rsidRPr="00F035B9" w14:paraId="3A8B79AB" w14:textId="77777777" w:rsidTr="00C63550">
        <w:trPr>
          <w:tblHeader/>
          <w:tblCellSpacing w:w="15" w:type="dxa"/>
        </w:trPr>
        <w:tc>
          <w:tcPr>
            <w:tcW w:w="1793" w:type="dxa"/>
            <w:vAlign w:val="center"/>
          </w:tcPr>
          <w:p w14:paraId="4743383B" w14:textId="20C8BAD9" w:rsidR="00DC4B92" w:rsidRPr="00C63550" w:rsidRDefault="00DC4B92" w:rsidP="00C63550">
            <w:pPr>
              <w:spacing w:line="360" w:lineRule="auto"/>
              <w:jc w:val="center"/>
              <w:rPr>
                <w:rFonts w:ascii="Arial" w:hAnsi="Arial" w:cs="Arial"/>
                <w:b/>
                <w:bCs/>
              </w:rPr>
            </w:pPr>
            <w:r w:rsidRPr="00C63550">
              <w:rPr>
                <w:rFonts w:ascii="Arial" w:hAnsi="Arial" w:cs="Arial"/>
              </w:rPr>
              <w:t>Finalise literature review</w:t>
            </w:r>
          </w:p>
        </w:tc>
        <w:tc>
          <w:tcPr>
            <w:tcW w:w="1388" w:type="dxa"/>
            <w:vAlign w:val="center"/>
          </w:tcPr>
          <w:p w14:paraId="78D11542" w14:textId="6845F8E7" w:rsidR="00DC4B92" w:rsidRPr="00C63550" w:rsidRDefault="00DC4B92" w:rsidP="00C63550">
            <w:pPr>
              <w:spacing w:line="360" w:lineRule="auto"/>
              <w:jc w:val="center"/>
              <w:rPr>
                <w:rFonts w:ascii="Arial" w:hAnsi="Arial" w:cs="Arial"/>
                <w:b/>
                <w:bCs/>
              </w:rPr>
            </w:pPr>
            <w:r w:rsidRPr="00C63550">
              <w:rPr>
                <w:rFonts w:ascii="Arial" w:hAnsi="Arial" w:cs="Arial"/>
              </w:rPr>
              <w:t>01/10/2025</w:t>
            </w:r>
          </w:p>
        </w:tc>
        <w:tc>
          <w:tcPr>
            <w:tcW w:w="1245" w:type="dxa"/>
            <w:vAlign w:val="center"/>
          </w:tcPr>
          <w:p w14:paraId="08297F6A" w14:textId="17DD22D9" w:rsidR="00DC4B92" w:rsidRPr="00C63550" w:rsidRDefault="00DC4B92" w:rsidP="00C63550">
            <w:pPr>
              <w:spacing w:line="360" w:lineRule="auto"/>
              <w:jc w:val="center"/>
              <w:rPr>
                <w:rFonts w:ascii="Arial" w:hAnsi="Arial" w:cs="Arial"/>
                <w:b/>
                <w:bCs/>
              </w:rPr>
            </w:pPr>
            <w:r w:rsidRPr="00C63550">
              <w:rPr>
                <w:rFonts w:ascii="Arial" w:hAnsi="Arial" w:cs="Arial"/>
              </w:rPr>
              <w:t>07/10/2025</w:t>
            </w:r>
          </w:p>
        </w:tc>
        <w:tc>
          <w:tcPr>
            <w:tcW w:w="963" w:type="dxa"/>
            <w:vAlign w:val="center"/>
          </w:tcPr>
          <w:p w14:paraId="3B09B17E" w14:textId="0E44CA3A" w:rsidR="00DC4B92" w:rsidRPr="00C63550" w:rsidRDefault="00DC4B92" w:rsidP="00C63550">
            <w:pPr>
              <w:spacing w:line="360" w:lineRule="auto"/>
              <w:jc w:val="center"/>
              <w:rPr>
                <w:rFonts w:ascii="Arial" w:hAnsi="Arial" w:cs="Arial"/>
                <w:b/>
                <w:bCs/>
              </w:rPr>
            </w:pPr>
            <w:r w:rsidRPr="00C63550">
              <w:rPr>
                <w:rFonts w:ascii="Arial" w:hAnsi="Arial" w:cs="Arial"/>
              </w:rPr>
              <w:t>7</w:t>
            </w:r>
          </w:p>
        </w:tc>
        <w:tc>
          <w:tcPr>
            <w:tcW w:w="3452" w:type="dxa"/>
            <w:vAlign w:val="center"/>
          </w:tcPr>
          <w:p w14:paraId="7DEAFA26" w14:textId="000ECF04" w:rsidR="00DC4B92" w:rsidRPr="00C63550" w:rsidRDefault="00DC4B92" w:rsidP="00C63550">
            <w:pPr>
              <w:spacing w:line="360" w:lineRule="auto"/>
              <w:jc w:val="center"/>
              <w:rPr>
                <w:rFonts w:ascii="Arial" w:hAnsi="Arial" w:cs="Arial"/>
                <w:b/>
                <w:bCs/>
              </w:rPr>
            </w:pPr>
            <w:r w:rsidRPr="00C63550">
              <w:rPr>
                <w:rFonts w:ascii="Arial" w:hAnsi="Arial" w:cs="Arial"/>
              </w:rPr>
              <w:t>Review and finalise academic sources</w:t>
            </w:r>
          </w:p>
        </w:tc>
      </w:tr>
      <w:tr w:rsidR="00DC4B92" w:rsidRPr="00F035B9" w14:paraId="61253807" w14:textId="77777777" w:rsidTr="00C63550">
        <w:trPr>
          <w:tblHeader/>
          <w:tblCellSpacing w:w="15" w:type="dxa"/>
        </w:trPr>
        <w:tc>
          <w:tcPr>
            <w:tcW w:w="1793" w:type="dxa"/>
            <w:vAlign w:val="center"/>
          </w:tcPr>
          <w:p w14:paraId="4EA321CA" w14:textId="558C8A71" w:rsidR="00DC4B92" w:rsidRPr="00C63550" w:rsidRDefault="00DC4B92" w:rsidP="00C63550">
            <w:pPr>
              <w:spacing w:line="360" w:lineRule="auto"/>
              <w:jc w:val="center"/>
              <w:rPr>
                <w:rFonts w:ascii="Arial" w:hAnsi="Arial" w:cs="Arial"/>
                <w:b/>
                <w:bCs/>
              </w:rPr>
            </w:pPr>
            <w:r w:rsidRPr="00C63550">
              <w:rPr>
                <w:rFonts w:ascii="Arial" w:hAnsi="Arial" w:cs="Arial"/>
              </w:rPr>
              <w:t>Methodology refinement</w:t>
            </w:r>
          </w:p>
        </w:tc>
        <w:tc>
          <w:tcPr>
            <w:tcW w:w="1388" w:type="dxa"/>
            <w:vAlign w:val="center"/>
          </w:tcPr>
          <w:p w14:paraId="63541D32" w14:textId="44D0F427" w:rsidR="00DC4B92" w:rsidRPr="00C63550" w:rsidRDefault="00DC4B92" w:rsidP="00C63550">
            <w:pPr>
              <w:spacing w:line="360" w:lineRule="auto"/>
              <w:jc w:val="center"/>
              <w:rPr>
                <w:rFonts w:ascii="Arial" w:hAnsi="Arial" w:cs="Arial"/>
                <w:b/>
                <w:bCs/>
              </w:rPr>
            </w:pPr>
            <w:r w:rsidRPr="00C63550">
              <w:rPr>
                <w:rFonts w:ascii="Arial" w:hAnsi="Arial" w:cs="Arial"/>
              </w:rPr>
              <w:t>01/10/2025</w:t>
            </w:r>
          </w:p>
        </w:tc>
        <w:tc>
          <w:tcPr>
            <w:tcW w:w="1245" w:type="dxa"/>
            <w:vAlign w:val="center"/>
          </w:tcPr>
          <w:p w14:paraId="2CF0E6B3" w14:textId="11BC0247" w:rsidR="00DC4B92" w:rsidRPr="00C63550" w:rsidRDefault="00DC4B92" w:rsidP="00C63550">
            <w:pPr>
              <w:spacing w:line="360" w:lineRule="auto"/>
              <w:jc w:val="center"/>
              <w:rPr>
                <w:rFonts w:ascii="Arial" w:hAnsi="Arial" w:cs="Arial"/>
                <w:b/>
                <w:bCs/>
              </w:rPr>
            </w:pPr>
            <w:r w:rsidRPr="00C63550">
              <w:rPr>
                <w:rFonts w:ascii="Arial" w:hAnsi="Arial" w:cs="Arial"/>
              </w:rPr>
              <w:t>07/10/2025</w:t>
            </w:r>
          </w:p>
        </w:tc>
        <w:tc>
          <w:tcPr>
            <w:tcW w:w="963" w:type="dxa"/>
            <w:vAlign w:val="center"/>
          </w:tcPr>
          <w:p w14:paraId="30CF2B35" w14:textId="233CC29A" w:rsidR="00DC4B92" w:rsidRPr="00C63550" w:rsidRDefault="00DC4B92" w:rsidP="00C63550">
            <w:pPr>
              <w:spacing w:line="360" w:lineRule="auto"/>
              <w:jc w:val="center"/>
              <w:rPr>
                <w:rFonts w:ascii="Arial" w:hAnsi="Arial" w:cs="Arial"/>
                <w:b/>
                <w:bCs/>
              </w:rPr>
            </w:pPr>
            <w:r w:rsidRPr="00C63550">
              <w:rPr>
                <w:rFonts w:ascii="Arial" w:hAnsi="Arial" w:cs="Arial"/>
              </w:rPr>
              <w:t>7</w:t>
            </w:r>
          </w:p>
        </w:tc>
        <w:tc>
          <w:tcPr>
            <w:tcW w:w="3452" w:type="dxa"/>
            <w:vAlign w:val="center"/>
          </w:tcPr>
          <w:p w14:paraId="16B9635A" w14:textId="6D024504" w:rsidR="00DC4B92" w:rsidRPr="00C63550" w:rsidRDefault="00DC4B92" w:rsidP="00C63550">
            <w:pPr>
              <w:spacing w:line="360" w:lineRule="auto"/>
              <w:jc w:val="center"/>
              <w:rPr>
                <w:rFonts w:ascii="Arial" w:hAnsi="Arial" w:cs="Arial"/>
                <w:b/>
                <w:bCs/>
              </w:rPr>
            </w:pPr>
            <w:r w:rsidRPr="00C63550">
              <w:rPr>
                <w:rFonts w:ascii="Arial" w:hAnsi="Arial" w:cs="Arial"/>
              </w:rPr>
              <w:t>Final adjustments to research strategy</w:t>
            </w:r>
          </w:p>
        </w:tc>
      </w:tr>
      <w:tr w:rsidR="00DC4B92" w:rsidRPr="00F035B9" w14:paraId="28A7CD14" w14:textId="77777777" w:rsidTr="00C63550">
        <w:trPr>
          <w:tblHeader/>
          <w:tblCellSpacing w:w="15" w:type="dxa"/>
        </w:trPr>
        <w:tc>
          <w:tcPr>
            <w:tcW w:w="1793" w:type="dxa"/>
            <w:vAlign w:val="center"/>
          </w:tcPr>
          <w:p w14:paraId="7EDC32D0" w14:textId="2FAE8193" w:rsidR="00DC4B92" w:rsidRPr="00C63550" w:rsidRDefault="00DC4B92" w:rsidP="00C63550">
            <w:pPr>
              <w:spacing w:line="360" w:lineRule="auto"/>
              <w:jc w:val="center"/>
              <w:rPr>
                <w:rFonts w:ascii="Arial" w:hAnsi="Arial" w:cs="Arial"/>
                <w:b/>
                <w:bCs/>
              </w:rPr>
            </w:pPr>
            <w:r w:rsidRPr="00C63550">
              <w:rPr>
                <w:rFonts w:ascii="Arial" w:hAnsi="Arial" w:cs="Arial"/>
              </w:rPr>
              <w:t>Data collection</w:t>
            </w:r>
          </w:p>
        </w:tc>
        <w:tc>
          <w:tcPr>
            <w:tcW w:w="1388" w:type="dxa"/>
            <w:vAlign w:val="center"/>
          </w:tcPr>
          <w:p w14:paraId="609644FB" w14:textId="25B3615D" w:rsidR="00DC4B92" w:rsidRPr="00C63550" w:rsidRDefault="00DC4B92" w:rsidP="00C63550">
            <w:pPr>
              <w:spacing w:line="360" w:lineRule="auto"/>
              <w:jc w:val="center"/>
              <w:rPr>
                <w:rFonts w:ascii="Arial" w:hAnsi="Arial" w:cs="Arial"/>
                <w:b/>
                <w:bCs/>
              </w:rPr>
            </w:pPr>
            <w:r w:rsidRPr="00C63550">
              <w:rPr>
                <w:rFonts w:ascii="Arial" w:hAnsi="Arial" w:cs="Arial"/>
              </w:rPr>
              <w:t>08/10/2025</w:t>
            </w:r>
          </w:p>
        </w:tc>
        <w:tc>
          <w:tcPr>
            <w:tcW w:w="1245" w:type="dxa"/>
            <w:vAlign w:val="center"/>
          </w:tcPr>
          <w:p w14:paraId="7FE12EEA" w14:textId="5474E1F2" w:rsidR="00DC4B92" w:rsidRPr="00C63550" w:rsidRDefault="00DC4B92" w:rsidP="00C63550">
            <w:pPr>
              <w:spacing w:line="360" w:lineRule="auto"/>
              <w:jc w:val="center"/>
              <w:rPr>
                <w:rFonts w:ascii="Arial" w:hAnsi="Arial" w:cs="Arial"/>
                <w:b/>
                <w:bCs/>
              </w:rPr>
            </w:pPr>
            <w:r w:rsidRPr="00C63550">
              <w:rPr>
                <w:rFonts w:ascii="Arial" w:hAnsi="Arial" w:cs="Arial"/>
              </w:rPr>
              <w:t>21/10/2025</w:t>
            </w:r>
          </w:p>
        </w:tc>
        <w:tc>
          <w:tcPr>
            <w:tcW w:w="963" w:type="dxa"/>
            <w:vAlign w:val="center"/>
          </w:tcPr>
          <w:p w14:paraId="7CD1D020" w14:textId="3DCC7FD2" w:rsidR="00DC4B92" w:rsidRPr="00C63550" w:rsidRDefault="00DC4B92" w:rsidP="00C63550">
            <w:pPr>
              <w:spacing w:line="360" w:lineRule="auto"/>
              <w:jc w:val="center"/>
              <w:rPr>
                <w:rFonts w:ascii="Arial" w:hAnsi="Arial" w:cs="Arial"/>
                <w:b/>
                <w:bCs/>
              </w:rPr>
            </w:pPr>
            <w:r w:rsidRPr="00C63550">
              <w:rPr>
                <w:rFonts w:ascii="Arial" w:hAnsi="Arial" w:cs="Arial"/>
              </w:rPr>
              <w:t>14</w:t>
            </w:r>
          </w:p>
        </w:tc>
        <w:tc>
          <w:tcPr>
            <w:tcW w:w="3452" w:type="dxa"/>
            <w:vAlign w:val="center"/>
          </w:tcPr>
          <w:p w14:paraId="182A450D" w14:textId="3C25833F" w:rsidR="00DC4B92" w:rsidRPr="00C63550" w:rsidRDefault="00C63550" w:rsidP="00C63550">
            <w:pPr>
              <w:spacing w:line="360" w:lineRule="auto"/>
              <w:jc w:val="center"/>
              <w:rPr>
                <w:rFonts w:ascii="Arial" w:hAnsi="Arial" w:cs="Arial"/>
                <w:b/>
                <w:bCs/>
              </w:rPr>
            </w:pPr>
            <w:r>
              <w:rPr>
                <w:rFonts w:ascii="Arial" w:hAnsi="Arial" w:cs="Arial"/>
              </w:rPr>
              <w:t>D</w:t>
            </w:r>
            <w:r w:rsidR="00DC4B92" w:rsidRPr="00C63550">
              <w:rPr>
                <w:rFonts w:ascii="Arial" w:hAnsi="Arial" w:cs="Arial"/>
              </w:rPr>
              <w:t>ata gathering</w:t>
            </w:r>
          </w:p>
        </w:tc>
      </w:tr>
      <w:tr w:rsidR="00DC4B92" w:rsidRPr="00F035B9" w14:paraId="3B502633" w14:textId="77777777" w:rsidTr="00C63550">
        <w:trPr>
          <w:tblHeader/>
          <w:tblCellSpacing w:w="15" w:type="dxa"/>
        </w:trPr>
        <w:tc>
          <w:tcPr>
            <w:tcW w:w="1793" w:type="dxa"/>
            <w:vAlign w:val="center"/>
          </w:tcPr>
          <w:p w14:paraId="5ED89110" w14:textId="048E3B83" w:rsidR="00DC4B92" w:rsidRPr="00C63550" w:rsidRDefault="00DC4B92" w:rsidP="00C63550">
            <w:pPr>
              <w:spacing w:line="360" w:lineRule="auto"/>
              <w:jc w:val="center"/>
              <w:rPr>
                <w:rFonts w:ascii="Arial" w:hAnsi="Arial" w:cs="Arial"/>
                <w:b/>
                <w:bCs/>
              </w:rPr>
            </w:pPr>
            <w:r w:rsidRPr="00C63550">
              <w:rPr>
                <w:rFonts w:ascii="Arial" w:hAnsi="Arial" w:cs="Arial"/>
              </w:rPr>
              <w:t>Data analysis</w:t>
            </w:r>
          </w:p>
        </w:tc>
        <w:tc>
          <w:tcPr>
            <w:tcW w:w="1388" w:type="dxa"/>
            <w:vAlign w:val="center"/>
          </w:tcPr>
          <w:p w14:paraId="3541F3FF" w14:textId="5E0921F0" w:rsidR="00DC4B92" w:rsidRPr="00C63550" w:rsidRDefault="00DC4B92" w:rsidP="00C63550">
            <w:pPr>
              <w:spacing w:line="360" w:lineRule="auto"/>
              <w:jc w:val="center"/>
              <w:rPr>
                <w:rFonts w:ascii="Arial" w:hAnsi="Arial" w:cs="Arial"/>
                <w:b/>
                <w:bCs/>
              </w:rPr>
            </w:pPr>
            <w:r w:rsidRPr="00C63550">
              <w:rPr>
                <w:rFonts w:ascii="Arial" w:hAnsi="Arial" w:cs="Arial"/>
              </w:rPr>
              <w:t>22/10/2025</w:t>
            </w:r>
          </w:p>
        </w:tc>
        <w:tc>
          <w:tcPr>
            <w:tcW w:w="1245" w:type="dxa"/>
            <w:vAlign w:val="center"/>
          </w:tcPr>
          <w:p w14:paraId="3E3A47AB" w14:textId="70CCE0DF" w:rsidR="00DC4B92" w:rsidRPr="00C63550" w:rsidRDefault="00DC4B92" w:rsidP="00C63550">
            <w:pPr>
              <w:spacing w:line="360" w:lineRule="auto"/>
              <w:jc w:val="center"/>
              <w:rPr>
                <w:rFonts w:ascii="Arial" w:hAnsi="Arial" w:cs="Arial"/>
                <w:b/>
                <w:bCs/>
              </w:rPr>
            </w:pPr>
            <w:r w:rsidRPr="00C63550">
              <w:rPr>
                <w:rFonts w:ascii="Arial" w:hAnsi="Arial" w:cs="Arial"/>
              </w:rPr>
              <w:t>04/11/2025</w:t>
            </w:r>
          </w:p>
        </w:tc>
        <w:tc>
          <w:tcPr>
            <w:tcW w:w="963" w:type="dxa"/>
            <w:vAlign w:val="center"/>
          </w:tcPr>
          <w:p w14:paraId="5CDC3047" w14:textId="4D471A62" w:rsidR="00DC4B92" w:rsidRPr="00C63550" w:rsidRDefault="00DC4B92" w:rsidP="00C63550">
            <w:pPr>
              <w:spacing w:line="360" w:lineRule="auto"/>
              <w:jc w:val="center"/>
              <w:rPr>
                <w:rFonts w:ascii="Arial" w:hAnsi="Arial" w:cs="Arial"/>
                <w:b/>
                <w:bCs/>
              </w:rPr>
            </w:pPr>
            <w:r w:rsidRPr="00C63550">
              <w:rPr>
                <w:rFonts w:ascii="Arial" w:hAnsi="Arial" w:cs="Arial"/>
              </w:rPr>
              <w:t>14</w:t>
            </w:r>
          </w:p>
        </w:tc>
        <w:tc>
          <w:tcPr>
            <w:tcW w:w="3452" w:type="dxa"/>
            <w:vAlign w:val="center"/>
          </w:tcPr>
          <w:p w14:paraId="063506BD" w14:textId="3BCC10B9" w:rsidR="00DC4B92" w:rsidRPr="00C63550" w:rsidRDefault="00DC4B92" w:rsidP="00C63550">
            <w:pPr>
              <w:spacing w:line="360" w:lineRule="auto"/>
              <w:jc w:val="center"/>
              <w:rPr>
                <w:rFonts w:ascii="Arial" w:hAnsi="Arial" w:cs="Arial"/>
                <w:b/>
                <w:bCs/>
              </w:rPr>
            </w:pPr>
            <w:r w:rsidRPr="00C63550">
              <w:rPr>
                <w:rFonts w:ascii="Arial" w:hAnsi="Arial" w:cs="Arial"/>
              </w:rPr>
              <w:t>Analyse and interpret collected data</w:t>
            </w:r>
          </w:p>
        </w:tc>
      </w:tr>
      <w:tr w:rsidR="00DC4B92" w:rsidRPr="00F035B9" w14:paraId="6123A1D9" w14:textId="77777777" w:rsidTr="00C63550">
        <w:trPr>
          <w:tblCellSpacing w:w="15" w:type="dxa"/>
        </w:trPr>
        <w:tc>
          <w:tcPr>
            <w:tcW w:w="1793" w:type="dxa"/>
            <w:vAlign w:val="center"/>
            <w:hideMark/>
          </w:tcPr>
          <w:p w14:paraId="5C4DB2B7" w14:textId="060BDE8C" w:rsidR="00DC4B92" w:rsidRPr="00C63550" w:rsidRDefault="00DC4B92" w:rsidP="00C63550">
            <w:pPr>
              <w:spacing w:line="360" w:lineRule="auto"/>
              <w:jc w:val="center"/>
              <w:rPr>
                <w:rFonts w:ascii="Arial" w:hAnsi="Arial" w:cs="Arial"/>
              </w:rPr>
            </w:pPr>
            <w:r w:rsidRPr="00C63550">
              <w:rPr>
                <w:rFonts w:ascii="Arial" w:hAnsi="Arial" w:cs="Arial"/>
              </w:rPr>
              <w:t>Writing dissertation chapters</w:t>
            </w:r>
          </w:p>
        </w:tc>
        <w:tc>
          <w:tcPr>
            <w:tcW w:w="1388" w:type="dxa"/>
            <w:vAlign w:val="center"/>
            <w:hideMark/>
          </w:tcPr>
          <w:p w14:paraId="2BCE0F6B" w14:textId="1D15F9C0" w:rsidR="00DC4B92" w:rsidRPr="00C63550" w:rsidRDefault="00DC4B92" w:rsidP="00C63550">
            <w:pPr>
              <w:spacing w:line="360" w:lineRule="auto"/>
              <w:jc w:val="center"/>
              <w:rPr>
                <w:rFonts w:ascii="Arial" w:hAnsi="Arial" w:cs="Arial"/>
              </w:rPr>
            </w:pPr>
            <w:r w:rsidRPr="00C63550">
              <w:rPr>
                <w:rFonts w:ascii="Arial" w:hAnsi="Arial" w:cs="Arial"/>
              </w:rPr>
              <w:t>22/10/2025</w:t>
            </w:r>
          </w:p>
        </w:tc>
        <w:tc>
          <w:tcPr>
            <w:tcW w:w="1245" w:type="dxa"/>
            <w:vAlign w:val="center"/>
            <w:hideMark/>
          </w:tcPr>
          <w:p w14:paraId="1B3235CB" w14:textId="77C49225" w:rsidR="00DC4B92" w:rsidRPr="00C63550" w:rsidRDefault="00DC4B92" w:rsidP="00C63550">
            <w:pPr>
              <w:spacing w:line="360" w:lineRule="auto"/>
              <w:jc w:val="center"/>
              <w:rPr>
                <w:rFonts w:ascii="Arial" w:hAnsi="Arial" w:cs="Arial"/>
              </w:rPr>
            </w:pPr>
            <w:r w:rsidRPr="00C63550">
              <w:rPr>
                <w:rFonts w:ascii="Arial" w:hAnsi="Arial" w:cs="Arial"/>
              </w:rPr>
              <w:t>04/11/2025</w:t>
            </w:r>
          </w:p>
        </w:tc>
        <w:tc>
          <w:tcPr>
            <w:tcW w:w="963" w:type="dxa"/>
            <w:vAlign w:val="center"/>
            <w:hideMark/>
          </w:tcPr>
          <w:p w14:paraId="70466FE1" w14:textId="45D60D05" w:rsidR="00DC4B92" w:rsidRPr="00C63550" w:rsidRDefault="00DC4B92" w:rsidP="00C63550">
            <w:pPr>
              <w:spacing w:line="360" w:lineRule="auto"/>
              <w:jc w:val="center"/>
              <w:rPr>
                <w:rFonts w:ascii="Arial" w:hAnsi="Arial" w:cs="Arial"/>
              </w:rPr>
            </w:pPr>
            <w:r w:rsidRPr="00C63550">
              <w:rPr>
                <w:rFonts w:ascii="Arial" w:hAnsi="Arial" w:cs="Arial"/>
              </w:rPr>
              <w:t>14</w:t>
            </w:r>
          </w:p>
        </w:tc>
        <w:tc>
          <w:tcPr>
            <w:tcW w:w="3452" w:type="dxa"/>
            <w:vAlign w:val="center"/>
            <w:hideMark/>
          </w:tcPr>
          <w:p w14:paraId="593F0159" w14:textId="039B2707" w:rsidR="00DC4B92" w:rsidRPr="00C63550" w:rsidRDefault="00DC4B92" w:rsidP="00C63550">
            <w:pPr>
              <w:spacing w:line="360" w:lineRule="auto"/>
              <w:jc w:val="center"/>
              <w:rPr>
                <w:rFonts w:ascii="Arial" w:hAnsi="Arial" w:cs="Arial"/>
              </w:rPr>
            </w:pPr>
            <w:r w:rsidRPr="00C63550">
              <w:rPr>
                <w:rFonts w:ascii="Arial" w:hAnsi="Arial" w:cs="Arial"/>
              </w:rPr>
              <w:t>Write literature review, methodology, findings, discussion &amp; conclusion</w:t>
            </w:r>
          </w:p>
        </w:tc>
      </w:tr>
      <w:tr w:rsidR="00DC4B92" w:rsidRPr="00F035B9" w14:paraId="253D9C0C" w14:textId="77777777" w:rsidTr="00C63550">
        <w:trPr>
          <w:tblCellSpacing w:w="15" w:type="dxa"/>
        </w:trPr>
        <w:tc>
          <w:tcPr>
            <w:tcW w:w="1793" w:type="dxa"/>
            <w:vAlign w:val="center"/>
            <w:hideMark/>
          </w:tcPr>
          <w:p w14:paraId="2F04FEF7" w14:textId="70D02B84" w:rsidR="00DC4B92" w:rsidRPr="00C63550" w:rsidRDefault="00DC4B92" w:rsidP="00C63550">
            <w:pPr>
              <w:spacing w:line="360" w:lineRule="auto"/>
              <w:jc w:val="center"/>
              <w:rPr>
                <w:rFonts w:ascii="Arial" w:hAnsi="Arial" w:cs="Arial"/>
              </w:rPr>
            </w:pPr>
            <w:r w:rsidRPr="00C63550">
              <w:rPr>
                <w:rFonts w:ascii="Arial" w:hAnsi="Arial" w:cs="Arial"/>
              </w:rPr>
              <w:t>Proofreading &amp; formatting</w:t>
            </w:r>
          </w:p>
        </w:tc>
        <w:tc>
          <w:tcPr>
            <w:tcW w:w="1388" w:type="dxa"/>
            <w:vAlign w:val="center"/>
            <w:hideMark/>
          </w:tcPr>
          <w:p w14:paraId="6DB60A3E" w14:textId="28A62044" w:rsidR="00DC4B92" w:rsidRPr="00C63550" w:rsidRDefault="00DC4B92" w:rsidP="00C63550">
            <w:pPr>
              <w:spacing w:line="360" w:lineRule="auto"/>
              <w:jc w:val="center"/>
              <w:rPr>
                <w:rFonts w:ascii="Arial" w:hAnsi="Arial" w:cs="Arial"/>
              </w:rPr>
            </w:pPr>
            <w:r w:rsidRPr="00C63550">
              <w:rPr>
                <w:rFonts w:ascii="Arial" w:hAnsi="Arial" w:cs="Arial"/>
              </w:rPr>
              <w:t>05/11/2025</w:t>
            </w:r>
          </w:p>
        </w:tc>
        <w:tc>
          <w:tcPr>
            <w:tcW w:w="1245" w:type="dxa"/>
            <w:vAlign w:val="center"/>
            <w:hideMark/>
          </w:tcPr>
          <w:p w14:paraId="7BB3D56B" w14:textId="4D702F27" w:rsidR="00DC4B92" w:rsidRPr="00C63550" w:rsidRDefault="00DC4B92" w:rsidP="00C63550">
            <w:pPr>
              <w:spacing w:line="360" w:lineRule="auto"/>
              <w:jc w:val="center"/>
              <w:rPr>
                <w:rFonts w:ascii="Arial" w:hAnsi="Arial" w:cs="Arial"/>
              </w:rPr>
            </w:pPr>
            <w:r w:rsidRPr="00C63550">
              <w:rPr>
                <w:rFonts w:ascii="Arial" w:hAnsi="Arial" w:cs="Arial"/>
              </w:rPr>
              <w:t>14/11/2025</w:t>
            </w:r>
          </w:p>
        </w:tc>
        <w:tc>
          <w:tcPr>
            <w:tcW w:w="963" w:type="dxa"/>
            <w:vAlign w:val="center"/>
            <w:hideMark/>
          </w:tcPr>
          <w:p w14:paraId="3D0F7577" w14:textId="66D53D5D" w:rsidR="00DC4B92" w:rsidRPr="00C63550" w:rsidRDefault="00DC4B92" w:rsidP="00C63550">
            <w:pPr>
              <w:spacing w:line="360" w:lineRule="auto"/>
              <w:jc w:val="center"/>
              <w:rPr>
                <w:rFonts w:ascii="Arial" w:hAnsi="Arial" w:cs="Arial"/>
              </w:rPr>
            </w:pPr>
            <w:r w:rsidRPr="00C63550">
              <w:rPr>
                <w:rFonts w:ascii="Arial" w:hAnsi="Arial" w:cs="Arial"/>
              </w:rPr>
              <w:t>10</w:t>
            </w:r>
          </w:p>
        </w:tc>
        <w:tc>
          <w:tcPr>
            <w:tcW w:w="3452" w:type="dxa"/>
            <w:vAlign w:val="center"/>
            <w:hideMark/>
          </w:tcPr>
          <w:p w14:paraId="151A18FF" w14:textId="1F8FCEBE" w:rsidR="00DC4B92" w:rsidRPr="00C63550" w:rsidRDefault="00DC4B92" w:rsidP="00C63550">
            <w:pPr>
              <w:spacing w:line="360" w:lineRule="auto"/>
              <w:jc w:val="center"/>
              <w:rPr>
                <w:rFonts w:ascii="Arial" w:hAnsi="Arial" w:cs="Arial"/>
              </w:rPr>
            </w:pPr>
            <w:r w:rsidRPr="00C63550">
              <w:rPr>
                <w:rFonts w:ascii="Arial" w:hAnsi="Arial" w:cs="Arial"/>
              </w:rPr>
              <w:t>Final editing and formatting prior to submission</w:t>
            </w:r>
          </w:p>
        </w:tc>
      </w:tr>
    </w:tbl>
    <w:p w14:paraId="65CBFCCA" w14:textId="6CF36F16" w:rsidR="00F035B9" w:rsidRDefault="00F035B9" w:rsidP="00F035B9">
      <w:r>
        <w:t xml:space="preserve">  </w:t>
      </w:r>
    </w:p>
    <w:p w14:paraId="51F98E43" w14:textId="0CC72645" w:rsidR="00390C1F" w:rsidRDefault="00390C1F" w:rsidP="00F035B9"/>
    <w:p w14:paraId="4F13E1C2" w14:textId="257A0F9A" w:rsidR="00390C1F" w:rsidRDefault="00390C1F" w:rsidP="00F035B9"/>
    <w:p w14:paraId="56B54582" w14:textId="3A038171" w:rsidR="00390C1F" w:rsidRDefault="00390C1F" w:rsidP="00F035B9"/>
    <w:p w14:paraId="33899016" w14:textId="396AF96F" w:rsidR="00390C1F" w:rsidRDefault="00390C1F" w:rsidP="00F035B9"/>
    <w:p w14:paraId="57EFF881" w14:textId="690FB3EA" w:rsidR="00390C1F" w:rsidRDefault="00390C1F" w:rsidP="00F035B9"/>
    <w:p w14:paraId="1A75F61F" w14:textId="1E7ED498" w:rsidR="00390C1F" w:rsidRDefault="00390C1F" w:rsidP="00F035B9"/>
    <w:p w14:paraId="02AE884A" w14:textId="3A86B515" w:rsidR="00390C1F" w:rsidRDefault="00390C1F" w:rsidP="00F035B9"/>
    <w:p w14:paraId="5CDDC9C2" w14:textId="664B9A38" w:rsidR="00390C1F" w:rsidRDefault="00390C1F" w:rsidP="00F035B9"/>
    <w:p w14:paraId="7D6840D0" w14:textId="121AECB0" w:rsidR="00390C1F" w:rsidRDefault="00390C1F" w:rsidP="00F035B9"/>
    <w:p w14:paraId="2DF6DD20" w14:textId="28E19D5B" w:rsidR="00390C1F" w:rsidRDefault="00390C1F" w:rsidP="00F035B9"/>
    <w:p w14:paraId="725E6F4D" w14:textId="56370767" w:rsidR="00390C1F" w:rsidRDefault="00390C1F" w:rsidP="00F035B9"/>
    <w:p w14:paraId="1823CE6A" w14:textId="4D2325EB" w:rsidR="00390C1F" w:rsidRDefault="00390C1F" w:rsidP="00F035B9"/>
    <w:p w14:paraId="587285CE" w14:textId="77777777" w:rsidR="00390C1F" w:rsidRDefault="00390C1F" w:rsidP="00F035B9"/>
    <w:p w14:paraId="175E6FB9" w14:textId="77777777" w:rsidR="003335A8" w:rsidRDefault="003335A8" w:rsidP="003335A8">
      <w:pPr>
        <w:pStyle w:val="Heading2"/>
        <w:spacing w:line="360" w:lineRule="auto"/>
        <w:rPr>
          <w:rFonts w:ascii="Arial" w:hAnsi="Arial" w:cs="Arial"/>
          <w:color w:val="000000"/>
        </w:rPr>
      </w:pPr>
      <w:bookmarkStart w:id="48" w:name="_Toc214096831"/>
      <w:r>
        <w:rPr>
          <w:rFonts w:ascii="Arial" w:hAnsi="Arial" w:cs="Arial"/>
          <w:color w:val="000000"/>
        </w:rPr>
        <w:lastRenderedPageBreak/>
        <w:t>7.2 APPENDIX B</w:t>
      </w:r>
      <w:r w:rsidRPr="004E3B4F">
        <w:rPr>
          <w:rFonts w:ascii="Arial" w:hAnsi="Arial" w:cs="Arial"/>
          <w:color w:val="000000"/>
        </w:rPr>
        <w:t xml:space="preserve">: </w:t>
      </w:r>
      <w:r w:rsidRPr="003335A8">
        <w:rPr>
          <w:rFonts w:ascii="Arial" w:hAnsi="Arial" w:cs="Arial"/>
          <w:color w:val="000000"/>
        </w:rPr>
        <w:t>Literature Review Summary Table</w:t>
      </w:r>
      <w:bookmarkEnd w:id="48"/>
    </w:p>
    <w:p w14:paraId="5CEF3325" w14:textId="39629E44" w:rsidR="003335A8" w:rsidRDefault="003335A8" w:rsidP="003335A8">
      <w:pPr>
        <w:pStyle w:val="Heading2"/>
        <w:spacing w:line="360" w:lineRule="auto"/>
        <w:rPr>
          <w:rFonts w:ascii="Arial" w:hAnsi="Arial" w:cs="Arial"/>
          <w:color w:val="000000"/>
        </w:rPr>
      </w:pPr>
      <w:r>
        <w:rPr>
          <w:rFonts w:ascii="Arial" w:hAnsi="Arial" w:cs="Arial"/>
          <w:color w:val="000000"/>
        </w:rPr>
        <w:t xml:space="preserve"> </w:t>
      </w:r>
      <w:bookmarkStart w:id="49" w:name="_Toc214096832"/>
      <w:r w:rsidRPr="003335A8">
        <w:rPr>
          <w:rFonts w:ascii="Arial" w:hAnsi="Arial" w:cs="Arial"/>
          <w:color w:val="000000"/>
        </w:rPr>
        <w:t>Table B1. Summary of Key Literature Reviewed</w:t>
      </w:r>
      <w:bookmarkEnd w:id="49"/>
    </w:p>
    <w:p w14:paraId="6CAE5E55" w14:textId="77777777" w:rsidR="003335A8" w:rsidRPr="003335A8" w:rsidRDefault="003335A8" w:rsidP="003335A8"/>
    <w:tbl>
      <w:tblPr>
        <w:tblStyle w:val="TableGrid"/>
        <w:tblW w:w="0" w:type="auto"/>
        <w:tblLook w:val="04A0" w:firstRow="1" w:lastRow="0" w:firstColumn="1" w:lastColumn="0" w:noHBand="0" w:noVBand="1"/>
      </w:tblPr>
      <w:tblGrid>
        <w:gridCol w:w="2335"/>
        <w:gridCol w:w="2335"/>
        <w:gridCol w:w="2344"/>
        <w:gridCol w:w="2336"/>
      </w:tblGrid>
      <w:tr w:rsidR="003335A8" w:rsidRPr="00435E78" w14:paraId="1556F5DE" w14:textId="77777777" w:rsidTr="003335A8">
        <w:tc>
          <w:tcPr>
            <w:tcW w:w="2337" w:type="dxa"/>
            <w:vAlign w:val="center"/>
          </w:tcPr>
          <w:p w14:paraId="642D37DF" w14:textId="4CA7990D" w:rsidR="003335A8" w:rsidRPr="00435E78" w:rsidRDefault="003335A8" w:rsidP="003335A8">
            <w:pPr>
              <w:rPr>
                <w:rFonts w:ascii="Arial" w:hAnsi="Arial" w:cs="Arial"/>
              </w:rPr>
            </w:pPr>
            <w:r w:rsidRPr="00435E78">
              <w:rPr>
                <w:rStyle w:val="Strong"/>
                <w:rFonts w:ascii="Arial" w:hAnsi="Arial" w:cs="Arial"/>
              </w:rPr>
              <w:t>Author(s) &amp; Year</w:t>
            </w:r>
          </w:p>
        </w:tc>
        <w:tc>
          <w:tcPr>
            <w:tcW w:w="2337" w:type="dxa"/>
            <w:vAlign w:val="center"/>
          </w:tcPr>
          <w:p w14:paraId="35C555A8" w14:textId="54A75BB7" w:rsidR="003335A8" w:rsidRPr="00435E78" w:rsidRDefault="003335A8" w:rsidP="003335A8">
            <w:pPr>
              <w:rPr>
                <w:rFonts w:ascii="Arial" w:hAnsi="Arial" w:cs="Arial"/>
              </w:rPr>
            </w:pPr>
            <w:r w:rsidRPr="00435E78">
              <w:rPr>
                <w:rStyle w:val="Strong"/>
                <w:rFonts w:ascii="Arial" w:hAnsi="Arial" w:cs="Arial"/>
              </w:rPr>
              <w:t>Focus of Study</w:t>
            </w:r>
          </w:p>
        </w:tc>
        <w:tc>
          <w:tcPr>
            <w:tcW w:w="2338" w:type="dxa"/>
            <w:vAlign w:val="center"/>
          </w:tcPr>
          <w:p w14:paraId="6E73DA3B" w14:textId="33766D13" w:rsidR="003335A8" w:rsidRPr="00435E78" w:rsidRDefault="003335A8" w:rsidP="003335A8">
            <w:pPr>
              <w:rPr>
                <w:rFonts w:ascii="Arial" w:hAnsi="Arial" w:cs="Arial"/>
              </w:rPr>
            </w:pPr>
            <w:r w:rsidRPr="00435E78">
              <w:rPr>
                <w:rStyle w:val="Strong"/>
                <w:rFonts w:ascii="Arial" w:hAnsi="Arial" w:cs="Arial"/>
              </w:rPr>
              <w:t>Key Findings</w:t>
            </w:r>
          </w:p>
        </w:tc>
        <w:tc>
          <w:tcPr>
            <w:tcW w:w="2338" w:type="dxa"/>
            <w:vAlign w:val="center"/>
          </w:tcPr>
          <w:p w14:paraId="6D87FF38" w14:textId="61433377" w:rsidR="003335A8" w:rsidRPr="00435E78" w:rsidRDefault="003335A8" w:rsidP="003335A8">
            <w:pPr>
              <w:rPr>
                <w:rFonts w:ascii="Arial" w:hAnsi="Arial" w:cs="Arial"/>
              </w:rPr>
            </w:pPr>
            <w:r w:rsidRPr="00435E78">
              <w:rPr>
                <w:rStyle w:val="Strong"/>
                <w:rFonts w:ascii="Arial" w:hAnsi="Arial" w:cs="Arial"/>
              </w:rPr>
              <w:t>Relevance to This Research</w:t>
            </w:r>
          </w:p>
        </w:tc>
      </w:tr>
      <w:tr w:rsidR="003335A8" w:rsidRPr="00435E78" w14:paraId="231798A4" w14:textId="77777777" w:rsidTr="003335A8">
        <w:tc>
          <w:tcPr>
            <w:tcW w:w="2337" w:type="dxa"/>
            <w:vAlign w:val="center"/>
          </w:tcPr>
          <w:p w14:paraId="1562D8A0" w14:textId="6A1A3398" w:rsidR="003335A8" w:rsidRPr="00435E78" w:rsidRDefault="003335A8" w:rsidP="003335A8">
            <w:pPr>
              <w:rPr>
                <w:rFonts w:ascii="Arial" w:hAnsi="Arial" w:cs="Arial"/>
              </w:rPr>
            </w:pPr>
            <w:r w:rsidRPr="00435E78">
              <w:rPr>
                <w:rStyle w:val="Strong"/>
                <w:rFonts w:ascii="Arial" w:hAnsi="Arial" w:cs="Arial"/>
              </w:rPr>
              <w:t>Hickman (2021)</w:t>
            </w:r>
          </w:p>
        </w:tc>
        <w:tc>
          <w:tcPr>
            <w:tcW w:w="2337" w:type="dxa"/>
            <w:vAlign w:val="center"/>
          </w:tcPr>
          <w:p w14:paraId="0C1D2BE6" w14:textId="0A3A467B" w:rsidR="003335A8" w:rsidRPr="00435E78" w:rsidRDefault="003335A8" w:rsidP="003335A8">
            <w:pPr>
              <w:rPr>
                <w:rFonts w:ascii="Arial" w:hAnsi="Arial" w:cs="Arial"/>
              </w:rPr>
            </w:pPr>
            <w:r w:rsidRPr="00435E78">
              <w:rPr>
                <w:rFonts w:ascii="Arial" w:hAnsi="Arial" w:cs="Arial"/>
              </w:rPr>
              <w:t>Rent payment behaviour; structural causes of arrears; COM-B model</w:t>
            </w:r>
          </w:p>
        </w:tc>
        <w:tc>
          <w:tcPr>
            <w:tcW w:w="2338" w:type="dxa"/>
            <w:vAlign w:val="center"/>
          </w:tcPr>
          <w:p w14:paraId="5629CBC1" w14:textId="78AEA49D" w:rsidR="003335A8" w:rsidRPr="00435E78" w:rsidRDefault="003335A8" w:rsidP="003335A8">
            <w:pPr>
              <w:rPr>
                <w:rFonts w:ascii="Arial" w:hAnsi="Arial" w:cs="Arial"/>
              </w:rPr>
            </w:pPr>
            <w:r w:rsidRPr="00435E78">
              <w:rPr>
                <w:rFonts w:ascii="Arial" w:hAnsi="Arial" w:cs="Arial"/>
              </w:rPr>
              <w:t>Arrears linked to low income, UC delays, limited capability/opportunity; behaviour shaped by structural factors.</w:t>
            </w:r>
          </w:p>
        </w:tc>
        <w:tc>
          <w:tcPr>
            <w:tcW w:w="2338" w:type="dxa"/>
            <w:vAlign w:val="center"/>
          </w:tcPr>
          <w:p w14:paraId="1C7A839B" w14:textId="5EEE0342" w:rsidR="003335A8" w:rsidRPr="00435E78" w:rsidRDefault="003335A8" w:rsidP="003335A8">
            <w:pPr>
              <w:rPr>
                <w:rFonts w:ascii="Arial" w:hAnsi="Arial" w:cs="Arial"/>
              </w:rPr>
            </w:pPr>
            <w:r w:rsidRPr="00435E78">
              <w:rPr>
                <w:rFonts w:ascii="Arial" w:hAnsi="Arial" w:cs="Arial"/>
              </w:rPr>
              <w:t>Explains behavioural and structural causes of arrears affecting agents’ resilience.</w:t>
            </w:r>
          </w:p>
        </w:tc>
      </w:tr>
      <w:tr w:rsidR="003335A8" w:rsidRPr="00435E78" w14:paraId="456E6870" w14:textId="77777777" w:rsidTr="003335A8">
        <w:tc>
          <w:tcPr>
            <w:tcW w:w="2337" w:type="dxa"/>
            <w:vAlign w:val="center"/>
          </w:tcPr>
          <w:p w14:paraId="22439181" w14:textId="6BFFEE4A" w:rsidR="003335A8" w:rsidRPr="00435E78" w:rsidRDefault="003335A8" w:rsidP="003335A8">
            <w:pPr>
              <w:rPr>
                <w:rFonts w:ascii="Arial" w:hAnsi="Arial" w:cs="Arial"/>
              </w:rPr>
            </w:pPr>
            <w:r w:rsidRPr="00435E78">
              <w:rPr>
                <w:rStyle w:val="Strong"/>
                <w:rFonts w:ascii="Arial" w:hAnsi="Arial" w:cs="Arial"/>
              </w:rPr>
              <w:t>Bimpson &amp; Manzi (2022)</w:t>
            </w:r>
          </w:p>
        </w:tc>
        <w:tc>
          <w:tcPr>
            <w:tcW w:w="2337" w:type="dxa"/>
            <w:vAlign w:val="center"/>
          </w:tcPr>
          <w:p w14:paraId="1531B917" w14:textId="54657BA0" w:rsidR="003335A8" w:rsidRPr="00435E78" w:rsidRDefault="003335A8" w:rsidP="003335A8">
            <w:pPr>
              <w:rPr>
                <w:rFonts w:ascii="Arial" w:hAnsi="Arial" w:cs="Arial"/>
              </w:rPr>
            </w:pPr>
            <w:r w:rsidRPr="00435E78">
              <w:rPr>
                <w:rFonts w:ascii="Arial" w:hAnsi="Arial" w:cs="Arial"/>
              </w:rPr>
              <w:t>Drivers of arrears in social housing</w:t>
            </w:r>
          </w:p>
        </w:tc>
        <w:tc>
          <w:tcPr>
            <w:tcW w:w="2338" w:type="dxa"/>
            <w:vAlign w:val="center"/>
          </w:tcPr>
          <w:p w14:paraId="2F9655D0" w14:textId="544494F2" w:rsidR="003335A8" w:rsidRPr="00435E78" w:rsidRDefault="003335A8" w:rsidP="003335A8">
            <w:pPr>
              <w:rPr>
                <w:rFonts w:ascii="Arial" w:hAnsi="Arial" w:cs="Arial"/>
              </w:rPr>
            </w:pPr>
            <w:r w:rsidRPr="00435E78">
              <w:rPr>
                <w:rFonts w:ascii="Arial" w:hAnsi="Arial" w:cs="Arial"/>
              </w:rPr>
              <w:t>Arrears linked to social disadvantage, low income, and lack of financial support.</w:t>
            </w:r>
          </w:p>
        </w:tc>
        <w:tc>
          <w:tcPr>
            <w:tcW w:w="2338" w:type="dxa"/>
            <w:vAlign w:val="center"/>
          </w:tcPr>
          <w:p w14:paraId="3566D7B7" w14:textId="6612F05D" w:rsidR="003335A8" w:rsidRPr="00435E78" w:rsidRDefault="003335A8" w:rsidP="003335A8">
            <w:pPr>
              <w:rPr>
                <w:rFonts w:ascii="Arial" w:hAnsi="Arial" w:cs="Arial"/>
              </w:rPr>
            </w:pPr>
            <w:r w:rsidRPr="00435E78">
              <w:rPr>
                <w:rFonts w:ascii="Arial" w:hAnsi="Arial" w:cs="Arial"/>
              </w:rPr>
              <w:t>Shows arrears originate from systemic vulnerabilities relevant to PRS.</w:t>
            </w:r>
          </w:p>
        </w:tc>
      </w:tr>
      <w:tr w:rsidR="003335A8" w:rsidRPr="00435E78" w14:paraId="2FAB7994" w14:textId="77777777" w:rsidTr="003335A8">
        <w:tc>
          <w:tcPr>
            <w:tcW w:w="2337" w:type="dxa"/>
            <w:vAlign w:val="center"/>
          </w:tcPr>
          <w:p w14:paraId="7FE7A1B8" w14:textId="7F9C0190" w:rsidR="003335A8" w:rsidRPr="00435E78" w:rsidRDefault="003335A8" w:rsidP="003335A8">
            <w:pPr>
              <w:rPr>
                <w:rFonts w:ascii="Arial" w:hAnsi="Arial" w:cs="Arial"/>
              </w:rPr>
            </w:pPr>
            <w:r w:rsidRPr="00435E78">
              <w:rPr>
                <w:rStyle w:val="Strong"/>
                <w:rFonts w:ascii="Arial" w:hAnsi="Arial" w:cs="Arial"/>
              </w:rPr>
              <w:t>Glover &amp; Jeyabraba (2022)</w:t>
            </w:r>
          </w:p>
        </w:tc>
        <w:tc>
          <w:tcPr>
            <w:tcW w:w="2337" w:type="dxa"/>
            <w:vAlign w:val="center"/>
          </w:tcPr>
          <w:p w14:paraId="7433F9DD" w14:textId="1EF4F317" w:rsidR="003335A8" w:rsidRPr="00435E78" w:rsidRDefault="003335A8" w:rsidP="003335A8">
            <w:pPr>
              <w:rPr>
                <w:rFonts w:ascii="Arial" w:hAnsi="Arial" w:cs="Arial"/>
              </w:rPr>
            </w:pPr>
            <w:r w:rsidRPr="00435E78">
              <w:rPr>
                <w:rFonts w:ascii="Arial" w:hAnsi="Arial" w:cs="Arial"/>
              </w:rPr>
              <w:t>Financial vulnerability among tenants</w:t>
            </w:r>
          </w:p>
        </w:tc>
        <w:tc>
          <w:tcPr>
            <w:tcW w:w="2338" w:type="dxa"/>
            <w:vAlign w:val="center"/>
          </w:tcPr>
          <w:p w14:paraId="09059464" w14:textId="361E83E9" w:rsidR="003335A8" w:rsidRPr="00435E78" w:rsidRDefault="003335A8" w:rsidP="003335A8">
            <w:pPr>
              <w:rPr>
                <w:rFonts w:ascii="Arial" w:hAnsi="Arial" w:cs="Arial"/>
              </w:rPr>
            </w:pPr>
            <w:r w:rsidRPr="00435E78">
              <w:rPr>
                <w:rFonts w:ascii="Arial" w:hAnsi="Arial" w:cs="Arial"/>
              </w:rPr>
              <w:t>Arrears caused by life shocks (illness, job loss), not irresponsibility.</w:t>
            </w:r>
          </w:p>
        </w:tc>
        <w:tc>
          <w:tcPr>
            <w:tcW w:w="2338" w:type="dxa"/>
            <w:vAlign w:val="center"/>
          </w:tcPr>
          <w:p w14:paraId="361A729B" w14:textId="4BB75138" w:rsidR="003335A8" w:rsidRPr="00435E78" w:rsidRDefault="003335A8" w:rsidP="003335A8">
            <w:pPr>
              <w:rPr>
                <w:rFonts w:ascii="Arial" w:hAnsi="Arial" w:cs="Arial"/>
              </w:rPr>
            </w:pPr>
            <w:r w:rsidRPr="00435E78">
              <w:rPr>
                <w:rFonts w:ascii="Arial" w:hAnsi="Arial" w:cs="Arial"/>
              </w:rPr>
              <w:t>Supports the argument that arrears stem from structural pressures.</w:t>
            </w:r>
          </w:p>
        </w:tc>
      </w:tr>
      <w:tr w:rsidR="003335A8" w:rsidRPr="00435E78" w14:paraId="209C8F71" w14:textId="77777777" w:rsidTr="003335A8">
        <w:tc>
          <w:tcPr>
            <w:tcW w:w="2337" w:type="dxa"/>
            <w:vAlign w:val="center"/>
          </w:tcPr>
          <w:p w14:paraId="48170836" w14:textId="52B3A76F" w:rsidR="003335A8" w:rsidRPr="00435E78" w:rsidRDefault="003335A8" w:rsidP="003335A8">
            <w:pPr>
              <w:rPr>
                <w:rFonts w:ascii="Arial" w:hAnsi="Arial" w:cs="Arial"/>
              </w:rPr>
            </w:pPr>
            <w:r w:rsidRPr="00435E78">
              <w:rPr>
                <w:rStyle w:val="Strong"/>
                <w:rFonts w:ascii="Arial" w:hAnsi="Arial" w:cs="Arial"/>
              </w:rPr>
              <w:t>Hardie (2024)</w:t>
            </w:r>
          </w:p>
        </w:tc>
        <w:tc>
          <w:tcPr>
            <w:tcW w:w="2337" w:type="dxa"/>
            <w:vAlign w:val="center"/>
          </w:tcPr>
          <w:p w14:paraId="36A2D82F" w14:textId="512B4236" w:rsidR="003335A8" w:rsidRPr="00435E78" w:rsidRDefault="003335A8" w:rsidP="003335A8">
            <w:pPr>
              <w:rPr>
                <w:rFonts w:ascii="Arial" w:hAnsi="Arial" w:cs="Arial"/>
              </w:rPr>
            </w:pPr>
            <w:r w:rsidRPr="00435E78">
              <w:rPr>
                <w:rFonts w:ascii="Arial" w:hAnsi="Arial" w:cs="Arial"/>
              </w:rPr>
              <w:t>Impact of Universal Credit on arrears</w:t>
            </w:r>
          </w:p>
        </w:tc>
        <w:tc>
          <w:tcPr>
            <w:tcW w:w="2338" w:type="dxa"/>
            <w:vAlign w:val="center"/>
          </w:tcPr>
          <w:p w14:paraId="204C5160" w14:textId="0397F93F" w:rsidR="003335A8" w:rsidRPr="00435E78" w:rsidRDefault="003335A8" w:rsidP="003335A8">
            <w:pPr>
              <w:rPr>
                <w:rFonts w:ascii="Arial" w:hAnsi="Arial" w:cs="Arial"/>
              </w:rPr>
            </w:pPr>
            <w:r w:rsidRPr="00435E78">
              <w:rPr>
                <w:rFonts w:ascii="Arial" w:hAnsi="Arial" w:cs="Arial"/>
              </w:rPr>
              <w:t>UC’s 5-week wait increases arrears and housing insecurity.</w:t>
            </w:r>
          </w:p>
        </w:tc>
        <w:tc>
          <w:tcPr>
            <w:tcW w:w="2338" w:type="dxa"/>
            <w:vAlign w:val="center"/>
          </w:tcPr>
          <w:p w14:paraId="2ADAA299" w14:textId="7841A160" w:rsidR="003335A8" w:rsidRPr="00435E78" w:rsidRDefault="003335A8" w:rsidP="003335A8">
            <w:pPr>
              <w:rPr>
                <w:rFonts w:ascii="Arial" w:hAnsi="Arial" w:cs="Arial"/>
              </w:rPr>
            </w:pPr>
            <w:r w:rsidRPr="00435E78">
              <w:rPr>
                <w:rFonts w:ascii="Arial" w:hAnsi="Arial" w:cs="Arial"/>
              </w:rPr>
              <w:t>Reinforces systemic causes of arrears influencing estate agents.</w:t>
            </w:r>
          </w:p>
        </w:tc>
      </w:tr>
      <w:tr w:rsidR="003335A8" w:rsidRPr="00435E78" w14:paraId="21932477" w14:textId="77777777" w:rsidTr="003335A8">
        <w:tc>
          <w:tcPr>
            <w:tcW w:w="2337" w:type="dxa"/>
            <w:vAlign w:val="center"/>
          </w:tcPr>
          <w:p w14:paraId="6340C05D" w14:textId="08D8E89F" w:rsidR="003335A8" w:rsidRPr="00435E78" w:rsidRDefault="003335A8" w:rsidP="003335A8">
            <w:pPr>
              <w:rPr>
                <w:rFonts w:ascii="Arial" w:hAnsi="Arial" w:cs="Arial"/>
              </w:rPr>
            </w:pPr>
            <w:r w:rsidRPr="00435E78">
              <w:rPr>
                <w:rStyle w:val="Strong"/>
                <w:rFonts w:ascii="Arial" w:hAnsi="Arial" w:cs="Arial"/>
              </w:rPr>
              <w:t>Wallace (2025)</w:t>
            </w:r>
          </w:p>
        </w:tc>
        <w:tc>
          <w:tcPr>
            <w:tcW w:w="2337" w:type="dxa"/>
            <w:vAlign w:val="center"/>
          </w:tcPr>
          <w:p w14:paraId="462092C4" w14:textId="0460E246" w:rsidR="003335A8" w:rsidRPr="00435E78" w:rsidRDefault="003335A8" w:rsidP="003335A8">
            <w:pPr>
              <w:rPr>
                <w:rFonts w:ascii="Arial" w:hAnsi="Arial" w:cs="Arial"/>
              </w:rPr>
            </w:pPr>
            <w:r w:rsidRPr="00435E78">
              <w:rPr>
                <w:rFonts w:ascii="Arial" w:hAnsi="Arial" w:cs="Arial"/>
              </w:rPr>
              <w:t>Algorithmic tenant screening</w:t>
            </w:r>
          </w:p>
        </w:tc>
        <w:tc>
          <w:tcPr>
            <w:tcW w:w="2338" w:type="dxa"/>
            <w:vAlign w:val="center"/>
          </w:tcPr>
          <w:p w14:paraId="6AAB4104" w14:textId="13D547FC" w:rsidR="003335A8" w:rsidRPr="00435E78" w:rsidRDefault="003335A8" w:rsidP="003335A8">
            <w:pPr>
              <w:rPr>
                <w:rFonts w:ascii="Arial" w:hAnsi="Arial" w:cs="Arial"/>
              </w:rPr>
            </w:pPr>
            <w:r w:rsidRPr="00435E78">
              <w:rPr>
                <w:rFonts w:ascii="Arial" w:hAnsi="Arial" w:cs="Arial"/>
              </w:rPr>
              <w:t>Warns of bias in digital risk profiling tools.</w:t>
            </w:r>
          </w:p>
        </w:tc>
        <w:tc>
          <w:tcPr>
            <w:tcW w:w="2338" w:type="dxa"/>
            <w:vAlign w:val="center"/>
          </w:tcPr>
          <w:p w14:paraId="46EA3229" w14:textId="78375CFE" w:rsidR="003335A8" w:rsidRPr="00435E78" w:rsidRDefault="003335A8" w:rsidP="003335A8">
            <w:pPr>
              <w:rPr>
                <w:rFonts w:ascii="Arial" w:hAnsi="Arial" w:cs="Arial"/>
              </w:rPr>
            </w:pPr>
            <w:r w:rsidRPr="00435E78">
              <w:rPr>
                <w:rFonts w:ascii="Arial" w:hAnsi="Arial" w:cs="Arial"/>
              </w:rPr>
              <w:t>Highlights ethical considerations in data-driven arrears management.</w:t>
            </w:r>
          </w:p>
        </w:tc>
      </w:tr>
      <w:tr w:rsidR="003335A8" w:rsidRPr="00435E78" w14:paraId="5B0CF8BD" w14:textId="77777777" w:rsidTr="003335A8">
        <w:tc>
          <w:tcPr>
            <w:tcW w:w="2337" w:type="dxa"/>
            <w:vAlign w:val="center"/>
          </w:tcPr>
          <w:p w14:paraId="39BB3D57" w14:textId="7EF7834A" w:rsidR="003335A8" w:rsidRPr="00435E78" w:rsidRDefault="003335A8" w:rsidP="003335A8">
            <w:pPr>
              <w:rPr>
                <w:rFonts w:ascii="Arial" w:hAnsi="Arial" w:cs="Arial"/>
              </w:rPr>
            </w:pPr>
            <w:r w:rsidRPr="00435E78">
              <w:rPr>
                <w:rStyle w:val="Strong"/>
                <w:rFonts w:ascii="Arial" w:hAnsi="Arial" w:cs="Arial"/>
              </w:rPr>
              <w:t>Lam (2014)</w:t>
            </w:r>
          </w:p>
        </w:tc>
        <w:tc>
          <w:tcPr>
            <w:tcW w:w="2337" w:type="dxa"/>
            <w:vAlign w:val="center"/>
          </w:tcPr>
          <w:p w14:paraId="5F2CF464" w14:textId="7874BA5F" w:rsidR="003335A8" w:rsidRPr="00435E78" w:rsidRDefault="003335A8" w:rsidP="003335A8">
            <w:pPr>
              <w:rPr>
                <w:rFonts w:ascii="Arial" w:hAnsi="Arial" w:cs="Arial"/>
              </w:rPr>
            </w:pPr>
            <w:r w:rsidRPr="00435E78">
              <w:rPr>
                <w:rFonts w:ascii="Arial" w:hAnsi="Arial" w:cs="Arial"/>
              </w:rPr>
              <w:t>Enterprise Risk Management (ERM)</w:t>
            </w:r>
          </w:p>
        </w:tc>
        <w:tc>
          <w:tcPr>
            <w:tcW w:w="2338" w:type="dxa"/>
            <w:vAlign w:val="center"/>
          </w:tcPr>
          <w:p w14:paraId="5AA88C99" w14:textId="311EBE88" w:rsidR="003335A8" w:rsidRPr="00435E78" w:rsidRDefault="003335A8" w:rsidP="003335A8">
            <w:pPr>
              <w:rPr>
                <w:rFonts w:ascii="Arial" w:hAnsi="Arial" w:cs="Arial"/>
              </w:rPr>
            </w:pPr>
            <w:r w:rsidRPr="00435E78">
              <w:rPr>
                <w:rFonts w:ascii="Arial" w:hAnsi="Arial" w:cs="Arial"/>
              </w:rPr>
              <w:t>Risk forecasting and structured planning improve resilience.</w:t>
            </w:r>
          </w:p>
        </w:tc>
        <w:tc>
          <w:tcPr>
            <w:tcW w:w="2338" w:type="dxa"/>
            <w:vAlign w:val="center"/>
          </w:tcPr>
          <w:p w14:paraId="0F26B57B" w14:textId="0380302A" w:rsidR="003335A8" w:rsidRPr="00435E78" w:rsidRDefault="003335A8" w:rsidP="003335A8">
            <w:pPr>
              <w:rPr>
                <w:rFonts w:ascii="Arial" w:hAnsi="Arial" w:cs="Arial"/>
              </w:rPr>
            </w:pPr>
            <w:r w:rsidRPr="00435E78">
              <w:rPr>
                <w:rFonts w:ascii="Arial" w:hAnsi="Arial" w:cs="Arial"/>
              </w:rPr>
              <w:t>Provides theoretical basis for resilience strategies.</w:t>
            </w:r>
          </w:p>
        </w:tc>
      </w:tr>
      <w:tr w:rsidR="003335A8" w:rsidRPr="00435E78" w14:paraId="13FFD470" w14:textId="77777777" w:rsidTr="003335A8">
        <w:tc>
          <w:tcPr>
            <w:tcW w:w="2337" w:type="dxa"/>
            <w:vAlign w:val="center"/>
          </w:tcPr>
          <w:p w14:paraId="51EDFC9B" w14:textId="67C47D0B" w:rsidR="003335A8" w:rsidRPr="00435E78" w:rsidRDefault="003335A8" w:rsidP="003335A8">
            <w:pPr>
              <w:rPr>
                <w:rFonts w:ascii="Arial" w:hAnsi="Arial" w:cs="Arial"/>
              </w:rPr>
            </w:pPr>
            <w:r w:rsidRPr="00435E78">
              <w:rPr>
                <w:rStyle w:val="Strong"/>
                <w:rFonts w:ascii="Arial" w:hAnsi="Arial" w:cs="Arial"/>
              </w:rPr>
              <w:t>Simpson (2021)</w:t>
            </w:r>
          </w:p>
        </w:tc>
        <w:tc>
          <w:tcPr>
            <w:tcW w:w="2337" w:type="dxa"/>
            <w:vAlign w:val="center"/>
          </w:tcPr>
          <w:p w14:paraId="32009D3A" w14:textId="77FDFB44" w:rsidR="003335A8" w:rsidRPr="00435E78" w:rsidRDefault="003335A8" w:rsidP="003335A8">
            <w:pPr>
              <w:rPr>
                <w:rFonts w:ascii="Arial" w:hAnsi="Arial" w:cs="Arial"/>
              </w:rPr>
            </w:pPr>
            <w:r w:rsidRPr="00435E78">
              <w:rPr>
                <w:rFonts w:ascii="Arial" w:hAnsi="Arial" w:cs="Arial"/>
              </w:rPr>
              <w:t>Risk management in real estate (Knight Frank case)</w:t>
            </w:r>
          </w:p>
        </w:tc>
        <w:tc>
          <w:tcPr>
            <w:tcW w:w="2338" w:type="dxa"/>
            <w:vAlign w:val="center"/>
          </w:tcPr>
          <w:p w14:paraId="5C9C8885" w14:textId="659D4B99" w:rsidR="003335A8" w:rsidRPr="00435E78" w:rsidRDefault="003335A8" w:rsidP="003335A8">
            <w:pPr>
              <w:rPr>
                <w:rFonts w:ascii="Arial" w:hAnsi="Arial" w:cs="Arial"/>
              </w:rPr>
            </w:pPr>
            <w:r w:rsidRPr="00435E78">
              <w:rPr>
                <w:rFonts w:ascii="Arial" w:hAnsi="Arial" w:cs="Arial"/>
              </w:rPr>
              <w:t>Use of data tracking reduces arrears risk; but adoption uneven across agencies.</w:t>
            </w:r>
          </w:p>
        </w:tc>
        <w:tc>
          <w:tcPr>
            <w:tcW w:w="2338" w:type="dxa"/>
            <w:vAlign w:val="center"/>
          </w:tcPr>
          <w:p w14:paraId="7C2E36F8" w14:textId="5E6A1C00" w:rsidR="003335A8" w:rsidRPr="00435E78" w:rsidRDefault="003335A8" w:rsidP="003335A8">
            <w:pPr>
              <w:rPr>
                <w:rFonts w:ascii="Arial" w:hAnsi="Arial" w:cs="Arial"/>
              </w:rPr>
            </w:pPr>
            <w:r w:rsidRPr="00435E78">
              <w:rPr>
                <w:rFonts w:ascii="Arial" w:hAnsi="Arial" w:cs="Arial"/>
              </w:rPr>
              <w:t>Shows practical examples of structured arrears management.</w:t>
            </w:r>
          </w:p>
        </w:tc>
      </w:tr>
      <w:tr w:rsidR="003335A8" w:rsidRPr="00435E78" w14:paraId="398B3E17" w14:textId="77777777" w:rsidTr="003335A8">
        <w:tc>
          <w:tcPr>
            <w:tcW w:w="2337" w:type="dxa"/>
            <w:vAlign w:val="center"/>
          </w:tcPr>
          <w:p w14:paraId="6432B26D" w14:textId="27C109AA" w:rsidR="003335A8" w:rsidRPr="00435E78" w:rsidRDefault="003335A8" w:rsidP="003335A8">
            <w:pPr>
              <w:rPr>
                <w:rFonts w:ascii="Arial" w:hAnsi="Arial" w:cs="Arial"/>
              </w:rPr>
            </w:pPr>
            <w:r w:rsidRPr="00435E78">
              <w:rPr>
                <w:rStyle w:val="Strong"/>
                <w:rFonts w:ascii="Arial" w:hAnsi="Arial" w:cs="Arial"/>
              </w:rPr>
              <w:t>Livingston et al. (2021)</w:t>
            </w:r>
          </w:p>
        </w:tc>
        <w:tc>
          <w:tcPr>
            <w:tcW w:w="2337" w:type="dxa"/>
            <w:vAlign w:val="center"/>
          </w:tcPr>
          <w:p w14:paraId="07F3EC66" w14:textId="339C742F" w:rsidR="003335A8" w:rsidRPr="00435E78" w:rsidRDefault="003335A8" w:rsidP="003335A8">
            <w:pPr>
              <w:rPr>
                <w:rFonts w:ascii="Arial" w:hAnsi="Arial" w:cs="Arial"/>
              </w:rPr>
            </w:pPr>
            <w:r w:rsidRPr="00435E78">
              <w:rPr>
                <w:rFonts w:ascii="Arial" w:hAnsi="Arial" w:cs="Arial"/>
              </w:rPr>
              <w:t>Data use in private renting</w:t>
            </w:r>
          </w:p>
        </w:tc>
        <w:tc>
          <w:tcPr>
            <w:tcW w:w="2338" w:type="dxa"/>
            <w:vAlign w:val="center"/>
          </w:tcPr>
          <w:p w14:paraId="33C0AEA4" w14:textId="1421F61C" w:rsidR="003335A8" w:rsidRPr="00435E78" w:rsidRDefault="003335A8" w:rsidP="003335A8">
            <w:pPr>
              <w:rPr>
                <w:rFonts w:ascii="Arial" w:hAnsi="Arial" w:cs="Arial"/>
              </w:rPr>
            </w:pPr>
            <w:r w:rsidRPr="00435E78">
              <w:rPr>
                <w:rFonts w:ascii="Arial" w:hAnsi="Arial" w:cs="Arial"/>
              </w:rPr>
              <w:t>Rental data has limitations and potential bias.</w:t>
            </w:r>
          </w:p>
        </w:tc>
        <w:tc>
          <w:tcPr>
            <w:tcW w:w="2338" w:type="dxa"/>
            <w:vAlign w:val="center"/>
          </w:tcPr>
          <w:p w14:paraId="01F89C27" w14:textId="75EB4B23" w:rsidR="003335A8" w:rsidRPr="00435E78" w:rsidRDefault="003335A8" w:rsidP="003335A8">
            <w:pPr>
              <w:rPr>
                <w:rFonts w:ascii="Arial" w:hAnsi="Arial" w:cs="Arial"/>
              </w:rPr>
            </w:pPr>
            <w:r w:rsidRPr="00435E78">
              <w:rPr>
                <w:rFonts w:ascii="Arial" w:hAnsi="Arial" w:cs="Arial"/>
              </w:rPr>
              <w:t>Supports careful, ethical use of data tools.</w:t>
            </w:r>
          </w:p>
        </w:tc>
      </w:tr>
      <w:tr w:rsidR="003335A8" w:rsidRPr="00435E78" w14:paraId="628A73F3" w14:textId="77777777" w:rsidTr="003335A8">
        <w:tc>
          <w:tcPr>
            <w:tcW w:w="2337" w:type="dxa"/>
            <w:vAlign w:val="center"/>
          </w:tcPr>
          <w:p w14:paraId="28A2CA3E" w14:textId="5EAE7C0B" w:rsidR="003335A8" w:rsidRPr="00435E78" w:rsidRDefault="003335A8" w:rsidP="003335A8">
            <w:pPr>
              <w:rPr>
                <w:rFonts w:ascii="Arial" w:hAnsi="Arial" w:cs="Arial"/>
              </w:rPr>
            </w:pPr>
            <w:r w:rsidRPr="00435E78">
              <w:rPr>
                <w:rStyle w:val="Strong"/>
                <w:rFonts w:ascii="Arial" w:hAnsi="Arial" w:cs="Arial"/>
              </w:rPr>
              <w:t>Morris &amp; Rose (2022)</w:t>
            </w:r>
          </w:p>
        </w:tc>
        <w:tc>
          <w:tcPr>
            <w:tcW w:w="2337" w:type="dxa"/>
            <w:vAlign w:val="center"/>
          </w:tcPr>
          <w:p w14:paraId="08356EEA" w14:textId="66D9956D" w:rsidR="003335A8" w:rsidRPr="00435E78" w:rsidRDefault="003335A8" w:rsidP="003335A8">
            <w:pPr>
              <w:rPr>
                <w:rFonts w:ascii="Arial" w:hAnsi="Arial" w:cs="Arial"/>
              </w:rPr>
            </w:pPr>
            <w:r w:rsidRPr="00435E78">
              <w:rPr>
                <w:rFonts w:ascii="Arial" w:hAnsi="Arial" w:cs="Arial"/>
              </w:rPr>
              <w:t>Sustainable risk management in rental markets</w:t>
            </w:r>
          </w:p>
        </w:tc>
        <w:tc>
          <w:tcPr>
            <w:tcW w:w="2338" w:type="dxa"/>
            <w:vAlign w:val="center"/>
          </w:tcPr>
          <w:p w14:paraId="04ECB7F1" w14:textId="444651DC" w:rsidR="003335A8" w:rsidRPr="00435E78" w:rsidRDefault="003335A8" w:rsidP="003335A8">
            <w:pPr>
              <w:rPr>
                <w:rFonts w:ascii="Arial" w:hAnsi="Arial" w:cs="Arial"/>
              </w:rPr>
            </w:pPr>
            <w:r w:rsidRPr="00435E78">
              <w:rPr>
                <w:rFonts w:ascii="Arial" w:hAnsi="Arial" w:cs="Arial"/>
              </w:rPr>
              <w:t>Proactive, data-based approaches support long-term resilience.</w:t>
            </w:r>
          </w:p>
        </w:tc>
        <w:tc>
          <w:tcPr>
            <w:tcW w:w="2338" w:type="dxa"/>
            <w:vAlign w:val="center"/>
          </w:tcPr>
          <w:p w14:paraId="08593D1F" w14:textId="58BF47E7" w:rsidR="003335A8" w:rsidRPr="00435E78" w:rsidRDefault="003335A8" w:rsidP="003335A8">
            <w:pPr>
              <w:rPr>
                <w:rFonts w:ascii="Arial" w:hAnsi="Arial" w:cs="Arial"/>
              </w:rPr>
            </w:pPr>
            <w:r w:rsidRPr="00435E78">
              <w:rPr>
                <w:rFonts w:ascii="Arial" w:hAnsi="Arial" w:cs="Arial"/>
              </w:rPr>
              <w:t>Evidence supporting data-driven resilience strategies.</w:t>
            </w:r>
          </w:p>
        </w:tc>
      </w:tr>
      <w:tr w:rsidR="003335A8" w:rsidRPr="00435E78" w14:paraId="50E2299B" w14:textId="77777777" w:rsidTr="003335A8">
        <w:tc>
          <w:tcPr>
            <w:tcW w:w="2337" w:type="dxa"/>
            <w:vAlign w:val="center"/>
          </w:tcPr>
          <w:p w14:paraId="72811D49" w14:textId="3D3640BC" w:rsidR="003335A8" w:rsidRPr="00435E78" w:rsidRDefault="003335A8" w:rsidP="003335A8">
            <w:pPr>
              <w:rPr>
                <w:rFonts w:ascii="Arial" w:hAnsi="Arial" w:cs="Arial"/>
              </w:rPr>
            </w:pPr>
            <w:r w:rsidRPr="00435E78">
              <w:rPr>
                <w:rStyle w:val="Strong"/>
                <w:rFonts w:ascii="Arial" w:hAnsi="Arial" w:cs="Arial"/>
              </w:rPr>
              <w:t>Fitzhugh et al. (2018)</w:t>
            </w:r>
          </w:p>
        </w:tc>
        <w:tc>
          <w:tcPr>
            <w:tcW w:w="2337" w:type="dxa"/>
            <w:vAlign w:val="center"/>
          </w:tcPr>
          <w:p w14:paraId="5E4D6C3C" w14:textId="655E41A3" w:rsidR="003335A8" w:rsidRPr="00435E78" w:rsidRDefault="003335A8" w:rsidP="003335A8">
            <w:pPr>
              <w:rPr>
                <w:rFonts w:ascii="Arial" w:hAnsi="Arial" w:cs="Arial"/>
              </w:rPr>
            </w:pPr>
            <w:r w:rsidRPr="00435E78">
              <w:rPr>
                <w:rFonts w:ascii="Arial" w:hAnsi="Arial" w:cs="Arial"/>
              </w:rPr>
              <w:t>Behavioural nudges for rent arrears</w:t>
            </w:r>
          </w:p>
        </w:tc>
        <w:tc>
          <w:tcPr>
            <w:tcW w:w="2338" w:type="dxa"/>
            <w:vAlign w:val="center"/>
          </w:tcPr>
          <w:p w14:paraId="5B3E173B" w14:textId="6C090625" w:rsidR="003335A8" w:rsidRPr="00435E78" w:rsidRDefault="003335A8" w:rsidP="003335A8">
            <w:pPr>
              <w:rPr>
                <w:rFonts w:ascii="Arial" w:hAnsi="Arial" w:cs="Arial"/>
              </w:rPr>
            </w:pPr>
            <w:r w:rsidRPr="00435E78">
              <w:rPr>
                <w:rFonts w:ascii="Arial" w:hAnsi="Arial" w:cs="Arial"/>
              </w:rPr>
              <w:t>SMS reminders improved engagement by 17% and reduced arrears.</w:t>
            </w:r>
          </w:p>
        </w:tc>
        <w:tc>
          <w:tcPr>
            <w:tcW w:w="2338" w:type="dxa"/>
            <w:vAlign w:val="center"/>
          </w:tcPr>
          <w:p w14:paraId="780E1FAD" w14:textId="313DA3EA" w:rsidR="003335A8" w:rsidRPr="00435E78" w:rsidRDefault="003335A8" w:rsidP="003335A8">
            <w:pPr>
              <w:rPr>
                <w:rFonts w:ascii="Arial" w:hAnsi="Arial" w:cs="Arial"/>
              </w:rPr>
            </w:pPr>
            <w:r w:rsidRPr="00435E78">
              <w:rPr>
                <w:rFonts w:ascii="Arial" w:hAnsi="Arial" w:cs="Arial"/>
              </w:rPr>
              <w:t>Evidence for low-cost behavioural strategies.</w:t>
            </w:r>
          </w:p>
        </w:tc>
      </w:tr>
      <w:tr w:rsidR="003335A8" w:rsidRPr="00435E78" w14:paraId="1D931BDC" w14:textId="77777777" w:rsidTr="003335A8">
        <w:tc>
          <w:tcPr>
            <w:tcW w:w="2337" w:type="dxa"/>
            <w:vAlign w:val="center"/>
          </w:tcPr>
          <w:p w14:paraId="47C82B1A" w14:textId="24C62632" w:rsidR="003335A8" w:rsidRPr="00435E78" w:rsidRDefault="003335A8" w:rsidP="003335A8">
            <w:pPr>
              <w:rPr>
                <w:rFonts w:ascii="Arial" w:hAnsi="Arial" w:cs="Arial"/>
              </w:rPr>
            </w:pPr>
            <w:r w:rsidRPr="00435E78">
              <w:rPr>
                <w:rStyle w:val="Strong"/>
                <w:rFonts w:ascii="Arial" w:hAnsi="Arial" w:cs="Arial"/>
              </w:rPr>
              <w:lastRenderedPageBreak/>
              <w:t>Cullen, Key &amp; Speed (2017)</w:t>
            </w:r>
          </w:p>
        </w:tc>
        <w:tc>
          <w:tcPr>
            <w:tcW w:w="2337" w:type="dxa"/>
            <w:vAlign w:val="center"/>
          </w:tcPr>
          <w:p w14:paraId="652A6480" w14:textId="60B40C00" w:rsidR="003335A8" w:rsidRPr="00435E78" w:rsidRDefault="003335A8" w:rsidP="003335A8">
            <w:pPr>
              <w:rPr>
                <w:rFonts w:ascii="Arial" w:hAnsi="Arial" w:cs="Arial"/>
              </w:rPr>
            </w:pPr>
            <w:r w:rsidRPr="00435E78">
              <w:rPr>
                <w:rFonts w:ascii="Arial" w:hAnsi="Arial" w:cs="Arial"/>
              </w:rPr>
              <w:t>Pre-tenancy processes</w:t>
            </w:r>
          </w:p>
        </w:tc>
        <w:tc>
          <w:tcPr>
            <w:tcW w:w="2338" w:type="dxa"/>
            <w:vAlign w:val="center"/>
          </w:tcPr>
          <w:p w14:paraId="265E7D76" w14:textId="1A5F8D34" w:rsidR="003335A8" w:rsidRPr="00435E78" w:rsidRDefault="003335A8" w:rsidP="003335A8">
            <w:pPr>
              <w:rPr>
                <w:rFonts w:ascii="Arial" w:hAnsi="Arial" w:cs="Arial"/>
              </w:rPr>
            </w:pPr>
            <w:r w:rsidRPr="00435E78">
              <w:rPr>
                <w:rFonts w:ascii="Arial" w:hAnsi="Arial" w:cs="Arial"/>
              </w:rPr>
              <w:t xml:space="preserve">Good </w:t>
            </w:r>
            <w:r w:rsidR="00272DE8" w:rsidRPr="00435E78">
              <w:rPr>
                <w:rFonts w:ascii="Arial" w:hAnsi="Arial" w:cs="Arial"/>
              </w:rPr>
              <w:t>on boarding</w:t>
            </w:r>
            <w:r w:rsidRPr="00435E78">
              <w:rPr>
                <w:rFonts w:ascii="Arial" w:hAnsi="Arial" w:cs="Arial"/>
              </w:rPr>
              <w:t xml:space="preserve"> reduces arrears and disputes.</w:t>
            </w:r>
          </w:p>
        </w:tc>
        <w:tc>
          <w:tcPr>
            <w:tcW w:w="2338" w:type="dxa"/>
            <w:vAlign w:val="center"/>
          </w:tcPr>
          <w:p w14:paraId="11FFCE1E" w14:textId="29A2989A" w:rsidR="003335A8" w:rsidRPr="00435E78" w:rsidRDefault="003335A8" w:rsidP="003335A8">
            <w:pPr>
              <w:rPr>
                <w:rFonts w:ascii="Arial" w:hAnsi="Arial" w:cs="Arial"/>
              </w:rPr>
            </w:pPr>
            <w:r w:rsidRPr="00435E78">
              <w:rPr>
                <w:rFonts w:ascii="Arial" w:hAnsi="Arial" w:cs="Arial"/>
              </w:rPr>
              <w:t>Supports early-stage prevention strategies.</w:t>
            </w:r>
          </w:p>
        </w:tc>
      </w:tr>
      <w:tr w:rsidR="003335A8" w:rsidRPr="00435E78" w14:paraId="4E4C25CC" w14:textId="77777777" w:rsidTr="003335A8">
        <w:tc>
          <w:tcPr>
            <w:tcW w:w="2337" w:type="dxa"/>
            <w:vAlign w:val="center"/>
          </w:tcPr>
          <w:p w14:paraId="19237A75" w14:textId="5DC50B68" w:rsidR="003335A8" w:rsidRPr="00435E78" w:rsidRDefault="003335A8" w:rsidP="003335A8">
            <w:pPr>
              <w:rPr>
                <w:rFonts w:ascii="Arial" w:hAnsi="Arial" w:cs="Arial"/>
              </w:rPr>
            </w:pPr>
            <w:r w:rsidRPr="00435E78">
              <w:rPr>
                <w:rStyle w:val="Strong"/>
                <w:rFonts w:ascii="Arial" w:hAnsi="Arial" w:cs="Arial"/>
              </w:rPr>
              <w:t>Isa et al. (2023)</w:t>
            </w:r>
          </w:p>
        </w:tc>
        <w:tc>
          <w:tcPr>
            <w:tcW w:w="2337" w:type="dxa"/>
            <w:vAlign w:val="center"/>
          </w:tcPr>
          <w:p w14:paraId="011D9434" w14:textId="6B538F36" w:rsidR="003335A8" w:rsidRPr="00435E78" w:rsidRDefault="003335A8" w:rsidP="003335A8">
            <w:pPr>
              <w:rPr>
                <w:rFonts w:ascii="Arial" w:hAnsi="Arial" w:cs="Arial"/>
              </w:rPr>
            </w:pPr>
            <w:r w:rsidRPr="00435E78">
              <w:rPr>
                <w:rFonts w:ascii="Arial" w:hAnsi="Arial" w:cs="Arial"/>
              </w:rPr>
              <w:t>Tenant support and communication</w:t>
            </w:r>
          </w:p>
        </w:tc>
        <w:tc>
          <w:tcPr>
            <w:tcW w:w="2338" w:type="dxa"/>
            <w:vAlign w:val="center"/>
          </w:tcPr>
          <w:p w14:paraId="66CB3D1F" w14:textId="7FAA032C" w:rsidR="003335A8" w:rsidRPr="00435E78" w:rsidRDefault="003335A8" w:rsidP="003335A8">
            <w:pPr>
              <w:rPr>
                <w:rFonts w:ascii="Arial" w:hAnsi="Arial" w:cs="Arial"/>
              </w:rPr>
            </w:pPr>
            <w:r w:rsidRPr="00435E78">
              <w:rPr>
                <w:rFonts w:ascii="Arial" w:hAnsi="Arial" w:cs="Arial"/>
              </w:rPr>
              <w:t>Early advice improves payment consistency.</w:t>
            </w:r>
          </w:p>
        </w:tc>
        <w:tc>
          <w:tcPr>
            <w:tcW w:w="2338" w:type="dxa"/>
            <w:vAlign w:val="center"/>
          </w:tcPr>
          <w:p w14:paraId="1DF4AAE0" w14:textId="3848B93A" w:rsidR="003335A8" w:rsidRPr="00435E78" w:rsidRDefault="003335A8" w:rsidP="003335A8">
            <w:pPr>
              <w:rPr>
                <w:rFonts w:ascii="Arial" w:hAnsi="Arial" w:cs="Arial"/>
              </w:rPr>
            </w:pPr>
            <w:r w:rsidRPr="00435E78">
              <w:rPr>
                <w:rFonts w:ascii="Arial" w:hAnsi="Arial" w:cs="Arial"/>
              </w:rPr>
              <w:t>Reinforces importance of proactive engagement.</w:t>
            </w:r>
          </w:p>
        </w:tc>
      </w:tr>
      <w:tr w:rsidR="003335A8" w:rsidRPr="00435E78" w14:paraId="6196BE62" w14:textId="77777777" w:rsidTr="003335A8">
        <w:tc>
          <w:tcPr>
            <w:tcW w:w="2337" w:type="dxa"/>
            <w:vAlign w:val="center"/>
          </w:tcPr>
          <w:p w14:paraId="6F6B5FEF" w14:textId="58F6C4DA" w:rsidR="003335A8" w:rsidRPr="00435E78" w:rsidRDefault="003335A8" w:rsidP="003335A8">
            <w:pPr>
              <w:rPr>
                <w:rFonts w:ascii="Arial" w:hAnsi="Arial" w:cs="Arial"/>
              </w:rPr>
            </w:pPr>
            <w:r w:rsidRPr="00435E78">
              <w:rPr>
                <w:rStyle w:val="Strong"/>
                <w:rFonts w:ascii="Arial" w:hAnsi="Arial" w:cs="Arial"/>
              </w:rPr>
              <w:t>McNally &amp; Lally (2024)</w:t>
            </w:r>
          </w:p>
        </w:tc>
        <w:tc>
          <w:tcPr>
            <w:tcW w:w="2337" w:type="dxa"/>
            <w:vAlign w:val="center"/>
          </w:tcPr>
          <w:p w14:paraId="054C52D5" w14:textId="0DEAD6C9" w:rsidR="003335A8" w:rsidRPr="00435E78" w:rsidRDefault="003335A8" w:rsidP="003335A8">
            <w:pPr>
              <w:rPr>
                <w:rFonts w:ascii="Arial" w:hAnsi="Arial" w:cs="Arial"/>
              </w:rPr>
            </w:pPr>
            <w:r w:rsidRPr="00435E78">
              <w:rPr>
                <w:rFonts w:ascii="Arial" w:hAnsi="Arial" w:cs="Arial"/>
              </w:rPr>
              <w:t>PRS housing insecurity</w:t>
            </w:r>
          </w:p>
        </w:tc>
        <w:tc>
          <w:tcPr>
            <w:tcW w:w="2338" w:type="dxa"/>
            <w:vAlign w:val="center"/>
          </w:tcPr>
          <w:p w14:paraId="5C12645C" w14:textId="053E8C9A" w:rsidR="003335A8" w:rsidRPr="00435E78" w:rsidRDefault="003335A8" w:rsidP="003335A8">
            <w:pPr>
              <w:rPr>
                <w:rFonts w:ascii="Arial" w:hAnsi="Arial" w:cs="Arial"/>
              </w:rPr>
            </w:pPr>
            <w:r w:rsidRPr="00435E78">
              <w:rPr>
                <w:rFonts w:ascii="Arial" w:hAnsi="Arial" w:cs="Arial"/>
              </w:rPr>
              <w:t>Arrears reflect structural instability in PRS.</w:t>
            </w:r>
          </w:p>
        </w:tc>
        <w:tc>
          <w:tcPr>
            <w:tcW w:w="2338" w:type="dxa"/>
            <w:vAlign w:val="center"/>
          </w:tcPr>
          <w:p w14:paraId="48A0F2FD" w14:textId="4BA4B088" w:rsidR="003335A8" w:rsidRPr="00435E78" w:rsidRDefault="003335A8" w:rsidP="003335A8">
            <w:pPr>
              <w:rPr>
                <w:rFonts w:ascii="Arial" w:hAnsi="Arial" w:cs="Arial"/>
              </w:rPr>
            </w:pPr>
            <w:r w:rsidRPr="00435E78">
              <w:rPr>
                <w:rFonts w:ascii="Arial" w:hAnsi="Arial" w:cs="Arial"/>
              </w:rPr>
              <w:t>Supports problem statement and need for resilience.</w:t>
            </w:r>
          </w:p>
        </w:tc>
      </w:tr>
      <w:tr w:rsidR="003335A8" w:rsidRPr="00435E78" w14:paraId="437AD406" w14:textId="77777777" w:rsidTr="003335A8">
        <w:tc>
          <w:tcPr>
            <w:tcW w:w="2337" w:type="dxa"/>
            <w:vAlign w:val="center"/>
          </w:tcPr>
          <w:p w14:paraId="45F40734" w14:textId="08154147" w:rsidR="003335A8" w:rsidRPr="00435E78" w:rsidRDefault="003335A8" w:rsidP="003335A8">
            <w:pPr>
              <w:rPr>
                <w:rFonts w:ascii="Arial" w:hAnsi="Arial" w:cs="Arial"/>
              </w:rPr>
            </w:pPr>
            <w:r w:rsidRPr="00435E78">
              <w:rPr>
                <w:rStyle w:val="Strong"/>
                <w:rFonts w:ascii="Arial" w:hAnsi="Arial" w:cs="Arial"/>
              </w:rPr>
              <w:t>Ferreri (2021); Byrne et al. (2020)</w:t>
            </w:r>
          </w:p>
        </w:tc>
        <w:tc>
          <w:tcPr>
            <w:tcW w:w="2337" w:type="dxa"/>
            <w:vAlign w:val="center"/>
          </w:tcPr>
          <w:p w14:paraId="3DC51EA5" w14:textId="3275FB8A" w:rsidR="003335A8" w:rsidRPr="00435E78" w:rsidRDefault="003335A8" w:rsidP="003335A8">
            <w:pPr>
              <w:rPr>
                <w:rFonts w:ascii="Arial" w:hAnsi="Arial" w:cs="Arial"/>
              </w:rPr>
            </w:pPr>
            <w:r w:rsidRPr="00435E78">
              <w:rPr>
                <w:rFonts w:ascii="Arial" w:hAnsi="Arial" w:cs="Arial"/>
              </w:rPr>
              <w:t>Platformisation and algorithmic governance</w:t>
            </w:r>
          </w:p>
        </w:tc>
        <w:tc>
          <w:tcPr>
            <w:tcW w:w="2338" w:type="dxa"/>
            <w:vAlign w:val="center"/>
          </w:tcPr>
          <w:p w14:paraId="4E358817" w14:textId="733FA031" w:rsidR="003335A8" w:rsidRPr="00435E78" w:rsidRDefault="003335A8" w:rsidP="003335A8">
            <w:pPr>
              <w:rPr>
                <w:rFonts w:ascii="Arial" w:hAnsi="Arial" w:cs="Arial"/>
              </w:rPr>
            </w:pPr>
            <w:r w:rsidRPr="00435E78">
              <w:rPr>
                <w:rFonts w:ascii="Arial" w:hAnsi="Arial" w:cs="Arial"/>
              </w:rPr>
              <w:t>Digital systems can shift risk onto tenants and frontline agents.</w:t>
            </w:r>
          </w:p>
        </w:tc>
        <w:tc>
          <w:tcPr>
            <w:tcW w:w="2338" w:type="dxa"/>
            <w:vAlign w:val="center"/>
          </w:tcPr>
          <w:p w14:paraId="76B2C6A0" w14:textId="6AF16771" w:rsidR="003335A8" w:rsidRPr="00435E78" w:rsidRDefault="003335A8" w:rsidP="003335A8">
            <w:pPr>
              <w:rPr>
                <w:rFonts w:ascii="Arial" w:hAnsi="Arial" w:cs="Arial"/>
              </w:rPr>
            </w:pPr>
            <w:r w:rsidRPr="00435E78">
              <w:rPr>
                <w:rFonts w:ascii="Arial" w:hAnsi="Arial" w:cs="Arial"/>
              </w:rPr>
              <w:t>Highlights ethical and operational risks of digital tools.</w:t>
            </w:r>
          </w:p>
        </w:tc>
      </w:tr>
    </w:tbl>
    <w:p w14:paraId="50719E2A" w14:textId="0DE45EDF" w:rsidR="00F035B9" w:rsidRPr="00435E78" w:rsidRDefault="00F035B9" w:rsidP="00F035B9">
      <w:pPr>
        <w:rPr>
          <w:rFonts w:ascii="Arial" w:hAnsi="Arial" w:cs="Arial"/>
        </w:rPr>
      </w:pPr>
    </w:p>
    <w:p w14:paraId="0D184816" w14:textId="77777777" w:rsidR="00F035B9" w:rsidRPr="00435E78" w:rsidRDefault="00F035B9" w:rsidP="00F035B9">
      <w:pPr>
        <w:rPr>
          <w:rFonts w:ascii="Arial" w:hAnsi="Arial" w:cs="Arial"/>
        </w:rPr>
      </w:pPr>
    </w:p>
    <w:p w14:paraId="5440D342" w14:textId="0830330D" w:rsidR="00B3589F" w:rsidRPr="00435E78" w:rsidRDefault="00B3589F" w:rsidP="000E2633">
      <w:pPr>
        <w:spacing w:line="360" w:lineRule="auto"/>
        <w:ind w:firstLine="720"/>
        <w:jc w:val="both"/>
        <w:rPr>
          <w:rFonts w:ascii="Arial" w:hAnsi="Arial" w:cs="Arial"/>
          <w:color w:val="000000"/>
        </w:rPr>
      </w:pPr>
    </w:p>
    <w:sectPr w:rsidR="00B3589F" w:rsidRPr="00435E78">
      <w:headerReference w:type="default" r:id="rId4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7783C3" w14:textId="77777777" w:rsidR="0053462F" w:rsidRDefault="0053462F">
      <w:pPr>
        <w:spacing w:before="0" w:line="240" w:lineRule="auto"/>
      </w:pPr>
      <w:r>
        <w:separator/>
      </w:r>
    </w:p>
  </w:endnote>
  <w:endnote w:type="continuationSeparator" w:id="0">
    <w:p w14:paraId="4E9481CF" w14:textId="77777777" w:rsidR="0053462F" w:rsidRDefault="0053462F">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B73810" w14:textId="77777777" w:rsidR="0053462F" w:rsidRDefault="0053462F">
      <w:pPr>
        <w:spacing w:before="0" w:line="240" w:lineRule="auto"/>
      </w:pPr>
      <w:r>
        <w:separator/>
      </w:r>
    </w:p>
  </w:footnote>
  <w:footnote w:type="continuationSeparator" w:id="0">
    <w:p w14:paraId="31036170" w14:textId="77777777" w:rsidR="0053462F" w:rsidRDefault="0053462F">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C38E7C" w14:textId="7DABDE99" w:rsidR="003335A8" w:rsidRDefault="003335A8" w:rsidP="006A6D56">
    <w:pPr>
      <w:pBdr>
        <w:top w:val="nil"/>
        <w:left w:val="nil"/>
        <w:bottom w:val="nil"/>
        <w:right w:val="nil"/>
        <w:between w:val="nil"/>
      </w:pBdr>
      <w:tabs>
        <w:tab w:val="center" w:pos="4680"/>
        <w:tab w:val="right" w:pos="9360"/>
      </w:tabs>
      <w:spacing w:before="0" w:line="240" w:lineRule="auto"/>
      <w:rPr>
        <w:color w:val="000000"/>
      </w:rPr>
    </w:pPr>
    <w:r>
      <w:rPr>
        <w:color w:val="000000"/>
      </w:rPr>
      <w:tab/>
    </w:r>
    <w:r>
      <w:rPr>
        <w:color w:val="000000"/>
      </w:rPr>
      <w:tab/>
    </w:r>
    <w:r>
      <w:rPr>
        <w:color w:val="000000"/>
      </w:rPr>
      <w:fldChar w:fldCharType="begin"/>
    </w:r>
    <w:r>
      <w:rPr>
        <w:color w:val="000000"/>
      </w:rPr>
      <w:instrText>PAGE</w:instrText>
    </w:r>
    <w:r>
      <w:rPr>
        <w:color w:val="000000"/>
      </w:rPr>
      <w:fldChar w:fldCharType="separate"/>
    </w:r>
    <w:r w:rsidR="00974CC8">
      <w:rPr>
        <w:noProof/>
        <w:color w:val="000000"/>
      </w:rPr>
      <w:t>4</w:t>
    </w:r>
    <w:r>
      <w:rPr>
        <w:color w:val="000000"/>
      </w:rPr>
      <w:fldChar w:fldCharType="end"/>
    </w:r>
  </w:p>
  <w:p w14:paraId="273DFD8B" w14:textId="77777777" w:rsidR="003335A8" w:rsidRDefault="003335A8">
    <w:pPr>
      <w:pBdr>
        <w:top w:val="nil"/>
        <w:left w:val="nil"/>
        <w:bottom w:val="nil"/>
        <w:right w:val="nil"/>
        <w:between w:val="nil"/>
      </w:pBdr>
      <w:tabs>
        <w:tab w:val="center" w:pos="4680"/>
        <w:tab w:val="right" w:pos="9360"/>
      </w:tabs>
      <w:spacing w:before="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25CD4"/>
    <w:multiLevelType w:val="multilevel"/>
    <w:tmpl w:val="FA007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833212"/>
    <w:multiLevelType w:val="multilevel"/>
    <w:tmpl w:val="34F29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C82FAF"/>
    <w:multiLevelType w:val="hybridMultilevel"/>
    <w:tmpl w:val="F0C8B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B24B49"/>
    <w:multiLevelType w:val="hybridMultilevel"/>
    <w:tmpl w:val="C6DA2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6F79A3"/>
    <w:multiLevelType w:val="multilevel"/>
    <w:tmpl w:val="75FE27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73212A"/>
    <w:multiLevelType w:val="multilevel"/>
    <w:tmpl w:val="F6A485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7681BF8"/>
    <w:multiLevelType w:val="multilevel"/>
    <w:tmpl w:val="81228D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C56199"/>
    <w:multiLevelType w:val="multilevel"/>
    <w:tmpl w:val="D6007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1F2CFB"/>
    <w:multiLevelType w:val="multilevel"/>
    <w:tmpl w:val="B46E8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6517FD"/>
    <w:multiLevelType w:val="multilevel"/>
    <w:tmpl w:val="10BEC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7623F7"/>
    <w:multiLevelType w:val="multilevel"/>
    <w:tmpl w:val="02061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4D4E62"/>
    <w:multiLevelType w:val="multilevel"/>
    <w:tmpl w:val="95DC8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065489"/>
    <w:multiLevelType w:val="multilevel"/>
    <w:tmpl w:val="AF8648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ED1460"/>
    <w:multiLevelType w:val="multilevel"/>
    <w:tmpl w:val="CF64C824"/>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25A0787"/>
    <w:multiLevelType w:val="multilevel"/>
    <w:tmpl w:val="EBC0A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7431F8"/>
    <w:multiLevelType w:val="multilevel"/>
    <w:tmpl w:val="53181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3"/>
  </w:num>
  <w:num w:numId="3">
    <w:abstractNumId w:val="7"/>
  </w:num>
  <w:num w:numId="4">
    <w:abstractNumId w:val="15"/>
  </w:num>
  <w:num w:numId="5">
    <w:abstractNumId w:val="4"/>
  </w:num>
  <w:num w:numId="6">
    <w:abstractNumId w:val="12"/>
  </w:num>
  <w:num w:numId="7">
    <w:abstractNumId w:val="6"/>
  </w:num>
  <w:num w:numId="8">
    <w:abstractNumId w:val="11"/>
  </w:num>
  <w:num w:numId="9">
    <w:abstractNumId w:val="10"/>
  </w:num>
  <w:num w:numId="10">
    <w:abstractNumId w:val="0"/>
  </w:num>
  <w:num w:numId="11">
    <w:abstractNumId w:val="9"/>
  </w:num>
  <w:num w:numId="12">
    <w:abstractNumId w:val="8"/>
  </w:num>
  <w:num w:numId="13">
    <w:abstractNumId w:val="14"/>
  </w:num>
  <w:num w:numId="14">
    <w:abstractNumId w:val="1"/>
  </w:num>
  <w:num w:numId="15">
    <w:abstractNumId w:val="2"/>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89F"/>
    <w:rsid w:val="00004AE5"/>
    <w:rsid w:val="000119DB"/>
    <w:rsid w:val="00024E52"/>
    <w:rsid w:val="000515C5"/>
    <w:rsid w:val="000803B1"/>
    <w:rsid w:val="00080F94"/>
    <w:rsid w:val="000B1A9D"/>
    <w:rsid w:val="000C5E41"/>
    <w:rsid w:val="000E2633"/>
    <w:rsid w:val="001069A6"/>
    <w:rsid w:val="001170D2"/>
    <w:rsid w:val="00134FFA"/>
    <w:rsid w:val="0014410B"/>
    <w:rsid w:val="00182F8F"/>
    <w:rsid w:val="001B5646"/>
    <w:rsid w:val="001E2682"/>
    <w:rsid w:val="00211A27"/>
    <w:rsid w:val="002131B4"/>
    <w:rsid w:val="0024353E"/>
    <w:rsid w:val="00261C12"/>
    <w:rsid w:val="00272DE8"/>
    <w:rsid w:val="00277990"/>
    <w:rsid w:val="002F6E23"/>
    <w:rsid w:val="00302347"/>
    <w:rsid w:val="003262B1"/>
    <w:rsid w:val="003335A8"/>
    <w:rsid w:val="003412C7"/>
    <w:rsid w:val="0034345C"/>
    <w:rsid w:val="00374E58"/>
    <w:rsid w:val="00390C1F"/>
    <w:rsid w:val="003A6A85"/>
    <w:rsid w:val="003B1DC3"/>
    <w:rsid w:val="003E3BB8"/>
    <w:rsid w:val="00415503"/>
    <w:rsid w:val="0042674D"/>
    <w:rsid w:val="00435A77"/>
    <w:rsid w:val="00435E78"/>
    <w:rsid w:val="004A3079"/>
    <w:rsid w:val="004A48CB"/>
    <w:rsid w:val="004E3B4F"/>
    <w:rsid w:val="004F660E"/>
    <w:rsid w:val="005065DC"/>
    <w:rsid w:val="005178AC"/>
    <w:rsid w:val="0053462F"/>
    <w:rsid w:val="00541800"/>
    <w:rsid w:val="00542E31"/>
    <w:rsid w:val="00595EE7"/>
    <w:rsid w:val="005C5963"/>
    <w:rsid w:val="005D6CEA"/>
    <w:rsid w:val="005F2975"/>
    <w:rsid w:val="005F46BE"/>
    <w:rsid w:val="00632C5E"/>
    <w:rsid w:val="00654605"/>
    <w:rsid w:val="00655DED"/>
    <w:rsid w:val="006A6D56"/>
    <w:rsid w:val="006B0A95"/>
    <w:rsid w:val="006C2BE1"/>
    <w:rsid w:val="006D1358"/>
    <w:rsid w:val="006E26B2"/>
    <w:rsid w:val="00733D7E"/>
    <w:rsid w:val="0076337F"/>
    <w:rsid w:val="007C36BB"/>
    <w:rsid w:val="007D2A11"/>
    <w:rsid w:val="007D5407"/>
    <w:rsid w:val="00810DE3"/>
    <w:rsid w:val="008347FD"/>
    <w:rsid w:val="00855AD3"/>
    <w:rsid w:val="008563F0"/>
    <w:rsid w:val="0086274E"/>
    <w:rsid w:val="008739C0"/>
    <w:rsid w:val="00880614"/>
    <w:rsid w:val="0089139B"/>
    <w:rsid w:val="008E1DAB"/>
    <w:rsid w:val="008F3139"/>
    <w:rsid w:val="00904511"/>
    <w:rsid w:val="00921760"/>
    <w:rsid w:val="00942CB6"/>
    <w:rsid w:val="009601C6"/>
    <w:rsid w:val="00974CC8"/>
    <w:rsid w:val="00980E23"/>
    <w:rsid w:val="009A31B1"/>
    <w:rsid w:val="009B0598"/>
    <w:rsid w:val="009C6860"/>
    <w:rsid w:val="00A6612E"/>
    <w:rsid w:val="00A77C38"/>
    <w:rsid w:val="00A92159"/>
    <w:rsid w:val="00A97AEA"/>
    <w:rsid w:val="00AD577F"/>
    <w:rsid w:val="00AF5188"/>
    <w:rsid w:val="00B107A4"/>
    <w:rsid w:val="00B11FFE"/>
    <w:rsid w:val="00B3589F"/>
    <w:rsid w:val="00B55945"/>
    <w:rsid w:val="00B57E8D"/>
    <w:rsid w:val="00B87D24"/>
    <w:rsid w:val="00BC3512"/>
    <w:rsid w:val="00BF7A35"/>
    <w:rsid w:val="00C134E4"/>
    <w:rsid w:val="00C61A23"/>
    <w:rsid w:val="00C63550"/>
    <w:rsid w:val="00C76D50"/>
    <w:rsid w:val="00C96AE5"/>
    <w:rsid w:val="00CA5AEE"/>
    <w:rsid w:val="00CA7995"/>
    <w:rsid w:val="00CB5C20"/>
    <w:rsid w:val="00CD3A07"/>
    <w:rsid w:val="00D06DD6"/>
    <w:rsid w:val="00D24B6C"/>
    <w:rsid w:val="00D64CC2"/>
    <w:rsid w:val="00DB4715"/>
    <w:rsid w:val="00DC4B92"/>
    <w:rsid w:val="00DD0F7C"/>
    <w:rsid w:val="00DD1975"/>
    <w:rsid w:val="00DE277F"/>
    <w:rsid w:val="00DE278A"/>
    <w:rsid w:val="00E0219F"/>
    <w:rsid w:val="00E4299C"/>
    <w:rsid w:val="00E61849"/>
    <w:rsid w:val="00E90136"/>
    <w:rsid w:val="00EB4851"/>
    <w:rsid w:val="00EC0046"/>
    <w:rsid w:val="00EC2BCF"/>
    <w:rsid w:val="00EC5FBF"/>
    <w:rsid w:val="00F035B9"/>
    <w:rsid w:val="00F44D42"/>
    <w:rsid w:val="00F474B2"/>
    <w:rsid w:val="00F62B51"/>
    <w:rsid w:val="00F72963"/>
    <w:rsid w:val="00F943EC"/>
    <w:rsid w:val="00FA4A4E"/>
    <w:rsid w:val="00FC7021"/>
    <w:rsid w:val="00FD6E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DA4326"/>
  <w15:docId w15:val="{EC6D565A-EE12-4E51-96DA-07C84F2BA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before="4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spacing w:line="240" w:lineRule="auto"/>
      <w:outlineLvl w:val="0"/>
    </w:pPr>
    <w:rPr>
      <w:rFonts w:ascii="Times New Roman" w:eastAsia="Times New Roman" w:hAnsi="Times New Roman" w:cs="Times New Roman"/>
      <w:b/>
      <w:sz w:val="24"/>
      <w:szCs w:val="24"/>
    </w:rPr>
  </w:style>
  <w:style w:type="paragraph" w:styleId="Heading2">
    <w:name w:val="heading 2"/>
    <w:basedOn w:val="Normal"/>
    <w:next w:val="Normal"/>
    <w:link w:val="Heading2Char"/>
    <w:pPr>
      <w:spacing w:line="480" w:lineRule="auto"/>
      <w:jc w:val="both"/>
      <w:outlineLvl w:val="1"/>
    </w:pPr>
    <w:rPr>
      <w:b/>
      <w:sz w:val="24"/>
      <w:szCs w:val="24"/>
    </w:rPr>
  </w:style>
  <w:style w:type="paragraph" w:styleId="Heading3">
    <w:name w:val="heading 3"/>
    <w:basedOn w:val="Normal"/>
    <w:next w:val="Normal"/>
    <w:rsid w:val="000E2633"/>
    <w:pPr>
      <w:keepNext/>
      <w:keepLines/>
      <w:spacing w:line="480" w:lineRule="auto"/>
      <w:jc w:val="both"/>
      <w:outlineLvl w:val="2"/>
    </w:pPr>
    <w:rPr>
      <w:rFonts w:ascii="Arial" w:hAnsi="Arial" w:cs="Arial"/>
      <w:b/>
      <w:i/>
    </w:rPr>
  </w:style>
  <w:style w:type="paragraph" w:styleId="Heading4">
    <w:name w:val="heading 4"/>
    <w:basedOn w:val="Normal"/>
    <w:next w:val="Normal"/>
    <w:pPr>
      <w:keepNext/>
      <w:keepLines/>
      <w:spacing w:before="80" w:after="40"/>
      <w:outlineLvl w:val="3"/>
    </w:pPr>
    <w:rPr>
      <w:i/>
      <w:color w:val="2F5496"/>
    </w:rPr>
  </w:style>
  <w:style w:type="paragraph" w:styleId="Heading5">
    <w:name w:val="heading 5"/>
    <w:basedOn w:val="Normal"/>
    <w:next w:val="Normal"/>
    <w:pPr>
      <w:keepNext/>
      <w:keepLines/>
      <w:spacing w:before="80" w:after="40"/>
      <w:outlineLvl w:val="4"/>
    </w:pPr>
    <w:rPr>
      <w:color w:val="2F5496"/>
    </w:rPr>
  </w:style>
  <w:style w:type="paragraph" w:styleId="Heading6">
    <w:name w:val="heading 6"/>
    <w:basedOn w:val="Normal"/>
    <w:next w:val="Normal"/>
    <w:pPr>
      <w:keepNext/>
      <w:keepLines/>
      <w:outlineLvl w:val="5"/>
    </w:pPr>
    <w:rPr>
      <w:i/>
      <w:color w:val="595959"/>
    </w:rPr>
  </w:style>
  <w:style w:type="paragraph" w:styleId="Heading7">
    <w:name w:val="heading 7"/>
    <w:basedOn w:val="Normal"/>
    <w:next w:val="Normal"/>
    <w:link w:val="Heading7Char"/>
    <w:uiPriority w:val="9"/>
    <w:unhideWhenUsed/>
    <w:qFormat/>
    <w:rsid w:val="00A92159"/>
    <w:pPr>
      <w:spacing w:line="360" w:lineRule="auto"/>
      <w:outlineLvl w:val="6"/>
    </w:pPr>
    <w:rPr>
      <w:rFonts w:ascii="Arial" w:hAnsi="Arial" w:cs="Arial"/>
      <w:b/>
      <w:bCs/>
    </w:rPr>
  </w:style>
  <w:style w:type="paragraph" w:styleId="Heading8">
    <w:name w:val="heading 8"/>
    <w:basedOn w:val="Normal"/>
    <w:next w:val="Normal"/>
    <w:link w:val="Heading8Char"/>
    <w:uiPriority w:val="9"/>
    <w:unhideWhenUsed/>
    <w:qFormat/>
    <w:rsid w:val="00A92159"/>
    <w:pPr>
      <w:spacing w:line="360" w:lineRule="auto"/>
      <w:outlineLvl w:val="7"/>
    </w:pPr>
    <w:rPr>
      <w:rFonts w:ascii="Arial" w:hAnsi="Arial" w:cs="Arial"/>
      <w:b/>
      <w:bCs/>
    </w:rPr>
  </w:style>
  <w:style w:type="paragraph" w:styleId="Heading9">
    <w:name w:val="heading 9"/>
    <w:basedOn w:val="Normal"/>
    <w:next w:val="Normal"/>
    <w:link w:val="Heading9Char"/>
    <w:uiPriority w:val="9"/>
    <w:unhideWhenUsed/>
    <w:qFormat/>
    <w:rsid w:val="00980E23"/>
    <w:pPr>
      <w:keepNext/>
      <w:keepLines/>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spacing w:before="0" w:after="80" w:line="240" w:lineRule="auto"/>
    </w:pPr>
    <w:rPr>
      <w:sz w:val="56"/>
      <w:szCs w:val="56"/>
    </w:rPr>
  </w:style>
  <w:style w:type="paragraph" w:styleId="Subtitle">
    <w:name w:val="Subtitle"/>
    <w:basedOn w:val="Normal"/>
    <w:next w:val="Normal"/>
    <w:pPr>
      <w:spacing w:after="160"/>
    </w:pPr>
    <w:rPr>
      <w:color w:val="595959"/>
      <w:sz w:val="28"/>
      <w:szCs w:val="28"/>
    </w:rPr>
  </w:style>
  <w:style w:type="character" w:styleId="Hyperlink">
    <w:name w:val="Hyperlink"/>
    <w:basedOn w:val="DefaultParagraphFont"/>
    <w:uiPriority w:val="99"/>
    <w:unhideWhenUsed/>
    <w:rsid w:val="00B11FFE"/>
    <w:rPr>
      <w:color w:val="0000FF" w:themeColor="hyperlink"/>
      <w:u w:val="single"/>
    </w:rPr>
  </w:style>
  <w:style w:type="paragraph" w:styleId="TOC1">
    <w:name w:val="toc 1"/>
    <w:basedOn w:val="Normal"/>
    <w:next w:val="Normal"/>
    <w:autoRedefine/>
    <w:uiPriority w:val="39"/>
    <w:unhideWhenUsed/>
    <w:rsid w:val="00A92159"/>
    <w:pPr>
      <w:spacing w:after="100"/>
    </w:pPr>
  </w:style>
  <w:style w:type="paragraph" w:styleId="TOC2">
    <w:name w:val="toc 2"/>
    <w:basedOn w:val="Normal"/>
    <w:next w:val="Normal"/>
    <w:autoRedefine/>
    <w:uiPriority w:val="39"/>
    <w:unhideWhenUsed/>
    <w:rsid w:val="00A92159"/>
    <w:pPr>
      <w:spacing w:after="100"/>
      <w:ind w:left="220"/>
    </w:pPr>
  </w:style>
  <w:style w:type="paragraph" w:styleId="TOC3">
    <w:name w:val="toc 3"/>
    <w:basedOn w:val="Normal"/>
    <w:next w:val="Normal"/>
    <w:autoRedefine/>
    <w:uiPriority w:val="39"/>
    <w:unhideWhenUsed/>
    <w:rsid w:val="00A92159"/>
    <w:pPr>
      <w:spacing w:after="100"/>
      <w:ind w:left="440"/>
    </w:pPr>
  </w:style>
  <w:style w:type="character" w:customStyle="1" w:styleId="Heading7Char">
    <w:name w:val="Heading 7 Char"/>
    <w:basedOn w:val="DefaultParagraphFont"/>
    <w:link w:val="Heading7"/>
    <w:uiPriority w:val="9"/>
    <w:rsid w:val="00A92159"/>
    <w:rPr>
      <w:rFonts w:ascii="Arial" w:hAnsi="Arial" w:cs="Arial"/>
      <w:b/>
      <w:bCs/>
    </w:rPr>
  </w:style>
  <w:style w:type="character" w:customStyle="1" w:styleId="Heading8Char">
    <w:name w:val="Heading 8 Char"/>
    <w:basedOn w:val="DefaultParagraphFont"/>
    <w:link w:val="Heading8"/>
    <w:uiPriority w:val="9"/>
    <w:rsid w:val="00A92159"/>
    <w:rPr>
      <w:rFonts w:ascii="Arial" w:hAnsi="Arial" w:cs="Arial"/>
      <w:b/>
      <w:bCs/>
    </w:rPr>
  </w:style>
  <w:style w:type="character" w:customStyle="1" w:styleId="UnresolvedMention1">
    <w:name w:val="Unresolved Mention1"/>
    <w:basedOn w:val="DefaultParagraphFont"/>
    <w:uiPriority w:val="99"/>
    <w:semiHidden/>
    <w:unhideWhenUsed/>
    <w:rsid w:val="00654605"/>
    <w:rPr>
      <w:color w:val="605E5C"/>
      <w:shd w:val="clear" w:color="auto" w:fill="E1DFDD"/>
    </w:rPr>
  </w:style>
  <w:style w:type="paragraph" w:styleId="ListParagraph">
    <w:name w:val="List Paragraph"/>
    <w:basedOn w:val="Normal"/>
    <w:uiPriority w:val="34"/>
    <w:qFormat/>
    <w:rsid w:val="008563F0"/>
    <w:pPr>
      <w:ind w:left="720"/>
      <w:contextualSpacing/>
    </w:pPr>
  </w:style>
  <w:style w:type="character" w:customStyle="1" w:styleId="Heading9Char">
    <w:name w:val="Heading 9 Char"/>
    <w:basedOn w:val="DefaultParagraphFont"/>
    <w:link w:val="Heading9"/>
    <w:uiPriority w:val="9"/>
    <w:rsid w:val="00980E23"/>
    <w:rPr>
      <w:rFonts w:asciiTheme="majorHAnsi" w:eastAsiaTheme="majorEastAsia" w:hAnsiTheme="majorHAnsi" w:cstheme="majorBidi"/>
      <w:i/>
      <w:iCs/>
      <w:color w:val="272727" w:themeColor="text1" w:themeTint="D8"/>
      <w:sz w:val="21"/>
      <w:szCs w:val="21"/>
    </w:rPr>
  </w:style>
  <w:style w:type="character" w:styleId="SubtleEmphasis">
    <w:name w:val="Subtle Emphasis"/>
    <w:basedOn w:val="DefaultParagraphFont"/>
    <w:uiPriority w:val="19"/>
    <w:qFormat/>
    <w:rsid w:val="00980E23"/>
    <w:rPr>
      <w:i/>
      <w:iCs/>
      <w:color w:val="404040" w:themeColor="text1" w:themeTint="BF"/>
    </w:rPr>
  </w:style>
  <w:style w:type="paragraph" w:styleId="NormalWeb">
    <w:name w:val="Normal (Web)"/>
    <w:basedOn w:val="Normal"/>
    <w:uiPriority w:val="99"/>
    <w:semiHidden/>
    <w:unhideWhenUsed/>
    <w:rsid w:val="00EC0046"/>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6A6D56"/>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6D56"/>
  </w:style>
  <w:style w:type="paragraph" w:styleId="Footer">
    <w:name w:val="footer"/>
    <w:basedOn w:val="Normal"/>
    <w:link w:val="FooterChar"/>
    <w:uiPriority w:val="99"/>
    <w:unhideWhenUsed/>
    <w:rsid w:val="006A6D56"/>
    <w:pPr>
      <w:tabs>
        <w:tab w:val="center" w:pos="4513"/>
        <w:tab w:val="right" w:pos="9026"/>
      </w:tabs>
      <w:spacing w:before="0" w:line="240" w:lineRule="auto"/>
    </w:pPr>
  </w:style>
  <w:style w:type="character" w:customStyle="1" w:styleId="FooterChar">
    <w:name w:val="Footer Char"/>
    <w:basedOn w:val="DefaultParagraphFont"/>
    <w:link w:val="Footer"/>
    <w:uiPriority w:val="99"/>
    <w:rsid w:val="006A6D56"/>
  </w:style>
  <w:style w:type="table" w:styleId="TableGrid">
    <w:name w:val="Table Grid"/>
    <w:basedOn w:val="TableNormal"/>
    <w:uiPriority w:val="39"/>
    <w:rsid w:val="003335A8"/>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335A8"/>
    <w:rPr>
      <w:b/>
      <w:bCs/>
    </w:rPr>
  </w:style>
  <w:style w:type="character" w:customStyle="1" w:styleId="Heading2Char">
    <w:name w:val="Heading 2 Char"/>
    <w:basedOn w:val="DefaultParagraphFont"/>
    <w:link w:val="Heading2"/>
    <w:rsid w:val="003335A8"/>
    <w:rPr>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197571">
      <w:bodyDiv w:val="1"/>
      <w:marLeft w:val="0"/>
      <w:marRight w:val="0"/>
      <w:marTop w:val="0"/>
      <w:marBottom w:val="0"/>
      <w:divBdr>
        <w:top w:val="none" w:sz="0" w:space="0" w:color="auto"/>
        <w:left w:val="none" w:sz="0" w:space="0" w:color="auto"/>
        <w:bottom w:val="none" w:sz="0" w:space="0" w:color="auto"/>
        <w:right w:val="none" w:sz="0" w:space="0" w:color="auto"/>
      </w:divBdr>
      <w:divsChild>
        <w:div w:id="792358333">
          <w:marLeft w:val="0"/>
          <w:marRight w:val="0"/>
          <w:marTop w:val="0"/>
          <w:marBottom w:val="0"/>
          <w:divBdr>
            <w:top w:val="none" w:sz="0" w:space="0" w:color="auto"/>
            <w:left w:val="none" w:sz="0" w:space="0" w:color="auto"/>
            <w:bottom w:val="none" w:sz="0" w:space="0" w:color="auto"/>
            <w:right w:val="none" w:sz="0" w:space="0" w:color="auto"/>
          </w:divBdr>
          <w:divsChild>
            <w:div w:id="1512599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963745">
      <w:bodyDiv w:val="1"/>
      <w:marLeft w:val="0"/>
      <w:marRight w:val="0"/>
      <w:marTop w:val="0"/>
      <w:marBottom w:val="0"/>
      <w:divBdr>
        <w:top w:val="none" w:sz="0" w:space="0" w:color="auto"/>
        <w:left w:val="none" w:sz="0" w:space="0" w:color="auto"/>
        <w:bottom w:val="none" w:sz="0" w:space="0" w:color="auto"/>
        <w:right w:val="none" w:sz="0" w:space="0" w:color="auto"/>
      </w:divBdr>
    </w:div>
    <w:div w:id="1260485582">
      <w:bodyDiv w:val="1"/>
      <w:marLeft w:val="0"/>
      <w:marRight w:val="0"/>
      <w:marTop w:val="0"/>
      <w:marBottom w:val="0"/>
      <w:divBdr>
        <w:top w:val="none" w:sz="0" w:space="0" w:color="auto"/>
        <w:left w:val="none" w:sz="0" w:space="0" w:color="auto"/>
        <w:bottom w:val="none" w:sz="0" w:space="0" w:color="auto"/>
        <w:right w:val="none" w:sz="0" w:space="0" w:color="auto"/>
      </w:divBdr>
    </w:div>
    <w:div w:id="1352612521">
      <w:bodyDiv w:val="1"/>
      <w:marLeft w:val="0"/>
      <w:marRight w:val="0"/>
      <w:marTop w:val="0"/>
      <w:marBottom w:val="0"/>
      <w:divBdr>
        <w:top w:val="none" w:sz="0" w:space="0" w:color="auto"/>
        <w:left w:val="none" w:sz="0" w:space="0" w:color="auto"/>
        <w:bottom w:val="none" w:sz="0" w:space="0" w:color="auto"/>
        <w:right w:val="none" w:sz="0" w:space="0" w:color="auto"/>
      </w:divBdr>
    </w:div>
    <w:div w:id="1363822112">
      <w:bodyDiv w:val="1"/>
      <w:marLeft w:val="0"/>
      <w:marRight w:val="0"/>
      <w:marTop w:val="0"/>
      <w:marBottom w:val="0"/>
      <w:divBdr>
        <w:top w:val="none" w:sz="0" w:space="0" w:color="auto"/>
        <w:left w:val="none" w:sz="0" w:space="0" w:color="auto"/>
        <w:bottom w:val="none" w:sz="0" w:space="0" w:color="auto"/>
        <w:right w:val="none" w:sz="0" w:space="0" w:color="auto"/>
      </w:divBdr>
    </w:div>
    <w:div w:id="15414295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tmp"/><Relationship Id="rId26" Type="http://schemas.openxmlformats.org/officeDocument/2006/relationships/hyperlink" Target="https://docs.google.com/viewer?url=https://assets.publishing.service.gov.uk/media/66ab81a4ab418ab0555931ac/EPLS_Headline_Report_2021_FINAL.pdf?utm_source%3Dchatgpt.com&amp;embedded=true&amp;chrome=false&amp;dov=1" TargetMode="External"/><Relationship Id="rId39" Type="http://schemas.openxmlformats.org/officeDocument/2006/relationships/hyperlink" Target="https://www.researchgate.net/publication/369459168_Risk_and_Resilience_in_the_Age_of_Algorithmic_Governance?utm_source=chatgpt.com" TargetMode="External"/><Relationship Id="rId3" Type="http://schemas.openxmlformats.org/officeDocument/2006/relationships/styles" Target="styles.xml"/><Relationship Id="rId21" Type="http://schemas.openxmlformats.org/officeDocument/2006/relationships/hyperlink" Target="https://housingevidence.ac.uk/wp-content/uploads/2024/02/20211028_CaCHE_ThePandemicRentArrearsCrisis_FINAL.pdf?utm_source=chatgpt.com" TargetMode="External"/><Relationship Id="rId34" Type="http://schemas.openxmlformats.org/officeDocument/2006/relationships/hyperlink" Target="https://holdingontohome.org/wp-content/uploads/2022/08/Drivers-of-rent-areas-EV-Report.pdf?utm_source=chatgpt.com" TargetMode="External"/><Relationship Id="rId42" Type="http://schemas.openxmlformats.org/officeDocument/2006/relationships/hyperlink" Target="https://researchbriefings.files.parliament.uk/documents/CBP-9622/CBP-9622.pdf?utm_source=chatgpt.co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tmp"/><Relationship Id="rId25" Type="http://schemas.openxmlformats.org/officeDocument/2006/relationships/hyperlink" Target="https://assets.publishing.service.gov.uk/media/66ab81a4ab418ab0555931ac/EPLS_Headline_Report_2021_FINAL.pdf" TargetMode="External"/><Relationship Id="rId33" Type="http://schemas.openxmlformats.org/officeDocument/2006/relationships/hyperlink" Target="https://www.ncbi.nlm.nih.gov/pmc/articles/PMC11160939/" TargetMode="External"/><Relationship Id="rId38" Type="http://schemas.openxmlformats.org/officeDocument/2006/relationships/hyperlink" Target="https://www.crisis.org.uk"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jabu.edu.ng/wp-content/uploads/2024/04/Assessing-the-Effects-of-Rental-Default-by-Commercial-Property-Occupiers-on-Property-Management-in-Minna-Niger-State-Nigeria.pdf?utm_source=chatgpt.com" TargetMode="External"/><Relationship Id="rId29" Type="http://schemas.openxmlformats.org/officeDocument/2006/relationships/hyperlink" Target="https://www.gov.uk/government/statistics/english-private-landlord-survey-2021-main-report/english-private-landlord-survey-2021-main-report--2" TargetMode="External"/><Relationship Id="rId41" Type="http://schemas.openxmlformats.org/officeDocument/2006/relationships/hyperlink" Target="https://doi.org/10.1080/02673037.2025.245300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housemark.co.uk" TargetMode="External"/><Relationship Id="rId32" Type="http://schemas.openxmlformats.org/officeDocument/2006/relationships/hyperlink" Target="https://academic.oup.com/jrsssa/article/184/2/663/7056340?utm_source=chatgpt.com" TargetMode="External"/><Relationship Id="rId37" Type="http://schemas.openxmlformats.org/officeDocument/2006/relationships/hyperlink" Target="https://www.propertymark.co.uk/resource/handling-rent-arrears-disputes-what-letting-agents-need-to-know-in-2025.html?utm_source=chatgpt.com" TargetMode="External"/><Relationship Id="rId40" Type="http://schemas.openxmlformats.org/officeDocument/2006/relationships/hyperlink" Target="https://ssrn.com/abstract=4641523"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housemark.co.uk" TargetMode="External"/><Relationship Id="rId28" Type="http://schemas.openxmlformats.org/officeDocument/2006/relationships/hyperlink" Target="https://demos.co.uk/project/the-bottom-line/" TargetMode="External"/><Relationship Id="rId36" Type="http://schemas.openxmlformats.org/officeDocument/2006/relationships/hyperlink" Target="https://www.propertymark.co.uk/resource/importance-of-proactively-managing-arrears.html?utm_source=chatgpt.com"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academic.oup.com/sf/article/100/1/316/5903878?utm_source=chatgpt.com"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crisis.org.uk/media/236935/local_lettings_agency_guide.pdf?utm_source=chatgpt.com" TargetMode="External"/><Relationship Id="rId27" Type="http://schemas.openxmlformats.org/officeDocument/2006/relationships/hyperlink" Target="https://researchportal.northumbria.ac.uk/files/63567811/02673037.2021.pdf?utm_source=chatgpt.com" TargetMode="External"/><Relationship Id="rId30" Type="http://schemas.openxmlformats.org/officeDocument/2006/relationships/hyperlink" Target="https://www.gov.uk/government/statistics/english-private-landlord-survey-2021-main-report/english-private-landlord-survey-2021-main-report--2" TargetMode="External"/><Relationship Id="rId35" Type="http://schemas.openxmlformats.org/officeDocument/2006/relationships/hyperlink" Target="https://post.parliament.uk/research-briefings/post-pn-0729/" TargetMode="External"/><Relationship Id="rId43" Type="http://schemas.openxmlformats.org/officeDocument/2006/relationships/hyperlink" Target="https://docs.google.com/viewer?url=https://researchbriefings.files.parliament.uk/documents/CBP-9622/CBP-9622.pdf?utm_source%3Dchatgpt.com&amp;embedded=true&amp;chrome=false&amp;dov=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338618-555F-4399-A091-1C7E400B2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9751</Words>
  <Characters>55583</Characters>
  <Application>Microsoft Office Word</Application>
  <DocSecurity>0</DocSecurity>
  <Lines>463</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Zoe Matthews</dc:creator>
  <cp:lastModifiedBy>Zoe Matthews</cp:lastModifiedBy>
  <cp:revision>2</cp:revision>
  <dcterms:created xsi:type="dcterms:W3CDTF">2025-11-15T11:00:00Z</dcterms:created>
  <dcterms:modified xsi:type="dcterms:W3CDTF">2025-11-15T11:00:00Z</dcterms:modified>
</cp:coreProperties>
</file>