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1E0C" w:rsidRPr="008C27D8" w:rsidRDefault="00A71E0C" w:rsidP="00D62BF4">
      <w:pPr>
        <w:shd w:val="clear" w:color="auto" w:fill="FFFFFF"/>
        <w:spacing w:before="100" w:beforeAutospacing="1" w:after="100" w:afterAutospacing="1" w:line="240" w:lineRule="auto"/>
        <w:jc w:val="both"/>
        <w:rPr>
          <w:rFonts w:eastAsia="Times New Roman" w:cstheme="minorHAnsi"/>
          <w:b/>
          <w:lang w:val="en-US"/>
        </w:rPr>
      </w:pPr>
      <w:r w:rsidRPr="008C27D8">
        <w:rPr>
          <w:rFonts w:eastAsia="Times New Roman" w:cstheme="minorHAnsi"/>
          <w:b/>
          <w:lang w:val="en-US"/>
        </w:rPr>
        <w:t>Critically assess Kant’s account of morality.</w:t>
      </w:r>
    </w:p>
    <w:p w:rsidR="00FC5507" w:rsidRPr="008C27D8" w:rsidRDefault="00FC5507">
      <w:r w:rsidRPr="008C27D8">
        <w:t>Here I will argue that</w:t>
      </w:r>
      <w:r w:rsidR="0062505A" w:rsidRPr="008C27D8">
        <w:t xml:space="preserve"> Kant’s account of morality</w:t>
      </w:r>
      <w:r w:rsidRPr="008C27D8">
        <w:t xml:space="preserve"> is flawed</w:t>
      </w:r>
      <w:r w:rsidR="00CE6C7D" w:rsidRPr="008C27D8">
        <w:t xml:space="preserve"> by analysing </w:t>
      </w:r>
      <w:r w:rsidR="00774994" w:rsidRPr="008C27D8">
        <w:t xml:space="preserve">key aspects of </w:t>
      </w:r>
      <w:r w:rsidRPr="008C27D8">
        <w:t xml:space="preserve">Kant’s ethical system </w:t>
      </w:r>
      <w:r w:rsidR="004872E7" w:rsidRPr="008C27D8">
        <w:t>with</w:t>
      </w:r>
      <w:r w:rsidRPr="008C27D8">
        <w:t xml:space="preserve"> examination of accompanying examples.</w:t>
      </w:r>
    </w:p>
    <w:p w:rsidR="00FC5507" w:rsidRPr="008C27D8" w:rsidRDefault="00FC5507">
      <w:r w:rsidRPr="008C27D8">
        <w:t>Kant believed that people are rational, autonomous beings</w:t>
      </w:r>
      <w:r w:rsidR="0050531C" w:rsidRPr="008C27D8">
        <w:rPr>
          <w:rStyle w:val="FootnoteReference"/>
        </w:rPr>
        <w:footnoteReference w:id="1"/>
      </w:r>
      <w:r w:rsidRPr="008C27D8">
        <w:t>, therefore capable of</w:t>
      </w:r>
      <w:r w:rsidR="0050531C" w:rsidRPr="008C27D8">
        <w:t xml:space="preserve"> making moral decisions. </w:t>
      </w:r>
      <w:r w:rsidR="00F6361F" w:rsidRPr="008C27D8">
        <w:t xml:space="preserve">However, </w:t>
      </w:r>
      <w:r w:rsidR="00D92B73" w:rsidRPr="008C27D8">
        <w:t xml:space="preserve">Kant’s argument for free will is controversial. </w:t>
      </w:r>
      <w:r w:rsidR="0050531C" w:rsidRPr="008C27D8">
        <w:t xml:space="preserve">His claim that people have free will </w:t>
      </w:r>
      <w:r w:rsidR="00916ACD" w:rsidRPr="008C27D8">
        <w:t>relies on</w:t>
      </w:r>
      <w:r w:rsidR="00F6361F" w:rsidRPr="008C27D8">
        <w:t xml:space="preserve"> distinguishing between</w:t>
      </w:r>
      <w:r w:rsidR="00916ACD" w:rsidRPr="008C27D8">
        <w:t xml:space="preserve"> the</w:t>
      </w:r>
      <w:r w:rsidR="00F6361F" w:rsidRPr="008C27D8">
        <w:t xml:space="preserve"> </w:t>
      </w:r>
      <w:r w:rsidR="00D92B73" w:rsidRPr="008C27D8">
        <w:t>two domains</w:t>
      </w:r>
      <w:r w:rsidR="004872E7" w:rsidRPr="008C27D8">
        <w:t xml:space="preserve"> of</w:t>
      </w:r>
      <w:r w:rsidR="00D92B73" w:rsidRPr="008C27D8">
        <w:t xml:space="preserve"> causality and</w:t>
      </w:r>
      <w:r w:rsidR="004872E7" w:rsidRPr="008C27D8">
        <w:t xml:space="preserve"> </w:t>
      </w:r>
      <w:r w:rsidR="00D92B73" w:rsidRPr="008C27D8">
        <w:t xml:space="preserve">freedom. He believed we could know </w:t>
      </w:r>
      <w:r w:rsidR="00916ACD" w:rsidRPr="008C27D8">
        <w:t xml:space="preserve">a priori </w:t>
      </w:r>
      <w:r w:rsidR="00D92B73" w:rsidRPr="008C27D8">
        <w:t>that we inhabit the natural world</w:t>
      </w:r>
      <w:r w:rsidR="00916ACD" w:rsidRPr="008C27D8">
        <w:t xml:space="preserve">, </w:t>
      </w:r>
      <w:r w:rsidR="004872E7" w:rsidRPr="008C27D8">
        <w:t>which</w:t>
      </w:r>
      <w:r w:rsidR="00D92B73" w:rsidRPr="008C27D8">
        <w:t xml:space="preserve"> causality is part of</w:t>
      </w:r>
      <w:r w:rsidR="004872E7" w:rsidRPr="008C27D8">
        <w:t xml:space="preserve">. Our </w:t>
      </w:r>
      <w:r w:rsidR="00D92B73" w:rsidRPr="008C27D8">
        <w:t xml:space="preserve">knowledge </w:t>
      </w:r>
      <w:r w:rsidR="00B770D0" w:rsidRPr="008C27D8">
        <w:t>is part of the natural, causal domain</w:t>
      </w:r>
      <w:r w:rsidR="004872E7" w:rsidRPr="008C27D8">
        <w:t xml:space="preserve"> and</w:t>
      </w:r>
      <w:r w:rsidR="00B770D0" w:rsidRPr="008C27D8">
        <w:t xml:space="preserve"> morality is part of the domain encompassing freedom.</w:t>
      </w:r>
      <w:r w:rsidR="00B770D0" w:rsidRPr="008C27D8">
        <w:rPr>
          <w:rStyle w:val="FootnoteReference"/>
        </w:rPr>
        <w:footnoteReference w:id="2"/>
      </w:r>
      <w:r w:rsidR="00B770D0" w:rsidRPr="008C27D8">
        <w:t xml:space="preserve"> This explanation rightly receives the objection “that this dual-aspect view of human beings is </w:t>
      </w:r>
      <w:r w:rsidR="000104AA" w:rsidRPr="008C27D8">
        <w:t xml:space="preserve">ultimately </w:t>
      </w:r>
      <w:r w:rsidR="00B770D0" w:rsidRPr="008C27D8">
        <w:t>incoherent.</w:t>
      </w:r>
      <w:r w:rsidR="000104AA" w:rsidRPr="008C27D8">
        <w:t>”</w:t>
      </w:r>
      <w:r w:rsidR="00774994" w:rsidRPr="008C27D8">
        <w:rPr>
          <w:rStyle w:val="FootnoteReference"/>
        </w:rPr>
        <w:footnoteReference w:id="3"/>
      </w:r>
    </w:p>
    <w:p w:rsidR="000D542E" w:rsidRPr="008C27D8" w:rsidRDefault="004F1326">
      <w:r w:rsidRPr="008C27D8">
        <w:t xml:space="preserve">He </w:t>
      </w:r>
      <w:r w:rsidR="000D665C" w:rsidRPr="008C27D8">
        <w:t>identified “a good will as the only unconditional good” and denied that the principles of good will are determined by an objective goo</w:t>
      </w:r>
      <w:r w:rsidR="00E62A2E" w:rsidRPr="008C27D8">
        <w:t xml:space="preserve">d or </w:t>
      </w:r>
      <w:r w:rsidR="000D665C" w:rsidRPr="008C27D8">
        <w:t>telos.</w:t>
      </w:r>
      <w:r w:rsidR="00271DD8" w:rsidRPr="008C27D8">
        <w:t xml:space="preserve"> </w:t>
      </w:r>
      <w:r w:rsidR="00FB7CF9" w:rsidRPr="008C27D8">
        <w:t>Kant’s focus on will is undeniably a strengt</w:t>
      </w:r>
      <w:r w:rsidR="00916ACD" w:rsidRPr="008C27D8">
        <w:t>h</w:t>
      </w:r>
      <w:r w:rsidR="00FB7CF9" w:rsidRPr="008C27D8">
        <w:t xml:space="preserve"> as it recognises</w:t>
      </w:r>
      <w:r w:rsidR="00B0535C" w:rsidRPr="008C27D8">
        <w:t xml:space="preserve"> even</w:t>
      </w:r>
      <w:r w:rsidR="00FB7CF9" w:rsidRPr="008C27D8">
        <w:t xml:space="preserve"> if the agent is unable to carry out a moral action, they have not failed to be mora</w:t>
      </w:r>
      <w:r w:rsidR="00E62A2E" w:rsidRPr="008C27D8">
        <w:t>l</w:t>
      </w:r>
      <w:r w:rsidR="00FB7CF9" w:rsidRPr="008C27D8">
        <w:t xml:space="preserve">. This is characterised as “ought </w:t>
      </w:r>
      <w:proofErr w:type="gramStart"/>
      <w:r w:rsidR="00FB7CF9" w:rsidRPr="008C27D8">
        <w:t>implies</w:t>
      </w:r>
      <w:proofErr w:type="gramEnd"/>
      <w:r w:rsidR="00FB7CF9" w:rsidRPr="008C27D8">
        <w:t xml:space="preserve"> can”</w:t>
      </w:r>
      <w:r w:rsidR="000C5FA3" w:rsidRPr="008C27D8">
        <w:t xml:space="preserve"> T</w:t>
      </w:r>
      <w:r w:rsidR="00FB7CF9" w:rsidRPr="008C27D8">
        <w:t xml:space="preserve">he agent </w:t>
      </w:r>
      <w:r w:rsidR="00765D61" w:rsidRPr="008C27D8">
        <w:t xml:space="preserve">only ought to do </w:t>
      </w:r>
      <w:r w:rsidR="00E62A2E" w:rsidRPr="008C27D8">
        <w:t>x</w:t>
      </w:r>
      <w:r w:rsidR="00765D61" w:rsidRPr="008C27D8">
        <w:t xml:space="preserve"> if they are capable.</w:t>
      </w:r>
      <w:r w:rsidR="00CB167F" w:rsidRPr="008C27D8">
        <w:rPr>
          <w:rStyle w:val="FootnoteReference"/>
        </w:rPr>
        <w:footnoteReference w:id="4"/>
      </w:r>
      <w:r w:rsidR="009E1C1D" w:rsidRPr="008C27D8">
        <w:t xml:space="preserve"> To determine what actions should be willed, he formulated the categorical imperative from which maxims describing how to act</w:t>
      </w:r>
      <w:r w:rsidR="00E268C7" w:rsidRPr="008C27D8">
        <w:t>, such as “do not lie,” are</w:t>
      </w:r>
      <w:r w:rsidR="009E1C1D" w:rsidRPr="008C27D8">
        <w:t xml:space="preserve"> </w:t>
      </w:r>
      <w:r w:rsidR="00D3337D" w:rsidRPr="008C27D8">
        <w:t>derived</w:t>
      </w:r>
      <w:r w:rsidR="00E268C7" w:rsidRPr="008C27D8">
        <w:t xml:space="preserve"> through reason</w:t>
      </w:r>
      <w:r w:rsidR="009E1C1D" w:rsidRPr="008C27D8">
        <w:t>.</w:t>
      </w:r>
      <w:r w:rsidR="00FE53FE" w:rsidRPr="008C27D8">
        <w:rPr>
          <w:rStyle w:val="FootnoteReference"/>
        </w:rPr>
        <w:footnoteReference w:id="5"/>
      </w:r>
      <w:r w:rsidR="000D665C" w:rsidRPr="008C27D8">
        <w:t xml:space="preserve"> </w:t>
      </w:r>
    </w:p>
    <w:p w:rsidR="00774994" w:rsidRPr="008C27D8" w:rsidRDefault="00696D13">
      <w:r w:rsidRPr="008C27D8">
        <w:t>The categorical imperative has three formulations</w:t>
      </w:r>
      <w:r w:rsidR="001A7425" w:rsidRPr="008C27D8">
        <w:t xml:space="preserve">: </w:t>
      </w:r>
      <w:r w:rsidR="00633CF5" w:rsidRPr="008C27D8">
        <w:t>1) “</w:t>
      </w:r>
      <w:r w:rsidR="003D56DE" w:rsidRPr="008C27D8">
        <w:t>Act as though the maxim of your action were to become, through your will, a universal law of nature,”</w:t>
      </w:r>
      <w:r w:rsidR="003D56DE" w:rsidRPr="008C27D8">
        <w:rPr>
          <w:rStyle w:val="FootnoteReference"/>
        </w:rPr>
        <w:footnoteReference w:id="6"/>
      </w:r>
      <w:r w:rsidR="003D56DE" w:rsidRPr="008C27D8">
        <w:t xml:space="preserve"> </w:t>
      </w:r>
      <w:r w:rsidR="00826A43" w:rsidRPr="008C27D8">
        <w:t>2)</w:t>
      </w:r>
      <w:r w:rsidR="00633CF5" w:rsidRPr="008C27D8">
        <w:t xml:space="preserve"> </w:t>
      </w:r>
      <w:r w:rsidR="003D56DE" w:rsidRPr="008C27D8">
        <w:t>“</w:t>
      </w:r>
      <w:r w:rsidR="000C5FA3" w:rsidRPr="008C27D8">
        <w:t>…</w:t>
      </w:r>
      <w:r w:rsidR="003D56DE" w:rsidRPr="008C27D8">
        <w:t>treat humanity, whether in your own person or in that of anyone else, always as an end and never merely as a means.”</w:t>
      </w:r>
      <w:r w:rsidR="003D56DE" w:rsidRPr="008C27D8">
        <w:rPr>
          <w:rStyle w:val="FootnoteReference"/>
        </w:rPr>
        <w:footnoteReference w:id="7"/>
      </w:r>
      <w:r w:rsidR="003D56DE" w:rsidRPr="008C27D8">
        <w:t xml:space="preserve"> and </w:t>
      </w:r>
      <w:r w:rsidR="000F51CD" w:rsidRPr="008C27D8">
        <w:t>3)</w:t>
      </w:r>
      <w:r w:rsidR="00633CF5" w:rsidRPr="008C27D8">
        <w:t xml:space="preserve"> </w:t>
      </w:r>
      <w:r w:rsidR="003D56DE" w:rsidRPr="008C27D8">
        <w:t>“…the will of every rational being as a will laying down universal law.”</w:t>
      </w:r>
      <w:r w:rsidR="003D56DE" w:rsidRPr="008C27D8">
        <w:rPr>
          <w:rStyle w:val="FootnoteReference"/>
        </w:rPr>
        <w:footnoteReference w:id="8"/>
      </w:r>
    </w:p>
    <w:p w:rsidR="000F51CD" w:rsidRPr="008C27D8" w:rsidRDefault="000F51CD">
      <w:r w:rsidRPr="008C27D8">
        <w:t>The first formulation means that a maxim is only morally right is the action it prescribes can be universalise</w:t>
      </w:r>
      <w:r w:rsidR="000C5FA3" w:rsidRPr="008C27D8">
        <w:t>d</w:t>
      </w:r>
      <w:r w:rsidRPr="008C27D8">
        <w:t>. A classic example of this is promise keeping</w:t>
      </w:r>
      <w:r w:rsidR="002F3AD4" w:rsidRPr="008C27D8">
        <w:t>.</w:t>
      </w:r>
      <w:r w:rsidR="002F3AD4" w:rsidRPr="008C27D8">
        <w:rPr>
          <w:rStyle w:val="FootnoteReference"/>
        </w:rPr>
        <w:footnoteReference w:id="9"/>
      </w:r>
      <w:r w:rsidR="002F3AD4" w:rsidRPr="008C27D8">
        <w:t xml:space="preserve"> In a situation where one may consider breaking a promis</w:t>
      </w:r>
      <w:r w:rsidR="00B0535C" w:rsidRPr="008C27D8">
        <w:t>e</w:t>
      </w:r>
      <w:r w:rsidR="002F3AD4" w:rsidRPr="008C27D8">
        <w:t xml:space="preserve"> (perhaps they realise more harm will come about from keeping the promise), one should ask “could I will this to be universalised</w:t>
      </w:r>
      <w:r w:rsidR="000C5FA3" w:rsidRPr="008C27D8">
        <w:t>?</w:t>
      </w:r>
      <w:r w:rsidR="002F3AD4" w:rsidRPr="008C27D8">
        <w:t xml:space="preserve">” </w:t>
      </w:r>
      <w:r w:rsidR="00801DB4" w:rsidRPr="008C27D8">
        <w:t>The conclusion is that breaking promises is not an action that can be universalised, as it would be inconsistent with the nature of promise keeping, causing a logical contradiction</w:t>
      </w:r>
      <w:r w:rsidR="00B0535C" w:rsidRPr="008C27D8">
        <w:t>,</w:t>
      </w:r>
      <w:r w:rsidR="00801DB4" w:rsidRPr="008C27D8">
        <w:t xml:space="preserve"> render</w:t>
      </w:r>
      <w:r w:rsidR="00B0535C" w:rsidRPr="008C27D8">
        <w:t>ing</w:t>
      </w:r>
      <w:r w:rsidR="00801DB4" w:rsidRPr="008C27D8">
        <w:t xml:space="preserve"> promises meaningless. </w:t>
      </w:r>
    </w:p>
    <w:p w:rsidR="00801DB4" w:rsidRPr="008C27D8" w:rsidRDefault="00801DB4">
      <w:r w:rsidRPr="008C27D8">
        <w:t>The second formulation focuses on respect for huma</w:t>
      </w:r>
      <w:r w:rsidR="000C5FA3" w:rsidRPr="008C27D8">
        <w:t>ns</w:t>
      </w:r>
      <w:r w:rsidRPr="008C27D8">
        <w:t xml:space="preserve"> because humans are rational, autonomous beings, and their ability </w:t>
      </w:r>
      <w:r w:rsidR="000C558D" w:rsidRPr="008C27D8">
        <w:t>to make rational</w:t>
      </w:r>
      <w:r w:rsidR="00B0535C" w:rsidRPr="008C27D8">
        <w:t xml:space="preserve">, </w:t>
      </w:r>
      <w:r w:rsidR="000C558D" w:rsidRPr="008C27D8">
        <w:t xml:space="preserve">autonomous decisions should not </w:t>
      </w:r>
      <w:r w:rsidR="000C5FA3" w:rsidRPr="008C27D8">
        <w:t xml:space="preserve">be removed </w:t>
      </w:r>
      <w:r w:rsidR="000C558D" w:rsidRPr="008C27D8">
        <w:t xml:space="preserve">by another </w:t>
      </w:r>
      <w:r w:rsidR="0062505A" w:rsidRPr="008C27D8">
        <w:lastRenderedPageBreak/>
        <w:t>to</w:t>
      </w:r>
      <w:r w:rsidR="000C558D" w:rsidRPr="008C27D8">
        <w:t xml:space="preserve"> achieve their own ends.</w:t>
      </w:r>
      <w:r w:rsidR="005C52DD" w:rsidRPr="008C27D8">
        <w:rPr>
          <w:rStyle w:val="FootnoteReference"/>
        </w:rPr>
        <w:footnoteReference w:id="10"/>
      </w:r>
      <w:r w:rsidR="00FE6048" w:rsidRPr="008C27D8">
        <w:t xml:space="preserve"> For example, </w:t>
      </w:r>
      <w:r w:rsidR="004E175C" w:rsidRPr="008C27D8">
        <w:t>if you help someone you know to be rich to gain favour with them and benefit from their wealth, rather than out of good will, you would</w:t>
      </w:r>
      <w:r w:rsidR="000C5FA3" w:rsidRPr="008C27D8">
        <w:t xml:space="preserve"> be </w:t>
      </w:r>
      <w:r w:rsidR="004E175C" w:rsidRPr="008C27D8">
        <w:t xml:space="preserve">using them as a mean to </w:t>
      </w:r>
      <w:r w:rsidR="00B0535C" w:rsidRPr="008C27D8">
        <w:t xml:space="preserve">an end; </w:t>
      </w:r>
      <w:r w:rsidR="004E175C" w:rsidRPr="008C27D8">
        <w:t>not respecting them as a rational being</w:t>
      </w:r>
      <w:r w:rsidR="00501DC4" w:rsidRPr="008C27D8">
        <w:t>. Another example is blackmail</w:t>
      </w:r>
      <w:r w:rsidR="002F5706" w:rsidRPr="008C27D8">
        <w:t>ing</w:t>
      </w:r>
      <w:r w:rsidR="00501DC4" w:rsidRPr="008C27D8">
        <w:t xml:space="preserve"> someone to do your will</w:t>
      </w:r>
      <w:r w:rsidR="00B0535C" w:rsidRPr="008C27D8">
        <w:t>,</w:t>
      </w:r>
      <w:r w:rsidR="002F5706" w:rsidRPr="008C27D8">
        <w:t xml:space="preserve"> which</w:t>
      </w:r>
      <w:r w:rsidR="00501DC4" w:rsidRPr="008C27D8">
        <w:t xml:space="preserve"> would remove their autonomy</w:t>
      </w:r>
      <w:r w:rsidR="000C5FA3" w:rsidRPr="008C27D8">
        <w:t xml:space="preserve">, </w:t>
      </w:r>
      <w:r w:rsidR="002F5706" w:rsidRPr="008C27D8">
        <w:t>so</w:t>
      </w:r>
      <w:r w:rsidR="00501DC4" w:rsidRPr="008C27D8">
        <w:t xml:space="preserve"> not respect them as a rational being able to make moral decisions, thus a maxim could not be passed allowing </w:t>
      </w:r>
      <w:r w:rsidR="002F5706" w:rsidRPr="008C27D8">
        <w:t>blackmail</w:t>
      </w:r>
      <w:r w:rsidR="00501DC4" w:rsidRPr="008C27D8">
        <w:t xml:space="preserve">. </w:t>
      </w:r>
    </w:p>
    <w:p w:rsidR="00501DC4" w:rsidRPr="008C27D8" w:rsidRDefault="00501DC4">
      <w:r w:rsidRPr="008C27D8">
        <w:t xml:space="preserve">The third formulation means </w:t>
      </w:r>
      <w:r w:rsidR="0062505A" w:rsidRPr="008C27D8">
        <w:t>everyone</w:t>
      </w:r>
      <w:r w:rsidRPr="008C27D8">
        <w:t xml:space="preserve"> should act </w:t>
      </w:r>
      <w:r w:rsidR="00E7144B" w:rsidRPr="008C27D8">
        <w:t xml:space="preserve">as if every person is an end in themselves and an autonomous moral agent. By this, maxims created cannot be self-serving to the lawmaker, but must consider everyone to </w:t>
      </w:r>
      <w:r w:rsidR="000C5FA3" w:rsidRPr="008C27D8">
        <w:t>be a</w:t>
      </w:r>
      <w:r w:rsidR="00E7144B" w:rsidRPr="008C27D8">
        <w:t xml:space="preserve"> lawmaker</w:t>
      </w:r>
      <w:r w:rsidR="001A4183" w:rsidRPr="008C27D8">
        <w:t>.</w:t>
      </w:r>
    </w:p>
    <w:p w:rsidR="00C44627" w:rsidRPr="008C27D8" w:rsidRDefault="005C52DD">
      <w:r w:rsidRPr="008C27D8">
        <w:t xml:space="preserve">Initially, the universal principle seems a good </w:t>
      </w:r>
      <w:r w:rsidR="000C5FA3" w:rsidRPr="008C27D8">
        <w:t>moral guide</w:t>
      </w:r>
      <w:r w:rsidR="009733DE" w:rsidRPr="008C27D8">
        <w:t>. It prevents situations where one may act with the mindset of their actions causing no harm because the effects will be negligible on a global scale; it encourages the “what if everyone were to do this</w:t>
      </w:r>
      <w:r w:rsidR="00506242" w:rsidRPr="008C27D8">
        <w:t>?</w:t>
      </w:r>
      <w:r w:rsidR="009733DE" w:rsidRPr="008C27D8">
        <w:t xml:space="preserve">” mindset. This is particularly relevant today </w:t>
      </w:r>
      <w:r w:rsidR="000C5FA3" w:rsidRPr="008C27D8">
        <w:t>with</w:t>
      </w:r>
      <w:r w:rsidR="009733DE" w:rsidRPr="008C27D8">
        <w:t xml:space="preserve"> situations such as</w:t>
      </w:r>
      <w:r w:rsidR="00F0626C" w:rsidRPr="008C27D8">
        <w:t xml:space="preserve"> climate change. One may think using a car for short journeys is of no consequence because they are just one person, so alone cannot affect carbon emissions globally, but the universal principle forces consider</w:t>
      </w:r>
      <w:r w:rsidR="00CE7CE2" w:rsidRPr="008C27D8">
        <w:t xml:space="preserve">ations of </w:t>
      </w:r>
      <w:r w:rsidR="00F0626C" w:rsidRPr="008C27D8">
        <w:t xml:space="preserve">the consequences of everyone thinking and acting </w:t>
      </w:r>
      <w:r w:rsidR="000C5FA3" w:rsidRPr="008C27D8">
        <w:t>like this</w:t>
      </w:r>
      <w:r w:rsidR="00CE7CE2" w:rsidRPr="008C27D8">
        <w:t xml:space="preserve">, </w:t>
      </w:r>
      <w:r w:rsidR="00F0626C" w:rsidRPr="008C27D8">
        <w:t>emphasis</w:t>
      </w:r>
      <w:r w:rsidR="00CE7CE2" w:rsidRPr="008C27D8">
        <w:t>ing</w:t>
      </w:r>
      <w:r w:rsidR="00F0626C" w:rsidRPr="008C27D8">
        <w:t xml:space="preserve"> that </w:t>
      </w:r>
      <w:r w:rsidR="0062505A" w:rsidRPr="008C27D8">
        <w:t>everyone</w:t>
      </w:r>
      <w:r w:rsidR="00F0626C" w:rsidRPr="008C27D8">
        <w:t xml:space="preserve"> is morally responsible for their actions. </w:t>
      </w:r>
      <w:r w:rsidR="00EF134A" w:rsidRPr="008C27D8">
        <w:t xml:space="preserve">However, a charge made by Hegel and Mill, characterised as formalism, points out that many well-formed maxims </w:t>
      </w:r>
      <w:r w:rsidR="00CE57F7" w:rsidRPr="008C27D8">
        <w:t>could conceivably be universalised</w:t>
      </w:r>
      <w:r w:rsidR="0095449E" w:rsidRPr="008C27D8">
        <w:rPr>
          <w:rStyle w:val="FootnoteReference"/>
        </w:rPr>
        <w:footnoteReference w:id="11"/>
      </w:r>
      <w:r w:rsidR="00CE57F7" w:rsidRPr="008C27D8">
        <w:t>, for example “kill when it will prevent many more from dying.”</w:t>
      </w:r>
    </w:p>
    <w:p w:rsidR="00271DD8" w:rsidRPr="008C27D8" w:rsidRDefault="00271DD8" w:rsidP="00271DD8">
      <w:r w:rsidRPr="008C27D8">
        <w:t xml:space="preserve">As Philippa Foot points out, many who reject much of Kant’s account for morality maintain he was right to distinguish between moral judgements and hypothetical imperatives. Many regard that having necessary moral truths is a strength of morality as it protects </w:t>
      </w:r>
      <w:r w:rsidR="00CB167F" w:rsidRPr="008C27D8">
        <w:t>it</w:t>
      </w:r>
      <w:r w:rsidRPr="008C27D8">
        <w:t xml:space="preserve"> from subjectivity and individuals’ interests and desires.</w:t>
      </w:r>
      <w:r w:rsidRPr="008C27D8">
        <w:rPr>
          <w:rStyle w:val="FootnoteReference"/>
        </w:rPr>
        <w:footnoteReference w:id="12"/>
      </w:r>
      <w:r w:rsidRPr="008C27D8">
        <w:t xml:space="preserve"> Foot convincingly argue</w:t>
      </w:r>
      <w:r w:rsidR="000C5FA3" w:rsidRPr="008C27D8">
        <w:t>s</w:t>
      </w:r>
      <w:r w:rsidRPr="008C27D8">
        <w:t xml:space="preserve"> that Kant was incorrect to categorise moral judgements as categorical imperatives, and that they are in fact hypothetical imperatives. She argues this by asking what difference the “should” used for moral judgements has from the “should” used in other normative statements such as etiquette, concluding that “normative character…doesn’t guarantee its reason giving force” therefore if you say to someone “you should do x” but upon asking for a reason as to why, no reason is found, they can reasonably refuse.</w:t>
      </w:r>
      <w:r w:rsidRPr="008C27D8">
        <w:rPr>
          <w:rStyle w:val="FootnoteReference"/>
        </w:rPr>
        <w:footnoteReference w:id="13"/>
      </w:r>
      <w:r w:rsidRPr="008C27D8">
        <w:t xml:space="preserve"> Foot concludes that there must be a reason morality is considered more important than other normative statements and that this is the desire to help others</w:t>
      </w:r>
      <w:r w:rsidR="00E01D3D" w:rsidRPr="008C27D8">
        <w:t>,</w:t>
      </w:r>
      <w:r w:rsidR="00CB167F" w:rsidRPr="008C27D8">
        <w:t xml:space="preserve"> </w:t>
      </w:r>
      <w:r w:rsidRPr="008C27D8">
        <w:t>but this makes them hypothetical.</w:t>
      </w:r>
      <w:r w:rsidRPr="008C27D8">
        <w:rPr>
          <w:rStyle w:val="FootnoteReference"/>
        </w:rPr>
        <w:footnoteReference w:id="14"/>
      </w:r>
    </w:p>
    <w:p w:rsidR="00765D61" w:rsidRPr="008C27D8" w:rsidRDefault="00C801A5" w:rsidP="00271DD8">
      <w:r w:rsidRPr="008C27D8">
        <w:t xml:space="preserve">The reason we should follow the categorical imperative </w:t>
      </w:r>
      <w:r w:rsidR="00E01D3D" w:rsidRPr="008C27D8">
        <w:t>is out of</w:t>
      </w:r>
      <w:r w:rsidRPr="008C27D8">
        <w:t xml:space="preserve"> duty</w:t>
      </w:r>
      <w:r w:rsidR="00373B07" w:rsidRPr="008C27D8">
        <w:t>, and actions only ha</w:t>
      </w:r>
      <w:r w:rsidR="00F52F57" w:rsidRPr="008C27D8">
        <w:t>ve</w:t>
      </w:r>
      <w:r w:rsidR="00373B07" w:rsidRPr="008C27D8">
        <w:t xml:space="preserve"> moral worth i</w:t>
      </w:r>
      <w:r w:rsidR="00F52F57" w:rsidRPr="008C27D8">
        <w:t>f</w:t>
      </w:r>
      <w:r w:rsidR="00373B07" w:rsidRPr="008C27D8">
        <w:t xml:space="preserve"> they </w:t>
      </w:r>
      <w:r w:rsidR="00F52F57" w:rsidRPr="008C27D8">
        <w:t>are</w:t>
      </w:r>
      <w:r w:rsidR="00373B07" w:rsidRPr="008C27D8">
        <w:t xml:space="preserve"> done for</w:t>
      </w:r>
      <w:r w:rsidRPr="008C27D8">
        <w:t xml:space="preserve"> duty’s sake</w:t>
      </w:r>
      <w:r w:rsidR="00373B07" w:rsidRPr="008C27D8">
        <w:t>.</w:t>
      </w:r>
      <w:r w:rsidR="00F33108" w:rsidRPr="008C27D8">
        <w:rPr>
          <w:rStyle w:val="FootnoteReference"/>
        </w:rPr>
        <w:footnoteReference w:id="15"/>
      </w:r>
      <w:r w:rsidR="006A4023" w:rsidRPr="008C27D8">
        <w:t xml:space="preserve"> </w:t>
      </w:r>
      <w:r w:rsidR="00916ACD" w:rsidRPr="008C27D8">
        <w:t xml:space="preserve">Whether the agent is happy or reluctant to follow duty has no bearing on the moral worth of the action as inclination is due to our determined nature, so we </w:t>
      </w:r>
      <w:r w:rsidR="00916ACD" w:rsidRPr="008C27D8">
        <w:lastRenderedPageBreak/>
        <w:t>have no control over it, whereas we can choose to follow inclination or duty.</w:t>
      </w:r>
      <w:r w:rsidR="00F52F57" w:rsidRPr="008C27D8">
        <w:rPr>
          <w:rStyle w:val="FootnoteReference"/>
        </w:rPr>
        <w:footnoteReference w:id="16"/>
      </w:r>
      <w:r w:rsidR="00916ACD" w:rsidRPr="008C27D8">
        <w:t xml:space="preserve"> For many this is a strength as it doesn’t give people predisposed to be moral what could be considered unfair credit</w:t>
      </w:r>
      <w:r w:rsidR="00D81D1E" w:rsidRPr="008C27D8">
        <w:t xml:space="preserve">. </w:t>
      </w:r>
      <w:r w:rsidR="00F52F57" w:rsidRPr="008C27D8">
        <w:t>Furthermore,</w:t>
      </w:r>
      <w:r w:rsidR="00D81D1E" w:rsidRPr="008C27D8">
        <w:t xml:space="preserve"> is means people who act with ulterior, egoistic motives are not falsely credited</w:t>
      </w:r>
      <w:r w:rsidR="00F52F57" w:rsidRPr="008C27D8">
        <w:t xml:space="preserve">. </w:t>
      </w:r>
      <w:r w:rsidR="00CB167F" w:rsidRPr="008C27D8">
        <w:t>H</w:t>
      </w:r>
      <w:r w:rsidR="00D81D1E" w:rsidRPr="008C27D8">
        <w:t>owever</w:t>
      </w:r>
      <w:r w:rsidR="004351B1" w:rsidRPr="008C27D8">
        <w:t>,</w:t>
      </w:r>
      <w:r w:rsidR="00D81D1E" w:rsidRPr="008C27D8">
        <w:t xml:space="preserve"> it discredits people who </w:t>
      </w:r>
      <w:r w:rsidR="00CB167F" w:rsidRPr="008C27D8">
        <w:t>act out</w:t>
      </w:r>
      <w:r w:rsidR="00E01D3D" w:rsidRPr="008C27D8">
        <w:t xml:space="preserve"> of</w:t>
      </w:r>
      <w:r w:rsidR="00CB167F" w:rsidRPr="008C27D8">
        <w:t xml:space="preserve"> compassion. </w:t>
      </w:r>
      <w:r w:rsidR="00E01D3D" w:rsidRPr="008C27D8">
        <w:t>Kant’s supporters</w:t>
      </w:r>
      <w:r w:rsidR="00CB167F" w:rsidRPr="008C27D8">
        <w:t xml:space="preserve"> argue that duty is a more reliable motive, however it still seems more morally commendable to act out of compassion rather than duty. </w:t>
      </w:r>
      <w:r w:rsidR="00CE6C7D" w:rsidRPr="008C27D8">
        <w:t xml:space="preserve">Other problems caused by acting only </w:t>
      </w:r>
      <w:r w:rsidR="00E01D3D" w:rsidRPr="008C27D8">
        <w:t>from</w:t>
      </w:r>
      <w:r w:rsidR="00CE6C7D" w:rsidRPr="008C27D8">
        <w:t xml:space="preserve"> duty, regardless of consequences</w:t>
      </w:r>
      <w:r w:rsidR="00E01D3D" w:rsidRPr="008C27D8">
        <w:t>,</w:t>
      </w:r>
      <w:r w:rsidR="00CE6C7D" w:rsidRPr="008C27D8">
        <w:t xml:space="preserve"> is that clash</w:t>
      </w:r>
      <w:r w:rsidR="00E01D3D" w:rsidRPr="008C27D8">
        <w:t>es</w:t>
      </w:r>
      <w:r w:rsidR="00CE6C7D" w:rsidRPr="008C27D8">
        <w:t xml:space="preserve"> of duties cannot be resolved by prioritising one duty above another</w:t>
      </w:r>
      <w:r w:rsidR="00E01D3D" w:rsidRPr="008C27D8">
        <w:t>,</w:t>
      </w:r>
      <w:r w:rsidR="00CE6C7D" w:rsidRPr="008C27D8">
        <w:t xml:space="preserve"> as this would involve assessing the outcomes of following each duty, which is</w:t>
      </w:r>
      <w:r w:rsidR="00E01D3D" w:rsidRPr="008C27D8">
        <w:t xml:space="preserve"> in</w:t>
      </w:r>
      <w:r w:rsidR="00CE6C7D" w:rsidRPr="008C27D8">
        <w:t>consistent with Kant’s morality.</w:t>
      </w:r>
      <w:r w:rsidR="00521C9A" w:rsidRPr="008C27D8">
        <w:t xml:space="preserve"> Most damning though</w:t>
      </w:r>
      <w:r w:rsidR="00E01D3D" w:rsidRPr="008C27D8">
        <w:t>,</w:t>
      </w:r>
      <w:r w:rsidR="00521C9A" w:rsidRPr="008C27D8">
        <w:t xml:space="preserve"> is Kant’s assertion that </w:t>
      </w:r>
      <w:r w:rsidR="00E01D3D" w:rsidRPr="008C27D8">
        <w:t xml:space="preserve">one should </w:t>
      </w:r>
      <w:r w:rsidR="00521C9A" w:rsidRPr="008C27D8">
        <w:t xml:space="preserve">follow duty </w:t>
      </w:r>
      <w:r w:rsidR="00E01D3D" w:rsidRPr="008C27D8">
        <w:t>because</w:t>
      </w:r>
      <w:r w:rsidR="00521C9A" w:rsidRPr="008C27D8">
        <w:t xml:space="preserve"> </w:t>
      </w:r>
      <w:r w:rsidR="00E65E62" w:rsidRPr="008C27D8">
        <w:t xml:space="preserve">it will allow one to reach the </w:t>
      </w:r>
      <w:proofErr w:type="spellStart"/>
      <w:r w:rsidR="00E65E62" w:rsidRPr="008C27D8">
        <w:t>summum</w:t>
      </w:r>
      <w:proofErr w:type="spellEnd"/>
      <w:r w:rsidR="00E65E62" w:rsidRPr="008C27D8">
        <w:t xml:space="preserve"> </w:t>
      </w:r>
      <w:proofErr w:type="spellStart"/>
      <w:r w:rsidR="00E65E62" w:rsidRPr="008C27D8">
        <w:t>bonum</w:t>
      </w:r>
      <w:proofErr w:type="spellEnd"/>
      <w:r w:rsidR="00E65E62" w:rsidRPr="008C27D8">
        <w:t>-the h</w:t>
      </w:r>
      <w:bookmarkStart w:id="10" w:name="_GoBack"/>
      <w:bookmarkEnd w:id="10"/>
      <w:r w:rsidR="00E65E62" w:rsidRPr="008C27D8">
        <w:t>ighest good</w:t>
      </w:r>
      <w:r w:rsidR="00E01D3D" w:rsidRPr="008C27D8">
        <w:t xml:space="preserve">-in the afterlife, which </w:t>
      </w:r>
      <w:r w:rsidR="00D676FE" w:rsidRPr="008C27D8">
        <w:t>undermine</w:t>
      </w:r>
      <w:r w:rsidR="00E01D3D" w:rsidRPr="008C27D8">
        <w:t>s</w:t>
      </w:r>
      <w:r w:rsidR="00D676FE" w:rsidRPr="008C27D8">
        <w:t xml:space="preserve"> the deontological stance by </w:t>
      </w:r>
      <w:r w:rsidR="00E01D3D" w:rsidRPr="008C27D8">
        <w:t>introducing</w:t>
      </w:r>
      <w:r w:rsidR="00D676FE" w:rsidRPr="008C27D8">
        <w:t xml:space="preserve"> teleological aspects.</w:t>
      </w:r>
    </w:p>
    <w:p w:rsidR="00505E53" w:rsidRDefault="00CE6C7D">
      <w:r w:rsidRPr="008C27D8">
        <w:t xml:space="preserve">To conclude, </w:t>
      </w:r>
      <w:r w:rsidR="00D676FE" w:rsidRPr="008C27D8">
        <w:t>Kant’s account of morality is problematic as it presents itself as a theory based solely on reason, but is unable to resolve contradictions without postulating a God and afterlife</w:t>
      </w:r>
      <w:r w:rsidR="00C27737" w:rsidRPr="008C27D8">
        <w:rPr>
          <w:rStyle w:val="FootnoteReference"/>
        </w:rPr>
        <w:footnoteReference w:id="17"/>
      </w:r>
      <w:r w:rsidR="00D676FE" w:rsidRPr="008C27D8">
        <w:t>, despite initially claiming we can have no knowledge of this.</w:t>
      </w:r>
      <w:r w:rsidR="00D676FE" w:rsidRPr="008C27D8">
        <w:rPr>
          <w:rStyle w:val="FootnoteReference"/>
        </w:rPr>
        <w:footnoteReference w:id="18"/>
      </w:r>
      <w:r w:rsidR="00C27737" w:rsidRPr="008C27D8">
        <w:t xml:space="preserve"> </w:t>
      </w:r>
      <w:r w:rsidR="00D9047B" w:rsidRPr="008C27D8">
        <w:t>The criticism</w:t>
      </w:r>
      <w:r w:rsidR="00C27737" w:rsidRPr="008C27D8">
        <w:t xml:space="preserve"> of Nietzsche seems appropriate, describing Kant as </w:t>
      </w:r>
      <w:r w:rsidR="00E01D3D" w:rsidRPr="008C27D8">
        <w:t>retreating</w:t>
      </w:r>
      <w:r w:rsidR="00C27737" w:rsidRPr="008C27D8">
        <w:t xml:space="preserve"> to theism.</w:t>
      </w:r>
      <w:r w:rsidR="00B06542" w:rsidRPr="008C27D8">
        <w:rPr>
          <w:rStyle w:val="FootnoteReference"/>
        </w:rPr>
        <w:footnoteReference w:id="19"/>
      </w:r>
      <w:r w:rsidR="00505E53">
        <w:br w:type="page"/>
      </w:r>
    </w:p>
    <w:p w:rsidR="003E6B18" w:rsidRPr="008C27D8" w:rsidRDefault="003E6B18" w:rsidP="003E6B18">
      <w:pPr>
        <w:rPr>
          <w:b/>
        </w:rPr>
      </w:pPr>
      <w:r w:rsidRPr="008C27D8">
        <w:rPr>
          <w:b/>
        </w:rPr>
        <w:lastRenderedPageBreak/>
        <w:t>Bibliography</w:t>
      </w:r>
    </w:p>
    <w:p w:rsidR="003E6B18" w:rsidRPr="008C27D8" w:rsidRDefault="003E6B18" w:rsidP="003E6B18">
      <w:pPr>
        <w:pStyle w:val="FootnoteText"/>
        <w:rPr>
          <w:sz w:val="22"/>
          <w:szCs w:val="22"/>
        </w:rPr>
      </w:pPr>
      <w:r w:rsidRPr="008C27D8">
        <w:rPr>
          <w:sz w:val="22"/>
          <w:szCs w:val="22"/>
        </w:rPr>
        <w:t xml:space="preserve">[4] Foot, Philippa. “Morality as a System of Hypothetical Imperatives.” </w:t>
      </w:r>
      <w:r w:rsidRPr="008C27D8">
        <w:rPr>
          <w:sz w:val="22"/>
          <w:szCs w:val="22"/>
        </w:rPr>
        <w:tab/>
      </w:r>
      <w:r w:rsidRPr="008C27D8">
        <w:rPr>
          <w:sz w:val="22"/>
          <w:szCs w:val="22"/>
        </w:rPr>
        <w:tab/>
      </w:r>
      <w:r w:rsidRPr="008C27D8">
        <w:rPr>
          <w:sz w:val="22"/>
          <w:szCs w:val="22"/>
        </w:rPr>
        <w:tab/>
      </w:r>
      <w:r w:rsidRPr="008C27D8">
        <w:rPr>
          <w:sz w:val="22"/>
          <w:szCs w:val="22"/>
        </w:rPr>
        <w:tab/>
      </w:r>
      <w:r w:rsidRPr="008C27D8">
        <w:rPr>
          <w:sz w:val="22"/>
          <w:szCs w:val="22"/>
        </w:rPr>
        <w:tab/>
        <w:t xml:space="preserve">The Philosophical Review, Vol. 81, No. 3 (Jul. 1972) </w:t>
      </w:r>
      <w:r w:rsidRPr="008C27D8">
        <w:rPr>
          <w:sz w:val="22"/>
          <w:szCs w:val="22"/>
        </w:rPr>
        <w:tab/>
      </w:r>
      <w:r w:rsidRPr="008C27D8">
        <w:rPr>
          <w:sz w:val="22"/>
          <w:szCs w:val="22"/>
        </w:rPr>
        <w:tab/>
      </w:r>
      <w:r w:rsidRPr="008C27D8">
        <w:rPr>
          <w:sz w:val="22"/>
          <w:szCs w:val="22"/>
        </w:rPr>
        <w:tab/>
      </w:r>
      <w:r w:rsidRPr="008C27D8">
        <w:rPr>
          <w:sz w:val="22"/>
          <w:szCs w:val="22"/>
        </w:rPr>
        <w:tab/>
      </w:r>
      <w:r w:rsidRPr="008C27D8">
        <w:rPr>
          <w:sz w:val="22"/>
          <w:szCs w:val="22"/>
        </w:rPr>
        <w:tab/>
        <w:t>Duke University Press on behalf of Philosophical Review. Accessed 07 Jan. 2018.</w:t>
      </w:r>
    </w:p>
    <w:p w:rsidR="003E6B18" w:rsidRPr="008C27D8" w:rsidRDefault="003E6B18" w:rsidP="003E6B18">
      <w:pPr>
        <w:pStyle w:val="FootnoteText"/>
        <w:rPr>
          <w:sz w:val="22"/>
          <w:szCs w:val="22"/>
        </w:rPr>
      </w:pPr>
      <w:r w:rsidRPr="008C27D8">
        <w:rPr>
          <w:sz w:val="22"/>
          <w:szCs w:val="22"/>
        </w:rPr>
        <w:tab/>
        <w:t>&lt;http://www.jstor.org/stable/2184328&gt;</w:t>
      </w:r>
    </w:p>
    <w:p w:rsidR="003E6B18" w:rsidRPr="008C27D8" w:rsidRDefault="003E6B18" w:rsidP="003E6B18">
      <w:pPr>
        <w:pStyle w:val="FootnoteText"/>
        <w:rPr>
          <w:sz w:val="22"/>
          <w:szCs w:val="22"/>
        </w:rPr>
      </w:pPr>
    </w:p>
    <w:p w:rsidR="003E6B18" w:rsidRPr="008C27D8" w:rsidRDefault="003E6B18" w:rsidP="003E6B18">
      <w:pPr>
        <w:pStyle w:val="FootnoteText"/>
        <w:rPr>
          <w:sz w:val="22"/>
          <w:szCs w:val="22"/>
        </w:rPr>
      </w:pPr>
      <w:r w:rsidRPr="008C27D8">
        <w:rPr>
          <w:sz w:val="22"/>
          <w:szCs w:val="22"/>
        </w:rPr>
        <w:t xml:space="preserve">[3] Hill, Thomas E. Jr. “Kantianism”, in The Blackwell Guide to Ethical Theory, ed. Hugh </w:t>
      </w:r>
      <w:proofErr w:type="spellStart"/>
      <w:r w:rsidRPr="008C27D8">
        <w:rPr>
          <w:sz w:val="22"/>
          <w:szCs w:val="22"/>
        </w:rPr>
        <w:t>LaFollette</w:t>
      </w:r>
      <w:proofErr w:type="spellEnd"/>
      <w:r w:rsidRPr="008C27D8">
        <w:rPr>
          <w:sz w:val="22"/>
          <w:szCs w:val="22"/>
        </w:rPr>
        <w:t xml:space="preserve"> </w:t>
      </w:r>
      <w:r w:rsidRPr="008C27D8">
        <w:rPr>
          <w:sz w:val="22"/>
          <w:szCs w:val="22"/>
        </w:rPr>
        <w:tab/>
      </w:r>
      <w:r w:rsidRPr="008C27D8">
        <w:rPr>
          <w:sz w:val="22"/>
          <w:szCs w:val="22"/>
        </w:rPr>
        <w:tab/>
        <w:t>(Oxford: Blackwell Publishing Ltd, 2000)</w:t>
      </w:r>
    </w:p>
    <w:p w:rsidR="003E6B18" w:rsidRPr="008C27D8" w:rsidRDefault="003E6B18" w:rsidP="003E6B18">
      <w:pPr>
        <w:pStyle w:val="FootnoteText"/>
        <w:rPr>
          <w:sz w:val="22"/>
          <w:szCs w:val="22"/>
        </w:rPr>
      </w:pPr>
    </w:p>
    <w:p w:rsidR="003E6B18" w:rsidRPr="008C27D8" w:rsidRDefault="003E6B18" w:rsidP="003E6B18">
      <w:pPr>
        <w:pStyle w:val="FootnoteText"/>
        <w:rPr>
          <w:sz w:val="22"/>
          <w:szCs w:val="22"/>
        </w:rPr>
      </w:pPr>
      <w:r w:rsidRPr="008C27D8">
        <w:rPr>
          <w:sz w:val="22"/>
          <w:szCs w:val="22"/>
        </w:rPr>
        <w:t xml:space="preserve">[5] Kant, Immanuel. “Groundwork for the Metaphysic of Morals”, </w:t>
      </w:r>
      <w:r w:rsidRPr="008C27D8">
        <w:rPr>
          <w:sz w:val="22"/>
          <w:szCs w:val="22"/>
        </w:rPr>
        <w:tab/>
      </w:r>
      <w:r w:rsidRPr="008C27D8">
        <w:rPr>
          <w:sz w:val="22"/>
          <w:szCs w:val="22"/>
        </w:rPr>
        <w:tab/>
      </w:r>
      <w:r w:rsidRPr="008C27D8">
        <w:rPr>
          <w:sz w:val="22"/>
          <w:szCs w:val="22"/>
        </w:rPr>
        <w:tab/>
      </w:r>
      <w:r w:rsidRPr="008C27D8">
        <w:rPr>
          <w:sz w:val="22"/>
          <w:szCs w:val="22"/>
        </w:rPr>
        <w:tab/>
        <w:t xml:space="preserve">September 2008. Accessed 06 Jan. 2018. p.24 </w:t>
      </w:r>
      <w:r w:rsidRPr="008C27D8">
        <w:rPr>
          <w:sz w:val="22"/>
          <w:szCs w:val="22"/>
        </w:rPr>
        <w:tab/>
        <w:t>&lt;http://www.earlymoderntexts.com/assets/pdfs/kant1785.pdf&gt;</w:t>
      </w:r>
    </w:p>
    <w:p w:rsidR="003E6B18" w:rsidRPr="008C27D8" w:rsidRDefault="003E6B18" w:rsidP="003E6B18">
      <w:pPr>
        <w:pStyle w:val="FootnoteText"/>
        <w:rPr>
          <w:sz w:val="22"/>
          <w:szCs w:val="22"/>
        </w:rPr>
      </w:pPr>
    </w:p>
    <w:p w:rsidR="003E6B18" w:rsidRPr="008C27D8" w:rsidRDefault="003E6B18" w:rsidP="003E6B18">
      <w:pPr>
        <w:pStyle w:val="FootnoteText"/>
        <w:rPr>
          <w:sz w:val="22"/>
          <w:szCs w:val="22"/>
        </w:rPr>
      </w:pPr>
      <w:r w:rsidRPr="008C27D8">
        <w:rPr>
          <w:sz w:val="22"/>
          <w:szCs w:val="22"/>
        </w:rPr>
        <w:t xml:space="preserve">[4] </w:t>
      </w:r>
      <w:proofErr w:type="spellStart"/>
      <w:r w:rsidRPr="008C27D8">
        <w:rPr>
          <w:sz w:val="22"/>
          <w:szCs w:val="22"/>
        </w:rPr>
        <w:t>MacIntyre</w:t>
      </w:r>
      <w:proofErr w:type="spellEnd"/>
      <w:r w:rsidRPr="008C27D8">
        <w:rPr>
          <w:sz w:val="22"/>
          <w:szCs w:val="22"/>
        </w:rPr>
        <w:t xml:space="preserve">, Alasdair, </w:t>
      </w:r>
      <w:r w:rsidRPr="008C27D8">
        <w:rPr>
          <w:i/>
          <w:sz w:val="22"/>
          <w:szCs w:val="22"/>
        </w:rPr>
        <w:t>A short history of Ethics</w:t>
      </w:r>
      <w:r w:rsidRPr="008C27D8">
        <w:rPr>
          <w:sz w:val="22"/>
          <w:szCs w:val="22"/>
        </w:rPr>
        <w:t xml:space="preserve"> (London: The Macmillan Company, 1967)</w:t>
      </w:r>
    </w:p>
    <w:p w:rsidR="003E6B18" w:rsidRPr="008C27D8" w:rsidRDefault="003E6B18" w:rsidP="003E6B18">
      <w:pPr>
        <w:rPr>
          <w:b/>
        </w:rPr>
      </w:pPr>
    </w:p>
    <w:p w:rsidR="003E6B18" w:rsidRPr="008C27D8" w:rsidRDefault="003E6B18" w:rsidP="003E6B18">
      <w:r w:rsidRPr="008C27D8">
        <w:t xml:space="preserve">[1] </w:t>
      </w:r>
      <w:proofErr w:type="spellStart"/>
      <w:r w:rsidRPr="008C27D8">
        <w:t>O’neil</w:t>
      </w:r>
      <w:proofErr w:type="spellEnd"/>
      <w:r w:rsidRPr="008C27D8">
        <w:t xml:space="preserve">, </w:t>
      </w:r>
      <w:proofErr w:type="spellStart"/>
      <w:r w:rsidRPr="008C27D8">
        <w:t>Onora</w:t>
      </w:r>
      <w:proofErr w:type="spellEnd"/>
      <w:r w:rsidRPr="008C27D8">
        <w:t xml:space="preserve">. “Kantian Ethics”, in A Companion </w:t>
      </w:r>
      <w:proofErr w:type="gramStart"/>
      <w:r w:rsidRPr="008C27D8">
        <w:t>To</w:t>
      </w:r>
      <w:proofErr w:type="gramEnd"/>
      <w:r w:rsidRPr="008C27D8">
        <w:t xml:space="preserve"> Ethics, ed. Peter Singer </w:t>
      </w:r>
      <w:r w:rsidRPr="008C27D8">
        <w:tab/>
      </w:r>
      <w:r w:rsidRPr="008C27D8">
        <w:tab/>
      </w:r>
      <w:r w:rsidRPr="008C27D8">
        <w:tab/>
      </w:r>
      <w:r w:rsidRPr="008C27D8">
        <w:tab/>
        <w:t>(Oxford: Blackwell Publishing Ltd, 1991)</w:t>
      </w:r>
    </w:p>
    <w:p w:rsidR="003E6B18" w:rsidRDefault="003E6B18"/>
    <w:sectPr w:rsidR="003E6B18" w:rsidSect="00CE79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33B7" w:rsidRDefault="007833B7" w:rsidP="0050531C">
      <w:pPr>
        <w:spacing w:after="0" w:line="240" w:lineRule="auto"/>
      </w:pPr>
      <w:r>
        <w:separator/>
      </w:r>
    </w:p>
  </w:endnote>
  <w:endnote w:type="continuationSeparator" w:id="0">
    <w:p w:rsidR="007833B7" w:rsidRDefault="007833B7" w:rsidP="005053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33B7" w:rsidRDefault="007833B7" w:rsidP="0050531C">
      <w:pPr>
        <w:spacing w:after="0" w:line="240" w:lineRule="auto"/>
      </w:pPr>
      <w:r>
        <w:separator/>
      </w:r>
    </w:p>
  </w:footnote>
  <w:footnote w:type="continuationSeparator" w:id="0">
    <w:p w:rsidR="007833B7" w:rsidRDefault="007833B7" w:rsidP="0050531C">
      <w:pPr>
        <w:spacing w:after="0" w:line="240" w:lineRule="auto"/>
      </w:pPr>
      <w:r>
        <w:continuationSeparator/>
      </w:r>
    </w:p>
  </w:footnote>
  <w:footnote w:id="1">
    <w:p w:rsidR="007451D1" w:rsidRDefault="007451D1">
      <w:pPr>
        <w:pStyle w:val="FootnoteText"/>
      </w:pPr>
      <w:r>
        <w:rPr>
          <w:rStyle w:val="FootnoteReference"/>
        </w:rPr>
        <w:footnoteRef/>
      </w:r>
      <w:r>
        <w:t xml:space="preserve"> </w:t>
      </w:r>
      <w:bookmarkStart w:id="0" w:name="_Hlk503118826"/>
      <w:r>
        <w:t xml:space="preserve">Hill, Thomas E. Jr. “Kantianism”, in The Blackwell Guide to Ethical Theory, ed. Hugh </w:t>
      </w:r>
      <w:proofErr w:type="spellStart"/>
      <w:r>
        <w:t>LaFollette</w:t>
      </w:r>
      <w:proofErr w:type="spellEnd"/>
      <w:r>
        <w:t xml:space="preserve"> </w:t>
      </w:r>
      <w:r>
        <w:tab/>
      </w:r>
      <w:r>
        <w:tab/>
        <w:t xml:space="preserve">(Oxford: Blackwell Publishing Ltd, 2000), pp.227-246 </w:t>
      </w:r>
      <w:bookmarkEnd w:id="0"/>
      <w:r>
        <w:t>(p.242).</w:t>
      </w:r>
    </w:p>
  </w:footnote>
  <w:footnote w:id="2">
    <w:p w:rsidR="007451D1" w:rsidRDefault="007451D1">
      <w:pPr>
        <w:pStyle w:val="FootnoteText"/>
      </w:pPr>
      <w:r>
        <w:rPr>
          <w:rStyle w:val="FootnoteReference"/>
        </w:rPr>
        <w:footnoteRef/>
      </w:r>
      <w:r>
        <w:t xml:space="preserve"> </w:t>
      </w:r>
      <w:bookmarkStart w:id="1" w:name="_Hlk503124737"/>
      <w:proofErr w:type="spellStart"/>
      <w:r>
        <w:t>O’neil</w:t>
      </w:r>
      <w:proofErr w:type="spellEnd"/>
      <w:r>
        <w:t xml:space="preserve">, </w:t>
      </w:r>
      <w:proofErr w:type="spellStart"/>
      <w:r>
        <w:t>Onora</w:t>
      </w:r>
      <w:proofErr w:type="spellEnd"/>
      <w:r>
        <w:t xml:space="preserve">. “Kantian Ethics”, in A Companion </w:t>
      </w:r>
      <w:proofErr w:type="gramStart"/>
      <w:r>
        <w:t>To</w:t>
      </w:r>
      <w:proofErr w:type="gramEnd"/>
      <w:r>
        <w:t xml:space="preserve"> Ethics, ed. Peter Singer </w:t>
      </w:r>
      <w:r>
        <w:tab/>
      </w:r>
      <w:r>
        <w:tab/>
      </w:r>
      <w:r>
        <w:tab/>
      </w:r>
      <w:r>
        <w:tab/>
        <w:t xml:space="preserve">(Oxford: Blackwell Publishing Ltd, 1991), pp.175-185 </w:t>
      </w:r>
      <w:bookmarkEnd w:id="1"/>
      <w:r>
        <w:t>(p.176).</w:t>
      </w:r>
    </w:p>
  </w:footnote>
  <w:footnote w:id="3">
    <w:p w:rsidR="007451D1" w:rsidRDefault="007451D1">
      <w:pPr>
        <w:pStyle w:val="FootnoteText"/>
      </w:pPr>
      <w:r>
        <w:rPr>
          <w:rStyle w:val="FootnoteReference"/>
        </w:rPr>
        <w:footnoteRef/>
      </w:r>
      <w:r>
        <w:t xml:space="preserve"> ibid., (p.180).</w:t>
      </w:r>
    </w:p>
  </w:footnote>
  <w:footnote w:id="4">
    <w:p w:rsidR="007451D1" w:rsidRDefault="007451D1">
      <w:pPr>
        <w:pStyle w:val="FootnoteText"/>
      </w:pPr>
      <w:r>
        <w:rPr>
          <w:rStyle w:val="FootnoteReference"/>
        </w:rPr>
        <w:footnoteRef/>
      </w:r>
      <w:r>
        <w:t xml:space="preserve"> </w:t>
      </w:r>
      <w:bookmarkStart w:id="2" w:name="_Hlk503128365"/>
      <w:bookmarkStart w:id="3" w:name="_Hlk503126928"/>
      <w:proofErr w:type="spellStart"/>
      <w:r>
        <w:t>MacIntyre</w:t>
      </w:r>
      <w:proofErr w:type="spellEnd"/>
      <w:r>
        <w:t>, Alasdair</w:t>
      </w:r>
      <w:bookmarkStart w:id="4" w:name="_Hlk503126881"/>
      <w:r>
        <w:t xml:space="preserve">, </w:t>
      </w:r>
      <w:r w:rsidRPr="004B5556">
        <w:rPr>
          <w:i/>
        </w:rPr>
        <w:t>A short history of Ethics</w:t>
      </w:r>
      <w:r>
        <w:t xml:space="preserve"> </w:t>
      </w:r>
      <w:bookmarkEnd w:id="4"/>
      <w:r>
        <w:t>(London: The Macmillan Company, 1967</w:t>
      </w:r>
      <w:bookmarkEnd w:id="2"/>
      <w:r>
        <w:t xml:space="preserve">), </w:t>
      </w:r>
      <w:r>
        <w:tab/>
      </w:r>
      <w:bookmarkEnd w:id="3"/>
      <w:r>
        <w:tab/>
      </w:r>
      <w:r>
        <w:tab/>
        <w:t>p.196.</w:t>
      </w:r>
    </w:p>
  </w:footnote>
  <w:footnote w:id="5">
    <w:p w:rsidR="007451D1" w:rsidRDefault="007451D1">
      <w:pPr>
        <w:pStyle w:val="FootnoteText"/>
      </w:pPr>
      <w:r>
        <w:rPr>
          <w:rStyle w:val="FootnoteReference"/>
        </w:rPr>
        <w:footnoteRef/>
      </w:r>
      <w:r>
        <w:t xml:space="preserve"> Hill, Thomas E. Jr. “Kantianism”, in The Blackwell Guide to Ethical Theory, ed. Hugh </w:t>
      </w:r>
      <w:proofErr w:type="spellStart"/>
      <w:r>
        <w:t>LaFollette</w:t>
      </w:r>
      <w:proofErr w:type="spellEnd"/>
      <w:r>
        <w:t xml:space="preserve"> </w:t>
      </w:r>
      <w:r>
        <w:tab/>
      </w:r>
      <w:r>
        <w:tab/>
        <w:t>(Oxford: Blackwell Publishing Ltd, 2000), pp.227-246 (pp.228-229).</w:t>
      </w:r>
    </w:p>
  </w:footnote>
  <w:footnote w:id="6">
    <w:p w:rsidR="007451D1" w:rsidRDefault="007451D1">
      <w:pPr>
        <w:pStyle w:val="FootnoteText"/>
      </w:pPr>
      <w:r>
        <w:rPr>
          <w:rStyle w:val="FootnoteReference"/>
        </w:rPr>
        <w:footnoteRef/>
      </w:r>
      <w:r>
        <w:t xml:space="preserve"> </w:t>
      </w:r>
      <w:bookmarkStart w:id="5" w:name="_Hlk503126497"/>
      <w:r>
        <w:t>Kant, Immanuel. “Groundwork for the Metaphysic of Morals</w:t>
      </w:r>
      <w:bookmarkStart w:id="6" w:name="_Hlk503027763"/>
      <w:r>
        <w:t xml:space="preserve">”, September 2008. </w:t>
      </w:r>
      <w:bookmarkEnd w:id="6"/>
      <w:r>
        <w:t>Accessed 06 Jan. 2018. p.24</w:t>
      </w:r>
      <w:r>
        <w:tab/>
        <w:t>&lt;</w:t>
      </w:r>
      <w:r w:rsidRPr="00A9239B">
        <w:t>http://www.earlymoderntexts.com/assets/pdfs/kant1785.pdf</w:t>
      </w:r>
      <w:r>
        <w:t>&gt;.</w:t>
      </w:r>
      <w:bookmarkEnd w:id="5"/>
      <w:r>
        <w:t xml:space="preserve"> p24</w:t>
      </w:r>
      <w:r w:rsidR="00D9047B">
        <w:t>.</w:t>
      </w:r>
    </w:p>
  </w:footnote>
  <w:footnote w:id="7">
    <w:p w:rsidR="007451D1" w:rsidRDefault="007451D1">
      <w:pPr>
        <w:pStyle w:val="FootnoteText"/>
      </w:pPr>
      <w:r>
        <w:rPr>
          <w:rStyle w:val="FootnoteReference"/>
        </w:rPr>
        <w:footnoteRef/>
      </w:r>
      <w:r>
        <w:t xml:space="preserve"> ibid., p.29.</w:t>
      </w:r>
    </w:p>
  </w:footnote>
  <w:footnote w:id="8">
    <w:p w:rsidR="007451D1" w:rsidRDefault="007451D1">
      <w:pPr>
        <w:pStyle w:val="FootnoteText"/>
      </w:pPr>
      <w:r>
        <w:rPr>
          <w:rStyle w:val="FootnoteReference"/>
        </w:rPr>
        <w:footnoteRef/>
      </w:r>
      <w:r>
        <w:t xml:space="preserve"> Ibid., p.30.</w:t>
      </w:r>
    </w:p>
  </w:footnote>
  <w:footnote w:id="9">
    <w:p w:rsidR="007451D1" w:rsidRDefault="007451D1">
      <w:pPr>
        <w:pStyle w:val="FootnoteText"/>
      </w:pPr>
      <w:r>
        <w:rPr>
          <w:rStyle w:val="FootnoteReference"/>
        </w:rPr>
        <w:footnoteRef/>
      </w:r>
      <w:r>
        <w:t xml:space="preserve"> Ibid., p.11.</w:t>
      </w:r>
    </w:p>
  </w:footnote>
  <w:footnote w:id="10">
    <w:p w:rsidR="007451D1" w:rsidRDefault="007451D1">
      <w:pPr>
        <w:pStyle w:val="FootnoteText"/>
      </w:pPr>
      <w:r>
        <w:rPr>
          <w:rStyle w:val="FootnoteReference"/>
        </w:rPr>
        <w:footnoteRef/>
      </w:r>
      <w:r>
        <w:t xml:space="preserve"> </w:t>
      </w:r>
      <w:proofErr w:type="spellStart"/>
      <w:r>
        <w:t>O’neil</w:t>
      </w:r>
      <w:proofErr w:type="spellEnd"/>
      <w:r>
        <w:t xml:space="preserve">, </w:t>
      </w:r>
      <w:proofErr w:type="spellStart"/>
      <w:r>
        <w:t>Onora</w:t>
      </w:r>
      <w:proofErr w:type="spellEnd"/>
      <w:r>
        <w:t xml:space="preserve">. “Kantian Ethics”, in A Companion </w:t>
      </w:r>
      <w:proofErr w:type="gramStart"/>
      <w:r>
        <w:t>To</w:t>
      </w:r>
      <w:proofErr w:type="gramEnd"/>
      <w:r>
        <w:t xml:space="preserve"> Ethics, ed. Peter Singer </w:t>
      </w:r>
      <w:r>
        <w:tab/>
      </w:r>
      <w:r>
        <w:tab/>
      </w:r>
      <w:r>
        <w:tab/>
      </w:r>
      <w:r>
        <w:tab/>
        <w:t>(Oxford: Blackwell Publishing Ltd, 1991), pp.175-185 (pp.178-179).</w:t>
      </w:r>
    </w:p>
  </w:footnote>
  <w:footnote w:id="11">
    <w:p w:rsidR="007451D1" w:rsidRDefault="007451D1">
      <w:pPr>
        <w:pStyle w:val="FootnoteText"/>
      </w:pPr>
      <w:r>
        <w:rPr>
          <w:rStyle w:val="FootnoteReference"/>
        </w:rPr>
        <w:footnoteRef/>
      </w:r>
      <w:r>
        <w:t xml:space="preserve"> ibid., (pp.181-182).</w:t>
      </w:r>
    </w:p>
  </w:footnote>
  <w:footnote w:id="12">
    <w:p w:rsidR="000E7AB4" w:rsidRDefault="007451D1" w:rsidP="00271DD8">
      <w:pPr>
        <w:pStyle w:val="FootnoteText"/>
      </w:pPr>
      <w:r>
        <w:rPr>
          <w:rStyle w:val="FootnoteReference"/>
        </w:rPr>
        <w:footnoteRef/>
      </w:r>
      <w:r>
        <w:t xml:space="preserve"> </w:t>
      </w:r>
      <w:bookmarkStart w:id="7" w:name="_Hlk503127864"/>
      <w:bookmarkStart w:id="8" w:name="_Hlk503125759"/>
      <w:r>
        <w:t xml:space="preserve">Foot, Philippa. “Morality as a System of Hypothetical Imperatives.” The Philosophical Review, Vol. 81, </w:t>
      </w:r>
      <w:r>
        <w:tab/>
      </w:r>
      <w:r>
        <w:tab/>
        <w:t>No. 3 (Jul. 1972)</w:t>
      </w:r>
      <w:r w:rsidRPr="00F9553F">
        <w:t xml:space="preserve"> </w:t>
      </w:r>
      <w:r>
        <w:t xml:space="preserve">Duke University Press on behalf of Philosophical Review. </w:t>
      </w:r>
      <w:r w:rsidR="00D9047B">
        <w:tab/>
      </w:r>
      <w:r w:rsidR="00D9047B">
        <w:tab/>
      </w:r>
      <w:r w:rsidR="00D9047B">
        <w:tab/>
      </w:r>
      <w:r>
        <w:t>Accessed 07 Jan. 2018.</w:t>
      </w:r>
      <w:bookmarkEnd w:id="7"/>
      <w:r>
        <w:t xml:space="preserve"> pp.305-316 </w:t>
      </w:r>
      <w:bookmarkEnd w:id="8"/>
      <w:r>
        <w:t>(pp. 305-</w:t>
      </w:r>
      <w:r w:rsidR="00195A1D">
        <w:t>30</w:t>
      </w:r>
      <w:r>
        <w:t>6).</w:t>
      </w:r>
      <w:r w:rsidR="000E7AB4">
        <w:t xml:space="preserve"> </w:t>
      </w:r>
    </w:p>
    <w:p w:rsidR="00271DD8" w:rsidRDefault="00A72265" w:rsidP="000E7AB4">
      <w:pPr>
        <w:pStyle w:val="FootnoteText"/>
        <w:ind w:firstLine="720"/>
      </w:pPr>
      <w:r>
        <w:t>&lt;</w:t>
      </w:r>
      <w:r w:rsidRPr="00A72265">
        <w:t>http://www.jstor.org/stable/2184328</w:t>
      </w:r>
      <w:r>
        <w:t>&gt;.</w:t>
      </w:r>
    </w:p>
  </w:footnote>
  <w:footnote w:id="13">
    <w:p w:rsidR="007451D1" w:rsidRDefault="007451D1" w:rsidP="00271DD8">
      <w:pPr>
        <w:pStyle w:val="FootnoteText"/>
      </w:pPr>
      <w:r>
        <w:rPr>
          <w:rStyle w:val="FootnoteReference"/>
        </w:rPr>
        <w:footnoteRef/>
      </w:r>
      <w:r>
        <w:t xml:space="preserve">  ibid., (pp. 309-11).</w:t>
      </w:r>
    </w:p>
  </w:footnote>
  <w:footnote w:id="14">
    <w:p w:rsidR="007451D1" w:rsidRDefault="007451D1" w:rsidP="00271DD8">
      <w:pPr>
        <w:pStyle w:val="FootnoteText"/>
      </w:pPr>
      <w:r>
        <w:rPr>
          <w:rStyle w:val="FootnoteReference"/>
        </w:rPr>
        <w:footnoteRef/>
      </w:r>
      <w:r>
        <w:t xml:space="preserve"> ibid., (pp. 312-13).</w:t>
      </w:r>
    </w:p>
  </w:footnote>
  <w:footnote w:id="15">
    <w:p w:rsidR="007451D1" w:rsidRDefault="007451D1">
      <w:pPr>
        <w:pStyle w:val="FootnoteText"/>
      </w:pPr>
      <w:r>
        <w:rPr>
          <w:rStyle w:val="FootnoteReference"/>
        </w:rPr>
        <w:footnoteRef/>
      </w:r>
      <w:r>
        <w:t xml:space="preserve"> </w:t>
      </w:r>
      <w:bookmarkStart w:id="9" w:name="_Hlk503127977"/>
      <w:r w:rsidR="00D9047B">
        <w:t>Kant, Immanuel. “Groundwork for the Metaphysic of Morals”, September 2008. Accessed 06 Jan. 2018. p.24</w:t>
      </w:r>
      <w:r w:rsidR="00D9047B">
        <w:tab/>
        <w:t>&lt;</w:t>
      </w:r>
      <w:r w:rsidR="00D9047B" w:rsidRPr="00A9239B">
        <w:t>http://www.earlymoderntexts.com/assets/pdfs/kant1785.pdf</w:t>
      </w:r>
      <w:r w:rsidR="00D9047B">
        <w:t>&gt;.</w:t>
      </w:r>
      <w:bookmarkEnd w:id="9"/>
      <w:r>
        <w:t xml:space="preserve"> p</w:t>
      </w:r>
      <w:r w:rsidR="00D9047B">
        <w:t>.</w:t>
      </w:r>
      <w:r>
        <w:t>9</w:t>
      </w:r>
      <w:r w:rsidR="00D9047B">
        <w:t>.</w:t>
      </w:r>
    </w:p>
  </w:footnote>
  <w:footnote w:id="16">
    <w:p w:rsidR="007451D1" w:rsidRDefault="007451D1">
      <w:pPr>
        <w:pStyle w:val="FootnoteText"/>
      </w:pPr>
      <w:r>
        <w:rPr>
          <w:rStyle w:val="FootnoteReference"/>
        </w:rPr>
        <w:footnoteRef/>
      </w:r>
      <w:r>
        <w:t xml:space="preserve"> </w:t>
      </w:r>
      <w:proofErr w:type="spellStart"/>
      <w:r w:rsidR="00D9047B">
        <w:t>MacIntyre</w:t>
      </w:r>
      <w:proofErr w:type="spellEnd"/>
      <w:r w:rsidR="00D9047B">
        <w:t xml:space="preserve">, Alasdair, </w:t>
      </w:r>
      <w:r w:rsidR="00D9047B" w:rsidRPr="004B5556">
        <w:rPr>
          <w:i/>
        </w:rPr>
        <w:t>A short history of Ethics</w:t>
      </w:r>
      <w:r w:rsidR="00D9047B">
        <w:t xml:space="preserve"> (London: The Macmillan Company, 1967), </w:t>
      </w:r>
      <w:r w:rsidR="00195A1D">
        <w:t>p</w:t>
      </w:r>
      <w:r>
        <w:t>p</w:t>
      </w:r>
      <w:r w:rsidR="00195A1D">
        <w:t>.</w:t>
      </w:r>
      <w:r>
        <w:t>192-</w:t>
      </w:r>
      <w:r w:rsidR="00195A1D">
        <w:t>19</w:t>
      </w:r>
      <w:r>
        <w:t>3</w:t>
      </w:r>
      <w:r w:rsidR="00195A1D">
        <w:t>.</w:t>
      </w:r>
    </w:p>
  </w:footnote>
  <w:footnote w:id="17">
    <w:p w:rsidR="007451D1" w:rsidRDefault="007451D1">
      <w:pPr>
        <w:pStyle w:val="FootnoteText"/>
      </w:pPr>
      <w:r>
        <w:rPr>
          <w:rStyle w:val="FootnoteReference"/>
        </w:rPr>
        <w:footnoteRef/>
      </w:r>
      <w:r>
        <w:t xml:space="preserve"> </w:t>
      </w:r>
      <w:proofErr w:type="spellStart"/>
      <w:r w:rsidR="00195A1D">
        <w:t>O’neil</w:t>
      </w:r>
      <w:proofErr w:type="spellEnd"/>
      <w:r w:rsidR="00195A1D">
        <w:t xml:space="preserve">, </w:t>
      </w:r>
      <w:proofErr w:type="spellStart"/>
      <w:r w:rsidR="00195A1D">
        <w:t>Onora</w:t>
      </w:r>
      <w:proofErr w:type="spellEnd"/>
      <w:r w:rsidR="00195A1D">
        <w:t xml:space="preserve">. “Kantian Ethics”, in A Companion </w:t>
      </w:r>
      <w:proofErr w:type="gramStart"/>
      <w:r w:rsidR="00195A1D">
        <w:t>To</w:t>
      </w:r>
      <w:proofErr w:type="gramEnd"/>
      <w:r w:rsidR="00195A1D">
        <w:t xml:space="preserve"> Ethics, ed. Peter Singer </w:t>
      </w:r>
      <w:r w:rsidR="00195A1D">
        <w:tab/>
      </w:r>
      <w:r w:rsidR="00195A1D">
        <w:tab/>
      </w:r>
      <w:r w:rsidR="00195A1D">
        <w:tab/>
      </w:r>
      <w:r w:rsidR="00195A1D">
        <w:tab/>
        <w:t>(Oxford: Blackwell Publishing Ltd, 1991), pp.175-185 p.</w:t>
      </w:r>
      <w:r>
        <w:t>180</w:t>
      </w:r>
      <w:r w:rsidR="00195A1D">
        <w:t>.</w:t>
      </w:r>
    </w:p>
  </w:footnote>
  <w:footnote w:id="18">
    <w:p w:rsidR="007451D1" w:rsidRDefault="007451D1">
      <w:pPr>
        <w:pStyle w:val="FootnoteText"/>
      </w:pPr>
      <w:r>
        <w:rPr>
          <w:rStyle w:val="FootnoteReference"/>
        </w:rPr>
        <w:footnoteRef/>
      </w:r>
      <w:r>
        <w:t xml:space="preserve"> </w:t>
      </w:r>
      <w:r w:rsidR="00195A1D">
        <w:t>ibid.,</w:t>
      </w:r>
      <w:r>
        <w:t xml:space="preserve"> </w:t>
      </w:r>
      <w:r w:rsidR="00195A1D">
        <w:t>pp.</w:t>
      </w:r>
      <w:r>
        <w:t>175-</w:t>
      </w:r>
      <w:r w:rsidR="00195A1D">
        <w:t>17</w:t>
      </w:r>
      <w:r>
        <w:t>6</w:t>
      </w:r>
      <w:r w:rsidR="00195A1D">
        <w:t>.</w:t>
      </w:r>
    </w:p>
  </w:footnote>
  <w:footnote w:id="19">
    <w:p w:rsidR="007451D1" w:rsidRDefault="007451D1">
      <w:pPr>
        <w:pStyle w:val="FootnoteText"/>
      </w:pPr>
      <w:r>
        <w:rPr>
          <w:rStyle w:val="FootnoteReference"/>
        </w:rPr>
        <w:footnoteRef/>
      </w:r>
      <w:r>
        <w:t xml:space="preserve"> </w:t>
      </w:r>
      <w:r w:rsidR="00195A1D">
        <w:t>ibid.,</w:t>
      </w:r>
      <w:r>
        <w:t xml:space="preserve"> </w:t>
      </w:r>
      <w:r w:rsidR="00195A1D">
        <w:t>p.</w:t>
      </w:r>
      <w:r>
        <w:t>180</w:t>
      </w:r>
      <w:r w:rsidR="00195A1D">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CD3C02"/>
    <w:multiLevelType w:val="multilevel"/>
    <w:tmpl w:val="AA864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507"/>
    <w:rsid w:val="000064CD"/>
    <w:rsid w:val="000104AA"/>
    <w:rsid w:val="00011C02"/>
    <w:rsid w:val="000C558D"/>
    <w:rsid w:val="000C5FA3"/>
    <w:rsid w:val="000D542E"/>
    <w:rsid w:val="000D665C"/>
    <w:rsid w:val="000D741D"/>
    <w:rsid w:val="000E7AB4"/>
    <w:rsid w:val="000F51CD"/>
    <w:rsid w:val="001102BA"/>
    <w:rsid w:val="001578CD"/>
    <w:rsid w:val="0016730A"/>
    <w:rsid w:val="00195A1D"/>
    <w:rsid w:val="001A4183"/>
    <w:rsid w:val="001A7425"/>
    <w:rsid w:val="001F08B4"/>
    <w:rsid w:val="0026149B"/>
    <w:rsid w:val="00271DD8"/>
    <w:rsid w:val="002E0894"/>
    <w:rsid w:val="002F3AD4"/>
    <w:rsid w:val="002F5706"/>
    <w:rsid w:val="00373B07"/>
    <w:rsid w:val="00382A20"/>
    <w:rsid w:val="003D56DE"/>
    <w:rsid w:val="003E6B18"/>
    <w:rsid w:val="003F6AB7"/>
    <w:rsid w:val="004351B1"/>
    <w:rsid w:val="004872E7"/>
    <w:rsid w:val="004B105A"/>
    <w:rsid w:val="004B5556"/>
    <w:rsid w:val="004E175C"/>
    <w:rsid w:val="004F1326"/>
    <w:rsid w:val="00501DC4"/>
    <w:rsid w:val="0050531C"/>
    <w:rsid w:val="00505E53"/>
    <w:rsid w:val="00506242"/>
    <w:rsid w:val="00521C9A"/>
    <w:rsid w:val="00545876"/>
    <w:rsid w:val="005935D4"/>
    <w:rsid w:val="005C52DD"/>
    <w:rsid w:val="005E0303"/>
    <w:rsid w:val="00622890"/>
    <w:rsid w:val="0062505A"/>
    <w:rsid w:val="00633CF5"/>
    <w:rsid w:val="00696D13"/>
    <w:rsid w:val="006A4023"/>
    <w:rsid w:val="007451D1"/>
    <w:rsid w:val="00752FE9"/>
    <w:rsid w:val="00765D61"/>
    <w:rsid w:val="00774994"/>
    <w:rsid w:val="007833B7"/>
    <w:rsid w:val="007938CE"/>
    <w:rsid w:val="00801DB4"/>
    <w:rsid w:val="00826A43"/>
    <w:rsid w:val="0084701A"/>
    <w:rsid w:val="008B3247"/>
    <w:rsid w:val="008B38CB"/>
    <w:rsid w:val="008C27D8"/>
    <w:rsid w:val="008E29C5"/>
    <w:rsid w:val="008E7D07"/>
    <w:rsid w:val="00916ACD"/>
    <w:rsid w:val="0095449E"/>
    <w:rsid w:val="00954CDC"/>
    <w:rsid w:val="009733DE"/>
    <w:rsid w:val="009E1C1D"/>
    <w:rsid w:val="00A358FE"/>
    <w:rsid w:val="00A40A02"/>
    <w:rsid w:val="00A71E0C"/>
    <w:rsid w:val="00A72265"/>
    <w:rsid w:val="00A82804"/>
    <w:rsid w:val="00A9239B"/>
    <w:rsid w:val="00AC486B"/>
    <w:rsid w:val="00AE6879"/>
    <w:rsid w:val="00B0535C"/>
    <w:rsid w:val="00B06542"/>
    <w:rsid w:val="00B770D0"/>
    <w:rsid w:val="00C27737"/>
    <w:rsid w:val="00C42FDC"/>
    <w:rsid w:val="00C44627"/>
    <w:rsid w:val="00C801A5"/>
    <w:rsid w:val="00C857B4"/>
    <w:rsid w:val="00C9131E"/>
    <w:rsid w:val="00CA5647"/>
    <w:rsid w:val="00CA6EF9"/>
    <w:rsid w:val="00CB167F"/>
    <w:rsid w:val="00CC211A"/>
    <w:rsid w:val="00CE57F7"/>
    <w:rsid w:val="00CE6C7D"/>
    <w:rsid w:val="00CE7928"/>
    <w:rsid w:val="00CE7CE2"/>
    <w:rsid w:val="00CF62D8"/>
    <w:rsid w:val="00D3337D"/>
    <w:rsid w:val="00D62BF4"/>
    <w:rsid w:val="00D676FE"/>
    <w:rsid w:val="00D81D1E"/>
    <w:rsid w:val="00D9047B"/>
    <w:rsid w:val="00D92B73"/>
    <w:rsid w:val="00DA39CD"/>
    <w:rsid w:val="00DA4999"/>
    <w:rsid w:val="00DA7664"/>
    <w:rsid w:val="00DC5C81"/>
    <w:rsid w:val="00E01D3D"/>
    <w:rsid w:val="00E268C7"/>
    <w:rsid w:val="00E41B3D"/>
    <w:rsid w:val="00E56596"/>
    <w:rsid w:val="00E62A2E"/>
    <w:rsid w:val="00E65E62"/>
    <w:rsid w:val="00E7144B"/>
    <w:rsid w:val="00EF134A"/>
    <w:rsid w:val="00F0626C"/>
    <w:rsid w:val="00F33108"/>
    <w:rsid w:val="00F52F57"/>
    <w:rsid w:val="00F6361F"/>
    <w:rsid w:val="00F9553F"/>
    <w:rsid w:val="00F95EC7"/>
    <w:rsid w:val="00FB7CF9"/>
    <w:rsid w:val="00FC5507"/>
    <w:rsid w:val="00FD107A"/>
    <w:rsid w:val="00FE53FE"/>
    <w:rsid w:val="00FE6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38B4DF"/>
  <w15:chartTrackingRefBased/>
  <w15:docId w15:val="{91AFE803-1D11-4AF0-8123-B49973F20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792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053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531C"/>
    <w:rPr>
      <w:sz w:val="20"/>
      <w:szCs w:val="20"/>
    </w:rPr>
  </w:style>
  <w:style w:type="character" w:styleId="FootnoteReference">
    <w:name w:val="footnote reference"/>
    <w:basedOn w:val="DefaultParagraphFont"/>
    <w:uiPriority w:val="99"/>
    <w:semiHidden/>
    <w:unhideWhenUsed/>
    <w:rsid w:val="0050531C"/>
    <w:rPr>
      <w:vertAlign w:val="superscript"/>
    </w:rPr>
  </w:style>
  <w:style w:type="character" w:styleId="Hyperlink">
    <w:name w:val="Hyperlink"/>
    <w:basedOn w:val="DefaultParagraphFont"/>
    <w:uiPriority w:val="99"/>
    <w:unhideWhenUsed/>
    <w:rsid w:val="003D56DE"/>
    <w:rPr>
      <w:color w:val="0000FF" w:themeColor="hyperlink"/>
      <w:u w:val="single"/>
    </w:rPr>
  </w:style>
  <w:style w:type="character" w:styleId="UnresolvedMention">
    <w:name w:val="Unresolved Mention"/>
    <w:basedOn w:val="DefaultParagraphFont"/>
    <w:uiPriority w:val="99"/>
    <w:semiHidden/>
    <w:unhideWhenUsed/>
    <w:rsid w:val="003D56D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154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07C03-2EEE-46B3-95BA-B1A60833B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1620</TotalTime>
  <Pages>4</Pages>
  <Words>1132</Words>
  <Characters>6455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dc:creator>
  <cp:keywords/>
  <dc:description/>
  <cp:lastModifiedBy>indi</cp:lastModifiedBy>
  <cp:revision>83</cp:revision>
  <dcterms:created xsi:type="dcterms:W3CDTF">2018-01-06T15:55:00Z</dcterms:created>
  <dcterms:modified xsi:type="dcterms:W3CDTF">2018-01-08T11:43:00Z</dcterms:modified>
</cp:coreProperties>
</file>