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186C9" w14:textId="742CE93F" w:rsidR="00D605D0" w:rsidRDefault="00D605D0" w:rsidP="00B72A70"/>
    <w:p w14:paraId="2D06CCBE" w14:textId="610AB338" w:rsidR="007C698F" w:rsidRPr="00ED555D" w:rsidRDefault="00E41B4D" w:rsidP="00ED555D">
      <w:pPr>
        <w:jc w:val="center"/>
        <w:rPr>
          <w:rFonts w:cs="Times New Roman"/>
          <w:b/>
          <w:bCs/>
          <w:sz w:val="44"/>
          <w:szCs w:val="44"/>
        </w:rPr>
      </w:pPr>
      <w:r w:rsidRPr="00ED555D">
        <w:rPr>
          <w:rFonts w:cs="Times New Roman"/>
          <w:b/>
          <w:bCs/>
          <w:sz w:val="44"/>
          <w:szCs w:val="44"/>
        </w:rPr>
        <w:t>Law and Legal Practice LLB</w:t>
      </w:r>
    </w:p>
    <w:p w14:paraId="1C45B076" w14:textId="4CDADCB6" w:rsidR="007C698F" w:rsidRPr="00ED555D" w:rsidRDefault="001E6A72" w:rsidP="00ED555D">
      <w:pPr>
        <w:jc w:val="center"/>
        <w:rPr>
          <w:rFonts w:cs="Times New Roman"/>
          <w:b/>
          <w:sz w:val="44"/>
          <w:szCs w:val="44"/>
        </w:rPr>
      </w:pPr>
      <w:r w:rsidRPr="00ED555D">
        <w:rPr>
          <w:rFonts w:cs="Times New Roman"/>
          <w:b/>
          <w:sz w:val="44"/>
          <w:szCs w:val="44"/>
        </w:rPr>
        <w:t xml:space="preserve">Module name: </w:t>
      </w:r>
      <w:r w:rsidR="007C698F" w:rsidRPr="00ED555D">
        <w:rPr>
          <w:rFonts w:cs="Times New Roman"/>
          <w:b/>
          <w:sz w:val="44"/>
          <w:szCs w:val="44"/>
        </w:rPr>
        <w:t>Probate Practice</w:t>
      </w:r>
    </w:p>
    <w:p w14:paraId="383F0286" w14:textId="603C91D7" w:rsidR="007C698F" w:rsidRPr="00ED555D" w:rsidRDefault="001E6A72" w:rsidP="00ED555D">
      <w:pPr>
        <w:jc w:val="center"/>
        <w:rPr>
          <w:rFonts w:cs="Times New Roman"/>
          <w:b/>
          <w:sz w:val="44"/>
          <w:szCs w:val="44"/>
        </w:rPr>
      </w:pPr>
      <w:r w:rsidRPr="00ED555D">
        <w:rPr>
          <w:rFonts w:cs="Times New Roman"/>
          <w:b/>
          <w:sz w:val="44"/>
          <w:szCs w:val="44"/>
        </w:rPr>
        <w:t xml:space="preserve">Module code: </w:t>
      </w:r>
      <w:r w:rsidR="007C698F" w:rsidRPr="00ED555D">
        <w:rPr>
          <w:rFonts w:cs="Times New Roman"/>
          <w:b/>
          <w:sz w:val="44"/>
          <w:szCs w:val="44"/>
        </w:rPr>
        <w:t>BMLW6015</w:t>
      </w:r>
    </w:p>
    <w:p w14:paraId="7240EBD8" w14:textId="0007F7D1" w:rsidR="00E41B4D" w:rsidRPr="00ED555D" w:rsidRDefault="00E41B4D" w:rsidP="00ED555D">
      <w:pPr>
        <w:jc w:val="center"/>
        <w:rPr>
          <w:rFonts w:cs="Times New Roman"/>
          <w:b/>
          <w:sz w:val="44"/>
          <w:szCs w:val="44"/>
        </w:rPr>
      </w:pPr>
      <w:r w:rsidRPr="00ED555D">
        <w:rPr>
          <w:rFonts w:cs="Times New Roman"/>
          <w:b/>
          <w:sz w:val="44"/>
          <w:szCs w:val="44"/>
        </w:rPr>
        <w:t xml:space="preserve">Student </w:t>
      </w:r>
      <w:r w:rsidR="0027066D" w:rsidRPr="00ED555D">
        <w:rPr>
          <w:rFonts w:cs="Times New Roman"/>
          <w:b/>
          <w:sz w:val="44"/>
          <w:szCs w:val="44"/>
        </w:rPr>
        <w:t>n</w:t>
      </w:r>
      <w:r w:rsidRPr="00ED555D">
        <w:rPr>
          <w:rFonts w:cs="Times New Roman"/>
          <w:b/>
          <w:sz w:val="44"/>
          <w:szCs w:val="44"/>
        </w:rPr>
        <w:t>ame:</w:t>
      </w:r>
      <w:r w:rsidR="001E6A72" w:rsidRPr="00ED555D">
        <w:rPr>
          <w:rFonts w:cs="Times New Roman"/>
          <w:b/>
          <w:sz w:val="44"/>
          <w:szCs w:val="44"/>
        </w:rPr>
        <w:t xml:space="preserve"> Sylwia Maciejewska</w:t>
      </w:r>
    </w:p>
    <w:p w14:paraId="597933A5" w14:textId="2932BCC4" w:rsidR="00E41B4D" w:rsidRPr="00ED555D" w:rsidRDefault="00E41B4D" w:rsidP="00ED555D">
      <w:pPr>
        <w:jc w:val="center"/>
        <w:rPr>
          <w:rFonts w:cs="Times New Roman"/>
          <w:b/>
          <w:sz w:val="44"/>
          <w:szCs w:val="44"/>
        </w:rPr>
      </w:pPr>
      <w:r w:rsidRPr="00ED555D">
        <w:rPr>
          <w:rFonts w:cs="Times New Roman"/>
          <w:b/>
          <w:sz w:val="44"/>
          <w:szCs w:val="44"/>
        </w:rPr>
        <w:t xml:space="preserve">Student </w:t>
      </w:r>
      <w:r w:rsidR="0027066D" w:rsidRPr="00ED555D">
        <w:rPr>
          <w:rFonts w:cs="Times New Roman"/>
          <w:b/>
          <w:sz w:val="44"/>
          <w:szCs w:val="44"/>
        </w:rPr>
        <w:t>number</w:t>
      </w:r>
      <w:r w:rsidRPr="00ED555D">
        <w:rPr>
          <w:rFonts w:cs="Times New Roman"/>
          <w:b/>
          <w:sz w:val="44"/>
          <w:szCs w:val="44"/>
        </w:rPr>
        <w:t>:</w:t>
      </w:r>
      <w:r w:rsidR="0027066D" w:rsidRPr="00ED555D">
        <w:rPr>
          <w:rFonts w:cs="Times New Roman"/>
          <w:b/>
          <w:sz w:val="44"/>
          <w:szCs w:val="44"/>
        </w:rPr>
        <w:t xml:space="preserve"> 213</w:t>
      </w:r>
      <w:r w:rsidR="0056428C" w:rsidRPr="00ED555D">
        <w:rPr>
          <w:rFonts w:cs="Times New Roman"/>
          <w:b/>
          <w:sz w:val="44"/>
          <w:szCs w:val="44"/>
        </w:rPr>
        <w:t>0318</w:t>
      </w:r>
    </w:p>
    <w:p w14:paraId="2BE57376" w14:textId="1273CD86" w:rsidR="00E41B4D" w:rsidRDefault="0047037E">
      <w:pPr>
        <w:spacing w:line="259" w:lineRule="auto"/>
        <w:jc w:val="left"/>
        <w:rPr>
          <w:rFonts w:cs="Times New Roman"/>
          <w:b/>
          <w:sz w:val="28"/>
          <w:szCs w:val="28"/>
        </w:rPr>
      </w:pPr>
      <w:r>
        <w:rPr>
          <w:rFonts w:cs="Times New Roman"/>
          <w:b/>
          <w:sz w:val="28"/>
          <w:szCs w:val="28"/>
        </w:rPr>
        <w:br w:type="page"/>
      </w:r>
    </w:p>
    <w:p w14:paraId="03BAC3C5" w14:textId="77777777" w:rsidR="00875B62" w:rsidRPr="00875B62" w:rsidRDefault="00875B62" w:rsidP="008C0302">
      <w:pPr>
        <w:pStyle w:val="Heading1"/>
        <w:rPr>
          <w:lang w:val="en-IN"/>
        </w:rPr>
      </w:pPr>
      <w:bookmarkStart w:id="0" w:name="_Toc191745034"/>
      <w:r w:rsidRPr="00875B62">
        <w:rPr>
          <w:lang w:val="en-IN"/>
        </w:rPr>
        <w:lastRenderedPageBreak/>
        <w:t>Task 1: Email to David Rose re Case Ref: DR-19384/04</w:t>
      </w:r>
      <w:bookmarkEnd w:id="0"/>
    </w:p>
    <w:p w14:paraId="2EF51B22" w14:textId="77777777" w:rsidR="00875B62" w:rsidRPr="00875B62" w:rsidRDefault="00875B62" w:rsidP="00875B62">
      <w:pPr>
        <w:rPr>
          <w:lang w:val="en-IN"/>
        </w:rPr>
      </w:pPr>
      <w:r w:rsidRPr="00875B62">
        <w:rPr>
          <w:b/>
          <w:bCs/>
          <w:lang w:val="en-IN"/>
        </w:rPr>
        <w:t>Subject:</w:t>
      </w:r>
      <w:r w:rsidRPr="00875B62">
        <w:rPr>
          <w:lang w:val="en-IN"/>
        </w:rPr>
        <w:t xml:space="preserve"> Re: Case Ref: DR-19384/04 – Response to Your Queries</w:t>
      </w:r>
    </w:p>
    <w:p w14:paraId="0C1EB488" w14:textId="77777777" w:rsidR="00875B62" w:rsidRPr="00875B62" w:rsidRDefault="00875B62" w:rsidP="00875B62">
      <w:pPr>
        <w:rPr>
          <w:lang w:val="en-IN"/>
        </w:rPr>
      </w:pPr>
      <w:r w:rsidRPr="00875B62">
        <w:rPr>
          <w:lang w:val="en-IN"/>
        </w:rPr>
        <w:t>Dear David,</w:t>
      </w:r>
    </w:p>
    <w:p w14:paraId="11007C55" w14:textId="03819FFE" w:rsidR="00875B62" w:rsidRPr="00875B62" w:rsidRDefault="00875B62" w:rsidP="00875B62">
      <w:pPr>
        <w:rPr>
          <w:lang w:val="en-IN"/>
        </w:rPr>
      </w:pPr>
      <w:r w:rsidRPr="00875B62">
        <w:rPr>
          <w:lang w:val="en-IN"/>
        </w:rPr>
        <w:t xml:space="preserve">Thank you for your email regarding Mrs Spain’s estate. I have reviewed the issues you raised and </w:t>
      </w:r>
      <w:r w:rsidR="002069DD">
        <w:rPr>
          <w:lang w:val="en-IN"/>
        </w:rPr>
        <w:t>have included</w:t>
      </w:r>
      <w:r w:rsidRPr="00875B62">
        <w:rPr>
          <w:lang w:val="en-IN"/>
        </w:rPr>
        <w:t xml:space="preserve"> my analysis and recommendations below.</w:t>
      </w:r>
    </w:p>
    <w:p w14:paraId="5AAE81D3" w14:textId="77777777" w:rsidR="00875B62" w:rsidRPr="00875B62" w:rsidRDefault="00875B62" w:rsidP="00875B62">
      <w:pPr>
        <w:rPr>
          <w:b/>
          <w:bCs/>
          <w:lang w:val="en-IN"/>
        </w:rPr>
      </w:pPr>
      <w:r w:rsidRPr="00875B62">
        <w:rPr>
          <w:b/>
          <w:bCs/>
          <w:lang w:val="en-IN"/>
        </w:rPr>
        <w:t>1) Acceptance of Monetary Gifts</w:t>
      </w:r>
    </w:p>
    <w:p w14:paraId="34A8A977" w14:textId="77777777" w:rsidR="007C1B76" w:rsidRDefault="007C1B76" w:rsidP="00131716">
      <w:pPr>
        <w:rPr>
          <w:lang w:val="en-IN"/>
        </w:rPr>
      </w:pPr>
      <w:r w:rsidRPr="007C1B76">
        <w:rPr>
          <w:lang w:val="en-IN"/>
        </w:rPr>
        <w:t>For the £1,000 that has been sent to you and the other £1,000 for me, my findings indicate that accepting such gifts is permissible under the Solicitors Regulation Authority (SRA) Code of Conduct. The arguments are:</w:t>
      </w:r>
    </w:p>
    <w:p w14:paraId="50DE3601" w14:textId="2694C725" w:rsidR="00131716" w:rsidRPr="00131716" w:rsidRDefault="00875B62" w:rsidP="00131716">
      <w:pPr>
        <w:rPr>
          <w:lang w:val="en-IN"/>
        </w:rPr>
      </w:pPr>
      <w:r w:rsidRPr="00875B62">
        <w:rPr>
          <w:b/>
          <w:bCs/>
          <w:lang w:val="en-IN"/>
        </w:rPr>
        <w:t>Client Capacity and Consent:</w:t>
      </w:r>
    </w:p>
    <w:p w14:paraId="4CEFD3FB" w14:textId="79636E93" w:rsidR="007C1B76" w:rsidRDefault="007C1B76" w:rsidP="007C1B76">
      <w:pPr>
        <w:rPr>
          <w:lang w:val="en-IN"/>
        </w:rPr>
      </w:pPr>
      <w:r w:rsidRPr="007C1B76">
        <w:rPr>
          <w:lang w:val="en-IN"/>
        </w:rPr>
        <w:t xml:space="preserve">The mental capacity of Mrs Spain was determined in 2018 in a medical report, and as such, the mental capacity requirement is met. The gifts </w:t>
      </w:r>
      <w:r w:rsidR="00335116" w:rsidRPr="007C1B76">
        <w:rPr>
          <w:lang w:val="en-IN"/>
        </w:rPr>
        <w:t>were</w:t>
      </w:r>
      <w:r w:rsidRPr="007C1B76">
        <w:rPr>
          <w:lang w:val="en-IN"/>
        </w:rPr>
        <w:t xml:space="preserve"> presented voluntarily and not under coercion</w:t>
      </w:r>
      <w:r w:rsidR="001011C2">
        <w:rPr>
          <w:lang w:val="en-IN"/>
        </w:rPr>
        <w:t>,</w:t>
      </w:r>
      <w:r w:rsidRPr="007C1B76">
        <w:rPr>
          <w:lang w:val="en-IN"/>
        </w:rPr>
        <w:t xml:space="preserve"> as well as implied quid pro quo, a requirement necessary to determine their propriety.</w:t>
      </w:r>
    </w:p>
    <w:p w14:paraId="64636535" w14:textId="37297810" w:rsidR="00131716" w:rsidRDefault="00875B62" w:rsidP="00131716">
      <w:pPr>
        <w:rPr>
          <w:b/>
          <w:bCs/>
          <w:lang w:val="en-IN"/>
        </w:rPr>
      </w:pPr>
      <w:r w:rsidRPr="00875B62">
        <w:rPr>
          <w:b/>
          <w:bCs/>
          <w:lang w:val="en-IN"/>
        </w:rPr>
        <w:t>Ethical and Professional Considerations:</w:t>
      </w:r>
    </w:p>
    <w:p w14:paraId="030C9FAC" w14:textId="718C8B06" w:rsidR="007C1B76" w:rsidRPr="007C1B76" w:rsidRDefault="007C1B76" w:rsidP="007C1B76">
      <w:pPr>
        <w:rPr>
          <w:lang w:val="en-IN"/>
        </w:rPr>
      </w:pPr>
      <w:r w:rsidRPr="007C1B76">
        <w:rPr>
          <w:lang w:val="en-IN"/>
        </w:rPr>
        <w:t xml:space="preserve">The SRA Code permits the acceptance of client gifts if they are unsolicited and accurately recorded. </w:t>
      </w:r>
      <w:r w:rsidR="00FB2DB1" w:rsidRPr="007C1B76">
        <w:rPr>
          <w:lang w:val="en-IN"/>
        </w:rPr>
        <w:t>Ensure</w:t>
      </w:r>
      <w:r w:rsidRPr="007C1B76">
        <w:rPr>
          <w:lang w:val="en-IN"/>
        </w:rPr>
        <w:t xml:space="preserve"> that we remain compliant (Benson and Bociga, 2024), we should</w:t>
      </w:r>
      <w:r w:rsidR="001011C2">
        <w:rPr>
          <w:lang w:val="en-IN"/>
        </w:rPr>
        <w:t xml:space="preserve"> do the following</w:t>
      </w:r>
      <w:r w:rsidRPr="007C1B76">
        <w:rPr>
          <w:lang w:val="en-IN"/>
        </w:rPr>
        <w:t>:</w:t>
      </w:r>
    </w:p>
    <w:p w14:paraId="16564D26" w14:textId="77777777" w:rsidR="007C1B76" w:rsidRPr="007C1B76" w:rsidRDefault="007C1B76" w:rsidP="007C1B76">
      <w:pPr>
        <w:rPr>
          <w:lang w:val="en-IN"/>
        </w:rPr>
      </w:pPr>
      <w:r w:rsidRPr="007C1B76">
        <w:rPr>
          <w:lang w:val="en-IN"/>
        </w:rPr>
        <w:t>• Obtain written confirmation (from the executor or Mrs Spain's relevant documents) that the gifts were given voluntarily and are not intended to influence our conduct.</w:t>
      </w:r>
    </w:p>
    <w:p w14:paraId="07DA5F1C" w14:textId="77777777" w:rsidR="007C1B76" w:rsidRPr="007C1B76" w:rsidRDefault="007C1B76" w:rsidP="007C1B76">
      <w:pPr>
        <w:rPr>
          <w:lang w:val="en-IN"/>
        </w:rPr>
      </w:pPr>
      <w:r w:rsidRPr="007C1B76">
        <w:rPr>
          <w:lang w:val="en-IN"/>
        </w:rPr>
        <w:t>• Document the gifts in our client file referencing the contemporaneous capacity evidence.</w:t>
      </w:r>
    </w:p>
    <w:p w14:paraId="0F29C1AC" w14:textId="77777777" w:rsidR="007C1B76" w:rsidRDefault="007C1B76" w:rsidP="007C1B76">
      <w:pPr>
        <w:rPr>
          <w:lang w:val="en-IN"/>
        </w:rPr>
      </w:pPr>
      <w:r w:rsidRPr="007C1B76">
        <w:rPr>
          <w:lang w:val="en-IN"/>
        </w:rPr>
        <w:t>• Ensure that the amounts are reasonable and do not raise any appearance of impropriety or conflict of interest.</w:t>
      </w:r>
    </w:p>
    <w:p w14:paraId="327D0D93" w14:textId="3814C080" w:rsidR="00131716" w:rsidRDefault="00875B62" w:rsidP="007C1B76">
      <w:pPr>
        <w:rPr>
          <w:b/>
          <w:bCs/>
          <w:lang w:val="en-IN"/>
        </w:rPr>
      </w:pPr>
      <w:r w:rsidRPr="00875B62">
        <w:rPr>
          <w:b/>
          <w:bCs/>
          <w:lang w:val="en-IN"/>
        </w:rPr>
        <w:t>Recommended Action:</w:t>
      </w:r>
    </w:p>
    <w:p w14:paraId="09027FE9" w14:textId="757F449A" w:rsidR="007C1B76" w:rsidRDefault="007C1B76" w:rsidP="007C1B76">
      <w:pPr>
        <w:rPr>
          <w:lang w:val="en-IN"/>
        </w:rPr>
      </w:pPr>
      <w:r w:rsidRPr="007C1B76">
        <w:rPr>
          <w:lang w:val="en-IN"/>
        </w:rPr>
        <w:t xml:space="preserve">I propose we draft a formal memo recording the character of the gift and our independent confirmation of Mrs Spain's capacity. We should then obtain from the executor affirmation that these gifts are to be treated separately from the administration of the estate. This is </w:t>
      </w:r>
      <w:r w:rsidR="001011C2">
        <w:rPr>
          <w:lang w:val="en-IN"/>
        </w:rPr>
        <w:t>in line with</w:t>
      </w:r>
      <w:r w:rsidRPr="007C1B76">
        <w:rPr>
          <w:lang w:val="en-IN"/>
        </w:rPr>
        <w:t xml:space="preserve"> our ethical duties and promotes transparency (SRA Code of Conduct, 2020).</w:t>
      </w:r>
    </w:p>
    <w:p w14:paraId="745A0ADB" w14:textId="03AC6DF2" w:rsidR="00875B62" w:rsidRPr="00875B62" w:rsidRDefault="00875B62" w:rsidP="00875B62">
      <w:pPr>
        <w:rPr>
          <w:b/>
          <w:bCs/>
          <w:lang w:val="en-IN"/>
        </w:rPr>
      </w:pPr>
      <w:r w:rsidRPr="00875B62">
        <w:rPr>
          <w:b/>
          <w:bCs/>
          <w:lang w:val="en-IN"/>
        </w:rPr>
        <w:t>2) The Gold Asset and Fiona’s ‘Private Inheritance’</w:t>
      </w:r>
    </w:p>
    <w:p w14:paraId="3D5F624E" w14:textId="77777777" w:rsidR="00875B62" w:rsidRPr="00875B62" w:rsidRDefault="00875B62" w:rsidP="00131716">
      <w:pPr>
        <w:rPr>
          <w:lang w:val="en-IN"/>
        </w:rPr>
      </w:pPr>
      <w:r w:rsidRPr="00875B62">
        <w:rPr>
          <w:lang w:val="en-IN"/>
        </w:rPr>
        <w:lastRenderedPageBreak/>
        <w:t>The issue of the 3 kg of gold—supported only by a property statement and Fiona’s assertion of a “private inheritance”—requires cautious handling:</w:t>
      </w:r>
    </w:p>
    <w:p w14:paraId="1A0A0AFB" w14:textId="77777777" w:rsidR="00131716" w:rsidRDefault="00875B62" w:rsidP="00131716">
      <w:pPr>
        <w:rPr>
          <w:b/>
          <w:bCs/>
          <w:lang w:val="en-IN"/>
        </w:rPr>
      </w:pPr>
      <w:r w:rsidRPr="00875B62">
        <w:rPr>
          <w:b/>
          <w:bCs/>
          <w:lang w:val="en-IN"/>
        </w:rPr>
        <w:t>Testamentary Formalities and Secret Trusts:</w:t>
      </w:r>
    </w:p>
    <w:p w14:paraId="2F463B78" w14:textId="1C6A8C49" w:rsidR="007C1B76" w:rsidRDefault="007C1B76" w:rsidP="007C1B76">
      <w:pPr>
        <w:rPr>
          <w:lang w:val="en-IN"/>
        </w:rPr>
      </w:pPr>
      <w:r w:rsidRPr="007C1B76">
        <w:rPr>
          <w:lang w:val="en-IN"/>
        </w:rPr>
        <w:t xml:space="preserve">In general terms, a testamentary disposition only takes effect if it is contained in the will. The secret trust doctrine can apply, though, where an oral direction by a testator (or other extrinsic evidence outside the will) shows an intention to leave something to a specific beneficiary (Stilinović, 2021). </w:t>
      </w:r>
      <w:r w:rsidR="00FB2DB1">
        <w:rPr>
          <w:lang w:val="en-IN"/>
        </w:rPr>
        <w:t>Use</w:t>
      </w:r>
      <w:r w:rsidRPr="007C1B76">
        <w:rPr>
          <w:lang w:val="en-IN"/>
        </w:rPr>
        <w:t xml:space="preserve"> the secret trust, we would need to have reasonable, contemporaneous evidence that Mrs Spain wished the gold to go to Fiona exclusively. There is presently no corroborative document to substantiate Fiona's oral account.</w:t>
      </w:r>
    </w:p>
    <w:p w14:paraId="5336401D" w14:textId="18988C2C" w:rsidR="00131716" w:rsidRDefault="00875B62" w:rsidP="00131716">
      <w:pPr>
        <w:rPr>
          <w:b/>
          <w:bCs/>
          <w:lang w:val="en-IN"/>
        </w:rPr>
      </w:pPr>
      <w:r w:rsidRPr="00875B62">
        <w:rPr>
          <w:b/>
          <w:bCs/>
          <w:lang w:val="en-IN"/>
        </w:rPr>
        <w:t>Ethical and Equitable Considerations:</w:t>
      </w:r>
    </w:p>
    <w:p w14:paraId="7C7022B5" w14:textId="77777777" w:rsidR="007C1B76" w:rsidRDefault="007C1B76" w:rsidP="007C1B76">
      <w:pPr>
        <w:rPr>
          <w:lang w:val="en-IN"/>
        </w:rPr>
      </w:pPr>
      <w:r w:rsidRPr="007C1B76">
        <w:rPr>
          <w:lang w:val="en-IN"/>
        </w:rPr>
        <w:t>Fiona's insistence that we keep this transaction "in secret" from her brothers is unsettling. As fiduciaries, we owe the whole group of beneficiaries to treat them fairly. Action on one side to convey the gold without disclosure runs the risk of laying us—and the estate—open to actions for breach of duty or even fraud. The doctrines of equity and fairness in the management of estates imply that any departure from the will as executed should be justified by sufficient evidence and, preferably, by the deliberate agreement of those involved (Rosenbloom, 2022).</w:t>
      </w:r>
    </w:p>
    <w:p w14:paraId="054BAAF3" w14:textId="63778D2F" w:rsidR="00875B62" w:rsidRPr="00131716" w:rsidRDefault="00875B62" w:rsidP="00131716">
      <w:pPr>
        <w:rPr>
          <w:b/>
          <w:bCs/>
          <w:lang w:val="en-IN"/>
        </w:rPr>
      </w:pPr>
      <w:r w:rsidRPr="00131716">
        <w:rPr>
          <w:b/>
          <w:bCs/>
          <w:lang w:val="en-IN"/>
        </w:rPr>
        <w:t>Recommended Action:</w:t>
      </w:r>
    </w:p>
    <w:p w14:paraId="22221070" w14:textId="77777777" w:rsidR="007C1B76" w:rsidRPr="007C1B76" w:rsidRDefault="007C1B76" w:rsidP="007C1B76">
      <w:pPr>
        <w:rPr>
          <w:lang w:val="en-IN"/>
        </w:rPr>
      </w:pPr>
      <w:r w:rsidRPr="007C1B76">
        <w:rPr>
          <w:lang w:val="en-IN"/>
        </w:rPr>
        <w:t>Evidence Collection: Ask Fiona to submit any other contemporary evidence—such as letters, notes, or witness statements—that supports her allegation of a secret inheritance. These documents would be pivotal in determining the existence of a half-secret or secret trust.</w:t>
      </w:r>
    </w:p>
    <w:p w14:paraId="6A3D4800" w14:textId="7CFCD75E" w:rsidR="007C1B76" w:rsidRDefault="007C1B76" w:rsidP="007C1B76">
      <w:pPr>
        <w:rPr>
          <w:lang w:val="en-IN"/>
        </w:rPr>
      </w:pPr>
      <w:r w:rsidRPr="007C1B76">
        <w:rPr>
          <w:lang w:val="en-IN"/>
        </w:rPr>
        <w:t xml:space="preserve">Legal and Ethical Review: We must refer to our compliance department </w:t>
      </w:r>
      <w:r w:rsidR="001011C2">
        <w:rPr>
          <w:lang w:val="en-IN"/>
        </w:rPr>
        <w:t>before</w:t>
      </w:r>
      <w:r w:rsidRPr="007C1B76">
        <w:rPr>
          <w:lang w:val="en-IN"/>
        </w:rPr>
        <w:t xml:space="preserve"> any transfer of title and consider obtaining an independent legal opinion if necessary. On production of proof of valid secret trust, the transfer would then be executed under strict formality; otherwise, the gold must be treated as part of </w:t>
      </w:r>
      <w:r>
        <w:rPr>
          <w:lang w:val="en-IN"/>
        </w:rPr>
        <w:t xml:space="preserve">the </w:t>
      </w:r>
      <w:r w:rsidRPr="007C1B76">
        <w:rPr>
          <w:lang w:val="en-IN"/>
        </w:rPr>
        <w:t>residuary estate.</w:t>
      </w:r>
    </w:p>
    <w:p w14:paraId="74ECF366" w14:textId="77777777" w:rsidR="007C1B76" w:rsidRPr="007C1B76" w:rsidRDefault="007C1B76" w:rsidP="007C1B76">
      <w:pPr>
        <w:rPr>
          <w:lang w:val="en-IN"/>
        </w:rPr>
      </w:pPr>
      <w:r w:rsidRPr="007C1B76">
        <w:rPr>
          <w:lang w:val="en-IN"/>
        </w:rPr>
        <w:t>Transparency to Beneficiaries: Inform Fiona that confidentiality might not be sustainable under our professional obligation. It is in the best interest of the estate and all beneficiaries to resolve any disputes through formal variation or mediation, thereby preventing future conflict.</w:t>
      </w:r>
    </w:p>
    <w:p w14:paraId="69E1BFFA" w14:textId="716309BF" w:rsidR="007C1B76" w:rsidRDefault="007C1B76" w:rsidP="007C1B76">
      <w:pPr>
        <w:rPr>
          <w:lang w:val="en-IN"/>
        </w:rPr>
      </w:pPr>
      <w:r w:rsidRPr="007C1B76">
        <w:rPr>
          <w:lang w:val="en-IN"/>
        </w:rPr>
        <w:t xml:space="preserve">In conclusion, while the </w:t>
      </w:r>
      <w:r>
        <w:rPr>
          <w:lang w:val="en-IN"/>
        </w:rPr>
        <w:t>monetary</w:t>
      </w:r>
      <w:r w:rsidRPr="007C1B76">
        <w:rPr>
          <w:lang w:val="en-IN"/>
        </w:rPr>
        <w:t xml:space="preserve"> gifts can be accepted </w:t>
      </w:r>
      <w:r w:rsidR="00335116" w:rsidRPr="007C1B76">
        <w:rPr>
          <w:lang w:val="en-IN"/>
        </w:rPr>
        <w:t>if</w:t>
      </w:r>
      <w:r w:rsidRPr="007C1B76">
        <w:rPr>
          <w:lang w:val="en-IN"/>
        </w:rPr>
        <w:t xml:space="preserve"> proper documentation is obtained, the disposition of the gold asset must be made with care. We must not make any unilateral </w:t>
      </w:r>
      <w:r w:rsidRPr="007C1B76">
        <w:rPr>
          <w:lang w:val="en-IN"/>
        </w:rPr>
        <w:lastRenderedPageBreak/>
        <w:t>disposition unless we are certain that there is a valid secret trust and that our actions are strictly in compliance with legal and ethical standards.</w:t>
      </w:r>
    </w:p>
    <w:p w14:paraId="561C4D03" w14:textId="11214CC0" w:rsidR="00875B62" w:rsidRPr="00875B62" w:rsidRDefault="00875B62" w:rsidP="007C1B76">
      <w:pPr>
        <w:rPr>
          <w:lang w:val="en-IN"/>
        </w:rPr>
      </w:pPr>
      <w:r w:rsidRPr="00875B62">
        <w:rPr>
          <w:lang w:val="en-IN"/>
        </w:rPr>
        <w:t>Please let me know if you would like me to take further steps</w:t>
      </w:r>
      <w:r w:rsidR="00131716">
        <w:rPr>
          <w:lang w:val="en-IN"/>
        </w:rPr>
        <w:t xml:space="preserve">, </w:t>
      </w:r>
      <w:r w:rsidRPr="00875B62">
        <w:rPr>
          <w:lang w:val="en-IN"/>
        </w:rPr>
        <w:t xml:space="preserve">such as </w:t>
      </w:r>
      <w:r w:rsidR="00FB2DB1" w:rsidRPr="00875B62">
        <w:rPr>
          <w:lang w:val="en-IN"/>
        </w:rPr>
        <w:t>consulting</w:t>
      </w:r>
      <w:r w:rsidRPr="00875B62">
        <w:rPr>
          <w:lang w:val="en-IN"/>
        </w:rPr>
        <w:t xml:space="preserve"> with the compliance department or drafting the necessary correspondence with the executor.</w:t>
      </w:r>
    </w:p>
    <w:p w14:paraId="36E49358" w14:textId="77777777" w:rsidR="008C0302" w:rsidRDefault="00875B62" w:rsidP="00875B62">
      <w:pPr>
        <w:rPr>
          <w:lang w:val="en-IN"/>
        </w:rPr>
      </w:pPr>
      <w:r w:rsidRPr="00875B62">
        <w:rPr>
          <w:lang w:val="en-IN"/>
        </w:rPr>
        <w:t>Best wishes,</w:t>
      </w:r>
    </w:p>
    <w:p w14:paraId="72290D56" w14:textId="77777777" w:rsidR="00131716" w:rsidRDefault="00875B62" w:rsidP="00875B62">
      <w:pPr>
        <w:rPr>
          <w:lang w:val="en-IN"/>
        </w:rPr>
      </w:pPr>
      <w:r w:rsidRPr="00875B62">
        <w:rPr>
          <w:lang w:val="en-IN"/>
        </w:rPr>
        <w:t>Trainee Solicitor</w:t>
      </w:r>
    </w:p>
    <w:p w14:paraId="617F7147" w14:textId="77777777" w:rsidR="008C0302" w:rsidRDefault="00875B62" w:rsidP="00875B62">
      <w:pPr>
        <w:rPr>
          <w:lang w:val="en-IN"/>
        </w:rPr>
      </w:pPr>
      <w:r w:rsidRPr="00875B62">
        <w:rPr>
          <w:lang w:val="en-IN"/>
        </w:rPr>
        <w:t>Blue Light Law LLP</w:t>
      </w:r>
    </w:p>
    <w:p w14:paraId="74F5469F" w14:textId="598514E5" w:rsidR="00875B62" w:rsidRPr="008C0302" w:rsidRDefault="00875B62" w:rsidP="00875B62">
      <w:pPr>
        <w:rPr>
          <w:lang w:val="en-IN"/>
        </w:rPr>
      </w:pPr>
      <w:r w:rsidRPr="00875B62">
        <w:rPr>
          <w:b/>
          <w:bCs/>
          <w:lang w:val="en-IN"/>
        </w:rPr>
        <w:br/>
      </w:r>
      <w:r w:rsidRPr="00875B62">
        <w:rPr>
          <w:b/>
          <w:bCs/>
          <w:lang w:val="en-IN"/>
        </w:rPr>
        <w:t> </w:t>
      </w:r>
    </w:p>
    <w:p w14:paraId="68B3E294" w14:textId="77777777" w:rsidR="008A56B5" w:rsidRDefault="008A56B5">
      <w:pPr>
        <w:spacing w:line="259" w:lineRule="auto"/>
        <w:jc w:val="left"/>
        <w:rPr>
          <w:b/>
          <w:bCs/>
          <w:lang w:val="en-IN"/>
        </w:rPr>
      </w:pPr>
      <w:r>
        <w:rPr>
          <w:b/>
          <w:bCs/>
          <w:lang w:val="en-IN"/>
        </w:rPr>
        <w:br w:type="page"/>
      </w:r>
    </w:p>
    <w:p w14:paraId="00A32E90" w14:textId="21197540" w:rsidR="00875B62" w:rsidRPr="00875B62" w:rsidRDefault="00875B62" w:rsidP="006E4625">
      <w:pPr>
        <w:pStyle w:val="Heading1"/>
        <w:rPr>
          <w:lang w:val="en-IN"/>
        </w:rPr>
      </w:pPr>
      <w:bookmarkStart w:id="1" w:name="_Toc191745035"/>
      <w:r w:rsidRPr="00875B62">
        <w:rPr>
          <w:lang w:val="en-IN"/>
        </w:rPr>
        <w:lastRenderedPageBreak/>
        <w:t>Task 2: News Article on Proposed Inheritance Tax Reforms</w:t>
      </w:r>
      <w:bookmarkEnd w:id="1"/>
    </w:p>
    <w:p w14:paraId="0F3DF3E7" w14:textId="77777777" w:rsidR="00875B62" w:rsidRPr="00875B62" w:rsidRDefault="00875B62" w:rsidP="00875B62">
      <w:pPr>
        <w:rPr>
          <w:b/>
          <w:bCs/>
          <w:lang w:val="en-IN"/>
        </w:rPr>
      </w:pPr>
      <w:r w:rsidRPr="00875B62">
        <w:rPr>
          <w:b/>
          <w:bCs/>
          <w:lang w:val="en-IN"/>
        </w:rPr>
        <w:t>Government Proposes Reforms to Inheritance Tax Reliefs</w:t>
      </w:r>
    </w:p>
    <w:p w14:paraId="4F9F22B2" w14:textId="049EF143" w:rsidR="00277CFF" w:rsidRPr="00277CFF" w:rsidRDefault="00277CFF" w:rsidP="007C1B76">
      <w:pPr>
        <w:rPr>
          <w:lang w:val="en-IN"/>
        </w:rPr>
      </w:pPr>
      <w:r w:rsidRPr="00277CFF">
        <w:rPr>
          <w:b/>
          <w:bCs/>
          <w:lang w:val="en-IN"/>
        </w:rPr>
        <w:t>Standfirst:</w:t>
      </w:r>
      <w:r w:rsidRPr="00277CFF">
        <w:rPr>
          <w:lang w:val="en-IN"/>
        </w:rPr>
        <w:br/>
      </w:r>
      <w:r w:rsidR="007C1B76" w:rsidRPr="007C1B76">
        <w:rPr>
          <w:lang w:val="en-IN"/>
        </w:rPr>
        <w:t>The Government has already made proposals to reform Inheritance Tax (IHT) legislation, focusing on Agricultural and Business Property Reliefs (ABPR) (Hammond and Collins, 2021). The reforms seek to make the tax system more streamlined and deal with fiscal pressures, which could influence estate planning for most families.</w:t>
      </w:r>
    </w:p>
    <w:p w14:paraId="2702D3EB" w14:textId="77777777" w:rsidR="00277CFF" w:rsidRPr="00277CFF" w:rsidRDefault="00277CFF" w:rsidP="00277CFF">
      <w:pPr>
        <w:keepNext/>
        <w:rPr>
          <w:b/>
          <w:bCs/>
          <w:lang w:val="en-IN"/>
        </w:rPr>
      </w:pPr>
      <w:r w:rsidRPr="00277CFF">
        <w:rPr>
          <w:b/>
          <w:bCs/>
          <w:lang w:val="en-IN"/>
        </w:rPr>
        <w:t>Proposed Reforms and Their Rationale</w:t>
      </w:r>
    </w:p>
    <w:p w14:paraId="111948F7" w14:textId="7E947105" w:rsidR="007C1B76" w:rsidRDefault="007C1B76" w:rsidP="007C1B76">
      <w:pPr>
        <w:rPr>
          <w:lang w:val="en-IN"/>
        </w:rPr>
      </w:pPr>
      <w:r w:rsidRPr="007C1B76">
        <w:rPr>
          <w:lang w:val="en-IN"/>
        </w:rPr>
        <w:t xml:space="preserve">Inheritance Tax currently enables estates to enjoy reliefs on qualifying agricultural and business properties, keeping </w:t>
      </w:r>
      <w:r w:rsidR="00335116" w:rsidRPr="007C1B76">
        <w:rPr>
          <w:lang w:val="en-IN"/>
        </w:rPr>
        <w:t>less</w:t>
      </w:r>
      <w:r w:rsidRPr="007C1B76">
        <w:rPr>
          <w:lang w:val="en-IN"/>
        </w:rPr>
        <w:t xml:space="preserve"> liable to tax and mitigating the burden of IHT on beneficiaries (Advani and Sturrock, 2023). Through the current framework, ABPR offers relief through the exclusion of part of such properties from estate value, typically eradicating or limiting IHT charges. </w:t>
      </w:r>
      <w:r w:rsidR="001011C2">
        <w:rPr>
          <w:lang w:val="en-IN"/>
        </w:rPr>
        <w:t>However,</w:t>
      </w:r>
      <w:r w:rsidRPr="007C1B76">
        <w:rPr>
          <w:lang w:val="en-IN"/>
        </w:rPr>
        <w:t xml:space="preserve"> the Government added that the reliefs at times are being employed as a means of tax evasion and not as designed to subsidi</w:t>
      </w:r>
      <w:r w:rsidR="00996CC5">
        <w:rPr>
          <w:lang w:val="en-IN"/>
        </w:rPr>
        <w:t>s</w:t>
      </w:r>
      <w:r w:rsidRPr="007C1B76">
        <w:rPr>
          <w:lang w:val="en-IN"/>
        </w:rPr>
        <w:t>e genuine farming and business activities.</w:t>
      </w:r>
    </w:p>
    <w:p w14:paraId="6CF84503" w14:textId="4676B596" w:rsidR="007C1B76" w:rsidRDefault="007C1B76" w:rsidP="007C1B76">
      <w:pPr>
        <w:rPr>
          <w:lang w:val="en-IN"/>
        </w:rPr>
      </w:pPr>
      <w:r w:rsidRPr="007C1B76">
        <w:rPr>
          <w:lang w:val="en-IN"/>
        </w:rPr>
        <w:t>The suggested reforms are intended to make the tests of eligibility more straightforward and bring into balance the thresholds for ABPR. In addition, among other aims, the intention is to make sure that such reliefs accrue to individuals who are actively farming or operating a business and not passive investors or individuals who use such holdings for the sole purpose of tax planning. This might involve imposing stricter conditions on what constitutes an 'active' business asset and on the disallowance of leased agricultural land or inherited business interests. The percentage relief that can be obtained or overall maximums on qualifying assets might be altered</w:t>
      </w:r>
      <w:r w:rsidR="001011C2">
        <w:rPr>
          <w:lang w:val="en-IN"/>
        </w:rPr>
        <w:t>,</w:t>
      </w:r>
      <w:r w:rsidRPr="007C1B76">
        <w:rPr>
          <w:lang w:val="en-IN"/>
        </w:rPr>
        <w:t xml:space="preserve"> too.</w:t>
      </w:r>
    </w:p>
    <w:p w14:paraId="44DEC40E" w14:textId="225689FC" w:rsidR="00277CFF" w:rsidRPr="00277CFF" w:rsidRDefault="00277CFF" w:rsidP="00277CFF">
      <w:pPr>
        <w:keepNext/>
        <w:rPr>
          <w:b/>
          <w:bCs/>
          <w:lang w:val="en-IN"/>
        </w:rPr>
      </w:pPr>
      <w:r w:rsidRPr="00277CFF">
        <w:rPr>
          <w:b/>
          <w:bCs/>
          <w:lang w:val="en-IN"/>
        </w:rPr>
        <w:t>Potential Impacts on Estates and Business Owners</w:t>
      </w:r>
    </w:p>
    <w:p w14:paraId="03E92E78" w14:textId="523CD1F7" w:rsidR="007C1B76" w:rsidRDefault="007C1B76" w:rsidP="007C1B76">
      <w:pPr>
        <w:rPr>
          <w:lang w:val="en-IN"/>
        </w:rPr>
      </w:pPr>
      <w:r w:rsidRPr="007C1B76">
        <w:rPr>
          <w:lang w:val="en-IN"/>
        </w:rPr>
        <w:t xml:space="preserve">If adopted, these reforms can result in higher tax charges for estates that already enjoy more </w:t>
      </w:r>
      <w:r w:rsidR="000955E1" w:rsidRPr="007C1B76">
        <w:rPr>
          <w:lang w:val="en-IN"/>
        </w:rPr>
        <w:t>favourable</w:t>
      </w:r>
      <w:r w:rsidRPr="007C1B76">
        <w:rPr>
          <w:lang w:val="en-IN"/>
        </w:rPr>
        <w:t xml:space="preserve"> relief provisions. Numerous individuals and businesses that have constructed their estates within current IHT regimes can now face higher charges or the necessity to reorgani</w:t>
      </w:r>
      <w:r w:rsidR="00996CC5">
        <w:rPr>
          <w:lang w:val="en-IN"/>
        </w:rPr>
        <w:t>s</w:t>
      </w:r>
      <w:r w:rsidRPr="007C1B76">
        <w:rPr>
          <w:lang w:val="en-IN"/>
        </w:rPr>
        <w:t xml:space="preserve">e assets to remain </w:t>
      </w:r>
      <w:r w:rsidR="00C1277A" w:rsidRPr="007C1B76">
        <w:rPr>
          <w:lang w:val="en-IN"/>
        </w:rPr>
        <w:t>tax efficient</w:t>
      </w:r>
      <w:r w:rsidRPr="007C1B76">
        <w:rPr>
          <w:lang w:val="en-IN"/>
        </w:rPr>
        <w:t>.</w:t>
      </w:r>
    </w:p>
    <w:p w14:paraId="71D7F678" w14:textId="77777777" w:rsidR="007C1B76" w:rsidRDefault="007C1B76" w:rsidP="007C1B76">
      <w:pPr>
        <w:rPr>
          <w:lang w:val="en-IN"/>
        </w:rPr>
      </w:pPr>
      <w:r w:rsidRPr="007C1B76">
        <w:rPr>
          <w:lang w:val="en-IN"/>
        </w:rPr>
        <w:t xml:space="preserve">For land used for agriculture farm owners of tenanted land, such limitations on the land might be especially challenging since most farming estates are founded on tenancy for financial sustainability (Rajnović and Kovačević, 2018). Owners with already laid-out succession </w:t>
      </w:r>
      <w:r w:rsidRPr="007C1B76">
        <w:rPr>
          <w:lang w:val="en-IN"/>
        </w:rPr>
        <w:lastRenderedPageBreak/>
        <w:t>strategies based on the prevailing system of relief might well be required to revise their strategies as well. In this regard, tax professionals are advising the involved parties to reconsider their estate planning in a bid to mitigate possible monetary exposure.</w:t>
      </w:r>
    </w:p>
    <w:p w14:paraId="7AEAAAE4" w14:textId="0C033369" w:rsidR="00277CFF" w:rsidRPr="00277CFF" w:rsidRDefault="00277CFF" w:rsidP="00277CFF">
      <w:pPr>
        <w:keepNext/>
        <w:rPr>
          <w:b/>
          <w:bCs/>
          <w:lang w:val="en-IN"/>
        </w:rPr>
      </w:pPr>
      <w:r w:rsidRPr="00277CFF">
        <w:rPr>
          <w:b/>
          <w:bCs/>
          <w:lang w:val="en-IN"/>
        </w:rPr>
        <w:t>Conclusion: Importance of Staying Informed</w:t>
      </w:r>
    </w:p>
    <w:p w14:paraId="027B8DC3" w14:textId="77777777" w:rsidR="00327B9B" w:rsidRDefault="007C1B76" w:rsidP="007C1B76">
      <w:pPr>
        <w:rPr>
          <w:lang w:val="en-IN"/>
        </w:rPr>
      </w:pPr>
      <w:r w:rsidRPr="007C1B76">
        <w:rPr>
          <w:lang w:val="en-IN"/>
        </w:rPr>
        <w:t>Although these reforms are not yet agreed, they mark a change in the Government's policy on inheritance tax reliefs. Business owners and families with valuable business or farming assets need to remain vigilant for policy development and take advice to implement their estate plan accordingly.</w:t>
      </w:r>
    </w:p>
    <w:p w14:paraId="426BE95C" w14:textId="7A35F16B" w:rsidR="0084596B" w:rsidRDefault="00875B62" w:rsidP="00327B9B">
      <w:pPr>
        <w:jc w:val="center"/>
      </w:pPr>
      <w:r w:rsidRPr="00875B62">
        <w:rPr>
          <w:lang w:val="en-IN"/>
        </w:rPr>
        <w:br/>
      </w:r>
      <w:r w:rsidR="0084596B">
        <w:rPr>
          <w:noProof/>
        </w:rPr>
        <w:drawing>
          <wp:inline distT="0" distB="0" distL="0" distR="0" wp14:anchorId="2230FB05" wp14:editId="42F61836">
            <wp:extent cx="3262630" cy="3262630"/>
            <wp:effectExtent l="0" t="0" r="0" b="0"/>
            <wp:docPr id="934846096" name="Picture 1" descr="inheritance tax on the rise inf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heritance tax on the rise info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2630" cy="3262630"/>
                    </a:xfrm>
                    <a:prstGeom prst="rect">
                      <a:avLst/>
                    </a:prstGeom>
                    <a:noFill/>
                    <a:ln>
                      <a:noFill/>
                    </a:ln>
                  </pic:spPr>
                </pic:pic>
              </a:graphicData>
            </a:graphic>
          </wp:inline>
        </w:drawing>
      </w:r>
    </w:p>
    <w:p w14:paraId="73DE2628" w14:textId="77777777" w:rsidR="0084596B" w:rsidRDefault="0084596B" w:rsidP="0084596B">
      <w:pPr>
        <w:pStyle w:val="Caption"/>
        <w:jc w:val="center"/>
        <w:rPr>
          <w:color w:val="0D0D0D" w:themeColor="text1" w:themeTint="F2"/>
          <w:sz w:val="20"/>
          <w:szCs w:val="20"/>
          <w:lang w:val="en-IN"/>
        </w:rPr>
      </w:pPr>
      <w:r w:rsidRPr="0084596B">
        <w:rPr>
          <w:color w:val="0D0D0D" w:themeColor="text1" w:themeTint="F2"/>
          <w:sz w:val="20"/>
          <w:szCs w:val="20"/>
        </w:rPr>
        <w:t xml:space="preserve">Figure </w:t>
      </w:r>
      <w:r w:rsidRPr="0084596B">
        <w:rPr>
          <w:color w:val="0D0D0D" w:themeColor="text1" w:themeTint="F2"/>
          <w:sz w:val="20"/>
          <w:szCs w:val="20"/>
        </w:rPr>
        <w:fldChar w:fldCharType="begin"/>
      </w:r>
      <w:r w:rsidRPr="0084596B">
        <w:rPr>
          <w:color w:val="0D0D0D" w:themeColor="text1" w:themeTint="F2"/>
          <w:sz w:val="20"/>
          <w:szCs w:val="20"/>
        </w:rPr>
        <w:instrText xml:space="preserve"> SEQ Figure \* ARABIC </w:instrText>
      </w:r>
      <w:r w:rsidRPr="0084596B">
        <w:rPr>
          <w:color w:val="0D0D0D" w:themeColor="text1" w:themeTint="F2"/>
          <w:sz w:val="20"/>
          <w:szCs w:val="20"/>
        </w:rPr>
        <w:fldChar w:fldCharType="separate"/>
      </w:r>
      <w:r w:rsidRPr="0084596B">
        <w:rPr>
          <w:noProof/>
          <w:color w:val="0D0D0D" w:themeColor="text1" w:themeTint="F2"/>
          <w:sz w:val="20"/>
          <w:szCs w:val="20"/>
        </w:rPr>
        <w:t>1</w:t>
      </w:r>
      <w:r w:rsidRPr="0084596B">
        <w:rPr>
          <w:color w:val="0D0D0D" w:themeColor="text1" w:themeTint="F2"/>
          <w:sz w:val="20"/>
          <w:szCs w:val="20"/>
        </w:rPr>
        <w:fldChar w:fldCharType="end"/>
      </w:r>
      <w:r w:rsidRPr="0084596B">
        <w:rPr>
          <w:color w:val="0D0D0D" w:themeColor="text1" w:themeTint="F2"/>
          <w:sz w:val="20"/>
          <w:szCs w:val="20"/>
          <w:lang w:val="en-IN"/>
        </w:rPr>
        <w:t xml:space="preserve">: Inheritance tax Planning </w:t>
      </w:r>
    </w:p>
    <w:p w14:paraId="4A2EFEDE" w14:textId="51783C81" w:rsidR="0084596B" w:rsidRPr="004A1E2D" w:rsidRDefault="0084596B" w:rsidP="004A1E2D">
      <w:pPr>
        <w:pStyle w:val="Caption"/>
        <w:jc w:val="center"/>
        <w:rPr>
          <w:color w:val="0D0D0D" w:themeColor="text1" w:themeTint="F2"/>
          <w:sz w:val="20"/>
          <w:szCs w:val="20"/>
          <w:lang w:val="en-IN"/>
        </w:rPr>
      </w:pPr>
      <w:r w:rsidRPr="0084596B">
        <w:rPr>
          <w:color w:val="0D0D0D" w:themeColor="text1" w:themeTint="F2"/>
          <w:sz w:val="20"/>
          <w:szCs w:val="20"/>
          <w:lang w:val="en-IN"/>
        </w:rPr>
        <w:t>Source: (https://www.riaabarkergillette.com/uk/inheritance-tax/, 2024)</w:t>
      </w:r>
    </w:p>
    <w:p w14:paraId="1F243602" w14:textId="77777777" w:rsidR="00875B62" w:rsidRPr="00875B62" w:rsidRDefault="00875B62" w:rsidP="00875B62">
      <w:pPr>
        <w:rPr>
          <w:lang w:val="en-IN"/>
        </w:rPr>
      </w:pPr>
      <w:r w:rsidRPr="00875B62">
        <w:rPr>
          <w:b/>
          <w:bCs/>
          <w:lang w:val="en-IN"/>
        </w:rPr>
        <w:t>Keywords and Definitions:</w:t>
      </w:r>
    </w:p>
    <w:p w14:paraId="4B38B282" w14:textId="77777777" w:rsidR="00875B62" w:rsidRPr="00875B62" w:rsidRDefault="00875B62" w:rsidP="0077400C">
      <w:pPr>
        <w:rPr>
          <w:lang w:val="en-IN"/>
        </w:rPr>
      </w:pPr>
      <w:r w:rsidRPr="00875B62">
        <w:rPr>
          <w:b/>
          <w:bCs/>
          <w:lang w:val="en-IN"/>
        </w:rPr>
        <w:t>Inheritance Tax (IHT):</w:t>
      </w:r>
      <w:r w:rsidRPr="00875B62">
        <w:rPr>
          <w:lang w:val="en-IN"/>
        </w:rPr>
        <w:t xml:space="preserve"> A tax levied on the estate of a deceased person before distribution to beneficiaries.</w:t>
      </w:r>
    </w:p>
    <w:p w14:paraId="15F8603A" w14:textId="7BA0B3A6" w:rsidR="00875B62" w:rsidRPr="00875B62" w:rsidRDefault="00875B62" w:rsidP="00875B62">
      <w:pPr>
        <w:rPr>
          <w:lang w:val="en-IN"/>
        </w:rPr>
      </w:pPr>
      <w:r w:rsidRPr="00875B62">
        <w:rPr>
          <w:b/>
          <w:bCs/>
          <w:lang w:val="en-IN"/>
        </w:rPr>
        <w:t>Relief:</w:t>
      </w:r>
      <w:r w:rsidRPr="00875B62">
        <w:rPr>
          <w:lang w:val="en-IN"/>
        </w:rPr>
        <w:t xml:space="preserve"> A reduction in the amount of tax payable, often provided under specific conditions.</w:t>
      </w:r>
    </w:p>
    <w:p w14:paraId="6B839E7F" w14:textId="77777777" w:rsidR="00FE1BF8" w:rsidRDefault="00FE1BF8" w:rsidP="00875B62">
      <w:pPr>
        <w:rPr>
          <w:b/>
          <w:bCs/>
          <w:sz w:val="32"/>
          <w:szCs w:val="28"/>
          <w:lang w:val="en-IN"/>
        </w:rPr>
      </w:pPr>
    </w:p>
    <w:p w14:paraId="2A009F42" w14:textId="77777777" w:rsidR="00FE1BF8" w:rsidRDefault="00FE1BF8" w:rsidP="00875B62">
      <w:pPr>
        <w:rPr>
          <w:b/>
          <w:bCs/>
          <w:sz w:val="32"/>
          <w:szCs w:val="28"/>
          <w:lang w:val="en-IN"/>
        </w:rPr>
      </w:pPr>
    </w:p>
    <w:p w14:paraId="74904EA9" w14:textId="1F250D80" w:rsidR="00875B62" w:rsidRPr="006E4625" w:rsidRDefault="00875B62" w:rsidP="00875B62">
      <w:pPr>
        <w:rPr>
          <w:b/>
          <w:bCs/>
          <w:sz w:val="32"/>
          <w:szCs w:val="28"/>
          <w:lang w:val="en-IN"/>
        </w:rPr>
      </w:pPr>
      <w:r w:rsidRPr="006E4625">
        <w:rPr>
          <w:b/>
          <w:bCs/>
          <w:sz w:val="32"/>
          <w:szCs w:val="28"/>
          <w:lang w:val="en-IN"/>
        </w:rPr>
        <w:lastRenderedPageBreak/>
        <w:t>Research Trail</w:t>
      </w:r>
    </w:p>
    <w:p w14:paraId="2423D821" w14:textId="77777777" w:rsidR="00327B9B" w:rsidRDefault="00327B9B" w:rsidP="00327B9B">
      <w:pPr>
        <w:rPr>
          <w:lang w:val="en-IN"/>
        </w:rPr>
      </w:pPr>
      <w:r w:rsidRPr="00327B9B">
        <w:rPr>
          <w:lang w:val="en-IN"/>
        </w:rPr>
        <w:t>In preparation for this article, I initially read the research briefing from Masala, Seely, and Keep (2024) on the website of the House of Commons Library. The briefing provided the initial information on the Government's suggested reforms to Inheritance Tax (IHT) and specifically Agricultural and Business Property Reliefs (ABPR). It explained the rationale for the reforms, how they could impact estate planning, and the broader fiscal context.</w:t>
      </w:r>
    </w:p>
    <w:p w14:paraId="6AFC62BB" w14:textId="56C9A12E" w:rsidR="00327B9B" w:rsidRDefault="00327B9B" w:rsidP="00327B9B">
      <w:pPr>
        <w:rPr>
          <w:lang w:val="en-IN"/>
        </w:rPr>
      </w:pPr>
      <w:r w:rsidRPr="00327B9B">
        <w:rPr>
          <w:lang w:val="en-IN"/>
        </w:rPr>
        <w:t>Aside from this, I also conducted academic research, utili</w:t>
      </w:r>
      <w:r w:rsidR="00996CC5">
        <w:rPr>
          <w:lang w:val="en-IN"/>
        </w:rPr>
        <w:t>s</w:t>
      </w:r>
      <w:r w:rsidRPr="00327B9B">
        <w:rPr>
          <w:lang w:val="en-IN"/>
        </w:rPr>
        <w:t xml:space="preserve">ing terms such as "Inheritance Tax reform," "Agricultural and Business Property Relief changes," and "IHT policy review" in academic search databases such as Westlaw and </w:t>
      </w:r>
      <w:r w:rsidR="000955E1" w:rsidRPr="00327B9B">
        <w:rPr>
          <w:lang w:val="en-IN"/>
        </w:rPr>
        <w:t>Hein Online</w:t>
      </w:r>
      <w:r w:rsidRPr="00327B9B">
        <w:rPr>
          <w:lang w:val="en-IN"/>
        </w:rPr>
        <w:t xml:space="preserve">. Through these searches, I was able to pinpoint academic articles and juristic commentaries that </w:t>
      </w:r>
      <w:r w:rsidR="001011C2">
        <w:rPr>
          <w:lang w:val="en-IN"/>
        </w:rPr>
        <w:t xml:space="preserve">were </w:t>
      </w:r>
      <w:r w:rsidRPr="00327B9B">
        <w:rPr>
          <w:lang w:val="en-IN"/>
        </w:rPr>
        <w:t xml:space="preserve">authored regarding </w:t>
      </w:r>
      <w:r w:rsidR="001011C2">
        <w:rPr>
          <w:lang w:val="en-IN"/>
        </w:rPr>
        <w:t xml:space="preserve">the </w:t>
      </w:r>
      <w:r w:rsidRPr="00327B9B">
        <w:rPr>
          <w:lang w:val="en-IN"/>
        </w:rPr>
        <w:t xml:space="preserve">historical context to IHT reliefs and expert views regarding the proposed changes. I focused on sources having balanced arguments </w:t>
      </w:r>
      <w:r w:rsidR="001011C2">
        <w:rPr>
          <w:lang w:val="en-IN"/>
        </w:rPr>
        <w:t>concerning</w:t>
      </w:r>
      <w:r w:rsidRPr="00327B9B">
        <w:rPr>
          <w:lang w:val="en-IN"/>
        </w:rPr>
        <w:t xml:space="preserve"> both the policy and fiscal aspects to ensure that the article required technical knowledge and demystified it for common readers.</w:t>
      </w:r>
    </w:p>
    <w:p w14:paraId="5DD31DD8" w14:textId="72DD7B52" w:rsidR="00327B9B" w:rsidRDefault="00327B9B" w:rsidP="00327B9B">
      <w:pPr>
        <w:rPr>
          <w:lang w:val="en-IN"/>
        </w:rPr>
      </w:pPr>
      <w:r w:rsidRPr="00327B9B">
        <w:rPr>
          <w:lang w:val="en-IN"/>
        </w:rPr>
        <w:t xml:space="preserve">Specifically, I saw commentaries talking of fresh tests of entitlement, </w:t>
      </w:r>
      <w:r w:rsidR="00335116" w:rsidRPr="00327B9B">
        <w:rPr>
          <w:lang w:val="en-IN"/>
        </w:rPr>
        <w:t>readjustment</w:t>
      </w:r>
      <w:r w:rsidRPr="00327B9B">
        <w:rPr>
          <w:lang w:val="en-IN"/>
        </w:rPr>
        <w:t xml:space="preserve"> of relief limits, and </w:t>
      </w:r>
      <w:r w:rsidR="00B72A70" w:rsidRPr="00327B9B">
        <w:rPr>
          <w:lang w:val="en-IN"/>
        </w:rPr>
        <w:t>effects</w:t>
      </w:r>
      <w:r w:rsidRPr="00327B9B">
        <w:rPr>
          <w:lang w:val="en-IN"/>
        </w:rPr>
        <w:t xml:space="preserve"> on already </w:t>
      </w:r>
      <w:r w:rsidR="00C1277A" w:rsidRPr="00327B9B">
        <w:rPr>
          <w:lang w:val="en-IN"/>
        </w:rPr>
        <w:t>favoured</w:t>
      </w:r>
      <w:r w:rsidRPr="00327B9B">
        <w:rPr>
          <w:lang w:val="en-IN"/>
        </w:rPr>
        <w:t xml:space="preserve"> families by more </w:t>
      </w:r>
      <w:r w:rsidR="000955E1" w:rsidRPr="00327B9B">
        <w:rPr>
          <w:lang w:val="en-IN"/>
        </w:rPr>
        <w:t>favourable</w:t>
      </w:r>
      <w:r w:rsidRPr="00327B9B">
        <w:rPr>
          <w:lang w:val="en-IN"/>
        </w:rPr>
        <w:t xml:space="preserve"> provisions. Sources also brought out concerns on the issues in question as to how the changes would impose increased tax burdens on some companies and households and hence necessitate early planning.</w:t>
      </w:r>
    </w:p>
    <w:p w14:paraId="29F063B1" w14:textId="79F3C241" w:rsidR="00327B9B" w:rsidRDefault="00327B9B" w:rsidP="00327B9B">
      <w:pPr>
        <w:rPr>
          <w:lang w:val="en-IN"/>
        </w:rPr>
      </w:pPr>
      <w:r w:rsidRPr="00327B9B">
        <w:rPr>
          <w:lang w:val="en-IN"/>
        </w:rPr>
        <w:t xml:space="preserve">Although my study was able to ascertain major themes, I admit that further close reading of government consultation papers and business replies can still potentially yield more recent data. </w:t>
      </w:r>
      <w:r w:rsidR="001011C2">
        <w:rPr>
          <w:lang w:val="en-IN"/>
        </w:rPr>
        <w:t>A close</w:t>
      </w:r>
      <w:r w:rsidRPr="00327B9B">
        <w:rPr>
          <w:lang w:val="en-IN"/>
        </w:rPr>
        <w:t xml:space="preserve"> reading of published papers by HM Treasury or replies by farming and business organi</w:t>
      </w:r>
      <w:r w:rsidR="00996CC5">
        <w:rPr>
          <w:lang w:val="en-IN"/>
        </w:rPr>
        <w:t>s</w:t>
      </w:r>
      <w:r w:rsidRPr="00327B9B">
        <w:rPr>
          <w:lang w:val="en-IN"/>
        </w:rPr>
        <w:t>ations could also refine knowledge regarding how these changes are to be implemented and interpreted (Winch and Cha, 2020). Additional research in this vein would shed continued illumination on the changing policy environment and its implications for impacted groups.</w:t>
      </w:r>
    </w:p>
    <w:p w14:paraId="1F311D95" w14:textId="00647BDC" w:rsidR="00875B62" w:rsidRPr="00875B62" w:rsidRDefault="00875B62" w:rsidP="00875B62">
      <w:pPr>
        <w:rPr>
          <w:b/>
          <w:bCs/>
          <w:lang w:val="en-IN"/>
        </w:rPr>
      </w:pPr>
      <w:r w:rsidRPr="00875B62">
        <w:rPr>
          <w:b/>
          <w:bCs/>
          <w:lang w:val="en-IN"/>
        </w:rPr>
        <w:br/>
      </w:r>
      <w:r w:rsidRPr="00875B62">
        <w:rPr>
          <w:b/>
          <w:bCs/>
          <w:lang w:val="en-IN"/>
        </w:rPr>
        <w:t> </w:t>
      </w:r>
    </w:p>
    <w:p w14:paraId="4C11FC91" w14:textId="77777777" w:rsidR="008A56B5" w:rsidRDefault="008A56B5">
      <w:pPr>
        <w:spacing w:line="259" w:lineRule="auto"/>
        <w:jc w:val="left"/>
        <w:rPr>
          <w:b/>
          <w:bCs/>
          <w:lang w:val="en-IN"/>
        </w:rPr>
      </w:pPr>
      <w:r>
        <w:rPr>
          <w:b/>
          <w:bCs/>
          <w:lang w:val="en-IN"/>
        </w:rPr>
        <w:br w:type="page"/>
      </w:r>
    </w:p>
    <w:p w14:paraId="3A4895B3" w14:textId="580828CC" w:rsidR="00875B62" w:rsidRPr="00875B62" w:rsidRDefault="00875B62" w:rsidP="00334717">
      <w:pPr>
        <w:pStyle w:val="Heading1"/>
        <w:rPr>
          <w:lang w:val="en-IN"/>
        </w:rPr>
      </w:pPr>
      <w:bookmarkStart w:id="2" w:name="_Toc191745036"/>
      <w:r w:rsidRPr="00875B62">
        <w:rPr>
          <w:lang w:val="en-IN"/>
        </w:rPr>
        <w:lastRenderedPageBreak/>
        <w:t>Task 3: Reflection Report on Professional Development</w:t>
      </w:r>
      <w:bookmarkEnd w:id="2"/>
    </w:p>
    <w:p w14:paraId="0DA3D331" w14:textId="77777777" w:rsidR="00875B62" w:rsidRPr="00875B62" w:rsidRDefault="00875B62" w:rsidP="00875B62">
      <w:pPr>
        <w:rPr>
          <w:b/>
          <w:bCs/>
          <w:lang w:val="en-IN"/>
        </w:rPr>
      </w:pPr>
      <w:r w:rsidRPr="00875B62">
        <w:rPr>
          <w:b/>
          <w:bCs/>
          <w:lang w:val="en-IN"/>
        </w:rPr>
        <w:t>Part 1: Conference Learning and Action Plan</w:t>
      </w:r>
    </w:p>
    <w:p w14:paraId="70DDD289" w14:textId="2E2AF488" w:rsidR="00327B9B" w:rsidRDefault="00327B9B" w:rsidP="00E57C16">
      <w:pPr>
        <w:rPr>
          <w:lang w:val="en-IN"/>
        </w:rPr>
      </w:pPr>
      <w:r w:rsidRPr="00327B9B">
        <w:rPr>
          <w:lang w:val="en-IN"/>
        </w:rPr>
        <w:t xml:space="preserve">Seeing the Careers Conference on 10 March 2025 was an eye-opening experience that </w:t>
      </w:r>
      <w:r w:rsidR="00335116" w:rsidRPr="00327B9B">
        <w:rPr>
          <w:lang w:val="en-IN"/>
        </w:rPr>
        <w:t>broadened</w:t>
      </w:r>
      <w:r w:rsidRPr="00327B9B">
        <w:rPr>
          <w:lang w:val="en-IN"/>
        </w:rPr>
        <w:t xml:space="preserve"> my knowledge about </w:t>
      </w:r>
      <w:r w:rsidR="001011C2">
        <w:rPr>
          <w:lang w:val="en-IN"/>
        </w:rPr>
        <w:t xml:space="preserve">the </w:t>
      </w:r>
      <w:r w:rsidRPr="00327B9B">
        <w:rPr>
          <w:lang w:val="en-IN"/>
        </w:rPr>
        <w:t xml:space="preserve">skills and tactics necessary to secure graduate employment in the legal profession. The conference involved highly informative sessions on personal branding, networking, and the future role of technology in law practice. One of the most useful sessions was a panel presentation by seasoned legal practitioners focusing on the necessity of ongoing professional development and adaptability </w:t>
      </w:r>
      <w:r w:rsidR="00335116" w:rsidRPr="00327B9B">
        <w:rPr>
          <w:lang w:val="en-IN"/>
        </w:rPr>
        <w:t>considering</w:t>
      </w:r>
      <w:r w:rsidRPr="00327B9B">
        <w:rPr>
          <w:lang w:val="en-IN"/>
        </w:rPr>
        <w:t xml:space="preserve"> a progressively competitive labour market.</w:t>
      </w:r>
    </w:p>
    <w:p w14:paraId="759A9E8B" w14:textId="548AB308" w:rsidR="00327B9B" w:rsidRDefault="00327B9B" w:rsidP="00327B9B">
      <w:pPr>
        <w:rPr>
          <w:lang w:val="en-IN"/>
        </w:rPr>
      </w:pPr>
      <w:r w:rsidRPr="00327B9B">
        <w:rPr>
          <w:lang w:val="en-IN"/>
        </w:rPr>
        <w:t>One of the greatest learning points from the conference was that there is a necessity to span individual competence and employers' strategic requirements. The networking discussions emphasi</w:t>
      </w:r>
      <w:r w:rsidR="00996CC5">
        <w:rPr>
          <w:lang w:val="en-IN"/>
        </w:rPr>
        <w:t>s</w:t>
      </w:r>
      <w:r w:rsidRPr="00327B9B">
        <w:rPr>
          <w:lang w:val="en-IN"/>
        </w:rPr>
        <w:t xml:space="preserve">ed the importance of communication and relationship building, especially in a career that observes professional relationships influencing career development. Additionally, the technology innovation workshop </w:t>
      </w:r>
      <w:r w:rsidR="00C1277A" w:rsidRPr="00327B9B">
        <w:rPr>
          <w:lang w:val="en-IN"/>
        </w:rPr>
        <w:t>cantered</w:t>
      </w:r>
      <w:r w:rsidRPr="00327B9B">
        <w:rPr>
          <w:lang w:val="en-IN"/>
        </w:rPr>
        <w:t xml:space="preserve"> on the increasing demand for digital competencies in law practice because business entities use artificial intelligence, case management tools, and legal research tools more efficiently in their operations (O'Leary, 2020). These observations have led me to think about my professional life and adopt effective measures to increase my employability.</w:t>
      </w:r>
    </w:p>
    <w:p w14:paraId="3063F051" w14:textId="47B493E5" w:rsidR="00E57C16" w:rsidRPr="00E57C16" w:rsidRDefault="00E57C16" w:rsidP="00E57C16">
      <w:pPr>
        <w:rPr>
          <w:b/>
          <w:bCs/>
          <w:lang w:val="en-IN"/>
        </w:rPr>
      </w:pPr>
      <w:r w:rsidRPr="00E57C16">
        <w:rPr>
          <w:b/>
          <w:bCs/>
          <w:lang w:val="en-IN"/>
        </w:rPr>
        <w:t>SMART Objectives for Career Development</w:t>
      </w:r>
    </w:p>
    <w:p w14:paraId="134FD0E9" w14:textId="77777777" w:rsidR="00327B9B" w:rsidRPr="00327B9B" w:rsidRDefault="00327B9B" w:rsidP="00327B9B">
      <w:pPr>
        <w:numPr>
          <w:ilvl w:val="0"/>
          <w:numId w:val="7"/>
        </w:numPr>
        <w:rPr>
          <w:lang w:val="en-IN"/>
        </w:rPr>
      </w:pPr>
      <w:r w:rsidRPr="00327B9B">
        <w:rPr>
          <w:lang w:val="en-IN"/>
        </w:rPr>
        <w:t>Based on my major takeaways from the conference, I have established two SMART (Specific, Measurable, Achievable, Relevant, and Time-bound) objectives to direct my professional growth:</w:t>
      </w:r>
    </w:p>
    <w:p w14:paraId="6AA89531" w14:textId="6D5E64F7" w:rsidR="00327B9B" w:rsidRDefault="00327B9B" w:rsidP="00327B9B">
      <w:pPr>
        <w:rPr>
          <w:lang w:val="en-IN"/>
        </w:rPr>
      </w:pPr>
      <w:r>
        <w:rPr>
          <w:lang w:val="en-IN"/>
        </w:rPr>
        <w:t>Objective</w:t>
      </w:r>
      <w:r w:rsidRPr="00327B9B">
        <w:rPr>
          <w:lang w:val="en-IN"/>
        </w:rPr>
        <w:t xml:space="preserve"> 1: Within the next three months, i.e., at the end of the academic semester, I will possess a certificate of completion of an online legal technology course </w:t>
      </w:r>
      <w:r w:rsidR="001011C2">
        <w:rPr>
          <w:lang w:val="en-IN"/>
        </w:rPr>
        <w:t>to</w:t>
      </w:r>
      <w:r w:rsidRPr="00327B9B">
        <w:rPr>
          <w:lang w:val="en-IN"/>
        </w:rPr>
        <w:t xml:space="preserve"> enhance my digital literacy. It will be attested to by the completion of a certificate of completion so that I have a working familiarity with the latest legal tech tools and how they are </w:t>
      </w:r>
      <w:r w:rsidR="00FB2DB1" w:rsidRPr="00327B9B">
        <w:rPr>
          <w:lang w:val="en-IN"/>
        </w:rPr>
        <w:t>used</w:t>
      </w:r>
      <w:r w:rsidRPr="00327B9B">
        <w:rPr>
          <w:lang w:val="en-IN"/>
        </w:rPr>
        <w:t xml:space="preserve"> in contemporary legal practice.</w:t>
      </w:r>
    </w:p>
    <w:p w14:paraId="1B74C072" w14:textId="363D767A" w:rsidR="00327B9B" w:rsidRDefault="00327B9B" w:rsidP="00327B9B">
      <w:pPr>
        <w:rPr>
          <w:lang w:val="en-IN"/>
        </w:rPr>
      </w:pPr>
      <w:r w:rsidRPr="00327B9B">
        <w:rPr>
          <w:lang w:val="en-IN"/>
        </w:rPr>
        <w:t>Objective 2: Within the next six months, I will visit at least two professional networking sessions and make connections with a minimum of five legal professionals. I will monitor my progress on LinkedIn contacts and follow-ups with people whom I meet in these networking sessions, thus building my professional network and acquiring helpful industry feedback.</w:t>
      </w:r>
    </w:p>
    <w:p w14:paraId="69B1AA3F" w14:textId="030477BE" w:rsidR="00B016A6" w:rsidRDefault="00B016A6" w:rsidP="00B016A6">
      <w:pPr>
        <w:rPr>
          <w:lang w:val="en-IN"/>
        </w:rPr>
      </w:pPr>
      <w:r w:rsidRPr="00B016A6">
        <w:rPr>
          <w:lang w:val="en-IN"/>
        </w:rPr>
        <w:lastRenderedPageBreak/>
        <w:t xml:space="preserve">These goals are to be practical and useful and to specifically target the most pressing concerns raised at the conference. By developing my technology level of expertise and networking professionally, I will become more competitive in the graduate job market. By being </w:t>
      </w:r>
      <w:r w:rsidR="00FB2DB1" w:rsidRPr="00B016A6">
        <w:rPr>
          <w:lang w:val="en-IN"/>
        </w:rPr>
        <w:t>initiative-taking</w:t>
      </w:r>
      <w:r w:rsidRPr="00B016A6">
        <w:rPr>
          <w:lang w:val="en-IN"/>
        </w:rPr>
        <w:t xml:space="preserve"> in this way, not only will I be more employable, but I will also be flexible and able to adapt to the changing needs of the legal profession.</w:t>
      </w:r>
    </w:p>
    <w:p w14:paraId="5692981A" w14:textId="1B8573A1" w:rsidR="00875B62" w:rsidRPr="00875B62" w:rsidRDefault="00875B62" w:rsidP="00875B62">
      <w:pPr>
        <w:rPr>
          <w:b/>
          <w:bCs/>
          <w:lang w:val="en-IN"/>
        </w:rPr>
      </w:pPr>
      <w:r w:rsidRPr="00875B62">
        <w:rPr>
          <w:b/>
          <w:bCs/>
          <w:lang w:val="en-IN"/>
        </w:rPr>
        <w:t>Part 2: Skills Development – Problem Solving and Collaboration</w:t>
      </w:r>
    </w:p>
    <w:p w14:paraId="3AA2709D" w14:textId="13A8D4F0" w:rsidR="00B016A6" w:rsidRDefault="00B016A6" w:rsidP="00B016A6">
      <w:pPr>
        <w:rPr>
          <w:lang w:val="en-IN"/>
        </w:rPr>
      </w:pPr>
      <w:r w:rsidRPr="00B016A6">
        <w:rPr>
          <w:lang w:val="en-IN"/>
        </w:rPr>
        <w:t xml:space="preserve">I have acquired my </w:t>
      </w:r>
      <w:r w:rsidR="00FB2DB1" w:rsidRPr="00B016A6">
        <w:rPr>
          <w:lang w:val="en-IN"/>
        </w:rPr>
        <w:t>critical thinking skills</w:t>
      </w:r>
      <w:r w:rsidRPr="00B016A6">
        <w:rPr>
          <w:lang w:val="en-IN"/>
        </w:rPr>
        <w:t xml:space="preserve"> during my law degree through resolving tough legal issues using case analysis and moot court competitions. For example, in one of the recent group exercises, I was part of the group breaking down a tricky contractual issue, reading case law and writing an in-depth legal brief. Not only did this exercise sharpen my analytical mind</w:t>
      </w:r>
      <w:r w:rsidR="001011C2">
        <w:rPr>
          <w:lang w:val="en-IN"/>
        </w:rPr>
        <w:t>,</w:t>
      </w:r>
      <w:r w:rsidRPr="00B016A6">
        <w:rPr>
          <w:lang w:val="en-IN"/>
        </w:rPr>
        <w:t xml:space="preserve"> but </w:t>
      </w:r>
      <w:r w:rsidR="001011C2">
        <w:rPr>
          <w:lang w:val="en-IN"/>
        </w:rPr>
        <w:t xml:space="preserve">it </w:t>
      </w:r>
      <w:r w:rsidRPr="00B016A6">
        <w:rPr>
          <w:lang w:val="en-IN"/>
        </w:rPr>
        <w:t>also made me reali</w:t>
      </w:r>
      <w:r w:rsidR="00996CC5">
        <w:rPr>
          <w:lang w:val="en-IN"/>
        </w:rPr>
        <w:t>s</w:t>
      </w:r>
      <w:r w:rsidRPr="00B016A6">
        <w:rPr>
          <w:lang w:val="en-IN"/>
        </w:rPr>
        <w:t>e how essential critical thinking within time limits is.</w:t>
      </w:r>
    </w:p>
    <w:p w14:paraId="362FB767" w14:textId="58EE39FF" w:rsidR="00B016A6" w:rsidRDefault="00B016A6" w:rsidP="00B016A6">
      <w:pPr>
        <w:rPr>
          <w:lang w:val="en-IN"/>
        </w:rPr>
      </w:pPr>
      <w:r w:rsidRPr="00B016A6">
        <w:rPr>
          <w:lang w:val="en-IN"/>
        </w:rPr>
        <w:t xml:space="preserve">Similarly, teamwork has been at the </w:t>
      </w:r>
      <w:r w:rsidR="00C1277A" w:rsidRPr="00B016A6">
        <w:rPr>
          <w:lang w:val="en-IN"/>
        </w:rPr>
        <w:t>centre</w:t>
      </w:r>
      <w:r w:rsidRPr="00B016A6">
        <w:rPr>
          <w:lang w:val="en-IN"/>
        </w:rPr>
        <w:t xml:space="preserve"> of my studies and extracurricular learning. Working on group projects with peers has taught me to listen to ideas from a group of diverse individuals, resolve conflict, and integrate conflicting inputs into effective plans (Er, Dimitriadis, and Gašević, 2021). These experiences have taught me how to enhance teamwork within groups—a skill crucial in any working environment.</w:t>
      </w:r>
    </w:p>
    <w:p w14:paraId="33EE4B1D" w14:textId="0052E0A8" w:rsidR="00B016A6" w:rsidRDefault="00B016A6" w:rsidP="00B016A6">
      <w:pPr>
        <w:rPr>
          <w:lang w:val="en-IN"/>
        </w:rPr>
      </w:pPr>
      <w:r w:rsidRPr="00B016A6">
        <w:rPr>
          <w:lang w:val="en-IN"/>
        </w:rPr>
        <w:t xml:space="preserve">Both are skills directly relevant to graduate professions and have </w:t>
      </w:r>
      <w:r w:rsidR="00335116" w:rsidRPr="00B016A6">
        <w:rPr>
          <w:lang w:val="en-IN"/>
        </w:rPr>
        <w:t>influenced</w:t>
      </w:r>
      <w:r w:rsidRPr="00B016A6">
        <w:rPr>
          <w:lang w:val="en-IN"/>
        </w:rPr>
        <w:t xml:space="preserve"> the development of my </w:t>
      </w:r>
      <w:r w:rsidR="00FB2DB1">
        <w:rPr>
          <w:lang w:val="en-IN"/>
        </w:rPr>
        <w:t>purposeful</w:t>
      </w:r>
      <w:r w:rsidRPr="00B016A6">
        <w:rPr>
          <w:lang w:val="en-IN"/>
        </w:rPr>
        <w:t xml:space="preserve"> and </w:t>
      </w:r>
      <w:r w:rsidR="00FB2DB1" w:rsidRPr="00B016A6">
        <w:rPr>
          <w:lang w:val="en-IN"/>
        </w:rPr>
        <w:t>initiative-taking</w:t>
      </w:r>
      <w:r w:rsidRPr="00B016A6">
        <w:rPr>
          <w:lang w:val="en-IN"/>
        </w:rPr>
        <w:t xml:space="preserve"> mindset. With continuous improvement in these skills, I am confident that I can pay back to subsequent legal careers.</w:t>
      </w:r>
    </w:p>
    <w:p w14:paraId="4806DD52" w14:textId="4E412326" w:rsidR="0077400C" w:rsidRDefault="0077400C">
      <w:pPr>
        <w:spacing w:line="259" w:lineRule="auto"/>
        <w:jc w:val="left"/>
        <w:rPr>
          <w:lang w:val="en-IN"/>
        </w:rPr>
      </w:pPr>
      <w:r>
        <w:rPr>
          <w:lang w:val="en-IN"/>
        </w:rPr>
        <w:br w:type="page"/>
      </w:r>
    </w:p>
    <w:p w14:paraId="638FB4DF" w14:textId="6E51EEC0" w:rsidR="00875B62" w:rsidRDefault="0077400C" w:rsidP="0077400C">
      <w:pPr>
        <w:pStyle w:val="Heading1"/>
        <w:rPr>
          <w:lang w:val="en-IN"/>
        </w:rPr>
      </w:pPr>
      <w:bookmarkStart w:id="3" w:name="_Toc191745037"/>
      <w:r>
        <w:rPr>
          <w:lang w:val="en-IN"/>
        </w:rPr>
        <w:lastRenderedPageBreak/>
        <w:t>References</w:t>
      </w:r>
      <w:bookmarkEnd w:id="3"/>
    </w:p>
    <w:p w14:paraId="2948D522" w14:textId="77777777" w:rsidR="00C31848" w:rsidRDefault="00C31848" w:rsidP="00C31848">
      <w:pPr>
        <w:rPr>
          <w:lang w:val="en-IN"/>
        </w:rPr>
      </w:pPr>
      <w:r w:rsidRPr="001C34B2">
        <w:rPr>
          <w:lang w:val="en-IN"/>
        </w:rPr>
        <w:t xml:space="preserve">Advani, A. and Sturrock, D., </w:t>
      </w:r>
      <w:r>
        <w:rPr>
          <w:lang w:val="en-IN"/>
        </w:rPr>
        <w:t>(</w:t>
      </w:r>
      <w:r w:rsidRPr="001C34B2">
        <w:rPr>
          <w:lang w:val="en-IN"/>
        </w:rPr>
        <w:t>2023</w:t>
      </w:r>
      <w:r>
        <w:rPr>
          <w:lang w:val="en-IN"/>
        </w:rPr>
        <w:t>)</w:t>
      </w:r>
      <w:r w:rsidRPr="001C34B2">
        <w:rPr>
          <w:lang w:val="en-IN"/>
        </w:rPr>
        <w:t xml:space="preserve">. </w:t>
      </w:r>
      <w:r w:rsidRPr="001C34B2">
        <w:rPr>
          <w:i/>
          <w:iCs/>
          <w:lang w:val="en-IN"/>
        </w:rPr>
        <w:t>Reforming inheritance tax</w:t>
      </w:r>
      <w:r w:rsidRPr="001C34B2">
        <w:rPr>
          <w:lang w:val="en-IN"/>
        </w:rPr>
        <w:t xml:space="preserve"> (No. R275). IFS Report.</w:t>
      </w:r>
    </w:p>
    <w:p w14:paraId="6A254C38" w14:textId="77777777" w:rsidR="00C31848" w:rsidRDefault="00C31848" w:rsidP="00C31848">
      <w:pPr>
        <w:rPr>
          <w:lang w:val="en-IN"/>
        </w:rPr>
      </w:pPr>
      <w:r w:rsidRPr="006B2C12">
        <w:rPr>
          <w:lang w:val="en-IN"/>
        </w:rPr>
        <w:t xml:space="preserve">Benson, K. and Bociga, D., </w:t>
      </w:r>
      <w:r>
        <w:rPr>
          <w:lang w:val="en-IN"/>
        </w:rPr>
        <w:t>(</w:t>
      </w:r>
      <w:r w:rsidRPr="006B2C12">
        <w:rPr>
          <w:lang w:val="en-IN"/>
        </w:rPr>
        <w:t>2024</w:t>
      </w:r>
      <w:r>
        <w:rPr>
          <w:lang w:val="en-IN"/>
        </w:rPr>
        <w:t>)</w:t>
      </w:r>
      <w:r w:rsidRPr="006B2C12">
        <w:rPr>
          <w:lang w:val="en-IN"/>
        </w:rPr>
        <w:t xml:space="preserve">. Occupation, Organisation, Opportunity, and Oversight: Law Firm Client Accounts and (Anti-) Money Laundering. </w:t>
      </w:r>
      <w:r w:rsidRPr="006B2C12">
        <w:rPr>
          <w:i/>
          <w:iCs/>
          <w:lang w:val="en-IN"/>
        </w:rPr>
        <w:t>European Journal on Criminal Policy and Research</w:t>
      </w:r>
      <w:r w:rsidRPr="006B2C12">
        <w:rPr>
          <w:lang w:val="en-IN"/>
        </w:rPr>
        <w:t xml:space="preserve">, </w:t>
      </w:r>
      <w:r w:rsidRPr="006B2C12">
        <w:rPr>
          <w:i/>
          <w:iCs/>
          <w:lang w:val="en-IN"/>
        </w:rPr>
        <w:t>30</w:t>
      </w:r>
      <w:r w:rsidRPr="006B2C12">
        <w:rPr>
          <w:lang w:val="en-IN"/>
        </w:rPr>
        <w:t>(3), pp.449-473.</w:t>
      </w:r>
    </w:p>
    <w:p w14:paraId="33E9FC80" w14:textId="77777777" w:rsidR="00C31848" w:rsidRPr="00DE53C0" w:rsidRDefault="00C31848" w:rsidP="00C31848">
      <w:pPr>
        <w:rPr>
          <w:lang w:val="en-IN"/>
        </w:rPr>
      </w:pPr>
      <w:r w:rsidRPr="00DE53C0">
        <w:rPr>
          <w:lang w:val="en-IN"/>
        </w:rPr>
        <w:t xml:space="preserve">Er, E., Dimitriadis, Y. and Gašević, D., </w:t>
      </w:r>
      <w:r>
        <w:rPr>
          <w:lang w:val="en-IN"/>
        </w:rPr>
        <w:t>(</w:t>
      </w:r>
      <w:r w:rsidRPr="00DE53C0">
        <w:rPr>
          <w:lang w:val="en-IN"/>
        </w:rPr>
        <w:t>2021</w:t>
      </w:r>
      <w:r>
        <w:rPr>
          <w:lang w:val="en-IN"/>
        </w:rPr>
        <w:t>)</w:t>
      </w:r>
      <w:r w:rsidRPr="00DE53C0">
        <w:rPr>
          <w:lang w:val="en-IN"/>
        </w:rPr>
        <w:t xml:space="preserve">. </w:t>
      </w:r>
      <w:r w:rsidRPr="00D1796E">
        <w:rPr>
          <w:i/>
          <w:iCs/>
          <w:lang w:val="en-IN"/>
        </w:rPr>
        <w:t>A collaborative learning approach to dialogic peer feedback: a theoretical framework. Assessment &amp; Evaluation in Higher Education</w:t>
      </w:r>
      <w:r w:rsidRPr="00DE53C0">
        <w:rPr>
          <w:lang w:val="en-IN"/>
        </w:rPr>
        <w:t xml:space="preserve">, </w:t>
      </w:r>
      <w:r w:rsidRPr="00DE53C0">
        <w:rPr>
          <w:i/>
          <w:iCs/>
          <w:lang w:val="en-IN"/>
        </w:rPr>
        <w:t>46</w:t>
      </w:r>
      <w:r w:rsidRPr="00DE53C0">
        <w:rPr>
          <w:lang w:val="en-IN"/>
        </w:rPr>
        <w:t>(4), pp.586-600.</w:t>
      </w:r>
    </w:p>
    <w:p w14:paraId="32889384" w14:textId="77777777" w:rsidR="00C31848" w:rsidRDefault="00C31848" w:rsidP="00C31848">
      <w:pPr>
        <w:rPr>
          <w:lang w:val="en-IN"/>
        </w:rPr>
      </w:pPr>
      <w:r w:rsidRPr="00696392">
        <w:rPr>
          <w:lang w:val="en-IN"/>
        </w:rPr>
        <w:t xml:space="preserve">Hammond, A. and Collins, S., </w:t>
      </w:r>
      <w:r>
        <w:rPr>
          <w:lang w:val="en-IN"/>
        </w:rPr>
        <w:t>(</w:t>
      </w:r>
      <w:r w:rsidRPr="00696392">
        <w:rPr>
          <w:lang w:val="en-IN"/>
        </w:rPr>
        <w:t>2021</w:t>
      </w:r>
      <w:r>
        <w:rPr>
          <w:lang w:val="en-IN"/>
        </w:rPr>
        <w:t>)</w:t>
      </w:r>
      <w:r w:rsidRPr="00696392">
        <w:rPr>
          <w:lang w:val="en-IN"/>
        </w:rPr>
        <w:t xml:space="preserve">. Twenty Taxes the UK Should Scrap. </w:t>
      </w:r>
      <w:r w:rsidRPr="00696392">
        <w:rPr>
          <w:i/>
          <w:iCs/>
          <w:lang w:val="en-IN"/>
        </w:rPr>
        <w:t>Institute of Economic Affairs Briefing</w:t>
      </w:r>
      <w:r w:rsidRPr="00696392">
        <w:rPr>
          <w:lang w:val="en-IN"/>
        </w:rPr>
        <w:t>.</w:t>
      </w:r>
    </w:p>
    <w:p w14:paraId="3C9000B3" w14:textId="77777777" w:rsidR="00C31848" w:rsidRDefault="00C31848" w:rsidP="00C31848">
      <w:pPr>
        <w:rPr>
          <w:lang w:val="en-IN"/>
        </w:rPr>
      </w:pPr>
      <w:r w:rsidRPr="0051717B">
        <w:rPr>
          <w:lang w:val="en-IN"/>
        </w:rPr>
        <w:t xml:space="preserve">O'Leary, D.L., </w:t>
      </w:r>
      <w:r>
        <w:rPr>
          <w:lang w:val="en-IN"/>
        </w:rPr>
        <w:t>(</w:t>
      </w:r>
      <w:r w:rsidRPr="0051717B">
        <w:rPr>
          <w:lang w:val="en-IN"/>
        </w:rPr>
        <w:t>2020</w:t>
      </w:r>
      <w:r>
        <w:rPr>
          <w:lang w:val="en-IN"/>
        </w:rPr>
        <w:t>)</w:t>
      </w:r>
      <w:r w:rsidRPr="0051717B">
        <w:rPr>
          <w:lang w:val="en-IN"/>
        </w:rPr>
        <w:t xml:space="preserve">. </w:t>
      </w:r>
      <w:r w:rsidRPr="00A97E2C">
        <w:rPr>
          <w:i/>
          <w:iCs/>
          <w:lang w:val="en-IN"/>
        </w:rPr>
        <w:t>" Smart" Lawyering: Integrating Technology Competence into the Legal Practice Curriculum. UNHL</w:t>
      </w:r>
      <w:r w:rsidRPr="0051717B">
        <w:rPr>
          <w:i/>
          <w:iCs/>
          <w:lang w:val="en-IN"/>
        </w:rPr>
        <w:t xml:space="preserve"> Rev.</w:t>
      </w:r>
      <w:r w:rsidRPr="0051717B">
        <w:rPr>
          <w:lang w:val="en-IN"/>
        </w:rPr>
        <w:t xml:space="preserve">, </w:t>
      </w:r>
      <w:r w:rsidRPr="0051717B">
        <w:rPr>
          <w:i/>
          <w:iCs/>
          <w:lang w:val="en-IN"/>
        </w:rPr>
        <w:t>19</w:t>
      </w:r>
      <w:r w:rsidRPr="0051717B">
        <w:rPr>
          <w:lang w:val="en-IN"/>
        </w:rPr>
        <w:t>, p.197.</w:t>
      </w:r>
    </w:p>
    <w:p w14:paraId="7B77B362" w14:textId="77777777" w:rsidR="00C31848" w:rsidRDefault="00C31848" w:rsidP="00C31848">
      <w:pPr>
        <w:rPr>
          <w:lang w:val="en-IN"/>
        </w:rPr>
      </w:pPr>
      <w:r w:rsidRPr="00F36E6E">
        <w:rPr>
          <w:lang w:val="en-IN"/>
        </w:rPr>
        <w:t xml:space="preserve">Rajnović, L. and Kovačević, V., </w:t>
      </w:r>
      <w:r>
        <w:rPr>
          <w:lang w:val="en-IN"/>
        </w:rPr>
        <w:t>(</w:t>
      </w:r>
      <w:r w:rsidRPr="00F36E6E">
        <w:rPr>
          <w:lang w:val="en-IN"/>
        </w:rPr>
        <w:t>2018</w:t>
      </w:r>
      <w:r>
        <w:rPr>
          <w:lang w:val="en-IN"/>
        </w:rPr>
        <w:t>)</w:t>
      </w:r>
      <w:r w:rsidRPr="00F36E6E">
        <w:rPr>
          <w:lang w:val="en-IN"/>
        </w:rPr>
        <w:t xml:space="preserve">. </w:t>
      </w:r>
      <w:r w:rsidRPr="00A97E2C">
        <w:rPr>
          <w:i/>
          <w:iCs/>
          <w:lang w:val="en-IN"/>
        </w:rPr>
        <w:t>Lease of Agricultural Land in State Ownership-Possible Economic Effects</w:t>
      </w:r>
      <w:r w:rsidRPr="00F36E6E">
        <w:rPr>
          <w:lang w:val="en-IN"/>
        </w:rPr>
        <w:t>.</w:t>
      </w:r>
    </w:p>
    <w:p w14:paraId="3A29A712" w14:textId="77777777" w:rsidR="00C31848" w:rsidRDefault="00C31848" w:rsidP="00C31848">
      <w:pPr>
        <w:rPr>
          <w:lang w:val="en-IN"/>
        </w:rPr>
      </w:pPr>
      <w:r w:rsidRPr="00696392">
        <w:rPr>
          <w:lang w:val="en-IN"/>
        </w:rPr>
        <w:t xml:space="preserve">Rosenbloom, D.H., </w:t>
      </w:r>
      <w:r>
        <w:rPr>
          <w:lang w:val="en-IN"/>
        </w:rPr>
        <w:t>(</w:t>
      </w:r>
      <w:r w:rsidRPr="00696392">
        <w:rPr>
          <w:lang w:val="en-IN"/>
        </w:rPr>
        <w:t>2022</w:t>
      </w:r>
      <w:r>
        <w:rPr>
          <w:lang w:val="en-IN"/>
        </w:rPr>
        <w:t>)</w:t>
      </w:r>
      <w:r w:rsidRPr="00696392">
        <w:rPr>
          <w:lang w:val="en-IN"/>
        </w:rPr>
        <w:t xml:space="preserve">. </w:t>
      </w:r>
      <w:r w:rsidRPr="00696392">
        <w:rPr>
          <w:i/>
          <w:iCs/>
          <w:lang w:val="en-IN"/>
        </w:rPr>
        <w:t>Administrative law for public managers</w:t>
      </w:r>
      <w:r w:rsidRPr="00696392">
        <w:rPr>
          <w:lang w:val="en-IN"/>
        </w:rPr>
        <w:t>. Routledge.</w:t>
      </w:r>
    </w:p>
    <w:p w14:paraId="6AFB29BD" w14:textId="45DE472E" w:rsidR="00C31848" w:rsidRPr="00010A34" w:rsidRDefault="00C31848" w:rsidP="00C31848">
      <w:pPr>
        <w:rPr>
          <w:lang w:val="en-IN"/>
        </w:rPr>
      </w:pPr>
      <w:r w:rsidRPr="00010A34">
        <w:rPr>
          <w:lang w:val="en-IN"/>
        </w:rPr>
        <w:t>SRA Code of Conduct (2024)</w:t>
      </w:r>
      <w:r>
        <w:rPr>
          <w:lang w:val="en-IN"/>
        </w:rPr>
        <w:t>.</w:t>
      </w:r>
      <w:r w:rsidRPr="00010A34">
        <w:rPr>
          <w:lang w:val="en-IN"/>
        </w:rPr>
        <w:t xml:space="preserve"> </w:t>
      </w:r>
      <w:r w:rsidRPr="00010A34">
        <w:rPr>
          <w:i/>
          <w:iCs/>
          <w:lang w:val="en-IN"/>
        </w:rPr>
        <w:t>Sra code of conduct for solicitors, rels and rfls</w:t>
      </w:r>
      <w:r w:rsidRPr="00010A34">
        <w:rPr>
          <w:lang w:val="en-IN"/>
        </w:rPr>
        <w:t xml:space="preserve">, </w:t>
      </w:r>
      <w:r w:rsidRPr="00010A34">
        <w:rPr>
          <w:i/>
          <w:iCs/>
          <w:lang w:val="en-IN"/>
        </w:rPr>
        <w:t>Solicitors Regulation Authority</w:t>
      </w:r>
      <w:r w:rsidRPr="00010A34">
        <w:rPr>
          <w:lang w:val="en-IN"/>
        </w:rPr>
        <w:t xml:space="preserve">. Available at: https://www.sra.org.uk/solicitors/standards-regulations/code-conduct-solicitors/ </w:t>
      </w:r>
      <w:r w:rsidR="00734FEF">
        <w:rPr>
          <w:lang w:val="en-IN"/>
        </w:rPr>
        <w:t>[</w:t>
      </w:r>
      <w:r w:rsidRPr="00010A34">
        <w:rPr>
          <w:lang w:val="en-IN"/>
        </w:rPr>
        <w:t>Accessed: 0</w:t>
      </w:r>
      <w:r w:rsidR="00734FEF">
        <w:rPr>
          <w:lang w:val="en-IN"/>
        </w:rPr>
        <w:t>4</w:t>
      </w:r>
      <w:r w:rsidRPr="00010A34">
        <w:rPr>
          <w:lang w:val="en-IN"/>
        </w:rPr>
        <w:t xml:space="preserve"> March 2025</w:t>
      </w:r>
      <w:r w:rsidR="00734FEF">
        <w:rPr>
          <w:lang w:val="en-IN"/>
        </w:rPr>
        <w:t>]</w:t>
      </w:r>
      <w:r w:rsidRPr="00010A34">
        <w:rPr>
          <w:lang w:val="en-IN"/>
        </w:rPr>
        <w:t xml:space="preserve">. </w:t>
      </w:r>
    </w:p>
    <w:p w14:paraId="407D2D73" w14:textId="77777777" w:rsidR="00C31848" w:rsidRDefault="00C31848" w:rsidP="00C31848">
      <w:pPr>
        <w:rPr>
          <w:lang w:val="en-IN"/>
        </w:rPr>
      </w:pPr>
      <w:r w:rsidRPr="00525E1E">
        <w:rPr>
          <w:lang w:val="en-IN"/>
        </w:rPr>
        <w:t xml:space="preserve">Stilinović, M., </w:t>
      </w:r>
      <w:r>
        <w:rPr>
          <w:lang w:val="en-IN"/>
        </w:rPr>
        <w:t>(</w:t>
      </w:r>
      <w:r w:rsidRPr="00525E1E">
        <w:rPr>
          <w:lang w:val="en-IN"/>
        </w:rPr>
        <w:t>2021</w:t>
      </w:r>
      <w:r>
        <w:rPr>
          <w:lang w:val="en-IN"/>
        </w:rPr>
        <w:t>)</w:t>
      </w:r>
      <w:r w:rsidRPr="00525E1E">
        <w:rPr>
          <w:lang w:val="en-IN"/>
        </w:rPr>
        <w:t xml:space="preserve">. Testamentary Dispositions in the Context of Global Pandemic. </w:t>
      </w:r>
      <w:r w:rsidRPr="00525E1E">
        <w:rPr>
          <w:i/>
          <w:iCs/>
          <w:lang w:val="en-IN"/>
        </w:rPr>
        <w:t>EU and comparative law issues and challenges series (ECLIC)</w:t>
      </w:r>
      <w:r w:rsidRPr="00525E1E">
        <w:rPr>
          <w:lang w:val="en-IN"/>
        </w:rPr>
        <w:t xml:space="preserve">, </w:t>
      </w:r>
      <w:r w:rsidRPr="00525E1E">
        <w:rPr>
          <w:i/>
          <w:iCs/>
          <w:lang w:val="en-IN"/>
        </w:rPr>
        <w:t>5</w:t>
      </w:r>
      <w:r w:rsidRPr="00525E1E">
        <w:rPr>
          <w:lang w:val="en-IN"/>
        </w:rPr>
        <w:t>, pp.501-525.</w:t>
      </w:r>
    </w:p>
    <w:p w14:paraId="1D455CF0" w14:textId="77777777" w:rsidR="00C31848" w:rsidRDefault="00C31848" w:rsidP="00C31848">
      <w:pPr>
        <w:rPr>
          <w:lang w:val="en-IN"/>
        </w:rPr>
      </w:pPr>
      <w:r w:rsidRPr="00F83407">
        <w:rPr>
          <w:lang w:val="en-IN"/>
        </w:rPr>
        <w:t xml:space="preserve">Winch, G.M. and Cha, J., </w:t>
      </w:r>
      <w:r>
        <w:rPr>
          <w:lang w:val="en-IN"/>
        </w:rPr>
        <w:t>(</w:t>
      </w:r>
      <w:r w:rsidRPr="00F83407">
        <w:rPr>
          <w:lang w:val="en-IN"/>
        </w:rPr>
        <w:t>2020</w:t>
      </w:r>
      <w:r>
        <w:rPr>
          <w:lang w:val="en-IN"/>
        </w:rPr>
        <w:t>)</w:t>
      </w:r>
      <w:r w:rsidRPr="00F83407">
        <w:rPr>
          <w:lang w:val="en-IN"/>
        </w:rPr>
        <w:t xml:space="preserve">. Owner challenges on major projects: The case of UK government. </w:t>
      </w:r>
      <w:r w:rsidRPr="00F83407">
        <w:rPr>
          <w:i/>
          <w:iCs/>
          <w:lang w:val="en-IN"/>
        </w:rPr>
        <w:t>International journal of project management</w:t>
      </w:r>
      <w:r w:rsidRPr="00F83407">
        <w:rPr>
          <w:lang w:val="en-IN"/>
        </w:rPr>
        <w:t xml:space="preserve">, </w:t>
      </w:r>
      <w:r w:rsidRPr="00F83407">
        <w:rPr>
          <w:i/>
          <w:iCs/>
          <w:lang w:val="en-IN"/>
        </w:rPr>
        <w:t>38</w:t>
      </w:r>
      <w:r w:rsidRPr="00F83407">
        <w:rPr>
          <w:lang w:val="en-IN"/>
        </w:rPr>
        <w:t>(3), pp.177-187.</w:t>
      </w:r>
    </w:p>
    <w:p w14:paraId="4058CAEE" w14:textId="77777777" w:rsidR="00F83407" w:rsidRPr="00F36E6E" w:rsidRDefault="00F83407" w:rsidP="00F36E6E">
      <w:pPr>
        <w:rPr>
          <w:lang w:val="en-IN"/>
        </w:rPr>
      </w:pPr>
    </w:p>
    <w:sectPr w:rsidR="00F83407" w:rsidRPr="00F36E6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A309F" w14:textId="77777777" w:rsidR="00CA3600" w:rsidRDefault="00CA3600" w:rsidP="00E41B4D">
      <w:pPr>
        <w:spacing w:after="0" w:line="240" w:lineRule="auto"/>
      </w:pPr>
      <w:r>
        <w:separator/>
      </w:r>
    </w:p>
  </w:endnote>
  <w:endnote w:type="continuationSeparator" w:id="0">
    <w:p w14:paraId="4FD11CC5" w14:textId="77777777" w:rsidR="00CA3600" w:rsidRDefault="00CA3600" w:rsidP="00E41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8990241"/>
      <w:docPartObj>
        <w:docPartGallery w:val="Page Numbers (Bottom of Page)"/>
        <w:docPartUnique/>
      </w:docPartObj>
    </w:sdtPr>
    <w:sdtEndPr>
      <w:rPr>
        <w:noProof/>
      </w:rPr>
    </w:sdtEndPr>
    <w:sdtContent>
      <w:p w14:paraId="3CA415F1" w14:textId="2D8E72DC" w:rsidR="00E41B4D" w:rsidRDefault="00E41B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17533" w14:textId="77777777" w:rsidR="00E41B4D" w:rsidRDefault="00E41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381E4" w14:textId="77777777" w:rsidR="00CA3600" w:rsidRDefault="00CA3600" w:rsidP="00E41B4D">
      <w:pPr>
        <w:spacing w:after="0" w:line="240" w:lineRule="auto"/>
      </w:pPr>
      <w:r>
        <w:separator/>
      </w:r>
    </w:p>
  </w:footnote>
  <w:footnote w:type="continuationSeparator" w:id="0">
    <w:p w14:paraId="1355619B" w14:textId="77777777" w:rsidR="00CA3600" w:rsidRDefault="00CA3600" w:rsidP="00E41B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065BB"/>
    <w:multiLevelType w:val="multilevel"/>
    <w:tmpl w:val="E9EC8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F0114"/>
    <w:multiLevelType w:val="multilevel"/>
    <w:tmpl w:val="7F5E9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C1AE9"/>
    <w:multiLevelType w:val="multilevel"/>
    <w:tmpl w:val="7F5E96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FC30C0"/>
    <w:multiLevelType w:val="multilevel"/>
    <w:tmpl w:val="E87C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44CBD"/>
    <w:multiLevelType w:val="multilevel"/>
    <w:tmpl w:val="7F5E96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AD60EF"/>
    <w:multiLevelType w:val="multilevel"/>
    <w:tmpl w:val="FEB2AAD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3A4712"/>
    <w:multiLevelType w:val="multilevel"/>
    <w:tmpl w:val="5EDA6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0300507">
    <w:abstractNumId w:val="4"/>
  </w:num>
  <w:num w:numId="2" w16cid:durableId="1472208530">
    <w:abstractNumId w:val="5"/>
  </w:num>
  <w:num w:numId="3" w16cid:durableId="1760441291">
    <w:abstractNumId w:val="6"/>
  </w:num>
  <w:num w:numId="4" w16cid:durableId="1314792373">
    <w:abstractNumId w:val="3"/>
  </w:num>
  <w:num w:numId="5" w16cid:durableId="2037658900">
    <w:abstractNumId w:val="0"/>
  </w:num>
  <w:num w:numId="6" w16cid:durableId="1138886092">
    <w:abstractNumId w:val="2"/>
  </w:num>
  <w:num w:numId="7" w16cid:durableId="787982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D2"/>
    <w:rsid w:val="00010A34"/>
    <w:rsid w:val="000955E1"/>
    <w:rsid w:val="00096057"/>
    <w:rsid w:val="001011C2"/>
    <w:rsid w:val="001177AD"/>
    <w:rsid w:val="00131716"/>
    <w:rsid w:val="00141F3A"/>
    <w:rsid w:val="00194D4F"/>
    <w:rsid w:val="001A6B8A"/>
    <w:rsid w:val="001C25F5"/>
    <w:rsid w:val="001C34B2"/>
    <w:rsid w:val="001D3E71"/>
    <w:rsid w:val="001E2E71"/>
    <w:rsid w:val="001E6A72"/>
    <w:rsid w:val="002069DD"/>
    <w:rsid w:val="00213874"/>
    <w:rsid w:val="00251E69"/>
    <w:rsid w:val="0027066D"/>
    <w:rsid w:val="00277CFF"/>
    <w:rsid w:val="0028682E"/>
    <w:rsid w:val="00291B1B"/>
    <w:rsid w:val="002D3574"/>
    <w:rsid w:val="00316D2F"/>
    <w:rsid w:val="00327B9B"/>
    <w:rsid w:val="00334717"/>
    <w:rsid w:val="00335116"/>
    <w:rsid w:val="00364E88"/>
    <w:rsid w:val="003A22C5"/>
    <w:rsid w:val="0047037E"/>
    <w:rsid w:val="004A1E2D"/>
    <w:rsid w:val="004D4252"/>
    <w:rsid w:val="004F46C0"/>
    <w:rsid w:val="0051717B"/>
    <w:rsid w:val="00525E1E"/>
    <w:rsid w:val="00532579"/>
    <w:rsid w:val="0056428C"/>
    <w:rsid w:val="00696392"/>
    <w:rsid w:val="00697BCE"/>
    <w:rsid w:val="006B2C12"/>
    <w:rsid w:val="006D7DFA"/>
    <w:rsid w:val="006E4625"/>
    <w:rsid w:val="006F13C9"/>
    <w:rsid w:val="00734FEF"/>
    <w:rsid w:val="0077400C"/>
    <w:rsid w:val="007C1B76"/>
    <w:rsid w:val="007C698F"/>
    <w:rsid w:val="007D0C56"/>
    <w:rsid w:val="0084596B"/>
    <w:rsid w:val="008517A9"/>
    <w:rsid w:val="00875B62"/>
    <w:rsid w:val="008A56B5"/>
    <w:rsid w:val="008C0302"/>
    <w:rsid w:val="00935828"/>
    <w:rsid w:val="00996CC5"/>
    <w:rsid w:val="009A3355"/>
    <w:rsid w:val="009C13B2"/>
    <w:rsid w:val="009D481F"/>
    <w:rsid w:val="009D59E7"/>
    <w:rsid w:val="00A12137"/>
    <w:rsid w:val="00A600D2"/>
    <w:rsid w:val="00A97E2C"/>
    <w:rsid w:val="00B016A6"/>
    <w:rsid w:val="00B72A70"/>
    <w:rsid w:val="00B955B0"/>
    <w:rsid w:val="00C1277A"/>
    <w:rsid w:val="00C128C9"/>
    <w:rsid w:val="00C31848"/>
    <w:rsid w:val="00C72C7E"/>
    <w:rsid w:val="00CA3600"/>
    <w:rsid w:val="00CA4463"/>
    <w:rsid w:val="00D01DB6"/>
    <w:rsid w:val="00D1796E"/>
    <w:rsid w:val="00D605D0"/>
    <w:rsid w:val="00D900D0"/>
    <w:rsid w:val="00DB2357"/>
    <w:rsid w:val="00DC5537"/>
    <w:rsid w:val="00DE53C0"/>
    <w:rsid w:val="00E41B4D"/>
    <w:rsid w:val="00E57C16"/>
    <w:rsid w:val="00E84714"/>
    <w:rsid w:val="00EA5816"/>
    <w:rsid w:val="00ED555D"/>
    <w:rsid w:val="00F36E6E"/>
    <w:rsid w:val="00F66ADA"/>
    <w:rsid w:val="00F83407"/>
    <w:rsid w:val="00FB2DB1"/>
    <w:rsid w:val="00FE1BF8"/>
    <w:rsid w:val="00FF37B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A60823"/>
  <w15:chartTrackingRefBased/>
  <w15:docId w15:val="{0A34BFD0-4F37-49CF-B333-7C1149A76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CF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F13C9"/>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semiHidden/>
    <w:unhideWhenUsed/>
    <w:qFormat/>
    <w:rsid w:val="002D357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096057"/>
    <w:pPr>
      <w:keepNext/>
      <w:keepLines/>
      <w:spacing w:before="40" w:after="0" w:line="480" w:lineRule="auto"/>
      <w:outlineLvl w:val="2"/>
    </w:pPr>
    <w:rPr>
      <w:rFonts w:eastAsiaTheme="majorEastAsia" w:cstheme="majorBidi"/>
      <w:b/>
      <w:sz w:val="28"/>
      <w:szCs w:val="24"/>
    </w:rPr>
  </w:style>
  <w:style w:type="paragraph" w:styleId="Heading4">
    <w:name w:val="heading 4"/>
    <w:basedOn w:val="Normal"/>
    <w:next w:val="Normal"/>
    <w:link w:val="Heading4Char"/>
    <w:uiPriority w:val="9"/>
    <w:semiHidden/>
    <w:unhideWhenUsed/>
    <w:qFormat/>
    <w:rsid w:val="00A600D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600D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600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00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00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00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3C9"/>
    <w:rPr>
      <w:rFonts w:ascii="Times New Roman" w:eastAsiaTheme="majorEastAsia" w:hAnsi="Times New Roman" w:cstheme="majorBidi"/>
      <w:b/>
      <w:sz w:val="36"/>
      <w:szCs w:val="32"/>
    </w:rPr>
  </w:style>
  <w:style w:type="paragraph" w:styleId="Title">
    <w:name w:val="Title"/>
    <w:basedOn w:val="Heading3"/>
    <w:next w:val="Normal"/>
    <w:link w:val="TitleChar"/>
    <w:autoRedefine/>
    <w:uiPriority w:val="10"/>
    <w:qFormat/>
    <w:rsid w:val="00D605D0"/>
    <w:pPr>
      <w:spacing w:line="240" w:lineRule="auto"/>
      <w:contextualSpacing/>
    </w:pPr>
    <w:rPr>
      <w:b w:val="0"/>
      <w:spacing w:val="-10"/>
      <w:kern w:val="28"/>
      <w:szCs w:val="56"/>
    </w:rPr>
  </w:style>
  <w:style w:type="character" w:customStyle="1" w:styleId="TitleChar">
    <w:name w:val="Title Char"/>
    <w:basedOn w:val="DefaultParagraphFont"/>
    <w:link w:val="Title"/>
    <w:uiPriority w:val="10"/>
    <w:rsid w:val="00D605D0"/>
    <w:rPr>
      <w:rFonts w:ascii="Times New Roman" w:eastAsiaTheme="majorEastAsia" w:hAnsi="Times New Roman" w:cstheme="majorBidi"/>
      <w:b/>
      <w:spacing w:val="-10"/>
      <w:kern w:val="28"/>
      <w:sz w:val="28"/>
      <w:szCs w:val="56"/>
    </w:rPr>
  </w:style>
  <w:style w:type="character" w:customStyle="1" w:styleId="Heading3Char">
    <w:name w:val="Heading 3 Char"/>
    <w:basedOn w:val="DefaultParagraphFont"/>
    <w:link w:val="Heading3"/>
    <w:uiPriority w:val="9"/>
    <w:semiHidden/>
    <w:rsid w:val="00096057"/>
    <w:rPr>
      <w:rFonts w:ascii="Times New Roman" w:eastAsiaTheme="majorEastAsia" w:hAnsi="Times New Roman" w:cstheme="majorBidi"/>
      <w:b/>
      <w:sz w:val="28"/>
      <w:szCs w:val="24"/>
    </w:rPr>
  </w:style>
  <w:style w:type="character" w:customStyle="1" w:styleId="Heading2Char">
    <w:name w:val="Heading 2 Char"/>
    <w:basedOn w:val="DefaultParagraphFont"/>
    <w:link w:val="Heading2"/>
    <w:uiPriority w:val="9"/>
    <w:semiHidden/>
    <w:rsid w:val="002D3574"/>
    <w:rPr>
      <w:rFonts w:ascii="Times New Roman" w:eastAsiaTheme="majorEastAsia" w:hAnsi="Times New Roman" w:cstheme="majorBidi"/>
      <w:b/>
      <w:sz w:val="32"/>
      <w:szCs w:val="26"/>
    </w:rPr>
  </w:style>
  <w:style w:type="character" w:customStyle="1" w:styleId="Heading4Char">
    <w:name w:val="Heading 4 Char"/>
    <w:basedOn w:val="DefaultParagraphFont"/>
    <w:link w:val="Heading4"/>
    <w:uiPriority w:val="9"/>
    <w:semiHidden/>
    <w:rsid w:val="00A600D2"/>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A600D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A600D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600D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600D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600D2"/>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A600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0D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00D2"/>
    <w:pPr>
      <w:spacing w:before="160"/>
      <w:jc w:val="center"/>
    </w:pPr>
    <w:rPr>
      <w:i/>
      <w:iCs/>
      <w:color w:val="404040" w:themeColor="text1" w:themeTint="BF"/>
    </w:rPr>
  </w:style>
  <w:style w:type="character" w:customStyle="1" w:styleId="QuoteChar">
    <w:name w:val="Quote Char"/>
    <w:basedOn w:val="DefaultParagraphFont"/>
    <w:link w:val="Quote"/>
    <w:uiPriority w:val="29"/>
    <w:rsid w:val="00A600D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600D2"/>
    <w:pPr>
      <w:ind w:left="720"/>
      <w:contextualSpacing/>
    </w:pPr>
  </w:style>
  <w:style w:type="character" w:styleId="IntenseEmphasis">
    <w:name w:val="Intense Emphasis"/>
    <w:basedOn w:val="DefaultParagraphFont"/>
    <w:uiPriority w:val="21"/>
    <w:qFormat/>
    <w:rsid w:val="00A600D2"/>
    <w:rPr>
      <w:i/>
      <w:iCs/>
      <w:color w:val="2F5496" w:themeColor="accent1" w:themeShade="BF"/>
    </w:rPr>
  </w:style>
  <w:style w:type="paragraph" w:styleId="IntenseQuote">
    <w:name w:val="Intense Quote"/>
    <w:basedOn w:val="Normal"/>
    <w:next w:val="Normal"/>
    <w:link w:val="IntenseQuoteChar"/>
    <w:uiPriority w:val="30"/>
    <w:qFormat/>
    <w:rsid w:val="00A600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00D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A600D2"/>
    <w:rPr>
      <w:b/>
      <w:bCs/>
      <w:smallCaps/>
      <w:color w:val="2F5496" w:themeColor="accent1" w:themeShade="BF"/>
      <w:spacing w:val="5"/>
    </w:rPr>
  </w:style>
  <w:style w:type="paragraph" w:styleId="Header">
    <w:name w:val="header"/>
    <w:basedOn w:val="Normal"/>
    <w:link w:val="HeaderChar"/>
    <w:uiPriority w:val="99"/>
    <w:unhideWhenUsed/>
    <w:rsid w:val="00E41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B4D"/>
    <w:rPr>
      <w:rFonts w:ascii="Times New Roman" w:hAnsi="Times New Roman"/>
      <w:sz w:val="24"/>
      <w:lang w:val="en-GB"/>
    </w:rPr>
  </w:style>
  <w:style w:type="paragraph" w:styleId="Footer">
    <w:name w:val="footer"/>
    <w:basedOn w:val="Normal"/>
    <w:link w:val="FooterChar"/>
    <w:uiPriority w:val="99"/>
    <w:unhideWhenUsed/>
    <w:rsid w:val="00E41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B4D"/>
    <w:rPr>
      <w:rFonts w:ascii="Times New Roman" w:hAnsi="Times New Roman"/>
      <w:sz w:val="24"/>
      <w:lang w:val="en-GB"/>
    </w:rPr>
  </w:style>
  <w:style w:type="character" w:styleId="Hyperlink">
    <w:name w:val="Hyperlink"/>
    <w:basedOn w:val="DefaultParagraphFont"/>
    <w:uiPriority w:val="99"/>
    <w:unhideWhenUsed/>
    <w:rsid w:val="00875B62"/>
    <w:rPr>
      <w:color w:val="0563C1" w:themeColor="hyperlink"/>
      <w:u w:val="single"/>
    </w:rPr>
  </w:style>
  <w:style w:type="character" w:styleId="UnresolvedMention">
    <w:name w:val="Unresolved Mention"/>
    <w:basedOn w:val="DefaultParagraphFont"/>
    <w:uiPriority w:val="99"/>
    <w:semiHidden/>
    <w:unhideWhenUsed/>
    <w:rsid w:val="00875B62"/>
    <w:rPr>
      <w:color w:val="605E5C"/>
      <w:shd w:val="clear" w:color="auto" w:fill="E1DFDD"/>
    </w:rPr>
  </w:style>
  <w:style w:type="paragraph" w:styleId="Caption">
    <w:name w:val="caption"/>
    <w:basedOn w:val="Normal"/>
    <w:next w:val="Normal"/>
    <w:uiPriority w:val="35"/>
    <w:unhideWhenUsed/>
    <w:qFormat/>
    <w:rsid w:val="0084596B"/>
    <w:pPr>
      <w:spacing w:after="200" w:line="240" w:lineRule="auto"/>
    </w:pPr>
    <w:rPr>
      <w:i/>
      <w:iCs/>
      <w:color w:val="44546A" w:themeColor="text2"/>
      <w:sz w:val="18"/>
      <w:szCs w:val="18"/>
    </w:rPr>
  </w:style>
  <w:style w:type="paragraph" w:styleId="NoSpacing">
    <w:name w:val="No Spacing"/>
    <w:uiPriority w:val="1"/>
    <w:qFormat/>
    <w:rsid w:val="00277CFF"/>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47037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7037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176703">
      <w:bodyDiv w:val="1"/>
      <w:marLeft w:val="0"/>
      <w:marRight w:val="0"/>
      <w:marTop w:val="0"/>
      <w:marBottom w:val="0"/>
      <w:divBdr>
        <w:top w:val="none" w:sz="0" w:space="0" w:color="auto"/>
        <w:left w:val="none" w:sz="0" w:space="0" w:color="auto"/>
        <w:bottom w:val="none" w:sz="0" w:space="0" w:color="auto"/>
        <w:right w:val="none" w:sz="0" w:space="0" w:color="auto"/>
      </w:divBdr>
      <w:divsChild>
        <w:div w:id="1535115281">
          <w:marLeft w:val="0"/>
          <w:marRight w:val="0"/>
          <w:marTop w:val="0"/>
          <w:marBottom w:val="0"/>
          <w:divBdr>
            <w:top w:val="none" w:sz="0" w:space="0" w:color="auto"/>
            <w:left w:val="none" w:sz="0" w:space="0" w:color="auto"/>
            <w:bottom w:val="none" w:sz="0" w:space="0" w:color="auto"/>
            <w:right w:val="none" w:sz="0" w:space="0" w:color="auto"/>
          </w:divBdr>
          <w:divsChild>
            <w:div w:id="655182128">
              <w:marLeft w:val="0"/>
              <w:marRight w:val="0"/>
              <w:marTop w:val="0"/>
              <w:marBottom w:val="0"/>
              <w:divBdr>
                <w:top w:val="none" w:sz="0" w:space="0" w:color="auto"/>
                <w:left w:val="none" w:sz="0" w:space="0" w:color="auto"/>
                <w:bottom w:val="none" w:sz="0" w:space="0" w:color="auto"/>
                <w:right w:val="none" w:sz="0" w:space="0" w:color="auto"/>
              </w:divBdr>
              <w:divsChild>
                <w:div w:id="508519499">
                  <w:marLeft w:val="0"/>
                  <w:marRight w:val="0"/>
                  <w:marTop w:val="0"/>
                  <w:marBottom w:val="0"/>
                  <w:divBdr>
                    <w:top w:val="none" w:sz="0" w:space="0" w:color="auto"/>
                    <w:left w:val="none" w:sz="0" w:space="0" w:color="auto"/>
                    <w:bottom w:val="none" w:sz="0" w:space="0" w:color="auto"/>
                    <w:right w:val="none" w:sz="0" w:space="0" w:color="auto"/>
                  </w:divBdr>
                  <w:divsChild>
                    <w:div w:id="19242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78000">
      <w:bodyDiv w:val="1"/>
      <w:marLeft w:val="0"/>
      <w:marRight w:val="0"/>
      <w:marTop w:val="0"/>
      <w:marBottom w:val="0"/>
      <w:divBdr>
        <w:top w:val="none" w:sz="0" w:space="0" w:color="auto"/>
        <w:left w:val="none" w:sz="0" w:space="0" w:color="auto"/>
        <w:bottom w:val="none" w:sz="0" w:space="0" w:color="auto"/>
        <w:right w:val="none" w:sz="0" w:space="0" w:color="auto"/>
      </w:divBdr>
      <w:divsChild>
        <w:div w:id="367729499">
          <w:marLeft w:val="0"/>
          <w:marRight w:val="0"/>
          <w:marTop w:val="0"/>
          <w:marBottom w:val="0"/>
          <w:divBdr>
            <w:top w:val="none" w:sz="0" w:space="0" w:color="auto"/>
            <w:left w:val="none" w:sz="0" w:space="0" w:color="auto"/>
            <w:bottom w:val="none" w:sz="0" w:space="0" w:color="auto"/>
            <w:right w:val="none" w:sz="0" w:space="0" w:color="auto"/>
          </w:divBdr>
        </w:div>
      </w:divsChild>
    </w:div>
    <w:div w:id="178470615">
      <w:bodyDiv w:val="1"/>
      <w:marLeft w:val="0"/>
      <w:marRight w:val="0"/>
      <w:marTop w:val="0"/>
      <w:marBottom w:val="0"/>
      <w:divBdr>
        <w:top w:val="none" w:sz="0" w:space="0" w:color="auto"/>
        <w:left w:val="none" w:sz="0" w:space="0" w:color="auto"/>
        <w:bottom w:val="none" w:sz="0" w:space="0" w:color="auto"/>
        <w:right w:val="none" w:sz="0" w:space="0" w:color="auto"/>
      </w:divBdr>
      <w:divsChild>
        <w:div w:id="1662537377">
          <w:marLeft w:val="0"/>
          <w:marRight w:val="0"/>
          <w:marTop w:val="0"/>
          <w:marBottom w:val="0"/>
          <w:divBdr>
            <w:top w:val="none" w:sz="0" w:space="0" w:color="auto"/>
            <w:left w:val="none" w:sz="0" w:space="0" w:color="auto"/>
            <w:bottom w:val="none" w:sz="0" w:space="0" w:color="auto"/>
            <w:right w:val="none" w:sz="0" w:space="0" w:color="auto"/>
          </w:divBdr>
        </w:div>
      </w:divsChild>
    </w:div>
    <w:div w:id="243494473">
      <w:bodyDiv w:val="1"/>
      <w:marLeft w:val="0"/>
      <w:marRight w:val="0"/>
      <w:marTop w:val="0"/>
      <w:marBottom w:val="0"/>
      <w:divBdr>
        <w:top w:val="none" w:sz="0" w:space="0" w:color="auto"/>
        <w:left w:val="none" w:sz="0" w:space="0" w:color="auto"/>
        <w:bottom w:val="none" w:sz="0" w:space="0" w:color="auto"/>
        <w:right w:val="none" w:sz="0" w:space="0" w:color="auto"/>
      </w:divBdr>
    </w:div>
    <w:div w:id="340550486">
      <w:bodyDiv w:val="1"/>
      <w:marLeft w:val="0"/>
      <w:marRight w:val="0"/>
      <w:marTop w:val="0"/>
      <w:marBottom w:val="0"/>
      <w:divBdr>
        <w:top w:val="none" w:sz="0" w:space="0" w:color="auto"/>
        <w:left w:val="none" w:sz="0" w:space="0" w:color="auto"/>
        <w:bottom w:val="none" w:sz="0" w:space="0" w:color="auto"/>
        <w:right w:val="none" w:sz="0" w:space="0" w:color="auto"/>
      </w:divBdr>
      <w:divsChild>
        <w:div w:id="182981524">
          <w:marLeft w:val="0"/>
          <w:marRight w:val="0"/>
          <w:marTop w:val="0"/>
          <w:marBottom w:val="0"/>
          <w:divBdr>
            <w:top w:val="none" w:sz="0" w:space="0" w:color="auto"/>
            <w:left w:val="none" w:sz="0" w:space="0" w:color="auto"/>
            <w:bottom w:val="none" w:sz="0" w:space="0" w:color="auto"/>
            <w:right w:val="none" w:sz="0" w:space="0" w:color="auto"/>
          </w:divBdr>
        </w:div>
      </w:divsChild>
    </w:div>
    <w:div w:id="360134369">
      <w:bodyDiv w:val="1"/>
      <w:marLeft w:val="0"/>
      <w:marRight w:val="0"/>
      <w:marTop w:val="0"/>
      <w:marBottom w:val="0"/>
      <w:divBdr>
        <w:top w:val="none" w:sz="0" w:space="0" w:color="auto"/>
        <w:left w:val="none" w:sz="0" w:space="0" w:color="auto"/>
        <w:bottom w:val="none" w:sz="0" w:space="0" w:color="auto"/>
        <w:right w:val="none" w:sz="0" w:space="0" w:color="auto"/>
      </w:divBdr>
      <w:divsChild>
        <w:div w:id="855539101">
          <w:marLeft w:val="0"/>
          <w:marRight w:val="0"/>
          <w:marTop w:val="0"/>
          <w:marBottom w:val="0"/>
          <w:divBdr>
            <w:top w:val="none" w:sz="0" w:space="0" w:color="auto"/>
            <w:left w:val="none" w:sz="0" w:space="0" w:color="auto"/>
            <w:bottom w:val="none" w:sz="0" w:space="0" w:color="auto"/>
            <w:right w:val="none" w:sz="0" w:space="0" w:color="auto"/>
          </w:divBdr>
        </w:div>
      </w:divsChild>
    </w:div>
    <w:div w:id="445194196">
      <w:bodyDiv w:val="1"/>
      <w:marLeft w:val="0"/>
      <w:marRight w:val="0"/>
      <w:marTop w:val="0"/>
      <w:marBottom w:val="0"/>
      <w:divBdr>
        <w:top w:val="none" w:sz="0" w:space="0" w:color="auto"/>
        <w:left w:val="none" w:sz="0" w:space="0" w:color="auto"/>
        <w:bottom w:val="none" w:sz="0" w:space="0" w:color="auto"/>
        <w:right w:val="none" w:sz="0" w:space="0" w:color="auto"/>
      </w:divBdr>
      <w:divsChild>
        <w:div w:id="1172841759">
          <w:marLeft w:val="0"/>
          <w:marRight w:val="0"/>
          <w:marTop w:val="0"/>
          <w:marBottom w:val="0"/>
          <w:divBdr>
            <w:top w:val="none" w:sz="0" w:space="0" w:color="auto"/>
            <w:left w:val="none" w:sz="0" w:space="0" w:color="auto"/>
            <w:bottom w:val="none" w:sz="0" w:space="0" w:color="auto"/>
            <w:right w:val="none" w:sz="0" w:space="0" w:color="auto"/>
          </w:divBdr>
        </w:div>
      </w:divsChild>
    </w:div>
    <w:div w:id="614680172">
      <w:bodyDiv w:val="1"/>
      <w:marLeft w:val="0"/>
      <w:marRight w:val="0"/>
      <w:marTop w:val="0"/>
      <w:marBottom w:val="0"/>
      <w:divBdr>
        <w:top w:val="none" w:sz="0" w:space="0" w:color="auto"/>
        <w:left w:val="none" w:sz="0" w:space="0" w:color="auto"/>
        <w:bottom w:val="none" w:sz="0" w:space="0" w:color="auto"/>
        <w:right w:val="none" w:sz="0" w:space="0" w:color="auto"/>
      </w:divBdr>
      <w:divsChild>
        <w:div w:id="1632125464">
          <w:marLeft w:val="0"/>
          <w:marRight w:val="0"/>
          <w:marTop w:val="0"/>
          <w:marBottom w:val="0"/>
          <w:divBdr>
            <w:top w:val="none" w:sz="0" w:space="0" w:color="auto"/>
            <w:left w:val="none" w:sz="0" w:space="0" w:color="auto"/>
            <w:bottom w:val="none" w:sz="0" w:space="0" w:color="auto"/>
            <w:right w:val="none" w:sz="0" w:space="0" w:color="auto"/>
          </w:divBdr>
        </w:div>
      </w:divsChild>
    </w:div>
    <w:div w:id="701710438">
      <w:bodyDiv w:val="1"/>
      <w:marLeft w:val="0"/>
      <w:marRight w:val="0"/>
      <w:marTop w:val="0"/>
      <w:marBottom w:val="0"/>
      <w:divBdr>
        <w:top w:val="none" w:sz="0" w:space="0" w:color="auto"/>
        <w:left w:val="none" w:sz="0" w:space="0" w:color="auto"/>
        <w:bottom w:val="none" w:sz="0" w:space="0" w:color="auto"/>
        <w:right w:val="none" w:sz="0" w:space="0" w:color="auto"/>
      </w:divBdr>
      <w:divsChild>
        <w:div w:id="222643272">
          <w:marLeft w:val="0"/>
          <w:marRight w:val="0"/>
          <w:marTop w:val="0"/>
          <w:marBottom w:val="0"/>
          <w:divBdr>
            <w:top w:val="none" w:sz="0" w:space="0" w:color="auto"/>
            <w:left w:val="none" w:sz="0" w:space="0" w:color="auto"/>
            <w:bottom w:val="none" w:sz="0" w:space="0" w:color="auto"/>
            <w:right w:val="none" w:sz="0" w:space="0" w:color="auto"/>
          </w:divBdr>
        </w:div>
      </w:divsChild>
    </w:div>
    <w:div w:id="702291807">
      <w:bodyDiv w:val="1"/>
      <w:marLeft w:val="0"/>
      <w:marRight w:val="0"/>
      <w:marTop w:val="0"/>
      <w:marBottom w:val="0"/>
      <w:divBdr>
        <w:top w:val="none" w:sz="0" w:space="0" w:color="auto"/>
        <w:left w:val="none" w:sz="0" w:space="0" w:color="auto"/>
        <w:bottom w:val="none" w:sz="0" w:space="0" w:color="auto"/>
        <w:right w:val="none" w:sz="0" w:space="0" w:color="auto"/>
      </w:divBdr>
      <w:divsChild>
        <w:div w:id="1243367463">
          <w:marLeft w:val="0"/>
          <w:marRight w:val="0"/>
          <w:marTop w:val="0"/>
          <w:marBottom w:val="0"/>
          <w:divBdr>
            <w:top w:val="none" w:sz="0" w:space="0" w:color="auto"/>
            <w:left w:val="none" w:sz="0" w:space="0" w:color="auto"/>
            <w:bottom w:val="none" w:sz="0" w:space="0" w:color="auto"/>
            <w:right w:val="none" w:sz="0" w:space="0" w:color="auto"/>
          </w:divBdr>
        </w:div>
      </w:divsChild>
    </w:div>
    <w:div w:id="862745530">
      <w:bodyDiv w:val="1"/>
      <w:marLeft w:val="0"/>
      <w:marRight w:val="0"/>
      <w:marTop w:val="0"/>
      <w:marBottom w:val="0"/>
      <w:divBdr>
        <w:top w:val="none" w:sz="0" w:space="0" w:color="auto"/>
        <w:left w:val="none" w:sz="0" w:space="0" w:color="auto"/>
        <w:bottom w:val="none" w:sz="0" w:space="0" w:color="auto"/>
        <w:right w:val="none" w:sz="0" w:space="0" w:color="auto"/>
      </w:divBdr>
      <w:divsChild>
        <w:div w:id="1612316897">
          <w:marLeft w:val="0"/>
          <w:marRight w:val="0"/>
          <w:marTop w:val="0"/>
          <w:marBottom w:val="0"/>
          <w:divBdr>
            <w:top w:val="none" w:sz="0" w:space="0" w:color="auto"/>
            <w:left w:val="none" w:sz="0" w:space="0" w:color="auto"/>
            <w:bottom w:val="none" w:sz="0" w:space="0" w:color="auto"/>
            <w:right w:val="none" w:sz="0" w:space="0" w:color="auto"/>
          </w:divBdr>
        </w:div>
      </w:divsChild>
    </w:div>
    <w:div w:id="1046564221">
      <w:bodyDiv w:val="1"/>
      <w:marLeft w:val="0"/>
      <w:marRight w:val="0"/>
      <w:marTop w:val="0"/>
      <w:marBottom w:val="0"/>
      <w:divBdr>
        <w:top w:val="none" w:sz="0" w:space="0" w:color="auto"/>
        <w:left w:val="none" w:sz="0" w:space="0" w:color="auto"/>
        <w:bottom w:val="none" w:sz="0" w:space="0" w:color="auto"/>
        <w:right w:val="none" w:sz="0" w:space="0" w:color="auto"/>
      </w:divBdr>
      <w:divsChild>
        <w:div w:id="1419712001">
          <w:marLeft w:val="0"/>
          <w:marRight w:val="0"/>
          <w:marTop w:val="0"/>
          <w:marBottom w:val="0"/>
          <w:divBdr>
            <w:top w:val="none" w:sz="0" w:space="0" w:color="auto"/>
            <w:left w:val="none" w:sz="0" w:space="0" w:color="auto"/>
            <w:bottom w:val="none" w:sz="0" w:space="0" w:color="auto"/>
            <w:right w:val="none" w:sz="0" w:space="0" w:color="auto"/>
          </w:divBdr>
        </w:div>
      </w:divsChild>
    </w:div>
    <w:div w:id="1155073028">
      <w:bodyDiv w:val="1"/>
      <w:marLeft w:val="0"/>
      <w:marRight w:val="0"/>
      <w:marTop w:val="0"/>
      <w:marBottom w:val="0"/>
      <w:divBdr>
        <w:top w:val="none" w:sz="0" w:space="0" w:color="auto"/>
        <w:left w:val="none" w:sz="0" w:space="0" w:color="auto"/>
        <w:bottom w:val="none" w:sz="0" w:space="0" w:color="auto"/>
        <w:right w:val="none" w:sz="0" w:space="0" w:color="auto"/>
      </w:divBdr>
      <w:divsChild>
        <w:div w:id="953248714">
          <w:marLeft w:val="0"/>
          <w:marRight w:val="0"/>
          <w:marTop w:val="0"/>
          <w:marBottom w:val="0"/>
          <w:divBdr>
            <w:top w:val="none" w:sz="0" w:space="0" w:color="auto"/>
            <w:left w:val="none" w:sz="0" w:space="0" w:color="auto"/>
            <w:bottom w:val="none" w:sz="0" w:space="0" w:color="auto"/>
            <w:right w:val="none" w:sz="0" w:space="0" w:color="auto"/>
          </w:divBdr>
          <w:divsChild>
            <w:div w:id="1486436951">
              <w:marLeft w:val="0"/>
              <w:marRight w:val="0"/>
              <w:marTop w:val="0"/>
              <w:marBottom w:val="0"/>
              <w:divBdr>
                <w:top w:val="none" w:sz="0" w:space="0" w:color="auto"/>
                <w:left w:val="none" w:sz="0" w:space="0" w:color="auto"/>
                <w:bottom w:val="none" w:sz="0" w:space="0" w:color="auto"/>
                <w:right w:val="none" w:sz="0" w:space="0" w:color="auto"/>
              </w:divBdr>
              <w:divsChild>
                <w:div w:id="482042002">
                  <w:marLeft w:val="0"/>
                  <w:marRight w:val="0"/>
                  <w:marTop w:val="0"/>
                  <w:marBottom w:val="0"/>
                  <w:divBdr>
                    <w:top w:val="none" w:sz="0" w:space="0" w:color="auto"/>
                    <w:left w:val="none" w:sz="0" w:space="0" w:color="auto"/>
                    <w:bottom w:val="none" w:sz="0" w:space="0" w:color="auto"/>
                    <w:right w:val="none" w:sz="0" w:space="0" w:color="auto"/>
                  </w:divBdr>
                  <w:divsChild>
                    <w:div w:id="182943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035669">
      <w:bodyDiv w:val="1"/>
      <w:marLeft w:val="0"/>
      <w:marRight w:val="0"/>
      <w:marTop w:val="0"/>
      <w:marBottom w:val="0"/>
      <w:divBdr>
        <w:top w:val="none" w:sz="0" w:space="0" w:color="auto"/>
        <w:left w:val="none" w:sz="0" w:space="0" w:color="auto"/>
        <w:bottom w:val="none" w:sz="0" w:space="0" w:color="auto"/>
        <w:right w:val="none" w:sz="0" w:space="0" w:color="auto"/>
      </w:divBdr>
      <w:divsChild>
        <w:div w:id="1422140364">
          <w:marLeft w:val="0"/>
          <w:marRight w:val="0"/>
          <w:marTop w:val="0"/>
          <w:marBottom w:val="0"/>
          <w:divBdr>
            <w:top w:val="none" w:sz="0" w:space="0" w:color="auto"/>
            <w:left w:val="none" w:sz="0" w:space="0" w:color="auto"/>
            <w:bottom w:val="none" w:sz="0" w:space="0" w:color="auto"/>
            <w:right w:val="none" w:sz="0" w:space="0" w:color="auto"/>
          </w:divBdr>
        </w:div>
      </w:divsChild>
    </w:div>
    <w:div w:id="1335450977">
      <w:bodyDiv w:val="1"/>
      <w:marLeft w:val="0"/>
      <w:marRight w:val="0"/>
      <w:marTop w:val="0"/>
      <w:marBottom w:val="0"/>
      <w:divBdr>
        <w:top w:val="none" w:sz="0" w:space="0" w:color="auto"/>
        <w:left w:val="none" w:sz="0" w:space="0" w:color="auto"/>
        <w:bottom w:val="none" w:sz="0" w:space="0" w:color="auto"/>
        <w:right w:val="none" w:sz="0" w:space="0" w:color="auto"/>
      </w:divBdr>
      <w:divsChild>
        <w:div w:id="1494758079">
          <w:marLeft w:val="0"/>
          <w:marRight w:val="0"/>
          <w:marTop w:val="0"/>
          <w:marBottom w:val="0"/>
          <w:divBdr>
            <w:top w:val="none" w:sz="0" w:space="0" w:color="auto"/>
            <w:left w:val="none" w:sz="0" w:space="0" w:color="auto"/>
            <w:bottom w:val="none" w:sz="0" w:space="0" w:color="auto"/>
            <w:right w:val="none" w:sz="0" w:space="0" w:color="auto"/>
          </w:divBdr>
        </w:div>
      </w:divsChild>
    </w:div>
    <w:div w:id="1373307917">
      <w:bodyDiv w:val="1"/>
      <w:marLeft w:val="0"/>
      <w:marRight w:val="0"/>
      <w:marTop w:val="0"/>
      <w:marBottom w:val="0"/>
      <w:divBdr>
        <w:top w:val="none" w:sz="0" w:space="0" w:color="auto"/>
        <w:left w:val="none" w:sz="0" w:space="0" w:color="auto"/>
        <w:bottom w:val="none" w:sz="0" w:space="0" w:color="auto"/>
        <w:right w:val="none" w:sz="0" w:space="0" w:color="auto"/>
      </w:divBdr>
      <w:divsChild>
        <w:div w:id="1872302343">
          <w:marLeft w:val="0"/>
          <w:marRight w:val="0"/>
          <w:marTop w:val="0"/>
          <w:marBottom w:val="0"/>
          <w:divBdr>
            <w:top w:val="none" w:sz="0" w:space="0" w:color="auto"/>
            <w:left w:val="none" w:sz="0" w:space="0" w:color="auto"/>
            <w:bottom w:val="none" w:sz="0" w:space="0" w:color="auto"/>
            <w:right w:val="none" w:sz="0" w:space="0" w:color="auto"/>
          </w:divBdr>
        </w:div>
      </w:divsChild>
    </w:div>
    <w:div w:id="1384014059">
      <w:bodyDiv w:val="1"/>
      <w:marLeft w:val="0"/>
      <w:marRight w:val="0"/>
      <w:marTop w:val="0"/>
      <w:marBottom w:val="0"/>
      <w:divBdr>
        <w:top w:val="none" w:sz="0" w:space="0" w:color="auto"/>
        <w:left w:val="none" w:sz="0" w:space="0" w:color="auto"/>
        <w:bottom w:val="none" w:sz="0" w:space="0" w:color="auto"/>
        <w:right w:val="none" w:sz="0" w:space="0" w:color="auto"/>
      </w:divBdr>
      <w:divsChild>
        <w:div w:id="1460495426">
          <w:marLeft w:val="0"/>
          <w:marRight w:val="0"/>
          <w:marTop w:val="0"/>
          <w:marBottom w:val="0"/>
          <w:divBdr>
            <w:top w:val="none" w:sz="0" w:space="0" w:color="auto"/>
            <w:left w:val="none" w:sz="0" w:space="0" w:color="auto"/>
            <w:bottom w:val="none" w:sz="0" w:space="0" w:color="auto"/>
            <w:right w:val="none" w:sz="0" w:space="0" w:color="auto"/>
          </w:divBdr>
          <w:divsChild>
            <w:div w:id="1049918395">
              <w:marLeft w:val="0"/>
              <w:marRight w:val="0"/>
              <w:marTop w:val="0"/>
              <w:marBottom w:val="0"/>
              <w:divBdr>
                <w:top w:val="none" w:sz="0" w:space="0" w:color="auto"/>
                <w:left w:val="none" w:sz="0" w:space="0" w:color="auto"/>
                <w:bottom w:val="none" w:sz="0" w:space="0" w:color="auto"/>
                <w:right w:val="none" w:sz="0" w:space="0" w:color="auto"/>
              </w:divBdr>
              <w:divsChild>
                <w:div w:id="201600618">
                  <w:marLeft w:val="0"/>
                  <w:marRight w:val="0"/>
                  <w:marTop w:val="0"/>
                  <w:marBottom w:val="0"/>
                  <w:divBdr>
                    <w:top w:val="none" w:sz="0" w:space="0" w:color="auto"/>
                    <w:left w:val="none" w:sz="0" w:space="0" w:color="auto"/>
                    <w:bottom w:val="none" w:sz="0" w:space="0" w:color="auto"/>
                    <w:right w:val="none" w:sz="0" w:space="0" w:color="auto"/>
                  </w:divBdr>
                  <w:divsChild>
                    <w:div w:id="214167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432406">
      <w:bodyDiv w:val="1"/>
      <w:marLeft w:val="0"/>
      <w:marRight w:val="0"/>
      <w:marTop w:val="0"/>
      <w:marBottom w:val="0"/>
      <w:divBdr>
        <w:top w:val="none" w:sz="0" w:space="0" w:color="auto"/>
        <w:left w:val="none" w:sz="0" w:space="0" w:color="auto"/>
        <w:bottom w:val="none" w:sz="0" w:space="0" w:color="auto"/>
        <w:right w:val="none" w:sz="0" w:space="0" w:color="auto"/>
      </w:divBdr>
      <w:divsChild>
        <w:div w:id="192353057">
          <w:marLeft w:val="0"/>
          <w:marRight w:val="0"/>
          <w:marTop w:val="0"/>
          <w:marBottom w:val="0"/>
          <w:divBdr>
            <w:top w:val="none" w:sz="0" w:space="0" w:color="auto"/>
            <w:left w:val="none" w:sz="0" w:space="0" w:color="auto"/>
            <w:bottom w:val="none" w:sz="0" w:space="0" w:color="auto"/>
            <w:right w:val="none" w:sz="0" w:space="0" w:color="auto"/>
          </w:divBdr>
        </w:div>
      </w:divsChild>
    </w:div>
    <w:div w:id="1524510986">
      <w:bodyDiv w:val="1"/>
      <w:marLeft w:val="0"/>
      <w:marRight w:val="0"/>
      <w:marTop w:val="0"/>
      <w:marBottom w:val="0"/>
      <w:divBdr>
        <w:top w:val="none" w:sz="0" w:space="0" w:color="auto"/>
        <w:left w:val="none" w:sz="0" w:space="0" w:color="auto"/>
        <w:bottom w:val="none" w:sz="0" w:space="0" w:color="auto"/>
        <w:right w:val="none" w:sz="0" w:space="0" w:color="auto"/>
      </w:divBdr>
      <w:divsChild>
        <w:div w:id="417941948">
          <w:marLeft w:val="0"/>
          <w:marRight w:val="0"/>
          <w:marTop w:val="0"/>
          <w:marBottom w:val="0"/>
          <w:divBdr>
            <w:top w:val="none" w:sz="0" w:space="0" w:color="auto"/>
            <w:left w:val="none" w:sz="0" w:space="0" w:color="auto"/>
            <w:bottom w:val="none" w:sz="0" w:space="0" w:color="auto"/>
            <w:right w:val="none" w:sz="0" w:space="0" w:color="auto"/>
          </w:divBdr>
        </w:div>
      </w:divsChild>
    </w:div>
    <w:div w:id="1537961601">
      <w:bodyDiv w:val="1"/>
      <w:marLeft w:val="0"/>
      <w:marRight w:val="0"/>
      <w:marTop w:val="0"/>
      <w:marBottom w:val="0"/>
      <w:divBdr>
        <w:top w:val="none" w:sz="0" w:space="0" w:color="auto"/>
        <w:left w:val="none" w:sz="0" w:space="0" w:color="auto"/>
        <w:bottom w:val="none" w:sz="0" w:space="0" w:color="auto"/>
        <w:right w:val="none" w:sz="0" w:space="0" w:color="auto"/>
      </w:divBdr>
      <w:divsChild>
        <w:div w:id="612441916">
          <w:marLeft w:val="0"/>
          <w:marRight w:val="0"/>
          <w:marTop w:val="0"/>
          <w:marBottom w:val="0"/>
          <w:divBdr>
            <w:top w:val="none" w:sz="0" w:space="0" w:color="auto"/>
            <w:left w:val="none" w:sz="0" w:space="0" w:color="auto"/>
            <w:bottom w:val="none" w:sz="0" w:space="0" w:color="auto"/>
            <w:right w:val="none" w:sz="0" w:space="0" w:color="auto"/>
          </w:divBdr>
        </w:div>
      </w:divsChild>
    </w:div>
    <w:div w:id="1619215071">
      <w:bodyDiv w:val="1"/>
      <w:marLeft w:val="0"/>
      <w:marRight w:val="0"/>
      <w:marTop w:val="0"/>
      <w:marBottom w:val="0"/>
      <w:divBdr>
        <w:top w:val="none" w:sz="0" w:space="0" w:color="auto"/>
        <w:left w:val="none" w:sz="0" w:space="0" w:color="auto"/>
        <w:bottom w:val="none" w:sz="0" w:space="0" w:color="auto"/>
        <w:right w:val="none" w:sz="0" w:space="0" w:color="auto"/>
      </w:divBdr>
      <w:divsChild>
        <w:div w:id="1412507556">
          <w:marLeft w:val="0"/>
          <w:marRight w:val="0"/>
          <w:marTop w:val="0"/>
          <w:marBottom w:val="0"/>
          <w:divBdr>
            <w:top w:val="none" w:sz="0" w:space="0" w:color="auto"/>
            <w:left w:val="none" w:sz="0" w:space="0" w:color="auto"/>
            <w:bottom w:val="none" w:sz="0" w:space="0" w:color="auto"/>
            <w:right w:val="none" w:sz="0" w:space="0" w:color="auto"/>
          </w:divBdr>
        </w:div>
      </w:divsChild>
    </w:div>
    <w:div w:id="1651910089">
      <w:bodyDiv w:val="1"/>
      <w:marLeft w:val="0"/>
      <w:marRight w:val="0"/>
      <w:marTop w:val="0"/>
      <w:marBottom w:val="0"/>
      <w:divBdr>
        <w:top w:val="none" w:sz="0" w:space="0" w:color="auto"/>
        <w:left w:val="none" w:sz="0" w:space="0" w:color="auto"/>
        <w:bottom w:val="none" w:sz="0" w:space="0" w:color="auto"/>
        <w:right w:val="none" w:sz="0" w:space="0" w:color="auto"/>
      </w:divBdr>
      <w:divsChild>
        <w:div w:id="1658878673">
          <w:marLeft w:val="0"/>
          <w:marRight w:val="0"/>
          <w:marTop w:val="0"/>
          <w:marBottom w:val="0"/>
          <w:divBdr>
            <w:top w:val="none" w:sz="0" w:space="0" w:color="auto"/>
            <w:left w:val="none" w:sz="0" w:space="0" w:color="auto"/>
            <w:bottom w:val="none" w:sz="0" w:space="0" w:color="auto"/>
            <w:right w:val="none" w:sz="0" w:space="0" w:color="auto"/>
          </w:divBdr>
        </w:div>
      </w:divsChild>
    </w:div>
    <w:div w:id="1678077232">
      <w:bodyDiv w:val="1"/>
      <w:marLeft w:val="0"/>
      <w:marRight w:val="0"/>
      <w:marTop w:val="0"/>
      <w:marBottom w:val="0"/>
      <w:divBdr>
        <w:top w:val="none" w:sz="0" w:space="0" w:color="auto"/>
        <w:left w:val="none" w:sz="0" w:space="0" w:color="auto"/>
        <w:bottom w:val="none" w:sz="0" w:space="0" w:color="auto"/>
        <w:right w:val="none" w:sz="0" w:space="0" w:color="auto"/>
      </w:divBdr>
      <w:divsChild>
        <w:div w:id="14964815">
          <w:marLeft w:val="0"/>
          <w:marRight w:val="0"/>
          <w:marTop w:val="0"/>
          <w:marBottom w:val="0"/>
          <w:divBdr>
            <w:top w:val="none" w:sz="0" w:space="0" w:color="auto"/>
            <w:left w:val="none" w:sz="0" w:space="0" w:color="auto"/>
            <w:bottom w:val="none" w:sz="0" w:space="0" w:color="auto"/>
            <w:right w:val="none" w:sz="0" w:space="0" w:color="auto"/>
          </w:divBdr>
          <w:divsChild>
            <w:div w:id="1361586092">
              <w:marLeft w:val="0"/>
              <w:marRight w:val="0"/>
              <w:marTop w:val="0"/>
              <w:marBottom w:val="0"/>
              <w:divBdr>
                <w:top w:val="none" w:sz="0" w:space="0" w:color="auto"/>
                <w:left w:val="none" w:sz="0" w:space="0" w:color="auto"/>
                <w:bottom w:val="none" w:sz="0" w:space="0" w:color="auto"/>
                <w:right w:val="none" w:sz="0" w:space="0" w:color="auto"/>
              </w:divBdr>
              <w:divsChild>
                <w:div w:id="1069621282">
                  <w:marLeft w:val="0"/>
                  <w:marRight w:val="0"/>
                  <w:marTop w:val="0"/>
                  <w:marBottom w:val="0"/>
                  <w:divBdr>
                    <w:top w:val="none" w:sz="0" w:space="0" w:color="auto"/>
                    <w:left w:val="none" w:sz="0" w:space="0" w:color="auto"/>
                    <w:bottom w:val="none" w:sz="0" w:space="0" w:color="auto"/>
                    <w:right w:val="none" w:sz="0" w:space="0" w:color="auto"/>
                  </w:divBdr>
                  <w:divsChild>
                    <w:div w:id="97999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199635">
      <w:bodyDiv w:val="1"/>
      <w:marLeft w:val="0"/>
      <w:marRight w:val="0"/>
      <w:marTop w:val="0"/>
      <w:marBottom w:val="0"/>
      <w:divBdr>
        <w:top w:val="none" w:sz="0" w:space="0" w:color="auto"/>
        <w:left w:val="none" w:sz="0" w:space="0" w:color="auto"/>
        <w:bottom w:val="none" w:sz="0" w:space="0" w:color="auto"/>
        <w:right w:val="none" w:sz="0" w:space="0" w:color="auto"/>
      </w:divBdr>
      <w:divsChild>
        <w:div w:id="1911964322">
          <w:marLeft w:val="0"/>
          <w:marRight w:val="0"/>
          <w:marTop w:val="0"/>
          <w:marBottom w:val="0"/>
          <w:divBdr>
            <w:top w:val="none" w:sz="0" w:space="0" w:color="auto"/>
            <w:left w:val="none" w:sz="0" w:space="0" w:color="auto"/>
            <w:bottom w:val="none" w:sz="0" w:space="0" w:color="auto"/>
            <w:right w:val="none" w:sz="0" w:space="0" w:color="auto"/>
          </w:divBdr>
        </w:div>
      </w:divsChild>
    </w:div>
    <w:div w:id="1889491643">
      <w:bodyDiv w:val="1"/>
      <w:marLeft w:val="0"/>
      <w:marRight w:val="0"/>
      <w:marTop w:val="0"/>
      <w:marBottom w:val="0"/>
      <w:divBdr>
        <w:top w:val="none" w:sz="0" w:space="0" w:color="auto"/>
        <w:left w:val="none" w:sz="0" w:space="0" w:color="auto"/>
        <w:bottom w:val="none" w:sz="0" w:space="0" w:color="auto"/>
        <w:right w:val="none" w:sz="0" w:space="0" w:color="auto"/>
      </w:divBdr>
    </w:div>
    <w:div w:id="1957979570">
      <w:bodyDiv w:val="1"/>
      <w:marLeft w:val="0"/>
      <w:marRight w:val="0"/>
      <w:marTop w:val="0"/>
      <w:marBottom w:val="0"/>
      <w:divBdr>
        <w:top w:val="none" w:sz="0" w:space="0" w:color="auto"/>
        <w:left w:val="none" w:sz="0" w:space="0" w:color="auto"/>
        <w:bottom w:val="none" w:sz="0" w:space="0" w:color="auto"/>
        <w:right w:val="none" w:sz="0" w:space="0" w:color="auto"/>
      </w:divBdr>
      <w:divsChild>
        <w:div w:id="396558472">
          <w:marLeft w:val="0"/>
          <w:marRight w:val="0"/>
          <w:marTop w:val="0"/>
          <w:marBottom w:val="0"/>
          <w:divBdr>
            <w:top w:val="none" w:sz="0" w:space="0" w:color="auto"/>
            <w:left w:val="none" w:sz="0" w:space="0" w:color="auto"/>
            <w:bottom w:val="none" w:sz="0" w:space="0" w:color="auto"/>
            <w:right w:val="none" w:sz="0" w:space="0" w:color="auto"/>
          </w:divBdr>
          <w:divsChild>
            <w:div w:id="2125616355">
              <w:marLeft w:val="0"/>
              <w:marRight w:val="0"/>
              <w:marTop w:val="0"/>
              <w:marBottom w:val="0"/>
              <w:divBdr>
                <w:top w:val="none" w:sz="0" w:space="0" w:color="auto"/>
                <w:left w:val="none" w:sz="0" w:space="0" w:color="auto"/>
                <w:bottom w:val="none" w:sz="0" w:space="0" w:color="auto"/>
                <w:right w:val="none" w:sz="0" w:space="0" w:color="auto"/>
              </w:divBdr>
              <w:divsChild>
                <w:div w:id="879510456">
                  <w:marLeft w:val="0"/>
                  <w:marRight w:val="0"/>
                  <w:marTop w:val="0"/>
                  <w:marBottom w:val="0"/>
                  <w:divBdr>
                    <w:top w:val="none" w:sz="0" w:space="0" w:color="auto"/>
                    <w:left w:val="none" w:sz="0" w:space="0" w:color="auto"/>
                    <w:bottom w:val="none" w:sz="0" w:space="0" w:color="auto"/>
                    <w:right w:val="none" w:sz="0" w:space="0" w:color="auto"/>
                  </w:divBdr>
                  <w:divsChild>
                    <w:div w:id="10554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814667">
      <w:bodyDiv w:val="1"/>
      <w:marLeft w:val="0"/>
      <w:marRight w:val="0"/>
      <w:marTop w:val="0"/>
      <w:marBottom w:val="0"/>
      <w:divBdr>
        <w:top w:val="none" w:sz="0" w:space="0" w:color="auto"/>
        <w:left w:val="none" w:sz="0" w:space="0" w:color="auto"/>
        <w:bottom w:val="none" w:sz="0" w:space="0" w:color="auto"/>
        <w:right w:val="none" w:sz="0" w:space="0" w:color="auto"/>
      </w:divBdr>
      <w:divsChild>
        <w:div w:id="381288885">
          <w:marLeft w:val="0"/>
          <w:marRight w:val="0"/>
          <w:marTop w:val="0"/>
          <w:marBottom w:val="0"/>
          <w:divBdr>
            <w:top w:val="none" w:sz="0" w:space="0" w:color="auto"/>
            <w:left w:val="none" w:sz="0" w:space="0" w:color="auto"/>
            <w:bottom w:val="none" w:sz="0" w:space="0" w:color="auto"/>
            <w:right w:val="none" w:sz="0" w:space="0" w:color="auto"/>
          </w:divBdr>
        </w:div>
      </w:divsChild>
    </w:div>
    <w:div w:id="2006979854">
      <w:bodyDiv w:val="1"/>
      <w:marLeft w:val="0"/>
      <w:marRight w:val="0"/>
      <w:marTop w:val="0"/>
      <w:marBottom w:val="0"/>
      <w:divBdr>
        <w:top w:val="none" w:sz="0" w:space="0" w:color="auto"/>
        <w:left w:val="none" w:sz="0" w:space="0" w:color="auto"/>
        <w:bottom w:val="none" w:sz="0" w:space="0" w:color="auto"/>
        <w:right w:val="none" w:sz="0" w:space="0" w:color="auto"/>
      </w:divBdr>
      <w:divsChild>
        <w:div w:id="1419013728">
          <w:marLeft w:val="0"/>
          <w:marRight w:val="0"/>
          <w:marTop w:val="0"/>
          <w:marBottom w:val="0"/>
          <w:divBdr>
            <w:top w:val="none" w:sz="0" w:space="0" w:color="auto"/>
            <w:left w:val="none" w:sz="0" w:space="0" w:color="auto"/>
            <w:bottom w:val="none" w:sz="0" w:space="0" w:color="auto"/>
            <w:right w:val="none" w:sz="0" w:space="0" w:color="auto"/>
          </w:divBdr>
          <w:divsChild>
            <w:div w:id="1804886402">
              <w:marLeft w:val="0"/>
              <w:marRight w:val="0"/>
              <w:marTop w:val="0"/>
              <w:marBottom w:val="0"/>
              <w:divBdr>
                <w:top w:val="none" w:sz="0" w:space="0" w:color="auto"/>
                <w:left w:val="none" w:sz="0" w:space="0" w:color="auto"/>
                <w:bottom w:val="none" w:sz="0" w:space="0" w:color="auto"/>
                <w:right w:val="none" w:sz="0" w:space="0" w:color="auto"/>
              </w:divBdr>
              <w:divsChild>
                <w:div w:id="822477116">
                  <w:marLeft w:val="0"/>
                  <w:marRight w:val="0"/>
                  <w:marTop w:val="0"/>
                  <w:marBottom w:val="0"/>
                  <w:divBdr>
                    <w:top w:val="none" w:sz="0" w:space="0" w:color="auto"/>
                    <w:left w:val="none" w:sz="0" w:space="0" w:color="auto"/>
                    <w:bottom w:val="none" w:sz="0" w:space="0" w:color="auto"/>
                    <w:right w:val="none" w:sz="0" w:space="0" w:color="auto"/>
                  </w:divBdr>
                  <w:divsChild>
                    <w:div w:id="145221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300166">
      <w:bodyDiv w:val="1"/>
      <w:marLeft w:val="0"/>
      <w:marRight w:val="0"/>
      <w:marTop w:val="0"/>
      <w:marBottom w:val="0"/>
      <w:divBdr>
        <w:top w:val="none" w:sz="0" w:space="0" w:color="auto"/>
        <w:left w:val="none" w:sz="0" w:space="0" w:color="auto"/>
        <w:bottom w:val="none" w:sz="0" w:space="0" w:color="auto"/>
        <w:right w:val="none" w:sz="0" w:space="0" w:color="auto"/>
      </w:divBdr>
      <w:divsChild>
        <w:div w:id="499200964">
          <w:marLeft w:val="0"/>
          <w:marRight w:val="0"/>
          <w:marTop w:val="0"/>
          <w:marBottom w:val="0"/>
          <w:divBdr>
            <w:top w:val="none" w:sz="0" w:space="0" w:color="auto"/>
            <w:left w:val="none" w:sz="0" w:space="0" w:color="auto"/>
            <w:bottom w:val="none" w:sz="0" w:space="0" w:color="auto"/>
            <w:right w:val="none" w:sz="0" w:space="0" w:color="auto"/>
          </w:divBdr>
          <w:divsChild>
            <w:div w:id="1496412846">
              <w:marLeft w:val="0"/>
              <w:marRight w:val="0"/>
              <w:marTop w:val="0"/>
              <w:marBottom w:val="0"/>
              <w:divBdr>
                <w:top w:val="none" w:sz="0" w:space="0" w:color="auto"/>
                <w:left w:val="none" w:sz="0" w:space="0" w:color="auto"/>
                <w:bottom w:val="none" w:sz="0" w:space="0" w:color="auto"/>
                <w:right w:val="none" w:sz="0" w:space="0" w:color="auto"/>
              </w:divBdr>
              <w:divsChild>
                <w:div w:id="1982416610">
                  <w:marLeft w:val="0"/>
                  <w:marRight w:val="0"/>
                  <w:marTop w:val="0"/>
                  <w:marBottom w:val="0"/>
                  <w:divBdr>
                    <w:top w:val="none" w:sz="0" w:space="0" w:color="auto"/>
                    <w:left w:val="none" w:sz="0" w:space="0" w:color="auto"/>
                    <w:bottom w:val="none" w:sz="0" w:space="0" w:color="auto"/>
                    <w:right w:val="none" w:sz="0" w:space="0" w:color="auto"/>
                  </w:divBdr>
                  <w:divsChild>
                    <w:div w:id="19077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746091">
      <w:bodyDiv w:val="1"/>
      <w:marLeft w:val="0"/>
      <w:marRight w:val="0"/>
      <w:marTop w:val="0"/>
      <w:marBottom w:val="0"/>
      <w:divBdr>
        <w:top w:val="none" w:sz="0" w:space="0" w:color="auto"/>
        <w:left w:val="none" w:sz="0" w:space="0" w:color="auto"/>
        <w:bottom w:val="none" w:sz="0" w:space="0" w:color="auto"/>
        <w:right w:val="none" w:sz="0" w:space="0" w:color="auto"/>
      </w:divBdr>
    </w:div>
    <w:div w:id="2065905793">
      <w:bodyDiv w:val="1"/>
      <w:marLeft w:val="0"/>
      <w:marRight w:val="0"/>
      <w:marTop w:val="0"/>
      <w:marBottom w:val="0"/>
      <w:divBdr>
        <w:top w:val="none" w:sz="0" w:space="0" w:color="auto"/>
        <w:left w:val="none" w:sz="0" w:space="0" w:color="auto"/>
        <w:bottom w:val="none" w:sz="0" w:space="0" w:color="auto"/>
        <w:right w:val="none" w:sz="0" w:space="0" w:color="auto"/>
      </w:divBdr>
      <w:divsChild>
        <w:div w:id="2754660">
          <w:marLeft w:val="0"/>
          <w:marRight w:val="0"/>
          <w:marTop w:val="0"/>
          <w:marBottom w:val="0"/>
          <w:divBdr>
            <w:top w:val="none" w:sz="0" w:space="0" w:color="auto"/>
            <w:left w:val="none" w:sz="0" w:space="0" w:color="auto"/>
            <w:bottom w:val="none" w:sz="0" w:space="0" w:color="auto"/>
            <w:right w:val="none" w:sz="0" w:space="0" w:color="auto"/>
          </w:divBdr>
          <w:divsChild>
            <w:div w:id="1992127633">
              <w:marLeft w:val="0"/>
              <w:marRight w:val="0"/>
              <w:marTop w:val="0"/>
              <w:marBottom w:val="0"/>
              <w:divBdr>
                <w:top w:val="none" w:sz="0" w:space="0" w:color="auto"/>
                <w:left w:val="none" w:sz="0" w:space="0" w:color="auto"/>
                <w:bottom w:val="none" w:sz="0" w:space="0" w:color="auto"/>
                <w:right w:val="none" w:sz="0" w:space="0" w:color="auto"/>
              </w:divBdr>
              <w:divsChild>
                <w:div w:id="1717243044">
                  <w:marLeft w:val="0"/>
                  <w:marRight w:val="0"/>
                  <w:marTop w:val="0"/>
                  <w:marBottom w:val="0"/>
                  <w:divBdr>
                    <w:top w:val="none" w:sz="0" w:space="0" w:color="auto"/>
                    <w:left w:val="none" w:sz="0" w:space="0" w:color="auto"/>
                    <w:bottom w:val="none" w:sz="0" w:space="0" w:color="auto"/>
                    <w:right w:val="none" w:sz="0" w:space="0" w:color="auto"/>
                  </w:divBdr>
                  <w:divsChild>
                    <w:div w:id="155701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127714">
      <w:bodyDiv w:val="1"/>
      <w:marLeft w:val="0"/>
      <w:marRight w:val="0"/>
      <w:marTop w:val="0"/>
      <w:marBottom w:val="0"/>
      <w:divBdr>
        <w:top w:val="none" w:sz="0" w:space="0" w:color="auto"/>
        <w:left w:val="none" w:sz="0" w:space="0" w:color="auto"/>
        <w:bottom w:val="none" w:sz="0" w:space="0" w:color="auto"/>
        <w:right w:val="none" w:sz="0" w:space="0" w:color="auto"/>
      </w:divBdr>
      <w:divsChild>
        <w:div w:id="1332365917">
          <w:marLeft w:val="0"/>
          <w:marRight w:val="0"/>
          <w:marTop w:val="0"/>
          <w:marBottom w:val="0"/>
          <w:divBdr>
            <w:top w:val="none" w:sz="0" w:space="0" w:color="auto"/>
            <w:left w:val="none" w:sz="0" w:space="0" w:color="auto"/>
            <w:bottom w:val="none" w:sz="0" w:space="0" w:color="auto"/>
            <w:right w:val="none" w:sz="0" w:space="0" w:color="auto"/>
          </w:divBdr>
        </w:div>
      </w:divsChild>
    </w:div>
    <w:div w:id="2142308232">
      <w:bodyDiv w:val="1"/>
      <w:marLeft w:val="0"/>
      <w:marRight w:val="0"/>
      <w:marTop w:val="0"/>
      <w:marBottom w:val="0"/>
      <w:divBdr>
        <w:top w:val="none" w:sz="0" w:space="0" w:color="auto"/>
        <w:left w:val="none" w:sz="0" w:space="0" w:color="auto"/>
        <w:bottom w:val="none" w:sz="0" w:space="0" w:color="auto"/>
        <w:right w:val="none" w:sz="0" w:space="0" w:color="auto"/>
      </w:divBdr>
      <w:divsChild>
        <w:div w:id="17789842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5D72D-99E3-4C33-B2A5-03B148BF3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2337</Words>
  <Characters>13323</Characters>
  <Application>Microsoft Office Word</Application>
  <DocSecurity>0</DocSecurity>
  <Lines>111</Lines>
  <Paragraphs>31</Paragraphs>
  <ScaleCrop>false</ScaleCrop>
  <Company/>
  <LinksUpToDate>false</LinksUpToDate>
  <CharactersWithSpaces>15629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Sylwia Maciejewska</cp:lastModifiedBy>
  <cp:revision>19</cp:revision>
  <dcterms:created xsi:type="dcterms:W3CDTF">2025-03-02T12:18:00Z</dcterms:created>
  <dcterms:modified xsi:type="dcterms:W3CDTF">2025-03-14T09:24:00Z</dcterms:modified>
</cp:coreProperties>
</file>