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AC6DA23" w14:textId="77777777" w:rsidR="005E7552" w:rsidRDefault="005E7552" w:rsidP="005E7552">
      <w:r>
        <w:t>Here’s a full draft of your Component 2 – Written Assignment (1500 words) based on Mrs Mann’s case study. It follows the structure you outlined, with Harvard references included.</w:t>
      </w:r>
    </w:p>
    <w:p w14:paraId="69AB4F32" w14:textId="77777777" w:rsidR="005E7552" w:rsidRDefault="005E7552" w:rsidP="005E7552"/>
    <w:p w14:paraId="6C0A3350" w14:textId="77777777" w:rsidR="005E7552" w:rsidRDefault="005E7552" w:rsidP="005E7552"/>
    <w:p w14:paraId="43E0428B" w14:textId="5C407F30" w:rsidR="005E7552" w:rsidRDefault="005E7552" w:rsidP="005E7552">
      <w:r>
        <w:t xml:space="preserve">Joynal miah </w:t>
      </w:r>
    </w:p>
    <w:p w14:paraId="3A3CB663" w14:textId="6CB2D73F" w:rsidR="005E7552" w:rsidRDefault="005E7552" w:rsidP="005E7552">
      <w:r>
        <w:t xml:space="preserve">Student number </w:t>
      </w:r>
      <w:r w:rsidR="00004BE1">
        <w:t>2423302</w:t>
      </w:r>
    </w:p>
    <w:p w14:paraId="0D65B6E0" w14:textId="77777777" w:rsidR="005E7552" w:rsidRDefault="005E7552" w:rsidP="005E7552"/>
    <w:p w14:paraId="122563D4" w14:textId="77777777" w:rsidR="005E7552" w:rsidRDefault="005E7552" w:rsidP="005E7552">
      <w:r>
        <w:t>Introduction (150 words)</w:t>
      </w:r>
    </w:p>
    <w:p w14:paraId="3F737530" w14:textId="77777777" w:rsidR="005E7552" w:rsidRDefault="005E7552" w:rsidP="005E7552"/>
    <w:p w14:paraId="4B637C9E" w14:textId="77777777" w:rsidR="005E7552" w:rsidRDefault="005E7552" w:rsidP="005E7552">
      <w:r>
        <w:t>Effective health and social care delivery depends on communication, accurate administration, and collaboration across professional boundaries. This report explores these three essential aspects through the case study of Mrs Mann, a 72-year-old woman recovering from a hip replacement surgery. As she receives domiciliary care, physiotherapy, and medical support, the case highlights challenges in communication due to her limited English, as well as issues of documentation and inter-professional coordination. Such circumstances reflect broader challenges within contemporary health and social care systems, where the principles of equality, safeguarding, data protection, and person-centred care underpin practice. The Equality Act 2010 and the Data Protection Act 2018 provide a legislative framework to guide practitioners in delivering safe, inclusive, and ethical services. This assignment will discuss: (1) the importance of communication with Mrs Mann and her family, (2) the role of administrative skills in record-keeping and information governance, and (3) the significance of collaborative practice among professionals supporting her rehabilitation.</w:t>
      </w:r>
    </w:p>
    <w:p w14:paraId="42B08C7E" w14:textId="77777777" w:rsidR="005E7552" w:rsidRDefault="005E7552" w:rsidP="005E7552"/>
    <w:p w14:paraId="0A0AA87A" w14:textId="77777777" w:rsidR="005E7552" w:rsidRDefault="005E7552" w:rsidP="005E7552"/>
    <w:p w14:paraId="55EDF69C" w14:textId="77777777" w:rsidR="005E7552" w:rsidRDefault="005E7552" w:rsidP="005E7552">
      <w:r>
        <w:t>---</w:t>
      </w:r>
    </w:p>
    <w:p w14:paraId="251A918B" w14:textId="77777777" w:rsidR="005E7552" w:rsidRDefault="005E7552" w:rsidP="005E7552"/>
    <w:p w14:paraId="074E574B" w14:textId="77777777" w:rsidR="005E7552" w:rsidRDefault="005E7552" w:rsidP="005E7552">
      <w:r>
        <w:t>1. Communication in Mrs Mann’s Care (450 words)</w:t>
      </w:r>
    </w:p>
    <w:p w14:paraId="63778AE5" w14:textId="77777777" w:rsidR="005E7552" w:rsidRDefault="005E7552" w:rsidP="005E7552"/>
    <w:p w14:paraId="7C186B4C" w14:textId="77777777" w:rsidR="005E7552" w:rsidRDefault="005E7552" w:rsidP="005E7552">
      <w:r>
        <w:t>Communication is central to safe, effective, and person-centred care. In Mrs Mann’s case, her limited English proficiency highlights the importance of culturally sensitive communication and adherence to equality legislation. The Equality Act 2010 requires health and social care providers to ensure non-discrimination and equal access to services, including the duty to make reasonable adjustments for individuals with language barriers (Gov.UK, 2010). Effective communication strategies therefore must respect her cultural background and promote her autonomy in decision-making.</w:t>
      </w:r>
    </w:p>
    <w:p w14:paraId="4FD94954" w14:textId="77777777" w:rsidR="005E7552" w:rsidRDefault="005E7552" w:rsidP="005E7552"/>
    <w:p w14:paraId="5DDF0BFB" w14:textId="77777777" w:rsidR="005E7552" w:rsidRDefault="005E7552" w:rsidP="005E7552">
      <w:r>
        <w:t>Practitioners should adopt multiple approaches to communication with Mrs Mann. Firstly, professional interpreters or translation services should be used where possible rather than relying solely on family members, such as her daughter, to reduce misinterpretation risks (Rosenberg et al., 2021). Secondly, using visual aids, simple language, and non-verbal communication techniques may support understanding. Active listening and empathy also ensure Mrs Mann feels respected and valued.</w:t>
      </w:r>
    </w:p>
    <w:p w14:paraId="50DB8EAC" w14:textId="77777777" w:rsidR="005E7552" w:rsidRDefault="005E7552" w:rsidP="005E7552"/>
    <w:p w14:paraId="11FD4B4E" w14:textId="77777777" w:rsidR="005E7552" w:rsidRDefault="005E7552" w:rsidP="005E7552">
      <w:r>
        <w:t>A useful framework for communication is Berlo’s SMCR model (1960), which emphasises the interaction between sender, message, channel, and receiver. In practice, this model highlights the importance of tailoring communication channels to meet service users’ needs. For Mrs Mann, this may involve the care team adapting the message by providing translated written material, choosing appropriate channels such as face-to-face explanations, and ensuring feedback loops to confirm understanding. By applying the SMCR model, practitioners can reduce errors and enhance clarity across all interactions.</w:t>
      </w:r>
    </w:p>
    <w:p w14:paraId="3D3EBB9D" w14:textId="77777777" w:rsidR="005E7552" w:rsidRDefault="005E7552" w:rsidP="005E7552"/>
    <w:p w14:paraId="2AB04C6E" w14:textId="77777777" w:rsidR="005E7552" w:rsidRDefault="005E7552" w:rsidP="005E7552">
      <w:r>
        <w:t>Communication with family members, particularly Mrs Mann’s daughter, is also crucial. While her daughter’s support is beneficial, professionals must maintain professional boundaries and avoid over-reliance on informal interpreting. Clear explanations of care plans and treatment updates to both Mrs Mann and her daughter will help promote trust and family involvement in her recovery (NHS England, 2022).</w:t>
      </w:r>
    </w:p>
    <w:p w14:paraId="4870DBFF" w14:textId="77777777" w:rsidR="005E7552" w:rsidRDefault="005E7552" w:rsidP="005E7552"/>
    <w:p w14:paraId="2CB49CC8" w14:textId="77777777" w:rsidR="005E7552" w:rsidRDefault="005E7552" w:rsidP="005E7552">
      <w:r>
        <w:t>The missed communication leading to a delayed medication adjustment in Mrs Mann’s case illustrates the risks of ineffective communication. Poor handovers or unclear documentation can compromise patient safety (O’Hagan et al., 2014). Embedding structured communication frameworks, such as SBAR (Situation, Background, Assessment, Recommendation), can help professionals exchange clear, concise, and relevant information.</w:t>
      </w:r>
    </w:p>
    <w:p w14:paraId="27EF61A6" w14:textId="77777777" w:rsidR="005E7552" w:rsidRDefault="005E7552" w:rsidP="005E7552"/>
    <w:p w14:paraId="2581F19A" w14:textId="77777777" w:rsidR="005E7552" w:rsidRDefault="005E7552" w:rsidP="005E7552">
      <w:r>
        <w:t>In summary, effective communication in Mrs Mann’s care requires compliance with equality legislation, use of professional interpretation, culturally competent practice, and structured communication models. These measures ensure inclusivity, safety, and dignity in care delivery.</w:t>
      </w:r>
    </w:p>
    <w:p w14:paraId="051E61B0" w14:textId="77777777" w:rsidR="005E7552" w:rsidRDefault="005E7552" w:rsidP="005E7552"/>
    <w:p w14:paraId="79964E03" w14:textId="77777777" w:rsidR="005E7552" w:rsidRDefault="005E7552" w:rsidP="005E7552"/>
    <w:p w14:paraId="163BC852" w14:textId="77777777" w:rsidR="005E7552" w:rsidRDefault="005E7552" w:rsidP="005E7552">
      <w:r>
        <w:t>---</w:t>
      </w:r>
    </w:p>
    <w:p w14:paraId="0E80B59A" w14:textId="77777777" w:rsidR="005E7552" w:rsidRDefault="005E7552" w:rsidP="005E7552"/>
    <w:p w14:paraId="7AC3972E" w14:textId="77777777" w:rsidR="005E7552" w:rsidRDefault="005E7552" w:rsidP="005E7552">
      <w:r>
        <w:t>2. Administrative Skills and Record Keeping (450 words)</w:t>
      </w:r>
    </w:p>
    <w:p w14:paraId="3C8BAF6E" w14:textId="77777777" w:rsidR="005E7552" w:rsidRDefault="005E7552" w:rsidP="005E7552"/>
    <w:p w14:paraId="55D5E235" w14:textId="77777777" w:rsidR="005E7552" w:rsidRDefault="005E7552" w:rsidP="005E7552">
      <w:r>
        <w:t>Good administrative skills are vital in professional practice, especially in areas of record-keeping and information management. In Mrs Mann’s case, inconsistent documentation and a missed communication highlight the risks of poor administrative practice. Accurate records ensure continuity of care, safeguard service users, and uphold accountability within the care team (Royal College of Nursing, 2021).</w:t>
      </w:r>
    </w:p>
    <w:p w14:paraId="0953DD87" w14:textId="77777777" w:rsidR="005E7552" w:rsidRDefault="005E7552" w:rsidP="005E7552"/>
    <w:p w14:paraId="71664873" w14:textId="77777777" w:rsidR="005E7552" w:rsidRDefault="005E7552" w:rsidP="005E7552">
      <w:r>
        <w:t>The Data Protection Act 2018, incorporating the General Data Protection Regulation (GDPR), sets out legal requirements for handling personal information. Health and social care professionals must ensure that records are accurate, up to date, and stored securely to protect confidentiality. The Act establishes principles of lawfulness, fairness, transparency, data minimisation, and accountability, which directly apply to Mrs Mann’s care records. For example, her personal data should only be accessed by staff directly involved in her care and shared with external professionals, such as her GP and physiotherapist, only when necessary and proportionate (Information Commissioner’s Office, 2021).</w:t>
      </w:r>
    </w:p>
    <w:p w14:paraId="7BF65DC2" w14:textId="77777777" w:rsidR="005E7552" w:rsidRDefault="005E7552" w:rsidP="005E7552"/>
    <w:p w14:paraId="3577D097" w14:textId="77777777" w:rsidR="005E7552" w:rsidRDefault="005E7552" w:rsidP="005E7552">
      <w:r>
        <w:t>Inconsistent documentation, as seen in Mrs Mann’s case, undermines compliance with these principles and increases the risk of errors. For instance, a delayed medication adjustment due to incomplete records can compromise both safety and recovery. To mitigate such risks, staff should follow standardised record-keeping frameworks such as SOAP (Subjective, Objective, Assessment, Plan) notes or electronic care records that provide structured templates. Training in accurate record-keeping is also essential to ensure staff understand both legislative obligations and professional accountability.</w:t>
      </w:r>
    </w:p>
    <w:p w14:paraId="508A0719" w14:textId="77777777" w:rsidR="005E7552" w:rsidRDefault="005E7552" w:rsidP="005E7552"/>
    <w:p w14:paraId="5A3F268B" w14:textId="77777777" w:rsidR="005E7552" w:rsidRDefault="005E7552" w:rsidP="005E7552">
      <w:r>
        <w:t>Policy frameworks further emphasise the importance of administration in care practice. The Care Quality Commission (CQC) standards highlight good record-keeping as essential for demonstrating safe, effective, and person-centred care (CQC, 2021). Additionally, the NHS Code of Practice on Records Management outlines retention and disposal requirements, ensuring records are not kept longer than necessary while remaining accessible for care delivery.</w:t>
      </w:r>
    </w:p>
    <w:p w14:paraId="43B681E1" w14:textId="77777777" w:rsidR="005E7552" w:rsidRDefault="005E7552" w:rsidP="005E7552"/>
    <w:p w14:paraId="4BA17758" w14:textId="77777777" w:rsidR="005E7552" w:rsidRDefault="005E7552" w:rsidP="005E7552">
      <w:r>
        <w:t>Beyond legislation, effective administration requires organisational systems that support staff. For domiciliary care workers, mobile digital care record systems can improve real-time documentation, reduce duplication, and enhance communication between agencies. However, staff must also be digitally literate and supported through training to use such systems responsibly (Greenhalgh et al., 2017).</w:t>
      </w:r>
    </w:p>
    <w:p w14:paraId="0C6C464F" w14:textId="77777777" w:rsidR="005E7552" w:rsidRDefault="005E7552" w:rsidP="005E7552"/>
    <w:p w14:paraId="30D20849" w14:textId="77777777" w:rsidR="005E7552" w:rsidRDefault="005E7552" w:rsidP="005E7552">
      <w:r>
        <w:t>In Mrs Mann’s case, ensuring accurate and timely record-keeping is fundamental not only for legal compliance but also for safeguarding her wellbeing. By applying the principles of the Data Protection Act 2018, adhering to policy frameworks, and strengthening administrative skills, care professionals can reduce risks and improve care outcomes.</w:t>
      </w:r>
    </w:p>
    <w:p w14:paraId="0494AC38" w14:textId="77777777" w:rsidR="005E7552" w:rsidRDefault="005E7552" w:rsidP="005E7552"/>
    <w:p w14:paraId="569F8FB3" w14:textId="77777777" w:rsidR="005E7552" w:rsidRDefault="005E7552" w:rsidP="005E7552"/>
    <w:p w14:paraId="42589813" w14:textId="77777777" w:rsidR="005E7552" w:rsidRDefault="005E7552" w:rsidP="005E7552">
      <w:r>
        <w:t>---</w:t>
      </w:r>
    </w:p>
    <w:p w14:paraId="5BCEE6C5" w14:textId="77777777" w:rsidR="005E7552" w:rsidRDefault="005E7552" w:rsidP="005E7552"/>
    <w:p w14:paraId="2B77F38D" w14:textId="77777777" w:rsidR="005E7552" w:rsidRDefault="005E7552" w:rsidP="005E7552">
      <w:r>
        <w:t>3. Collaborative Working in Mrs Mann’s Care (300 words)</w:t>
      </w:r>
    </w:p>
    <w:p w14:paraId="33C735D9" w14:textId="77777777" w:rsidR="005E7552" w:rsidRDefault="005E7552" w:rsidP="005E7552"/>
    <w:p w14:paraId="7C69A690" w14:textId="77777777" w:rsidR="005E7552" w:rsidRDefault="005E7552" w:rsidP="005E7552">
      <w:r>
        <w:t>Collaborative working is essential in supporting Mrs Mann’s recovery, given the involvement of multiple professionals including domiciliary carers, her GP, and a community physiotherapist. Multi-agency collaboration promotes continuity of care, reduces duplication, and ensures holistic support tailored to the service user’s needs (Glasby &amp; Dickinson, 2014).</w:t>
      </w:r>
    </w:p>
    <w:p w14:paraId="7C27CF41" w14:textId="77777777" w:rsidR="005E7552" w:rsidRDefault="005E7552" w:rsidP="005E7552"/>
    <w:p w14:paraId="1E46F4DD" w14:textId="77777777" w:rsidR="005E7552" w:rsidRDefault="005E7552" w:rsidP="005E7552">
      <w:r>
        <w:t>Approaches to collaboration include regular multidisciplinary meetings, shared care plans, and the use of digital communication platforms. Shared documentation systems enable all professionals to access consistent information, reducing risks of miscommunication. Clear role definitions also help avoid duplication or gaps in care provision.</w:t>
      </w:r>
    </w:p>
    <w:p w14:paraId="232C8CB1" w14:textId="77777777" w:rsidR="005E7552" w:rsidRDefault="005E7552" w:rsidP="005E7552"/>
    <w:p w14:paraId="7F1E23EF" w14:textId="77777777" w:rsidR="005E7552" w:rsidRDefault="005E7552" w:rsidP="005E7552">
      <w:r>
        <w:t>Common challenges in collaborative practice include differing professional priorities, time constraints, and communication barriers (Waring et al., 2018). For example, domiciliary carers may focus on immediate personal care needs, while physiotherapists prioritise long-term rehabilitation. To address these challenges, strategies such as joint goal-setting with the patient at the centre, adopting standardised communication tools like SBAR, and encouraging inter-professional respect are crucial.</w:t>
      </w:r>
    </w:p>
    <w:p w14:paraId="42558C86" w14:textId="77777777" w:rsidR="005E7552" w:rsidRDefault="005E7552" w:rsidP="005E7552"/>
    <w:p w14:paraId="66FCBE87" w14:textId="77777777" w:rsidR="005E7552" w:rsidRDefault="005E7552" w:rsidP="005E7552">
      <w:r>
        <w:t>Another important strategy is involving Mrs Mann and her family in decision-making. Person-centred approaches ensure that care is not only clinically effective but also aligned with her preferences and cultural needs. This also fosters trust between professionals and the family.</w:t>
      </w:r>
    </w:p>
    <w:p w14:paraId="092636AF" w14:textId="77777777" w:rsidR="005E7552" w:rsidRDefault="005E7552" w:rsidP="005E7552"/>
    <w:p w14:paraId="1A0C91CC" w14:textId="77777777" w:rsidR="005E7552" w:rsidRDefault="005E7552" w:rsidP="005E7552">
      <w:r>
        <w:t>In summary, collaborative working ensures comprehensive, coordinated care for Mrs Mann. By addressing challenges through structured communication, shared systems, and person-centred planning, professionals can optimise her rehabilitation outcomes.</w:t>
      </w:r>
    </w:p>
    <w:p w14:paraId="6F41F7C1" w14:textId="77777777" w:rsidR="005E7552" w:rsidRDefault="005E7552" w:rsidP="005E7552"/>
    <w:p w14:paraId="50CA8D3D" w14:textId="77777777" w:rsidR="005E7552" w:rsidRDefault="005E7552" w:rsidP="005E7552"/>
    <w:p w14:paraId="05994D2F" w14:textId="77777777" w:rsidR="005E7552" w:rsidRDefault="005E7552" w:rsidP="005E7552">
      <w:r>
        <w:t>---</w:t>
      </w:r>
    </w:p>
    <w:p w14:paraId="6532A664" w14:textId="77777777" w:rsidR="005E7552" w:rsidRDefault="005E7552" w:rsidP="005E7552"/>
    <w:p w14:paraId="63262B82" w14:textId="77777777" w:rsidR="005E7552" w:rsidRDefault="005E7552" w:rsidP="005E7552">
      <w:r>
        <w:t>Conclusion (150 words)</w:t>
      </w:r>
    </w:p>
    <w:p w14:paraId="4A600A9E" w14:textId="77777777" w:rsidR="005E7552" w:rsidRDefault="005E7552" w:rsidP="005E7552"/>
    <w:p w14:paraId="61843AEB" w14:textId="77777777" w:rsidR="005E7552" w:rsidRDefault="005E7552" w:rsidP="005E7552">
      <w:r>
        <w:t>The case study of Mrs Mann illustrates the interdependence of communication, administration, and collaboration in delivering effective care. Communication, guided by the Equality Act 2010 and supported by models such as Berlo’s SMCR, ensures inclusivity and clarity, particularly where language barriers exist. Administrative skills, underpinned by the Data Protection Act 2018 and sector policies, safeguard confidentiality, promote accurate record-keeping, and support safe practice. Collaborative working across domiciliary care, general practice, and physiotherapy ensures that Mrs Mann’s recovery is holistic and person-centred, though challenges such as differing priorities require structured strategies. The issues identified in her case, including documentation errors and missed communication, demonstrate the risks of neglecting these core areas. Ultimately, the integration of effective communication, strong administration, and collaborative practice represents the foundation of safe, person-centred health and social care.</w:t>
      </w:r>
    </w:p>
    <w:p w14:paraId="28D53C50" w14:textId="77777777" w:rsidR="005E7552" w:rsidRDefault="005E7552" w:rsidP="005E7552"/>
    <w:p w14:paraId="177794F8" w14:textId="77777777" w:rsidR="005E7552" w:rsidRDefault="005E7552" w:rsidP="005E7552"/>
    <w:p w14:paraId="619AA1A5" w14:textId="77777777" w:rsidR="005E7552" w:rsidRDefault="005E7552" w:rsidP="005E7552">
      <w:r>
        <w:t>---</w:t>
      </w:r>
    </w:p>
    <w:p w14:paraId="04380F96" w14:textId="77777777" w:rsidR="005E7552" w:rsidRDefault="005E7552" w:rsidP="005E7552"/>
    <w:p w14:paraId="75BA9C65" w14:textId="77777777" w:rsidR="005E7552" w:rsidRDefault="005E7552" w:rsidP="005E7552">
      <w:r>
        <w:t>Reference List</w:t>
      </w:r>
    </w:p>
    <w:p w14:paraId="130EC3A8" w14:textId="77777777" w:rsidR="005E7552" w:rsidRDefault="005E7552" w:rsidP="005E7552"/>
    <w:p w14:paraId="3874CC56" w14:textId="77777777" w:rsidR="005E7552" w:rsidRDefault="005E7552" w:rsidP="005E7552">
      <w:r>
        <w:t>Care Quality Commission (CQC). (2021). Guidance for providers on meeting the regulations. CQC.</w:t>
      </w:r>
    </w:p>
    <w:p w14:paraId="73CFE3F1" w14:textId="77777777" w:rsidR="005E7552" w:rsidRDefault="005E7552" w:rsidP="005E7552"/>
    <w:p w14:paraId="0968998D" w14:textId="77777777" w:rsidR="005E7552" w:rsidRDefault="005E7552" w:rsidP="005E7552">
      <w:r>
        <w:t>Glasby, J. &amp; Dickinson, H. (2014). Partnership working in health and social care: What is integrated care and how can we deliver it? 2nd ed. Bristol: Policy Press.</w:t>
      </w:r>
    </w:p>
    <w:p w14:paraId="0CD77996" w14:textId="77777777" w:rsidR="005E7552" w:rsidRDefault="005E7552" w:rsidP="005E7552"/>
    <w:p w14:paraId="41602E48" w14:textId="77777777" w:rsidR="005E7552" w:rsidRDefault="005E7552" w:rsidP="005E7552">
      <w:r>
        <w:t>Gov.UK. (2010). Equality Act 2010: Guidance. Available at: https://www.gov.uk/guidance/equality-act-2010-guidance</w:t>
      </w:r>
    </w:p>
    <w:p w14:paraId="21DC623D" w14:textId="77777777" w:rsidR="005E7552" w:rsidRDefault="005E7552" w:rsidP="005E7552"/>
    <w:p w14:paraId="1EB18F16" w14:textId="77777777" w:rsidR="005E7552" w:rsidRDefault="005E7552" w:rsidP="005E7552">
      <w:r>
        <w:t>Greenhalgh, T., Wherton, J., Papoutsi, C., Lynch, J., &amp; Hughes, G. (2017). Beyond adoption: A new framework for theorizing and evaluating nonadoption, abandonment, and challenges to scale-up, spread, and sustainability of health and care technologies. Journal of Medical Internet Research, 19(11), e367.</w:t>
      </w:r>
    </w:p>
    <w:p w14:paraId="1CCAF910" w14:textId="77777777" w:rsidR="005E7552" w:rsidRDefault="005E7552" w:rsidP="005E7552"/>
    <w:p w14:paraId="31C1ABE3" w14:textId="77777777" w:rsidR="005E7552" w:rsidRDefault="005E7552" w:rsidP="005E7552">
      <w:r>
        <w:t>Information Commissioner’s Office (ICO). (2021). Guide to the UK General Data Protection Regulation (UK GDPR). ICO.</w:t>
      </w:r>
    </w:p>
    <w:p w14:paraId="6DEBEB78" w14:textId="77777777" w:rsidR="005E7552" w:rsidRDefault="005E7552" w:rsidP="005E7552"/>
    <w:p w14:paraId="0EB549CA" w14:textId="77777777" w:rsidR="005E7552" w:rsidRDefault="005E7552" w:rsidP="005E7552">
      <w:r>
        <w:t>O’Hagan, S., Manias, E., Elder, C., Pill, J., Woodward-Kron, R., McNamara, T., &amp; Webb, G. (2014). What counts as effective communication in nursing? Evidence from nurse educators and clinicians’ feedback on nurse interactions with simulated patients. Journal of Advanced Nursing, 70(6), 1344–1355.</w:t>
      </w:r>
    </w:p>
    <w:p w14:paraId="5BDC9323" w14:textId="77777777" w:rsidR="005E7552" w:rsidRDefault="005E7552" w:rsidP="005E7552"/>
    <w:p w14:paraId="38058DDE" w14:textId="77777777" w:rsidR="005E7552" w:rsidRDefault="005E7552" w:rsidP="005E7552">
      <w:r>
        <w:t>Rosenberg, E., Richard, C., Lussier, M. T., &amp; Abdool, S. N. (2021). Interpreting in primary care: Comparing strategies for medical interpreters and family interpreters. Patient Education and Counseling, 104(6), 1285–1292.</w:t>
      </w:r>
    </w:p>
    <w:p w14:paraId="4820438E" w14:textId="77777777" w:rsidR="005E7552" w:rsidRDefault="005E7552" w:rsidP="005E7552"/>
    <w:p w14:paraId="18CC8A7C" w14:textId="77777777" w:rsidR="005E7552" w:rsidRDefault="005E7552" w:rsidP="005E7552">
      <w:r>
        <w:t>Royal College of Nursing (RCN). (2021). Record keeping: The facts. RCN.</w:t>
      </w:r>
    </w:p>
    <w:p w14:paraId="79E98019" w14:textId="77777777" w:rsidR="005E7552" w:rsidRDefault="005E7552" w:rsidP="005E7552"/>
    <w:p w14:paraId="0DE4431C" w14:textId="77777777" w:rsidR="005E7552" w:rsidRDefault="005E7552">
      <w:r>
        <w:t>Waring, J., Currie, G., Crompton, A., &amp; Bishop, S. (2018). An exploratory study of knowledge brokering in hospital settings: Facilitating knowledge sharing and learning for patient safety? Social Science &amp; Medicine, 194, 179–187.</w:t>
      </w:r>
    </w:p>
    <w:sectPr w:rsidR="005E7552">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roman"/>
    <w:notTrueType/>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7552"/>
    <w:rsid w:val="00004BE1"/>
    <w:rsid w:val="005E7552"/>
    <w:rsid w:val="00670F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6D05879"/>
  <w15:chartTrackingRefBased/>
  <w15:docId w15:val="{D7643448-6EBE-344C-B80B-C8FE253662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755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E755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E755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E755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E755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E755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E755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E755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E755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755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E755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E755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E755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E755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E755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E755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E755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E7552"/>
    <w:rPr>
      <w:rFonts w:eastAsiaTheme="majorEastAsia" w:cstheme="majorBidi"/>
      <w:color w:val="272727" w:themeColor="text1" w:themeTint="D8"/>
    </w:rPr>
  </w:style>
  <w:style w:type="paragraph" w:styleId="Title">
    <w:name w:val="Title"/>
    <w:basedOn w:val="Normal"/>
    <w:next w:val="Normal"/>
    <w:link w:val="TitleChar"/>
    <w:uiPriority w:val="10"/>
    <w:qFormat/>
    <w:rsid w:val="005E755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E755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E755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E755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E7552"/>
    <w:pPr>
      <w:spacing w:before="160"/>
      <w:jc w:val="center"/>
    </w:pPr>
    <w:rPr>
      <w:i/>
      <w:iCs/>
      <w:color w:val="404040" w:themeColor="text1" w:themeTint="BF"/>
    </w:rPr>
  </w:style>
  <w:style w:type="character" w:customStyle="1" w:styleId="QuoteChar">
    <w:name w:val="Quote Char"/>
    <w:basedOn w:val="DefaultParagraphFont"/>
    <w:link w:val="Quote"/>
    <w:uiPriority w:val="29"/>
    <w:rsid w:val="005E7552"/>
    <w:rPr>
      <w:i/>
      <w:iCs/>
      <w:color w:val="404040" w:themeColor="text1" w:themeTint="BF"/>
    </w:rPr>
  </w:style>
  <w:style w:type="paragraph" w:styleId="ListParagraph">
    <w:name w:val="List Paragraph"/>
    <w:basedOn w:val="Normal"/>
    <w:uiPriority w:val="34"/>
    <w:qFormat/>
    <w:rsid w:val="005E7552"/>
    <w:pPr>
      <w:ind w:left="720"/>
      <w:contextualSpacing/>
    </w:pPr>
  </w:style>
  <w:style w:type="character" w:styleId="IntenseEmphasis">
    <w:name w:val="Intense Emphasis"/>
    <w:basedOn w:val="DefaultParagraphFont"/>
    <w:uiPriority w:val="21"/>
    <w:qFormat/>
    <w:rsid w:val="005E7552"/>
    <w:rPr>
      <w:i/>
      <w:iCs/>
      <w:color w:val="0F4761" w:themeColor="accent1" w:themeShade="BF"/>
    </w:rPr>
  </w:style>
  <w:style w:type="paragraph" w:styleId="IntenseQuote">
    <w:name w:val="Intense Quote"/>
    <w:basedOn w:val="Normal"/>
    <w:next w:val="Normal"/>
    <w:link w:val="IntenseQuoteChar"/>
    <w:uiPriority w:val="30"/>
    <w:qFormat/>
    <w:rsid w:val="005E755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E7552"/>
    <w:rPr>
      <w:i/>
      <w:iCs/>
      <w:color w:val="0F4761" w:themeColor="accent1" w:themeShade="BF"/>
    </w:rPr>
  </w:style>
  <w:style w:type="character" w:styleId="IntenseReference">
    <w:name w:val="Intense Reference"/>
    <w:basedOn w:val="DefaultParagraphFont"/>
    <w:uiPriority w:val="32"/>
    <w:qFormat/>
    <w:rsid w:val="005E7552"/>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5" Type="http://schemas.openxmlformats.org/officeDocument/2006/relationships/theme" Target="theme/theme1.xml" /><Relationship Id="rId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1747</Words>
  <Characters>9964</Characters>
  <Application>Microsoft Office Word</Application>
  <DocSecurity>0</DocSecurity>
  <Lines>83</Lines>
  <Paragraphs>23</Paragraphs>
  <ScaleCrop>false</ScaleCrop>
  <Company/>
  <LinksUpToDate>false</LinksUpToDate>
  <CharactersWithSpaces>11688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ameerah diamico</dc:creator>
  <cp:keywords/>
  <dc:description/>
  <cp:lastModifiedBy>ameerah diamico</cp:lastModifiedBy>
  <cp:revision>2</cp:revision>
  <dcterms:created xsi:type="dcterms:W3CDTF">2025-09-20T08:52:00Z</dcterms:created>
  <dcterms:modified xsi:type="dcterms:W3CDTF">2025-09-20T08:52:00Z</dcterms:modified>
</cp:coreProperties>
</file>