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A0E69" w:rsidRDefault="003E39B6" w:rsidP="003E39B6">
      <w:pPr>
        <w:rPr>
          <w:rStyle w:val="Emphasis"/>
          <w:rFonts w:asciiTheme="majorHAnsi" w:hAnsiTheme="majorHAnsi" w:cstheme="majorHAnsi"/>
          <w:i w:val="0"/>
          <w:sz w:val="24"/>
          <w:szCs w:val="21"/>
          <w:shd w:val="clear" w:color="auto" w:fill="FFFFFF"/>
        </w:rPr>
      </w:pPr>
      <w:r w:rsidRPr="003E39B6">
        <w:rPr>
          <w:rStyle w:val="Emphasis"/>
          <w:rFonts w:asciiTheme="majorHAnsi" w:hAnsiTheme="majorHAnsi" w:cstheme="majorHAnsi"/>
          <w:i w:val="0"/>
          <w:sz w:val="24"/>
          <w:szCs w:val="21"/>
          <w:shd w:val="clear" w:color="auto" w:fill="FFFFFF"/>
        </w:rPr>
        <w:t>Critically discuss whether Boudicca was just a literary invention. Does a critical analysis of ancient literary and archaeological sources allow us to demonstrate her existence and her alleged activities without any doubt?</w:t>
      </w:r>
    </w:p>
    <w:p w:rsidR="003E39B6" w:rsidRPr="003E39B6" w:rsidRDefault="003E39B6" w:rsidP="003E39B6">
      <w:pPr>
        <w:rPr>
          <w:rFonts w:asciiTheme="majorHAnsi" w:hAnsiTheme="majorHAnsi" w:cstheme="majorHAnsi"/>
          <w:i/>
          <w:sz w:val="28"/>
        </w:rPr>
      </w:pPr>
    </w:p>
    <w:p w:rsidR="004A0E69" w:rsidRDefault="004A0E69">
      <w:r>
        <w:t>Boudicca is one of the most legendary female characters</w:t>
      </w:r>
      <w:r w:rsidR="0045117C">
        <w:t xml:space="preserve"> in British history, but also</w:t>
      </w:r>
      <w:r w:rsidR="00193585">
        <w:t xml:space="preserve"> one around which academia is divided</w:t>
      </w:r>
      <w:r>
        <w:t>.</w:t>
      </w:r>
      <w:r w:rsidR="0063534F">
        <w:t xml:space="preserve"> </w:t>
      </w:r>
      <w:r w:rsidR="0045117C">
        <w:t xml:space="preserve">The works of two prolific Roman writers, Cassius Dio and Tacitus, use her character for their own intentions, using the story of the revolt to </w:t>
      </w:r>
      <w:r w:rsidR="000B2EAC">
        <w:t>demonstrate their points about the Roman government of the time</w:t>
      </w:r>
      <w:r w:rsidR="0045117C">
        <w:t>.</w:t>
      </w:r>
      <w:r w:rsidR="007115E0">
        <w:rPr>
          <w:rStyle w:val="FootnoteReference"/>
        </w:rPr>
        <w:footnoteReference w:id="1"/>
      </w:r>
      <w:r w:rsidR="0045117C">
        <w:t xml:space="preserve"> Therefore, t</w:t>
      </w:r>
      <w:r>
        <w:t xml:space="preserve">he aims of this essay are to </w:t>
      </w:r>
      <w:r w:rsidR="0016724B">
        <w:t>examine</w:t>
      </w:r>
      <w:r w:rsidR="007115E0">
        <w:t xml:space="preserve"> the problems with the</w:t>
      </w:r>
      <w:r w:rsidR="0016724B">
        <w:t>se</w:t>
      </w:r>
      <w:r w:rsidR="007115E0">
        <w:t xml:space="preserve"> ancient sources, and</w:t>
      </w:r>
      <w:r w:rsidR="0016724B">
        <w:t xml:space="preserve"> look at</w:t>
      </w:r>
      <w:r w:rsidR="007115E0">
        <w:t xml:space="preserve"> how feasible</w:t>
      </w:r>
      <w:r w:rsidR="0016724B">
        <w:t xml:space="preserve"> it is that</w:t>
      </w:r>
      <w:r w:rsidR="007115E0">
        <w:t xml:space="preserve"> the events were</w:t>
      </w:r>
      <w:r w:rsidR="0016724B">
        <w:t xml:space="preserve"> orchestrated by Boudicca</w:t>
      </w:r>
      <w:r>
        <w:t>. This is an important</w:t>
      </w:r>
      <w:r w:rsidR="0045117C">
        <w:t xml:space="preserve"> subject</w:t>
      </w:r>
      <w:r>
        <w:t>, as we have relatively little information about the Britons compared to</w:t>
      </w:r>
      <w:r w:rsidR="0045117C">
        <w:t xml:space="preserve"> some of</w:t>
      </w:r>
      <w:r>
        <w:t xml:space="preserve"> their European counterparts, and this character</w:t>
      </w:r>
      <w:r w:rsidR="0045117C">
        <w:t xml:space="preserve"> of Boudicca</w:t>
      </w:r>
      <w:r>
        <w:t xml:space="preserve"> is so central to our image of </w:t>
      </w:r>
      <w:r w:rsidR="0045117C">
        <w:t>the Britons</w:t>
      </w:r>
      <w:r>
        <w:t>.</w:t>
      </w:r>
      <w:r w:rsidR="007115E0">
        <w:rPr>
          <w:rStyle w:val="FootnoteReference"/>
        </w:rPr>
        <w:footnoteReference w:id="2"/>
      </w:r>
      <w:r>
        <w:t xml:space="preserve"> I </w:t>
      </w:r>
      <w:r w:rsidR="000B2EAC">
        <w:t>believe</w:t>
      </w:r>
      <w:r>
        <w:t xml:space="preserve"> that Boudicca was indeed the leader of the revolt, as we have no strong reason to doubt this, but the truth is</w:t>
      </w:r>
      <w:r w:rsidR="0016724B">
        <w:t>,</w:t>
      </w:r>
      <w:r>
        <w:t xml:space="preserve"> </w:t>
      </w:r>
      <w:r w:rsidR="000B2EAC">
        <w:t>as always</w:t>
      </w:r>
      <w:r w:rsidR="0016724B">
        <w:t>,</w:t>
      </w:r>
      <w:r w:rsidR="000B2EAC">
        <w:t xml:space="preserve"> </w:t>
      </w:r>
      <w:r>
        <w:t>lost in time</w:t>
      </w:r>
      <w:r w:rsidR="00BA7BF7">
        <w:t xml:space="preserve">. However, I find that Boudicca is likely not the character depicted by Cassius Dio </w:t>
      </w:r>
      <w:r w:rsidR="007115E0">
        <w:t>or</w:t>
      </w:r>
      <w:r w:rsidR="00BA7BF7">
        <w:t xml:space="preserve"> Tacitus</w:t>
      </w:r>
      <w:r w:rsidR="0016724B">
        <w:t>:</w:t>
      </w:r>
      <w:r w:rsidR="00BA7BF7">
        <w:t xml:space="preserve"> a symbol of defiance</w:t>
      </w:r>
      <w:r w:rsidR="000E20A4">
        <w:t xml:space="preserve"> making grand speeches</w:t>
      </w:r>
      <w:r w:rsidR="007115E0">
        <w:t>,</w:t>
      </w:r>
      <w:r w:rsidR="00625C79">
        <w:t xml:space="preserve"> which is her modern facade</w:t>
      </w:r>
      <w:r w:rsidR="00BA7BF7">
        <w:t>.</w:t>
      </w:r>
      <w:r w:rsidR="00BA7BF7">
        <w:rPr>
          <w:rStyle w:val="FootnoteReference"/>
        </w:rPr>
        <w:footnoteReference w:id="3"/>
      </w:r>
      <w:r>
        <w:t xml:space="preserve"> To come to this conclusion, this essay </w:t>
      </w:r>
      <w:r w:rsidR="0045117C">
        <w:t xml:space="preserve">critically </w:t>
      </w:r>
      <w:r>
        <w:t>examines th</w:t>
      </w:r>
      <w:r w:rsidR="00E3583D">
        <w:t xml:space="preserve">e </w:t>
      </w:r>
      <w:r w:rsidR="00A1623C">
        <w:t xml:space="preserve">curious etymology of the name ‘Boudicca’, the </w:t>
      </w:r>
      <w:r w:rsidR="00E3583D">
        <w:t>two authors motives for their writings and possible reasons why they may fabricate such a character, the</w:t>
      </w:r>
      <w:r>
        <w:t xml:space="preserve"> literary texts and where</w:t>
      </w:r>
      <w:r w:rsidR="00D80E8F">
        <w:t xml:space="preserve"> they diverge</w:t>
      </w:r>
      <w:r w:rsidR="0043632C">
        <w:t xml:space="preserve"> and why, if the events happened </w:t>
      </w:r>
      <w:r w:rsidR="0045117C">
        <w:t>,</w:t>
      </w:r>
      <w:r>
        <w:t xml:space="preserve"> the archaeological evidence t</w:t>
      </w:r>
      <w:r w:rsidR="0045117C">
        <w:t>hat</w:t>
      </w:r>
      <w:r>
        <w:t xml:space="preserve"> support</w:t>
      </w:r>
      <w:r w:rsidR="0045117C">
        <w:t>s</w:t>
      </w:r>
      <w:r>
        <w:t xml:space="preserve"> a revolt at the time, </w:t>
      </w:r>
      <w:r w:rsidR="00A1623C">
        <w:t xml:space="preserve">and </w:t>
      </w:r>
      <w:r>
        <w:t xml:space="preserve">the archaeological evidence to support the idea of a British </w:t>
      </w:r>
      <w:r w:rsidR="00C15C49">
        <w:t>w</w:t>
      </w:r>
      <w:r>
        <w:t>arrior-</w:t>
      </w:r>
      <w:r w:rsidR="00C15C49">
        <w:t>q</w:t>
      </w:r>
      <w:r>
        <w:t>ueen</w:t>
      </w:r>
      <w:r w:rsidR="00A1623C">
        <w:t xml:space="preserve">. </w:t>
      </w:r>
      <w:r w:rsidR="007115E0">
        <w:t>Modern scholarship will be used and contested throughout</w:t>
      </w:r>
      <w:r w:rsidR="000E20A4">
        <w:t>, a</w:t>
      </w:r>
      <w:r w:rsidR="007115E0">
        <w:t>nalys</w:t>
      </w:r>
      <w:r w:rsidR="000E20A4">
        <w:t>ing</w:t>
      </w:r>
      <w:r w:rsidR="007115E0">
        <w:t xml:space="preserve"> the subject and find the most </w:t>
      </w:r>
      <w:r w:rsidR="000E20A4">
        <w:t>credible</w:t>
      </w:r>
      <w:r w:rsidR="007115E0">
        <w:t xml:space="preserve"> </w:t>
      </w:r>
      <w:r w:rsidR="00193585">
        <w:t>conclusion</w:t>
      </w:r>
      <w:r w:rsidR="007115E0">
        <w:t>.</w:t>
      </w:r>
    </w:p>
    <w:p w:rsidR="00A1623C" w:rsidRDefault="00A1623C">
      <w:r>
        <w:t>To begin with, even her name creates some interesting contention. A translation of ‘Boudicca’ is ‘victorious’.</w:t>
      </w:r>
      <w:r>
        <w:rPr>
          <w:rStyle w:val="FootnoteReference"/>
        </w:rPr>
        <w:footnoteReference w:id="4"/>
      </w:r>
      <w:r>
        <w:t xml:space="preserve"> This sounds like a very convenient name for her, however it must be remembered that Boudicca was not victorious in the end, and therefore this name might be correct, rather than a mistranslation or a misunderstanding by the Romans, mistaking a British word for a female noun due to the -a suffix on the word.</w:t>
      </w:r>
      <w:r>
        <w:rPr>
          <w:rStyle w:val="FootnoteReference"/>
        </w:rPr>
        <w:footnoteReference w:id="5"/>
      </w:r>
    </w:p>
    <w:p w:rsidR="00B9691B" w:rsidRDefault="0020407E">
      <w:r>
        <w:t xml:space="preserve">To begin, </w:t>
      </w:r>
      <w:r w:rsidR="00CC73AB">
        <w:t>Tacitus gives two different accounts of Boudicca’s rebellion in two different works.</w:t>
      </w:r>
      <w:r w:rsidR="00CC73AB">
        <w:rPr>
          <w:rStyle w:val="FootnoteReference"/>
        </w:rPr>
        <w:footnoteReference w:id="6"/>
      </w:r>
      <w:r w:rsidR="00CC73AB">
        <w:t xml:space="preserve"> </w:t>
      </w:r>
      <w:r w:rsidR="00910177">
        <w:t xml:space="preserve">His </w:t>
      </w:r>
      <w:r w:rsidR="00910177" w:rsidRPr="00910177">
        <w:rPr>
          <w:i/>
        </w:rPr>
        <w:t>Annals</w:t>
      </w:r>
      <w:r w:rsidR="00910177">
        <w:t xml:space="preserve"> and </w:t>
      </w:r>
      <w:r w:rsidR="00910177" w:rsidRPr="00910177">
        <w:rPr>
          <w:i/>
        </w:rPr>
        <w:t>Agricola</w:t>
      </w:r>
      <w:r w:rsidR="00910177">
        <w:rPr>
          <w:i/>
        </w:rPr>
        <w:t xml:space="preserve"> </w:t>
      </w:r>
      <w:r w:rsidR="00910177">
        <w:t>are the closest to the date, and most detailed sources about Boudicca.</w:t>
      </w:r>
      <w:r w:rsidR="00910177">
        <w:rPr>
          <w:rStyle w:val="FootnoteReference"/>
        </w:rPr>
        <w:footnoteReference w:id="7"/>
      </w:r>
      <w:r w:rsidR="00910177">
        <w:t xml:space="preserve"> </w:t>
      </w:r>
      <w:r w:rsidR="005A6905" w:rsidRPr="00910177">
        <w:t>Tacitus</w:t>
      </w:r>
      <w:r w:rsidR="005A6905">
        <w:t xml:space="preserve"> is writing </w:t>
      </w:r>
      <w:r w:rsidR="005A6905" w:rsidRPr="005A6905">
        <w:rPr>
          <w:i/>
        </w:rPr>
        <w:t>The</w:t>
      </w:r>
      <w:r w:rsidR="005A6905">
        <w:t xml:space="preserve"> </w:t>
      </w:r>
      <w:r w:rsidR="005A6905" w:rsidRPr="005A6905">
        <w:rPr>
          <w:i/>
        </w:rPr>
        <w:t xml:space="preserve">Annals </w:t>
      </w:r>
      <w:r w:rsidR="0063534F">
        <w:t xml:space="preserve">as </w:t>
      </w:r>
      <w:r w:rsidR="005A6905">
        <w:t xml:space="preserve">a dramatic </w:t>
      </w:r>
      <w:r w:rsidR="00840ACA">
        <w:t>but precise work</w:t>
      </w:r>
      <w:r w:rsidR="005A6905">
        <w:t xml:space="preserve">, and </w:t>
      </w:r>
      <w:r w:rsidR="00840ACA">
        <w:t xml:space="preserve">focuses on the character </w:t>
      </w:r>
      <w:r w:rsidR="005A6905">
        <w:t>dilemmas</w:t>
      </w:r>
      <w:r w:rsidR="00840ACA">
        <w:t xml:space="preserve"> when possible</w:t>
      </w:r>
      <w:r w:rsidR="005A6905">
        <w:t>.</w:t>
      </w:r>
      <w:r w:rsidR="005A054A">
        <w:rPr>
          <w:rStyle w:val="FootnoteReference"/>
        </w:rPr>
        <w:footnoteReference w:id="8"/>
      </w:r>
      <w:r w:rsidR="005A054A">
        <w:t xml:space="preserve"> </w:t>
      </w:r>
      <w:r w:rsidR="00486988">
        <w:t>He also avoids detail about battles, and held distaste for the ruling emperors of the time.</w:t>
      </w:r>
      <w:r w:rsidR="00B9691B">
        <w:rPr>
          <w:rStyle w:val="FootnoteReference"/>
        </w:rPr>
        <w:footnoteReference w:id="9"/>
      </w:r>
      <w:r w:rsidR="00486988">
        <w:t xml:space="preserve"> </w:t>
      </w:r>
      <w:r w:rsidR="00B9691B">
        <w:t>Because of this he gives strong narratives of dissension with Roman rule, like Boudicca’s story.</w:t>
      </w:r>
      <w:r w:rsidR="00B9691B">
        <w:rPr>
          <w:rStyle w:val="FootnoteReference"/>
        </w:rPr>
        <w:footnoteReference w:id="10"/>
      </w:r>
      <w:r w:rsidR="00B9691B">
        <w:t xml:space="preserve"> </w:t>
      </w:r>
    </w:p>
    <w:p w:rsidR="00D4359E" w:rsidRDefault="005A054A">
      <w:r>
        <w:t xml:space="preserve">Syme </w:t>
      </w:r>
      <w:r w:rsidR="00C15C49">
        <w:t>c</w:t>
      </w:r>
      <w:r>
        <w:t xml:space="preserve">laims Tacitus </w:t>
      </w:r>
      <w:r w:rsidR="00840ACA">
        <w:t xml:space="preserve">likes </w:t>
      </w:r>
      <w:r w:rsidR="006122DB">
        <w:t xml:space="preserve">the </w:t>
      </w:r>
      <w:r w:rsidR="00840ACA">
        <w:t xml:space="preserve">motives of </w:t>
      </w:r>
      <w:r w:rsidR="006122DB">
        <w:t xml:space="preserve">his </w:t>
      </w:r>
      <w:r w:rsidR="00840ACA">
        <w:t>characters, and brings them to the forefront.</w:t>
      </w:r>
      <w:r w:rsidR="00840ACA">
        <w:rPr>
          <w:rStyle w:val="FootnoteReference"/>
        </w:rPr>
        <w:footnoteReference w:id="11"/>
      </w:r>
      <w:r w:rsidR="00840ACA">
        <w:t xml:space="preserve"> I agree with this sentiment as his Boudicca</w:t>
      </w:r>
      <w:r w:rsidR="0063534F">
        <w:t>’s</w:t>
      </w:r>
      <w:r w:rsidR="004C30D7">
        <w:t xml:space="preserve"> </w:t>
      </w:r>
      <w:r w:rsidR="00840ACA">
        <w:t>character</w:t>
      </w:r>
      <w:r w:rsidR="004C30D7">
        <w:t xml:space="preserve"> </w:t>
      </w:r>
      <w:r w:rsidR="0063534F">
        <w:t xml:space="preserve">has </w:t>
      </w:r>
      <w:r w:rsidR="00840ACA">
        <w:t>depth and motive.</w:t>
      </w:r>
      <w:r w:rsidR="00840ACA">
        <w:rPr>
          <w:rStyle w:val="FootnoteReference"/>
        </w:rPr>
        <w:footnoteReference w:id="12"/>
      </w:r>
      <w:r w:rsidR="00D4359E">
        <w:t xml:space="preserve"> </w:t>
      </w:r>
      <w:r w:rsidR="00A91369">
        <w:t xml:space="preserve">This could be interpreted that Boudicca was brought to the forefront by Tacitus more than </w:t>
      </w:r>
      <w:r w:rsidR="00486988">
        <w:t>she</w:t>
      </w:r>
      <w:r w:rsidR="00A91369">
        <w:t xml:space="preserve"> was</w:t>
      </w:r>
      <w:r w:rsidR="00486988">
        <w:t xml:space="preserve"> in reality,</w:t>
      </w:r>
      <w:r w:rsidR="00B9691B">
        <w:t xml:space="preserve"> </w:t>
      </w:r>
      <w:r w:rsidR="00486988">
        <w:t>giving him</w:t>
      </w:r>
      <w:r w:rsidR="00A91369">
        <w:t xml:space="preserve"> a </w:t>
      </w:r>
      <w:r w:rsidR="00A91369">
        <w:lastRenderedPageBreak/>
        <w:t xml:space="preserve">better character narrative. </w:t>
      </w:r>
      <w:r w:rsidR="00D4359E">
        <w:t>Syme also makes note of the idea that Tacitus has a dislike of women, and dismisses this.</w:t>
      </w:r>
      <w:r w:rsidR="00D4359E">
        <w:rPr>
          <w:rStyle w:val="FootnoteReference"/>
        </w:rPr>
        <w:footnoteReference w:id="13"/>
      </w:r>
      <w:r w:rsidR="00974497">
        <w:t xml:space="preserve"> If this were the case, perhaps the events Tacitus’ </w:t>
      </w:r>
      <w:r w:rsidR="006122DB">
        <w:t>describes about</w:t>
      </w:r>
      <w:r w:rsidR="00974497">
        <w:t xml:space="preserve"> Boudicca were invented to show how female leaders were weak.</w:t>
      </w:r>
      <w:r w:rsidR="00974497">
        <w:rPr>
          <w:rStyle w:val="FootnoteReference"/>
        </w:rPr>
        <w:footnoteReference w:id="14"/>
      </w:r>
      <w:r w:rsidR="00D4359E">
        <w:t xml:space="preserve"> I would </w:t>
      </w:r>
      <w:r w:rsidR="00974497">
        <w:t>reject this</w:t>
      </w:r>
      <w:r w:rsidR="006122DB">
        <w:t>,</w:t>
      </w:r>
      <w:r w:rsidR="00974497">
        <w:t xml:space="preserve"> as </w:t>
      </w:r>
      <w:r w:rsidR="00D4359E">
        <w:t xml:space="preserve">even though Boudicca is defeated and poisons herself, in the very next sentence a </w:t>
      </w:r>
      <w:r w:rsidR="00F619AC">
        <w:t>R</w:t>
      </w:r>
      <w:r w:rsidR="00D4359E">
        <w:t>oman do</w:t>
      </w:r>
      <w:r w:rsidR="00354182">
        <w:t>es</w:t>
      </w:r>
      <w:r w:rsidR="00D4359E">
        <w:t xml:space="preserve"> something very similar out of honour, highlighting Boudicca’s honour rather than her failures.</w:t>
      </w:r>
      <w:r w:rsidR="00D4359E">
        <w:rPr>
          <w:rStyle w:val="FootnoteReference"/>
        </w:rPr>
        <w:footnoteReference w:id="15"/>
      </w:r>
      <w:r w:rsidR="00D4359E">
        <w:t xml:space="preserve"> </w:t>
      </w:r>
      <w:r w:rsidR="003F0796">
        <w:t>Also, because Tacitus mentions and uses multiple sources for his writings, it is unlikely he would invent Boudicca’s role in the events, otherwise they would conflict with then existing accounts.</w:t>
      </w:r>
      <w:r w:rsidR="003F0796">
        <w:rPr>
          <w:rStyle w:val="FootnoteReference"/>
        </w:rPr>
        <w:footnoteReference w:id="16"/>
      </w:r>
    </w:p>
    <w:p w:rsidR="00F93D90" w:rsidRDefault="003D737F">
      <w:r>
        <w:t xml:space="preserve">The other main ancient source for Boudicca is </w:t>
      </w:r>
      <w:r w:rsidR="00D4359E">
        <w:t>Cassius Dio</w:t>
      </w:r>
      <w:r>
        <w:t>, a Consul from Bithynia, who emulated the style of Thucydides.</w:t>
      </w:r>
      <w:r>
        <w:rPr>
          <w:rStyle w:val="FootnoteReference"/>
        </w:rPr>
        <w:footnoteReference w:id="17"/>
      </w:r>
      <w:r>
        <w:t xml:space="preserve"> Dio lived in a period of Rome that </w:t>
      </w:r>
      <w:r w:rsidR="0063534F">
        <w:t>had a negative</w:t>
      </w:r>
      <w:r>
        <w:t xml:space="preserve"> outlook on the Empire, living in a period of treachery and anxiety for Rome.</w:t>
      </w:r>
      <w:r>
        <w:rPr>
          <w:rStyle w:val="FootnoteReference"/>
        </w:rPr>
        <w:footnoteReference w:id="18"/>
      </w:r>
      <w:r>
        <w:t xml:space="preserve"> </w:t>
      </w:r>
      <w:r w:rsidR="00193585">
        <w:t>Sources show that Dio was critical and unenthused with the state of Rome’s politics, as demonstrated by the first line in which the rebellion is mentioned</w:t>
      </w:r>
      <w:r w:rsidR="008D3703">
        <w:t>.</w:t>
      </w:r>
      <w:r w:rsidR="0063534F">
        <w:rPr>
          <w:rStyle w:val="FootnoteReference"/>
        </w:rPr>
        <w:footnoteReference w:id="19"/>
      </w:r>
      <w:r w:rsidR="008D3703">
        <w:t xml:space="preserve"> </w:t>
      </w:r>
      <w:r>
        <w:t xml:space="preserve">Dio </w:t>
      </w:r>
      <w:r w:rsidR="008D3703">
        <w:t>used</w:t>
      </w:r>
      <w:r>
        <w:t xml:space="preserve"> </w:t>
      </w:r>
      <w:r w:rsidR="008D3703">
        <w:t xml:space="preserve">not only extensive research to write his histories, but also </w:t>
      </w:r>
      <w:r>
        <w:t xml:space="preserve">his own knowledge of politics to influence his writing of previous times, so it is likely he </w:t>
      </w:r>
      <w:r w:rsidR="006122DB">
        <w:t>has</w:t>
      </w:r>
      <w:r>
        <w:t xml:space="preserve"> a cynical approach to Rome in his accounts</w:t>
      </w:r>
      <w:r w:rsidR="008D3703">
        <w:t xml:space="preserve"> regardless of the comparison </w:t>
      </w:r>
      <w:r w:rsidR="006122DB">
        <w:t>being</w:t>
      </w:r>
      <w:r w:rsidR="008D3703">
        <w:t xml:space="preserve"> fair</w:t>
      </w:r>
      <w:r w:rsidR="006122DB">
        <w:t xml:space="preserve"> or not</w:t>
      </w:r>
      <w:r>
        <w:t>.</w:t>
      </w:r>
      <w:r w:rsidR="008D3703">
        <w:rPr>
          <w:rStyle w:val="FootnoteReference"/>
        </w:rPr>
        <w:footnoteReference w:id="20"/>
      </w:r>
      <w:r w:rsidR="002D22E4">
        <w:t xml:space="preserve"> </w:t>
      </w:r>
    </w:p>
    <w:p w:rsidR="00D4359E" w:rsidRPr="005A6905" w:rsidRDefault="00354182">
      <w:r>
        <w:t>Also,</w:t>
      </w:r>
      <w:r w:rsidR="002D22E4">
        <w:t xml:space="preserve"> Cassius Dio was born around 165</w:t>
      </w:r>
      <w:r w:rsidR="005452C4">
        <w:t xml:space="preserve"> </w:t>
      </w:r>
      <w:r w:rsidR="002D22E4">
        <w:t xml:space="preserve">CE, and the </w:t>
      </w:r>
      <w:r w:rsidR="00330F0F">
        <w:t>r</w:t>
      </w:r>
      <w:r w:rsidR="002D22E4">
        <w:t>e</w:t>
      </w:r>
      <w:r w:rsidR="0063534F">
        <w:t>volt</w:t>
      </w:r>
      <w:r w:rsidR="002D22E4">
        <w:t xml:space="preserve"> was</w:t>
      </w:r>
      <w:r w:rsidR="003F0796">
        <w:t xml:space="preserve"> in 60/61</w:t>
      </w:r>
      <w:r w:rsidR="005452C4">
        <w:t xml:space="preserve"> </w:t>
      </w:r>
      <w:r w:rsidR="003F0796">
        <w:t xml:space="preserve">CE; </w:t>
      </w:r>
      <w:r w:rsidR="00330F0F">
        <w:t>more than 100 years before</w:t>
      </w:r>
      <w:r w:rsidR="003F0796">
        <w:t>.</w:t>
      </w:r>
      <w:r w:rsidR="003F0796">
        <w:rPr>
          <w:rStyle w:val="FootnoteReference"/>
        </w:rPr>
        <w:footnoteReference w:id="21"/>
      </w:r>
      <w:r w:rsidR="00330F0F">
        <w:t xml:space="preserve"> </w:t>
      </w:r>
      <w:r>
        <w:t xml:space="preserve">Therefore he is not a </w:t>
      </w:r>
      <w:r w:rsidR="00330F0F">
        <w:t>primary source</w:t>
      </w:r>
      <w:r>
        <w:t>, and</w:t>
      </w:r>
      <w:r w:rsidR="00330F0F">
        <w:t xml:space="preserve"> we must consider that the information he was using was incor</w:t>
      </w:r>
      <w:r w:rsidR="0063534F">
        <w:t>rect</w:t>
      </w:r>
      <w:r w:rsidR="00330F0F">
        <w:t>, or heavily biased</w:t>
      </w:r>
      <w:r w:rsidR="002D22E4">
        <w:t>.</w:t>
      </w:r>
      <w:r w:rsidR="002D22E4">
        <w:rPr>
          <w:rStyle w:val="FootnoteReference"/>
        </w:rPr>
        <w:footnoteReference w:id="22"/>
      </w:r>
      <w:r w:rsidR="00326161">
        <w:t xml:space="preserve"> Stanford</w:t>
      </w:r>
      <w:r w:rsidR="00F93D90">
        <w:t xml:space="preserve"> claims: ‘All reputable historical research must be based on primary sources’</w:t>
      </w:r>
      <w:r w:rsidR="00326161">
        <w:t>, and</w:t>
      </w:r>
      <w:r w:rsidR="00021347">
        <w:t xml:space="preserve"> whilst I believe it is important to have </w:t>
      </w:r>
      <w:r w:rsidR="00C15C49">
        <w:t>p</w:t>
      </w:r>
      <w:r w:rsidR="00021347">
        <w:t xml:space="preserve">rimary sources, it is </w:t>
      </w:r>
      <w:r w:rsidR="0063534F">
        <w:t>not</w:t>
      </w:r>
      <w:r w:rsidR="00021347">
        <w:t xml:space="preserve"> necessary</w:t>
      </w:r>
      <w:r w:rsidR="0063534F">
        <w:t>,</w:t>
      </w:r>
      <w:r w:rsidR="00021347">
        <w:t xml:space="preserve"> </w:t>
      </w:r>
      <w:r w:rsidR="00F93D90">
        <w:t xml:space="preserve">and </w:t>
      </w:r>
      <w:r w:rsidR="00021347">
        <w:t>as</w:t>
      </w:r>
      <w:r w:rsidR="00F93D90">
        <w:t xml:space="preserve"> he himself also claims,</w:t>
      </w:r>
      <w:r w:rsidR="00021347">
        <w:t xml:space="preserve"> secondary sources can still be somewhat accurate if not completely, so this does not make </w:t>
      </w:r>
      <w:proofErr w:type="spellStart"/>
      <w:r w:rsidR="006122DB">
        <w:t>Dio’</w:t>
      </w:r>
      <w:r w:rsidR="00021347">
        <w:t>s</w:t>
      </w:r>
      <w:proofErr w:type="spellEnd"/>
      <w:r w:rsidR="00021347">
        <w:t xml:space="preserve"> story wholly unsubstantiated.</w:t>
      </w:r>
      <w:r w:rsidR="00021347">
        <w:rPr>
          <w:rStyle w:val="FootnoteReference"/>
        </w:rPr>
        <w:footnoteReference w:id="23"/>
      </w:r>
      <w:r w:rsidR="00631E48">
        <w:t xml:space="preserve"> </w:t>
      </w:r>
      <w:r w:rsidR="0063534F">
        <w:t>A</w:t>
      </w:r>
      <w:r w:rsidR="00631E48">
        <w:t>lthough Tacitus was alive at the time of Boudicca</w:t>
      </w:r>
      <w:r w:rsidR="00910177">
        <w:t xml:space="preserve"> (56-120</w:t>
      </w:r>
      <w:r w:rsidR="005452C4">
        <w:t xml:space="preserve"> </w:t>
      </w:r>
      <w:r w:rsidR="00910177">
        <w:t>CE)</w:t>
      </w:r>
      <w:r w:rsidR="00631E48">
        <w:t xml:space="preserve">, he was too young to have a </w:t>
      </w:r>
      <w:r w:rsidR="00910177">
        <w:t>first-hand</w:t>
      </w:r>
      <w:r w:rsidR="00631E48">
        <w:t xml:space="preserve"> account, </w:t>
      </w:r>
      <w:r w:rsidR="00910177">
        <w:t xml:space="preserve">however his father-in-law Agricola did have one, and </w:t>
      </w:r>
      <w:r w:rsidR="0063534F">
        <w:t>was involved in the events</w:t>
      </w:r>
      <w:r w:rsidR="00910177">
        <w:t>.</w:t>
      </w:r>
      <w:r w:rsidR="00910177">
        <w:rPr>
          <w:rStyle w:val="FootnoteReference"/>
        </w:rPr>
        <w:footnoteReference w:id="24"/>
      </w:r>
    </w:p>
    <w:p w:rsidR="00E3583D" w:rsidRDefault="004E5D5C">
      <w:r>
        <w:t xml:space="preserve">There are several details that </w:t>
      </w:r>
      <w:r w:rsidR="0063534F">
        <w:t>contrast</w:t>
      </w:r>
      <w:r>
        <w:t xml:space="preserve"> in these two texts. </w:t>
      </w:r>
      <w:r w:rsidR="00193585">
        <w:t>A major difference is that Dio mentions that two towns were sacked, and assertion is supported by Suetonius.</w:t>
      </w:r>
      <w:r w:rsidR="00193585">
        <w:rPr>
          <w:rStyle w:val="FootnoteReference"/>
        </w:rPr>
        <w:footnoteReference w:id="25"/>
      </w:r>
      <w:r w:rsidR="00193585">
        <w:t xml:space="preserve"> However Tacitus’ account mentions three towns, elaborating on both their names, including an element of description</w:t>
      </w:r>
      <w:r w:rsidR="005A6905">
        <w:t>.</w:t>
      </w:r>
      <w:r w:rsidR="005A6905">
        <w:rPr>
          <w:rStyle w:val="FootnoteReference"/>
        </w:rPr>
        <w:footnoteReference w:id="26"/>
      </w:r>
      <w:r w:rsidR="008D3703">
        <w:t xml:space="preserve"> </w:t>
      </w:r>
      <w:r w:rsidR="004C30D7">
        <w:t xml:space="preserve">It is possible Tacitus invented the events in </w:t>
      </w:r>
      <w:proofErr w:type="spellStart"/>
      <w:r w:rsidR="004C30D7">
        <w:t>Londinium</w:t>
      </w:r>
      <w:proofErr w:type="spellEnd"/>
      <w:r w:rsidR="004C30D7">
        <w:t xml:space="preserve"> to make Suetonius encounter a moral dilemma, and </w:t>
      </w:r>
      <w:r w:rsidR="00A86BEA">
        <w:t xml:space="preserve">then </w:t>
      </w:r>
      <w:r w:rsidR="004C30D7">
        <w:t>make his character seem dishonourable by leaving</w:t>
      </w:r>
      <w:r w:rsidR="0063534F">
        <w:t xml:space="preserve"> </w:t>
      </w:r>
      <w:r w:rsidR="004C30D7">
        <w:t>the people to their fate</w:t>
      </w:r>
      <w:r w:rsidR="00A86BEA">
        <w:t>, however it does also fit the narrative</w:t>
      </w:r>
      <w:r w:rsidR="0063534F">
        <w:t>,</w:t>
      </w:r>
      <w:r w:rsidR="00A86BEA">
        <w:t xml:space="preserve"> </w:t>
      </w:r>
      <w:r w:rsidR="0063534F">
        <w:t>so</w:t>
      </w:r>
      <w:r w:rsidR="00A86BEA">
        <w:t xml:space="preserve"> it could </w:t>
      </w:r>
      <w:r w:rsidR="0063534F">
        <w:t>be correct</w:t>
      </w:r>
      <w:r w:rsidR="004C30D7">
        <w:t>.</w:t>
      </w:r>
      <w:r w:rsidR="00A86BEA">
        <w:rPr>
          <w:rStyle w:val="FootnoteReference"/>
        </w:rPr>
        <w:footnoteReference w:id="27"/>
      </w:r>
    </w:p>
    <w:p w:rsidR="00A86BEA" w:rsidRDefault="00A86BEA">
      <w:r>
        <w:t xml:space="preserve">The reasoning for the beginning of the rebellion for Dio seems to be </w:t>
      </w:r>
      <w:proofErr w:type="spellStart"/>
      <w:r>
        <w:t>Catus</w:t>
      </w:r>
      <w:proofErr w:type="spellEnd"/>
      <w:r>
        <w:t xml:space="preserve"> </w:t>
      </w:r>
      <w:r w:rsidR="008F5377">
        <w:t xml:space="preserve">and Seneca trying to get the Britons to pay money they believed they owed, however whilst Tacitus mentions administrative issues, it is clearly to him that they rebel because of the many grave mistreatments of their people </w:t>
      </w:r>
      <w:r w:rsidR="008F5377">
        <w:lastRenderedPageBreak/>
        <w:t>by the Romans</w:t>
      </w:r>
      <w:r>
        <w:t>.</w:t>
      </w:r>
      <w:r>
        <w:rPr>
          <w:rStyle w:val="FootnoteReference"/>
        </w:rPr>
        <w:footnoteReference w:id="28"/>
      </w:r>
      <w:r>
        <w:t xml:space="preserve"> </w:t>
      </w:r>
      <w:r w:rsidR="00C24CE5">
        <w:t>Tacitus tells us the kingdom: ‘was plundered by centurions’, which is a rather strange thing for Romans to do, especially because the territory was gifted in peace.</w:t>
      </w:r>
      <w:r w:rsidR="00C24CE5">
        <w:rPr>
          <w:rStyle w:val="FootnoteReference"/>
        </w:rPr>
        <w:footnoteReference w:id="29"/>
      </w:r>
      <w:r w:rsidR="00C24CE5">
        <w:t xml:space="preserve"> </w:t>
      </w:r>
      <w:r w:rsidR="000660AA">
        <w:t>Tacitus</w:t>
      </w:r>
      <w:r w:rsidR="00193585">
        <w:t>’</w:t>
      </w:r>
      <w:r w:rsidR="000660AA">
        <w:t xml:space="preserve"> reasons could indicate an attempt to show the faults in </w:t>
      </w:r>
      <w:r w:rsidR="00A1623C">
        <w:t>Rome’s expansionist polices</w:t>
      </w:r>
      <w:r w:rsidR="000660AA">
        <w:t>.</w:t>
      </w:r>
      <w:r w:rsidR="000660AA">
        <w:rPr>
          <w:rStyle w:val="FootnoteReference"/>
        </w:rPr>
        <w:footnoteReference w:id="30"/>
      </w:r>
      <w:r w:rsidR="000660AA">
        <w:t xml:space="preserve"> </w:t>
      </w:r>
      <w:proofErr w:type="spellStart"/>
      <w:r w:rsidR="000660AA">
        <w:t>Dio’s</w:t>
      </w:r>
      <w:proofErr w:type="spellEnd"/>
      <w:r w:rsidR="000660AA">
        <w:t xml:space="preserve"> account however appears more to be condemning the policies and governing used by the Roman administrators, which may have inferred his own knowledge into.</w:t>
      </w:r>
      <w:r w:rsidR="000660AA">
        <w:rPr>
          <w:rStyle w:val="FootnoteReference"/>
        </w:rPr>
        <w:footnoteReference w:id="31"/>
      </w:r>
      <w:r w:rsidR="000660AA">
        <w:t xml:space="preserve"> </w:t>
      </w:r>
      <w:r w:rsidR="00C24CE5">
        <w:t xml:space="preserve">This casts doubt upon Boudicca’s story, as the reasons for the rebellion seem very influenced by the motives </w:t>
      </w:r>
      <w:r w:rsidR="000660AA">
        <w:t>of which author is writing.</w:t>
      </w:r>
    </w:p>
    <w:p w:rsidR="00882270" w:rsidRDefault="00D47992">
      <w:r>
        <w:t>Again,</w:t>
      </w:r>
      <w:r w:rsidR="00882270">
        <w:t xml:space="preserve"> the </w:t>
      </w:r>
      <w:r w:rsidR="00354182">
        <w:t xml:space="preserve">actual </w:t>
      </w:r>
      <w:r w:rsidR="00882270">
        <w:t>image of Boudicca</w:t>
      </w:r>
      <w:r w:rsidR="00354182">
        <w:t xml:space="preserve"> is</w:t>
      </w:r>
      <w:r w:rsidR="00882270">
        <w:t xml:space="preserve"> being portrayed differently. Dio </w:t>
      </w:r>
      <w:r>
        <w:t>describes Boudicca as smart, tall, and: ‘in appearance most terrifying’.</w:t>
      </w:r>
      <w:r>
        <w:rPr>
          <w:rStyle w:val="FootnoteReference"/>
        </w:rPr>
        <w:footnoteReference w:id="32"/>
      </w:r>
      <w:r>
        <w:t xml:space="preserve"> This is to invoke </w:t>
      </w:r>
      <w:r w:rsidR="0063534F">
        <w:t>a specific image to the reader</w:t>
      </w:r>
      <w:r>
        <w:t xml:space="preserve">, and </w:t>
      </w:r>
      <w:r w:rsidR="0063534F">
        <w:t xml:space="preserve">is </w:t>
      </w:r>
      <w:r>
        <w:t xml:space="preserve">likely incorrect, as Dio would likely not have this source, </w:t>
      </w:r>
      <w:r w:rsidR="0063534F">
        <w:t>but</w:t>
      </w:r>
      <w:r>
        <w:t xml:space="preserve"> t</w:t>
      </w:r>
      <w:r w:rsidR="00A1623C">
        <w:t>his commanding</w:t>
      </w:r>
      <w:r>
        <w:t xml:space="preserve"> image fits well into a symbol of anti-Roman sentiment.</w:t>
      </w:r>
      <w:r>
        <w:rPr>
          <w:rStyle w:val="FootnoteReference"/>
        </w:rPr>
        <w:footnoteReference w:id="33"/>
      </w:r>
      <w:r w:rsidR="00744383">
        <w:t xml:space="preserve"> Yet, Tacitus’ image of Boudicca is rather different; Tacitus shows Boudicca as a terrorised and beaten woman, riding with her outraged daughters before her, showing the brutality of Rome under the rulers he disapproved of.</w:t>
      </w:r>
      <w:r w:rsidR="00744383">
        <w:rPr>
          <w:rStyle w:val="FootnoteReference"/>
        </w:rPr>
        <w:footnoteReference w:id="34"/>
      </w:r>
      <w:r w:rsidR="00744383">
        <w:t xml:space="preserve"> For Tacitus</w:t>
      </w:r>
      <w:r w:rsidR="003D731A">
        <w:t>,</w:t>
      </w:r>
      <w:r w:rsidR="00744383">
        <w:t xml:space="preserve"> Boudicca represents </w:t>
      </w:r>
      <w:r w:rsidR="003D731A">
        <w:t>virtue better than the Romans in the account, and the daughters before her emulate the image of Lucretia very well.</w:t>
      </w:r>
      <w:r w:rsidR="003D731A">
        <w:rPr>
          <w:rStyle w:val="FootnoteReference"/>
        </w:rPr>
        <w:footnoteReference w:id="35"/>
      </w:r>
      <w:r w:rsidR="007A55C2">
        <w:t xml:space="preserve"> It would be incredibly convenient and coincidental for this to have happened. </w:t>
      </w:r>
      <w:r w:rsidR="003D731A">
        <w:t>The images of Boudicca presented by these two men seem entirely too convenient a representation of a righteous cause opposing the ‘lustful tyrant’ of Rome to be</w:t>
      </w:r>
      <w:r w:rsidR="00D37878">
        <w:t xml:space="preserve"> entirely</w:t>
      </w:r>
      <w:r w:rsidR="003D731A">
        <w:t xml:space="preserve"> real.</w:t>
      </w:r>
      <w:r w:rsidR="003D731A">
        <w:rPr>
          <w:rStyle w:val="FootnoteReference"/>
        </w:rPr>
        <w:footnoteReference w:id="36"/>
      </w:r>
    </w:p>
    <w:p w:rsidR="00D028BB" w:rsidRDefault="00D028BB">
      <w:r>
        <w:t>Finally, in the texts Boudicc</w:t>
      </w:r>
      <w:r w:rsidR="007A55C2">
        <w:t>a’s speeches are very different</w:t>
      </w:r>
      <w:r>
        <w:t>.</w:t>
      </w:r>
      <w:r>
        <w:rPr>
          <w:rStyle w:val="FootnoteReference"/>
        </w:rPr>
        <w:footnoteReference w:id="37"/>
      </w:r>
      <w:r>
        <w:t xml:space="preserve"> It is </w:t>
      </w:r>
      <w:r w:rsidR="007A55C2">
        <w:t>probable</w:t>
      </w:r>
      <w:r>
        <w:t xml:space="preserve"> that neither of these authors would have had a reliable source to cite this speech, and examining the extreme differences in the text, neither had heard or imagined the same thing.</w:t>
      </w:r>
      <w:r>
        <w:rPr>
          <w:rStyle w:val="FootnoteReference"/>
        </w:rPr>
        <w:footnoteReference w:id="38"/>
      </w:r>
      <w:r>
        <w:t xml:space="preserve"> </w:t>
      </w:r>
      <w:r w:rsidR="00C504A8">
        <w:t xml:space="preserve">It is often the case that speeches in ancient sources are fabricated, and this seems to be true </w:t>
      </w:r>
      <w:r w:rsidR="007A55C2">
        <w:t>here</w:t>
      </w:r>
      <w:r w:rsidR="00C504A8">
        <w:t>.</w:t>
      </w:r>
      <w:r w:rsidR="00C504A8">
        <w:rPr>
          <w:rStyle w:val="FootnoteReference"/>
        </w:rPr>
        <w:footnoteReference w:id="39"/>
      </w:r>
      <w:r w:rsidR="00C504A8">
        <w:t xml:space="preserve"> </w:t>
      </w:r>
      <w:r>
        <w:t>Tacitus’ rather shorter speech, finds Boudicca speaking: ‘as one of the people’, and acting in vengeance of the wrongs Rome has done to her and the Iceni people.</w:t>
      </w:r>
      <w:r>
        <w:rPr>
          <w:rStyle w:val="FootnoteReference"/>
        </w:rPr>
        <w:footnoteReference w:id="40"/>
      </w:r>
      <w:r>
        <w:t xml:space="preserve"> </w:t>
      </w:r>
      <w:r w:rsidR="00C504A8">
        <w:t>Tacitus’ Boudicca again behaves in a way that is ideal for his narrative, and completely different to that of Cassius Dio.</w:t>
      </w:r>
      <w:r w:rsidR="00C504A8">
        <w:rPr>
          <w:rStyle w:val="FootnoteReference"/>
        </w:rPr>
        <w:footnoteReference w:id="41"/>
      </w:r>
      <w:r w:rsidR="00C504A8">
        <w:t xml:space="preserve"> Dio gives us an extremely long speech, with the second line appearing to be </w:t>
      </w:r>
      <w:r w:rsidR="0043632C">
        <w:t xml:space="preserve">directly speaking </w:t>
      </w:r>
      <w:r w:rsidR="00C504A8">
        <w:t>to the pro-Roman readers of his work to persuade them to agree with him.</w:t>
      </w:r>
      <w:r w:rsidR="00C504A8">
        <w:rPr>
          <w:rStyle w:val="FootnoteReference"/>
        </w:rPr>
        <w:footnoteReference w:id="42"/>
      </w:r>
      <w:r w:rsidR="00C504A8">
        <w:t xml:space="preserve"> </w:t>
      </w:r>
      <w:proofErr w:type="spellStart"/>
      <w:r w:rsidR="00C504A8">
        <w:t>Dio’s</w:t>
      </w:r>
      <w:proofErr w:type="spellEnd"/>
      <w:r w:rsidR="00C504A8">
        <w:t xml:space="preserve"> speech assaults Roman policy in a harsh rhetoric, which appears to be more of an excuse for Dio to do so than a representation of what she actually may have said, and Dio is canny not to speak</w:t>
      </w:r>
      <w:r w:rsidR="007A55C2">
        <w:t xml:space="preserve"> </w:t>
      </w:r>
      <w:r w:rsidR="00C504A8">
        <w:t xml:space="preserve">against </w:t>
      </w:r>
      <w:r w:rsidR="0043632C">
        <w:t>his</w:t>
      </w:r>
      <w:r w:rsidR="00C504A8">
        <w:t xml:space="preserve"> government through his own mouth.</w:t>
      </w:r>
      <w:r w:rsidR="00C504A8">
        <w:rPr>
          <w:rStyle w:val="FootnoteReference"/>
        </w:rPr>
        <w:footnoteReference w:id="43"/>
      </w:r>
      <w:r w:rsidR="00831011">
        <w:t xml:space="preserve"> This supports the idea that Boudicca’s character was a literary invention, as her character depends on which author is being read.</w:t>
      </w:r>
    </w:p>
    <w:p w:rsidR="00C504A8" w:rsidRDefault="00BF10ED">
      <w:r>
        <w:lastRenderedPageBreak/>
        <w:t>Regarding the</w:t>
      </w:r>
      <w:r w:rsidR="00C504A8">
        <w:t xml:space="preserve"> other speech, made by the Roman leader Suetonius, Tacitus may have had </w:t>
      </w:r>
      <w:r w:rsidR="00A1623C">
        <w:t>a first-hand source for this</w:t>
      </w:r>
      <w:r>
        <w:t>.</w:t>
      </w:r>
      <w:r>
        <w:rPr>
          <w:rStyle w:val="FootnoteReference"/>
        </w:rPr>
        <w:footnoteReference w:id="44"/>
      </w:r>
      <w:r>
        <w:t xml:space="preserve"> Agricola could have passed on this information to Tacitus, and it seems like a plausible Roman rallying speech.</w:t>
      </w:r>
      <w:r>
        <w:rPr>
          <w:rStyle w:val="FootnoteReference"/>
        </w:rPr>
        <w:footnoteReference w:id="45"/>
      </w:r>
      <w:r>
        <w:t xml:space="preserve"> There </w:t>
      </w:r>
      <w:r w:rsidR="007A55C2">
        <w:t>are</w:t>
      </w:r>
      <w:r>
        <w:t xml:space="preserve"> also mentions of the army of the Britons containing the unarmed and women, which would fit the narrative of the revolt and is also more evidence </w:t>
      </w:r>
      <w:r w:rsidR="007A55C2">
        <w:t>for</w:t>
      </w:r>
      <w:r>
        <w:t xml:space="preserve"> women being more involved in fighting in Iceni culture</w:t>
      </w:r>
      <w:r w:rsidR="00C15C49">
        <w:t>, supporting the notion that Boudicca was the leader</w:t>
      </w:r>
      <w:r>
        <w:t>.</w:t>
      </w:r>
      <w:r>
        <w:rPr>
          <w:rStyle w:val="FootnoteReference"/>
        </w:rPr>
        <w:footnoteReference w:id="46"/>
      </w:r>
      <w:r w:rsidR="00AC13C0">
        <w:t xml:space="preserve"> Evidence that Dio was making these speeches up comes from the difference between his speech and Tacitus’ more probable interpretation.</w:t>
      </w:r>
      <w:r w:rsidR="00AC13C0">
        <w:rPr>
          <w:rStyle w:val="FootnoteReference"/>
        </w:rPr>
        <w:footnoteReference w:id="47"/>
      </w:r>
    </w:p>
    <w:p w:rsidR="00E3583D" w:rsidRDefault="00A1623C">
      <w:r>
        <w:t>Crucially, archaeological evidence for the events of the rebellion does exist. An archaeological dig in Colchester found that the razing that Tacitus describes did occur.</w:t>
      </w:r>
      <w:r>
        <w:rPr>
          <w:rStyle w:val="FootnoteReference"/>
        </w:rPr>
        <w:footnoteReference w:id="48"/>
      </w:r>
      <w:r>
        <w:t xml:space="preserve"> The fact that the town was constructed out of difficult to burn materials further supports the notion that this was done on purpose.</w:t>
      </w:r>
      <w:r w:rsidR="00E97733">
        <w:rPr>
          <w:rStyle w:val="FootnoteReference"/>
        </w:rPr>
        <w:footnoteReference w:id="49"/>
      </w:r>
      <w:r w:rsidR="00354182">
        <w:t xml:space="preserve"> S</w:t>
      </w:r>
      <w:r w:rsidR="00E97733">
        <w:t>imilar evidence</w:t>
      </w:r>
      <w:r w:rsidR="00354182">
        <w:t xml:space="preserve"> has been found describing</w:t>
      </w:r>
      <w:r w:rsidR="00E97733">
        <w:t xml:space="preserve"> the destruction of </w:t>
      </w:r>
      <w:r w:rsidR="002D59E2">
        <w:t>Verulamium</w:t>
      </w:r>
      <w:r w:rsidR="00E97733">
        <w:t xml:space="preserve">, with more evidence of fires that could be attributed to the rebellion </w:t>
      </w:r>
      <w:r w:rsidR="00EB329D">
        <w:t>in Britain.</w:t>
      </w:r>
      <w:r w:rsidR="00EB329D">
        <w:rPr>
          <w:rStyle w:val="FootnoteReference"/>
        </w:rPr>
        <w:footnoteReference w:id="50"/>
      </w:r>
      <w:r w:rsidR="00EB329D">
        <w:t xml:space="preserve"> In fact, we find this red layer of soil</w:t>
      </w:r>
      <w:r w:rsidR="002D59E2">
        <w:t xml:space="preserve"> in all three locations said to be raised by Tacitus</w:t>
      </w:r>
      <w:r w:rsidR="00D028BB">
        <w:t>, so it is likely these are indeed the remnants of the revolt</w:t>
      </w:r>
      <w:r w:rsidR="002D59E2">
        <w:t>.</w:t>
      </w:r>
      <w:r w:rsidR="002D59E2">
        <w:rPr>
          <w:rStyle w:val="FootnoteReference"/>
        </w:rPr>
        <w:footnoteReference w:id="51"/>
      </w:r>
      <w:r w:rsidR="00AC13C0">
        <w:t xml:space="preserve"> H</w:t>
      </w:r>
      <w:r w:rsidR="00D37878">
        <w:t xml:space="preserve">owever, </w:t>
      </w:r>
      <w:r w:rsidR="002D59E2">
        <w:t>whilst</w:t>
      </w:r>
      <w:r w:rsidR="00D37878">
        <w:t xml:space="preserve"> we find this evidence for a rebellion</w:t>
      </w:r>
      <w:r w:rsidR="00E97733">
        <w:t xml:space="preserve"> in Britain</w:t>
      </w:r>
      <w:r w:rsidR="00D37878">
        <w:t xml:space="preserve">, </w:t>
      </w:r>
      <w:r>
        <w:t>was Boudicca really the leader</w:t>
      </w:r>
      <w:r w:rsidR="00D37878">
        <w:t>?</w:t>
      </w:r>
    </w:p>
    <w:p w:rsidR="00034377" w:rsidRDefault="00814083">
      <w:r>
        <w:t>It</w:t>
      </w:r>
      <w:r w:rsidR="00354182">
        <w:t xml:space="preserve"> i</w:t>
      </w:r>
      <w:r>
        <w:t xml:space="preserve">s easy to assume that women had much the same role in Britain as they did in other cultures at the time. For </w:t>
      </w:r>
      <w:r w:rsidR="00783928">
        <w:t>example,</w:t>
      </w:r>
      <w:r>
        <w:t xml:space="preserve"> </w:t>
      </w:r>
      <w:r w:rsidR="001C0A46">
        <w:t>in a</w:t>
      </w:r>
      <w:r w:rsidR="00A641CA">
        <w:t xml:space="preserve">ncient Rome, women </w:t>
      </w:r>
      <w:r w:rsidR="001C0A46">
        <w:t>had</w:t>
      </w:r>
      <w:r w:rsidR="00A641CA">
        <w:t xml:space="preserve"> some social powers and important roles in society, </w:t>
      </w:r>
      <w:r w:rsidR="001C0A46">
        <w:t>but they</w:t>
      </w:r>
      <w:r w:rsidR="00A641CA">
        <w:t xml:space="preserve"> tended not to </w:t>
      </w:r>
      <w:r w:rsidR="00783928">
        <w:t>be</w:t>
      </w:r>
      <w:r w:rsidR="00A641CA">
        <w:t xml:space="preserve"> leaders.</w:t>
      </w:r>
      <w:r w:rsidR="00A641CA">
        <w:rPr>
          <w:rStyle w:val="FootnoteReference"/>
        </w:rPr>
        <w:footnoteReference w:id="52"/>
      </w:r>
      <w:r w:rsidR="00783928">
        <w:t xml:space="preserve"> </w:t>
      </w:r>
      <w:r w:rsidR="00D45F5F">
        <w:t xml:space="preserve">On Caesar’s second invasion of Britain, </w:t>
      </w:r>
      <w:r w:rsidR="001C24F4">
        <w:t>he describes that wives are shared between many men, even brothers, which tells us that the culture of Britain</w:t>
      </w:r>
      <w:r w:rsidR="007A55C2">
        <w:t xml:space="preserve"> is </w:t>
      </w:r>
      <w:r w:rsidR="001C24F4">
        <w:t>different to that of Rome.</w:t>
      </w:r>
      <w:r w:rsidR="001C24F4">
        <w:rPr>
          <w:rStyle w:val="FootnoteReference"/>
        </w:rPr>
        <w:footnoteReference w:id="53"/>
      </w:r>
      <w:r w:rsidR="001C24F4">
        <w:t xml:space="preserve"> Similarly,</w:t>
      </w:r>
      <w:r w:rsidR="00783928">
        <w:t xml:space="preserve"> it is quite clear by Tacitus’ account that </w:t>
      </w:r>
      <w:r w:rsidR="00584087">
        <w:t>in</w:t>
      </w:r>
      <w:r w:rsidR="00783928">
        <w:t xml:space="preserve"> Britain, women were just as capable of being leaders</w:t>
      </w:r>
      <w:r w:rsidR="00584087">
        <w:t xml:space="preserve"> if they were of noble blood, which</w:t>
      </w:r>
      <w:r w:rsidR="0020407E">
        <w:t xml:space="preserve"> </w:t>
      </w:r>
      <w:r w:rsidR="00584087">
        <w:t>Cassius Dio</w:t>
      </w:r>
      <w:r w:rsidR="00DA5EFA">
        <w:t xml:space="preserve"> and Tacitus</w:t>
      </w:r>
      <w:r w:rsidR="00584087">
        <w:t xml:space="preserve"> </w:t>
      </w:r>
      <w:r w:rsidR="0020407E">
        <w:t xml:space="preserve">both </w:t>
      </w:r>
      <w:r w:rsidR="00584087">
        <w:t>state</w:t>
      </w:r>
      <w:r w:rsidR="00DA5EFA">
        <w:t xml:space="preserve"> that</w:t>
      </w:r>
      <w:r w:rsidR="00584087">
        <w:t xml:space="preserve"> she wa</w:t>
      </w:r>
      <w:r w:rsidR="00DA5EFA">
        <w:t>s</w:t>
      </w:r>
      <w:r w:rsidR="00783928">
        <w:t>.</w:t>
      </w:r>
      <w:r w:rsidR="00783928">
        <w:rPr>
          <w:rStyle w:val="FootnoteReference"/>
        </w:rPr>
        <w:footnoteReference w:id="54"/>
      </w:r>
      <w:r w:rsidR="009F1264">
        <w:t xml:space="preserve"> </w:t>
      </w:r>
      <w:r w:rsidR="00DA5EFA">
        <w:t>However both accounts hold some ambiguity, as they may simply refer to her marrying into nobility, rather than being descended from it.</w:t>
      </w:r>
      <w:r w:rsidR="00DA5EFA">
        <w:rPr>
          <w:rStyle w:val="FootnoteReference"/>
        </w:rPr>
        <w:footnoteReference w:id="55"/>
      </w:r>
      <w:r w:rsidR="00DA5EFA">
        <w:t xml:space="preserve"> </w:t>
      </w:r>
      <w:r w:rsidR="00C15C49">
        <w:t>This suggests Boudicca certainly could be the revolt leader.</w:t>
      </w:r>
    </w:p>
    <w:p w:rsidR="00F93D90" w:rsidRDefault="009F1264" w:rsidP="00F93D90">
      <w:r>
        <w:t xml:space="preserve">Indeed, </w:t>
      </w:r>
      <w:r w:rsidR="00354182">
        <w:t>there are at the</w:t>
      </w:r>
      <w:r>
        <w:t xml:space="preserve"> same </w:t>
      </w:r>
      <w:r w:rsidR="00BE6A1B">
        <w:t>time</w:t>
      </w:r>
      <w:r>
        <w:t xml:space="preserve"> other female leaders in Britain, like </w:t>
      </w:r>
      <w:proofErr w:type="spellStart"/>
      <w:r>
        <w:t>Cartimandua</w:t>
      </w:r>
      <w:proofErr w:type="spellEnd"/>
      <w:r>
        <w:t xml:space="preserve">, a </w:t>
      </w:r>
      <w:proofErr w:type="spellStart"/>
      <w:r>
        <w:t>Brigantes</w:t>
      </w:r>
      <w:proofErr w:type="spellEnd"/>
      <w:r>
        <w:t>’ leader.</w:t>
      </w:r>
      <w:r>
        <w:rPr>
          <w:rStyle w:val="FootnoteReference"/>
        </w:rPr>
        <w:footnoteReference w:id="56"/>
      </w:r>
      <w:r w:rsidR="00BE6A1B">
        <w:t xml:space="preserve"> Whil</w:t>
      </w:r>
      <w:r w:rsidR="00D761E9">
        <w:t>st</w:t>
      </w:r>
      <w:r w:rsidR="00BE6A1B">
        <w:t xml:space="preserve"> </w:t>
      </w:r>
      <w:r w:rsidR="00D761E9">
        <w:t>it</w:t>
      </w:r>
      <w:r w:rsidR="00BE6A1B">
        <w:t xml:space="preserve"> could be argued that </w:t>
      </w:r>
      <w:r w:rsidR="00D761E9">
        <w:t xml:space="preserve">finding </w:t>
      </w:r>
      <w:r w:rsidR="00BE6A1B">
        <w:t>only two women</w:t>
      </w:r>
      <w:r w:rsidR="00D761E9">
        <w:t xml:space="preserve"> leaders</w:t>
      </w:r>
      <w:r w:rsidR="00BE6A1B">
        <w:t xml:space="preserve"> may mean these were the only two</w:t>
      </w:r>
      <w:r w:rsidR="00D761E9">
        <w:t xml:space="preserve"> rare instances</w:t>
      </w:r>
      <w:r w:rsidR="00BE6A1B">
        <w:t xml:space="preserve">, I believe that this is better attributed to </w:t>
      </w:r>
      <w:r w:rsidR="00D761E9">
        <w:t>our lack of sources, as Tacitus does clearly state that women had equal chances to become com</w:t>
      </w:r>
      <w:r w:rsidR="00034377">
        <w:t>m</w:t>
      </w:r>
      <w:r w:rsidR="00D761E9">
        <w:t>anders in Britain</w:t>
      </w:r>
      <w:r w:rsidR="00BE6A1B">
        <w:t>.</w:t>
      </w:r>
      <w:r w:rsidR="00D761E9">
        <w:rPr>
          <w:rStyle w:val="FootnoteReference"/>
        </w:rPr>
        <w:footnoteReference w:id="57"/>
      </w:r>
      <w:r w:rsidR="00D761E9">
        <w:t xml:space="preserve"> </w:t>
      </w:r>
      <w:r w:rsidR="001C0A46">
        <w:t xml:space="preserve">Importantly, </w:t>
      </w:r>
      <w:r w:rsidR="00DA5EFA">
        <w:t xml:space="preserve">Boudicca does not appear </w:t>
      </w:r>
      <w:r w:rsidR="001C0A46">
        <w:t xml:space="preserve">from nowhere, </w:t>
      </w:r>
      <w:r w:rsidR="00DA5EFA">
        <w:t xml:space="preserve">she is the wife of </w:t>
      </w:r>
      <w:proofErr w:type="spellStart"/>
      <w:r w:rsidR="00DA5EFA">
        <w:t>Pras</w:t>
      </w:r>
      <w:r w:rsidR="00034377">
        <w:t>u</w:t>
      </w:r>
      <w:r w:rsidR="00CF45EC">
        <w:t>t</w:t>
      </w:r>
      <w:r w:rsidR="00034377">
        <w:t>a</w:t>
      </w:r>
      <w:r w:rsidR="00CF45EC">
        <w:t>g</w:t>
      </w:r>
      <w:r w:rsidR="00034377">
        <w:t>u</w:t>
      </w:r>
      <w:r w:rsidR="00DA5EFA">
        <w:t>s</w:t>
      </w:r>
      <w:proofErr w:type="spellEnd"/>
      <w:r w:rsidR="00DA5EFA">
        <w:t>, the King of the Iceni.</w:t>
      </w:r>
      <w:r w:rsidR="00034377">
        <w:rPr>
          <w:rStyle w:val="FootnoteReference"/>
        </w:rPr>
        <w:footnoteReference w:id="58"/>
      </w:r>
      <w:r w:rsidR="00034377">
        <w:t xml:space="preserve"> However, being recorded as a wealthy man, and famed for his prosperity, </w:t>
      </w:r>
      <w:r w:rsidR="00354182">
        <w:t xml:space="preserve">there </w:t>
      </w:r>
      <w:r w:rsidR="00034377">
        <w:t xml:space="preserve">may not </w:t>
      </w:r>
      <w:r w:rsidR="00354182">
        <w:t>be</w:t>
      </w:r>
      <w:r w:rsidR="00034377">
        <w:t xml:space="preserve"> any evidence of this.</w:t>
      </w:r>
      <w:r w:rsidR="00034377">
        <w:rPr>
          <w:rStyle w:val="FootnoteReference"/>
        </w:rPr>
        <w:footnoteReference w:id="59"/>
      </w:r>
      <w:r w:rsidR="007B18E3">
        <w:t xml:space="preserve"> </w:t>
      </w:r>
      <w:r w:rsidR="00CF45EC">
        <w:t>Some coins have been found with the name ‘</w:t>
      </w:r>
      <w:proofErr w:type="spellStart"/>
      <w:r w:rsidR="00CF45EC">
        <w:t>Esuprastus</w:t>
      </w:r>
      <w:proofErr w:type="spellEnd"/>
      <w:r w:rsidR="00CF45EC">
        <w:t xml:space="preserve">’, which could be </w:t>
      </w:r>
      <w:proofErr w:type="spellStart"/>
      <w:r w:rsidR="00CF45EC">
        <w:t>Prasutagus</w:t>
      </w:r>
      <w:proofErr w:type="spellEnd"/>
      <w:r w:rsidR="00CF45EC">
        <w:t xml:space="preserve">, as it would fit the time frame, and </w:t>
      </w:r>
      <w:r w:rsidR="00354182">
        <w:t>because</w:t>
      </w:r>
      <w:r w:rsidR="00CF45EC">
        <w:t xml:space="preserve"> it is in the Roman style</w:t>
      </w:r>
      <w:r w:rsidR="00354182">
        <w:t>,</w:t>
      </w:r>
      <w:r w:rsidR="00CF45EC">
        <w:t xml:space="preserve"> the pro-Roman ideals </w:t>
      </w:r>
      <w:r w:rsidR="00CF45EC">
        <w:lastRenderedPageBreak/>
        <w:t xml:space="preserve">we see in </w:t>
      </w:r>
      <w:proofErr w:type="spellStart"/>
      <w:r w:rsidR="00CF45EC">
        <w:t>Prasutagus</w:t>
      </w:r>
      <w:proofErr w:type="spellEnd"/>
      <w:r w:rsidR="00CF45EC">
        <w:t xml:space="preserve"> when he leaves his Kingdom to the Romans</w:t>
      </w:r>
      <w:r w:rsidR="00354182">
        <w:t xml:space="preserve"> are present</w:t>
      </w:r>
      <w:r w:rsidR="00CF45EC">
        <w:t>.</w:t>
      </w:r>
      <w:r w:rsidR="00CF45EC">
        <w:rPr>
          <w:rStyle w:val="FootnoteReference"/>
        </w:rPr>
        <w:footnoteReference w:id="60"/>
      </w:r>
      <w:r w:rsidR="00CF45EC">
        <w:t xml:space="preserve"> I agree with </w:t>
      </w:r>
      <w:proofErr w:type="spellStart"/>
      <w:r w:rsidR="00CF45EC">
        <w:t>Hingley’s</w:t>
      </w:r>
      <w:proofErr w:type="spellEnd"/>
      <w:r w:rsidR="00CF45EC">
        <w:t xml:space="preserve"> standpoint of uncertainty on this, as whil</w:t>
      </w:r>
      <w:r w:rsidR="001C0A46">
        <w:t>e</w:t>
      </w:r>
      <w:r w:rsidR="00CF45EC">
        <w:t xml:space="preserve"> Tacitus could have the name wrong, it is also possible that </w:t>
      </w:r>
      <w:proofErr w:type="spellStart"/>
      <w:r w:rsidR="00CF45EC">
        <w:t>Es</w:t>
      </w:r>
      <w:r w:rsidR="005F584B">
        <w:t>u</w:t>
      </w:r>
      <w:r w:rsidR="00CF45EC">
        <w:t>prastus</w:t>
      </w:r>
      <w:proofErr w:type="spellEnd"/>
      <w:r w:rsidR="00CF45EC">
        <w:t xml:space="preserve"> was another person entirely, as we lack evidence from the time</w:t>
      </w:r>
      <w:r w:rsidR="004756AD">
        <w:t>, and it would be wrong to try to make the evidence fit either side</w:t>
      </w:r>
      <w:r w:rsidR="00CF45EC">
        <w:t>.</w:t>
      </w:r>
      <w:r w:rsidR="00CF45EC">
        <w:rPr>
          <w:rStyle w:val="FootnoteReference"/>
        </w:rPr>
        <w:footnoteReference w:id="61"/>
      </w:r>
      <w:r w:rsidR="00CF45EC">
        <w:t xml:space="preserve"> </w:t>
      </w:r>
    </w:p>
    <w:p w:rsidR="00E3583D" w:rsidRDefault="00D761E9">
      <w:r>
        <w:t xml:space="preserve">Also, </w:t>
      </w:r>
      <w:r w:rsidR="00354182">
        <w:t>there is</w:t>
      </w:r>
      <w:r w:rsidR="00BE6A1B">
        <w:t xml:space="preserve"> archaeological evidence that women had high levels of affluen</w:t>
      </w:r>
      <w:r w:rsidR="00584087">
        <w:t>ce</w:t>
      </w:r>
      <w:r w:rsidR="00BE6A1B">
        <w:t xml:space="preserve"> and respect in similar nearby cultures, with </w:t>
      </w:r>
      <w:r w:rsidR="00584087">
        <w:t xml:space="preserve">several </w:t>
      </w:r>
      <w:r w:rsidR="00BE6A1B">
        <w:t>very wealthy graves being attributed to women.</w:t>
      </w:r>
      <w:r w:rsidR="00BE6A1B">
        <w:rPr>
          <w:rStyle w:val="FootnoteReference"/>
        </w:rPr>
        <w:footnoteReference w:id="62"/>
      </w:r>
      <w:r w:rsidR="00BD577E">
        <w:t xml:space="preserve"> It is also worth looking at what kind of graves </w:t>
      </w:r>
      <w:r w:rsidR="00354182">
        <w:t>one</w:t>
      </w:r>
      <w:r w:rsidR="00BD577E">
        <w:t xml:space="preserve"> would expect to find.</w:t>
      </w:r>
      <w:r w:rsidR="00F10154">
        <w:t xml:space="preserve"> If no bones are recovered, </w:t>
      </w:r>
      <w:r w:rsidR="001C0A46">
        <w:t xml:space="preserve">and </w:t>
      </w:r>
      <w:r w:rsidR="00354182">
        <w:t>there is no</w:t>
      </w:r>
      <w:r w:rsidR="00F10154">
        <w:t xml:space="preserve"> </w:t>
      </w:r>
      <w:r w:rsidR="00354182">
        <w:t>capacity</w:t>
      </w:r>
      <w:r w:rsidR="00F10154">
        <w:t xml:space="preserve"> to determine the sex by scientific means,</w:t>
      </w:r>
      <w:r w:rsidR="0053787B">
        <w:t xml:space="preserve"> archaeology often relies on material clues</w:t>
      </w:r>
      <w:r w:rsidR="00F10154">
        <w:t xml:space="preserve"> </w:t>
      </w:r>
      <w:r w:rsidR="0053787B">
        <w:t>to determine the gender of burials</w:t>
      </w:r>
      <w:r w:rsidR="00F10154">
        <w:t>.</w:t>
      </w:r>
      <w:r w:rsidR="0053787B">
        <w:rPr>
          <w:rStyle w:val="FootnoteReference"/>
        </w:rPr>
        <w:footnoteReference w:id="63"/>
      </w:r>
      <w:r w:rsidR="00BD577E">
        <w:t xml:space="preserve"> </w:t>
      </w:r>
      <w:r w:rsidR="00F10154">
        <w:t>I believe it is conceivable</w:t>
      </w:r>
      <w:r w:rsidR="00BD577E">
        <w:t xml:space="preserve"> </w:t>
      </w:r>
      <w:r w:rsidR="00F10154">
        <w:t xml:space="preserve">some </w:t>
      </w:r>
      <w:r w:rsidR="000C5DD7">
        <w:t xml:space="preserve">burial sites </w:t>
      </w:r>
      <w:r w:rsidR="00F10154">
        <w:t xml:space="preserve">attributed to chieftains could look almost identical to the grave of a woman </w:t>
      </w:r>
      <w:r w:rsidR="001C0A46">
        <w:t xml:space="preserve">like </w:t>
      </w:r>
      <w:r w:rsidR="0053787B">
        <w:t>Tacitus</w:t>
      </w:r>
      <w:r w:rsidR="001C0A46">
        <w:t>’</w:t>
      </w:r>
      <w:r w:rsidR="0053787B">
        <w:t xml:space="preserve"> descri</w:t>
      </w:r>
      <w:r w:rsidR="001C0A46">
        <w:t>ption of</w:t>
      </w:r>
      <w:r w:rsidR="0053787B">
        <w:t xml:space="preserve"> the military commander Boudicca</w:t>
      </w:r>
      <w:r w:rsidR="00F10154">
        <w:t>.</w:t>
      </w:r>
      <w:r w:rsidR="00F10154">
        <w:rPr>
          <w:rStyle w:val="FootnoteReference"/>
        </w:rPr>
        <w:footnoteReference w:id="64"/>
      </w:r>
      <w:r w:rsidR="00F10154">
        <w:t xml:space="preserve"> This could explain our lack of</w:t>
      </w:r>
      <w:r w:rsidR="000C5DD7">
        <w:t xml:space="preserve"> female figures; </w:t>
      </w:r>
      <w:r w:rsidR="001C0A46">
        <w:t>female leaders may have been</w:t>
      </w:r>
      <w:r w:rsidR="000C5DD7">
        <w:t xml:space="preserve"> mistaken for men.</w:t>
      </w:r>
      <w:r w:rsidR="004756AD">
        <w:t xml:space="preserve"> It is, however unknown </w:t>
      </w:r>
      <w:r w:rsidR="001C0A46">
        <w:t>if</w:t>
      </w:r>
      <w:r w:rsidR="004756AD">
        <w:t xml:space="preserve"> </w:t>
      </w:r>
      <w:r w:rsidR="00831011">
        <w:t>f</w:t>
      </w:r>
      <w:r w:rsidR="004756AD">
        <w:t>emale leaders were common, but</w:t>
      </w:r>
      <w:r w:rsidR="001C0A46">
        <w:t xml:space="preserve"> </w:t>
      </w:r>
      <w:r w:rsidR="004756AD">
        <w:t>it is possible.</w:t>
      </w:r>
      <w:r w:rsidR="004756AD">
        <w:rPr>
          <w:rStyle w:val="FootnoteReference"/>
        </w:rPr>
        <w:footnoteReference w:id="65"/>
      </w:r>
    </w:p>
    <w:p w:rsidR="00AC13C0" w:rsidRDefault="00AC13C0">
      <w:r>
        <w:t>To conclude, upon examining our two main sources for Boudicca, it is credible that while both men are telling the events they believe happened, they used the character of Boudicca for two very different images.</w:t>
      </w:r>
      <w:r>
        <w:rPr>
          <w:rStyle w:val="FootnoteReference"/>
        </w:rPr>
        <w:footnoteReference w:id="66"/>
      </w:r>
      <w:r>
        <w:t xml:space="preserve"> </w:t>
      </w:r>
      <w:r w:rsidR="00526CE6">
        <w:t xml:space="preserve"> History by nature, can never be certain of anything, but rather balance the likelihood of occurrence.</w:t>
      </w:r>
      <w:r w:rsidR="00526CE6">
        <w:rPr>
          <w:rStyle w:val="FootnoteReference"/>
        </w:rPr>
        <w:footnoteReference w:id="67"/>
      </w:r>
      <w:r w:rsidR="00526CE6">
        <w:t xml:space="preserve"> </w:t>
      </w:r>
      <w:r>
        <w:t>There is substantial evidence and reasoning to conclude that the revolt occurred, as the accounts from the writers and the archaeological evidence both support this.</w:t>
      </w:r>
      <w:r>
        <w:rPr>
          <w:rStyle w:val="FootnoteReference"/>
        </w:rPr>
        <w:footnoteReference w:id="68"/>
      </w:r>
      <w:r>
        <w:t xml:space="preserve"> </w:t>
      </w:r>
      <w:r w:rsidR="0020407E">
        <w:t xml:space="preserve">I also believe </w:t>
      </w:r>
      <w:r w:rsidR="00354182">
        <w:t>we have</w:t>
      </w:r>
      <w:r w:rsidR="0020407E">
        <w:t xml:space="preserve"> significant evidence to suggest that there is no reason that Boudicca, a woman, could not have been the leader of the revolt.</w:t>
      </w:r>
      <w:r w:rsidR="0020407E">
        <w:rPr>
          <w:rStyle w:val="FootnoteReference"/>
        </w:rPr>
        <w:footnoteReference w:id="69"/>
      </w:r>
      <w:r w:rsidR="0020407E">
        <w:t xml:space="preserve"> </w:t>
      </w:r>
      <w:r>
        <w:t xml:space="preserve">I </w:t>
      </w:r>
      <w:r w:rsidR="004846C8">
        <w:t xml:space="preserve">conclude </w:t>
      </w:r>
      <w:r>
        <w:t xml:space="preserve">however that it is highly likely that the </w:t>
      </w:r>
      <w:r w:rsidR="004846C8">
        <w:t>characters</w:t>
      </w:r>
      <w:r>
        <w:t xml:space="preserve"> of Boudicca in these texts are </w:t>
      </w:r>
      <w:r w:rsidR="0020407E">
        <w:t>mostly made up by both Tacitus and Cassius Dio to highlight their own points and political agendas.</w:t>
      </w:r>
      <w:r w:rsidR="0020407E">
        <w:rPr>
          <w:rStyle w:val="FootnoteReference"/>
        </w:rPr>
        <w:footnoteReference w:id="70"/>
      </w:r>
      <w:r w:rsidR="00B9691B">
        <w:t xml:space="preserve"> </w:t>
      </w:r>
      <w:r w:rsidR="004846C8">
        <w:t xml:space="preserve">However, </w:t>
      </w:r>
      <w:r w:rsidR="00831011">
        <w:t xml:space="preserve">we can infer that </w:t>
      </w:r>
      <w:r w:rsidR="000E20A4">
        <w:t>Tacitus’ narrative is overall the most truthful version of events, as he had Agricola as a witness, and he may have even been to Britain</w:t>
      </w:r>
      <w:r w:rsidR="004846C8">
        <w:t>, so perhaps his version of Boudicca is closer to the truth</w:t>
      </w:r>
      <w:r w:rsidR="000E20A4">
        <w:t>.</w:t>
      </w:r>
      <w:r w:rsidR="000E20A4">
        <w:rPr>
          <w:rStyle w:val="FootnoteReference"/>
        </w:rPr>
        <w:footnoteReference w:id="71"/>
      </w:r>
      <w:r w:rsidR="000E20A4">
        <w:t xml:space="preserve"> By the ferocity of the Britons, the rebellion was swift, and fleeting, and led by a</w:t>
      </w:r>
      <w:r w:rsidR="00A1623C">
        <w:t xml:space="preserve"> woman who was not like the character of Boudicca Tacitus and Dio would have us envision</w:t>
      </w:r>
      <w:r w:rsidR="000E20A4">
        <w:t>.</w:t>
      </w:r>
      <w:r w:rsidR="000E20A4">
        <w:rPr>
          <w:rStyle w:val="FootnoteReference"/>
        </w:rPr>
        <w:footnoteReference w:id="72"/>
      </w:r>
    </w:p>
    <w:p w:rsidR="002D0D71" w:rsidRDefault="002D0D71"/>
    <w:p w:rsidR="00334458" w:rsidRDefault="00334458"/>
    <w:p w:rsidR="00334458" w:rsidRDefault="00334458"/>
    <w:p w:rsidR="005452C4" w:rsidRDefault="005452C4"/>
    <w:p w:rsidR="003E39B6" w:rsidRDefault="003E39B6"/>
    <w:p w:rsidR="00446462" w:rsidRDefault="00446462"/>
    <w:p w:rsidR="002D0D71" w:rsidRDefault="00A641CA">
      <w:r>
        <w:lastRenderedPageBreak/>
        <w:t>Reference list:</w:t>
      </w:r>
    </w:p>
    <w:p w:rsidR="00446462" w:rsidRDefault="00446462"/>
    <w:p w:rsidR="00A641CA" w:rsidRDefault="00A641CA">
      <w:r>
        <w:t>Ancient Sources:</w:t>
      </w:r>
    </w:p>
    <w:p w:rsidR="001C24F4" w:rsidRPr="001C24F4" w:rsidRDefault="00402597">
      <w:r>
        <w:t xml:space="preserve">Gaius Julius </w:t>
      </w:r>
      <w:r w:rsidR="001C24F4">
        <w:t xml:space="preserve">Caesar, </w:t>
      </w:r>
      <w:r w:rsidR="001C24F4" w:rsidRPr="001C24F4">
        <w:rPr>
          <w:i/>
        </w:rPr>
        <w:t>Commentaries on the Gallic War</w:t>
      </w:r>
      <w:r w:rsidR="001C24F4">
        <w:t xml:space="preserve">. W.S. Bohn &amp; W.A </w:t>
      </w:r>
      <w:proofErr w:type="spellStart"/>
      <w:r w:rsidR="001C24F4">
        <w:t>McDevitte</w:t>
      </w:r>
      <w:proofErr w:type="spellEnd"/>
      <w:r w:rsidR="001C24F4">
        <w:t xml:space="preserve"> (trans.). 1869. New York: Harper &amp; Brothers.</w:t>
      </w:r>
    </w:p>
    <w:p w:rsidR="00DA5EFA" w:rsidRDefault="00DA5EFA">
      <w:r>
        <w:t xml:space="preserve">Cassius Dio, </w:t>
      </w:r>
      <w:r>
        <w:rPr>
          <w:i/>
        </w:rPr>
        <w:t>Roman History.</w:t>
      </w:r>
      <w:r>
        <w:t xml:space="preserve"> E. Cary (trans.). 1925. London: William Heinemann.</w:t>
      </w:r>
    </w:p>
    <w:p w:rsidR="00334458" w:rsidRPr="00391442" w:rsidRDefault="00334458">
      <w:r>
        <w:t>Suetonius</w:t>
      </w:r>
      <w:r w:rsidR="00DD5D7A">
        <w:t xml:space="preserve">, </w:t>
      </w:r>
      <w:r w:rsidR="00DD5D7A">
        <w:rPr>
          <w:i/>
        </w:rPr>
        <w:t xml:space="preserve">The Lives of the Twelve Caesars. </w:t>
      </w:r>
      <w:r w:rsidR="00391442">
        <w:t>J.C. Rolfe (trans.). 1914. Cambridge: Harvard University Press.</w:t>
      </w:r>
    </w:p>
    <w:p w:rsidR="00A641CA" w:rsidRDefault="00783928">
      <w:r>
        <w:t xml:space="preserve">Tacitus, </w:t>
      </w:r>
      <w:r>
        <w:rPr>
          <w:i/>
        </w:rPr>
        <w:t>Agricola.</w:t>
      </w:r>
      <w:r>
        <w:t xml:space="preserve"> A.J. Church &amp; W.J. </w:t>
      </w:r>
      <w:proofErr w:type="spellStart"/>
      <w:r>
        <w:t>Brodribb</w:t>
      </w:r>
      <w:proofErr w:type="spellEnd"/>
      <w:r>
        <w:t xml:space="preserve"> (trans.). 1877. London: Macmillan.</w:t>
      </w:r>
    </w:p>
    <w:p w:rsidR="009F1264" w:rsidRPr="00547525" w:rsidRDefault="00547525">
      <w:r>
        <w:t xml:space="preserve">Tacitus, </w:t>
      </w:r>
      <w:r>
        <w:rPr>
          <w:i/>
        </w:rPr>
        <w:t>The Annals.</w:t>
      </w:r>
      <w:r>
        <w:t xml:space="preserve"> A.J. Church, W.J. </w:t>
      </w:r>
      <w:proofErr w:type="spellStart"/>
      <w:r>
        <w:t>Brodribb</w:t>
      </w:r>
      <w:proofErr w:type="spellEnd"/>
      <w:r>
        <w:t xml:space="preserve"> &amp; S. Bryant (trans.). New York: Random House, </w:t>
      </w:r>
      <w:proofErr w:type="gramStart"/>
      <w:r>
        <w:t>Inc..</w:t>
      </w:r>
      <w:proofErr w:type="gramEnd"/>
      <w:r>
        <w:t xml:space="preserve"> </w:t>
      </w:r>
    </w:p>
    <w:p w:rsidR="009F1264" w:rsidRPr="00783928" w:rsidRDefault="009F1264"/>
    <w:p w:rsidR="00A641CA" w:rsidRDefault="00A641CA">
      <w:r>
        <w:t>Modern scholarship:</w:t>
      </w:r>
    </w:p>
    <w:p w:rsidR="007D632A" w:rsidRPr="007D632A" w:rsidRDefault="007D632A" w:rsidP="007D632A">
      <w:r>
        <w:t xml:space="preserve">Adamson, M. 2005. </w:t>
      </w:r>
      <w:r w:rsidRPr="007D632A">
        <w:rPr>
          <w:i/>
        </w:rPr>
        <w:t>An Archaeological Analysis of Gender Roles in Ancient Nonliterate Cultures of Eurasia</w:t>
      </w:r>
      <w:r>
        <w:rPr>
          <w:i/>
        </w:rPr>
        <w:t>.</w:t>
      </w:r>
      <w:r>
        <w:t xml:space="preserve"> B.A.(Hons). Flinders University of South Australia. </w:t>
      </w:r>
      <w:r w:rsidR="00DB6AEE">
        <w:t xml:space="preserve">[online] </w:t>
      </w:r>
      <w:hyperlink r:id="rId7" w:history="1">
        <w:r w:rsidR="00DB6AEE" w:rsidRPr="00BC6248">
          <w:rPr>
            <w:rStyle w:val="Hyperlink"/>
          </w:rPr>
          <w:t>http://www.flinders.edu.au/ehl/fms/archaeology_files/dig_library/theses/MikeAdamson.pdf</w:t>
        </w:r>
      </w:hyperlink>
      <w:r>
        <w:t xml:space="preserve"> [Accessed: 6</w:t>
      </w:r>
      <w:r w:rsidRPr="007D632A">
        <w:rPr>
          <w:vertAlign w:val="superscript"/>
        </w:rPr>
        <w:t>th</w:t>
      </w:r>
      <w:r>
        <w:t xml:space="preserve"> November 2017]</w:t>
      </w:r>
    </w:p>
    <w:p w:rsidR="0053787B" w:rsidRDefault="0053787B">
      <w:r>
        <w:t xml:space="preserve">Allison, P.M. 2015. ‘Characterising Roman </w:t>
      </w:r>
      <w:proofErr w:type="spellStart"/>
      <w:r>
        <w:t>Artifacts</w:t>
      </w:r>
      <w:proofErr w:type="spellEnd"/>
      <w:r>
        <w:t xml:space="preserve"> to Investigate Gendered Practices in Contexts Without Sexed Bodies’, </w:t>
      </w:r>
      <w:r>
        <w:rPr>
          <w:i/>
        </w:rPr>
        <w:t>American Journal of Archaeology,</w:t>
      </w:r>
      <w:r w:rsidR="00D36ECE">
        <w:rPr>
          <w:i/>
        </w:rPr>
        <w:t xml:space="preserve"> </w:t>
      </w:r>
      <w:r>
        <w:t>11</w:t>
      </w:r>
      <w:r w:rsidR="00D36ECE">
        <w:t>9.</w:t>
      </w:r>
      <w:r w:rsidR="00330F0F">
        <w:t xml:space="preserve"> </w:t>
      </w:r>
      <w:proofErr w:type="gramStart"/>
      <w:r w:rsidR="00D36ECE">
        <w:t>January,</w:t>
      </w:r>
      <w:proofErr w:type="gramEnd"/>
      <w:r>
        <w:t xml:space="preserve"> 103-123. </w:t>
      </w:r>
    </w:p>
    <w:p w:rsidR="00330F0F" w:rsidRDefault="00330F0F">
      <w:r>
        <w:t xml:space="preserve">Barnes, T.D. 1984. ‘The Composition of Cassius </w:t>
      </w:r>
      <w:proofErr w:type="spellStart"/>
      <w:r>
        <w:t>Dio’s</w:t>
      </w:r>
      <w:proofErr w:type="spellEnd"/>
      <w:r>
        <w:t xml:space="preserve"> “Roman History”’, </w:t>
      </w:r>
      <w:r>
        <w:rPr>
          <w:i/>
        </w:rPr>
        <w:t>Phoenix</w:t>
      </w:r>
      <w:r>
        <w:t>,</w:t>
      </w:r>
      <w:r w:rsidR="00D36ECE">
        <w:t xml:space="preserve"> </w:t>
      </w:r>
      <w:r>
        <w:t>38</w:t>
      </w:r>
      <w:r w:rsidR="00D36ECE">
        <w:t>.</w:t>
      </w:r>
      <w:r>
        <w:t xml:space="preserve"> 3, 240-255.</w:t>
      </w:r>
    </w:p>
    <w:p w:rsidR="000E20A4" w:rsidRPr="00330F0F" w:rsidRDefault="000E20A4">
      <w:r>
        <w:t xml:space="preserve">Birley, A.R. 2009. ‘The Agricola’, in A.J. Woodman (ed.), </w:t>
      </w:r>
      <w:r>
        <w:rPr>
          <w:i/>
        </w:rPr>
        <w:t xml:space="preserve">The Cambridge Companion </w:t>
      </w:r>
      <w:proofErr w:type="gramStart"/>
      <w:r>
        <w:rPr>
          <w:i/>
        </w:rPr>
        <w:t>To</w:t>
      </w:r>
      <w:proofErr w:type="gramEnd"/>
      <w:r>
        <w:rPr>
          <w:i/>
        </w:rPr>
        <w:t xml:space="preserve"> Tacitus. </w:t>
      </w:r>
      <w:r>
        <w:t>Cambridge: Cambridge University Press.</w:t>
      </w:r>
    </w:p>
    <w:p w:rsidR="00CF45EC" w:rsidRDefault="00CF45EC">
      <w:r>
        <w:t>Champion, T. 1995. ‘</w:t>
      </w:r>
      <w:r w:rsidRPr="00BD047B">
        <w:t>Power,</w:t>
      </w:r>
      <w:r>
        <w:t xml:space="preserve"> P</w:t>
      </w:r>
      <w:r w:rsidRPr="00BD047B">
        <w:t xml:space="preserve">olitics and </w:t>
      </w:r>
      <w:r>
        <w:t>S</w:t>
      </w:r>
      <w:r w:rsidRPr="00BD047B">
        <w:t>tatus’</w:t>
      </w:r>
      <w:r>
        <w:t xml:space="preserve">, in M. Green (ed.), </w:t>
      </w:r>
      <w:r w:rsidRPr="00BD047B">
        <w:rPr>
          <w:i/>
        </w:rPr>
        <w:t>The Celtic World</w:t>
      </w:r>
      <w:r>
        <w:t>. London: Routledge, 85-94.</w:t>
      </w:r>
    </w:p>
    <w:p w:rsidR="000E20A4" w:rsidRPr="000E20A4" w:rsidRDefault="000E20A4">
      <w:r>
        <w:t xml:space="preserve">Cunliffe, B. 1991. </w:t>
      </w:r>
      <w:r>
        <w:rPr>
          <w:i/>
        </w:rPr>
        <w:t>Iron Age Communities in Britain.</w:t>
      </w:r>
      <w:r>
        <w:t xml:space="preserve"> London: Routledge.</w:t>
      </w:r>
    </w:p>
    <w:p w:rsidR="007B18E3" w:rsidRPr="007B18E3" w:rsidRDefault="007B18E3">
      <w:r>
        <w:t xml:space="preserve">Dudley, D.R. and Webster, G. 1962. </w:t>
      </w:r>
      <w:r>
        <w:rPr>
          <w:i/>
        </w:rPr>
        <w:t>The Rebellion of Boudicca.</w:t>
      </w:r>
      <w:r>
        <w:t xml:space="preserve"> London: Routledge.</w:t>
      </w:r>
    </w:p>
    <w:p w:rsidR="0053787B" w:rsidRDefault="0053787B">
      <w:r>
        <w:t xml:space="preserve">Dyer, J. 1990. </w:t>
      </w:r>
      <w:r>
        <w:rPr>
          <w:i/>
        </w:rPr>
        <w:t>Ancient Britain.</w:t>
      </w:r>
      <w:r>
        <w:t xml:space="preserve"> London: Routledge. </w:t>
      </w:r>
    </w:p>
    <w:p w:rsidR="00BD577E" w:rsidRDefault="00BD577E" w:rsidP="00BD577E">
      <w:proofErr w:type="spellStart"/>
      <w:r>
        <w:t>Frigo</w:t>
      </w:r>
      <w:proofErr w:type="spellEnd"/>
      <w:r>
        <w:t xml:space="preserve">, N. 2015. ‘Women in Ancient Rome’, </w:t>
      </w:r>
      <w:r>
        <w:rPr>
          <w:i/>
        </w:rPr>
        <w:t>Agora</w:t>
      </w:r>
      <w:r>
        <w:t>, 50</w:t>
      </w:r>
      <w:r w:rsidR="00D36ECE">
        <w:t xml:space="preserve">. </w:t>
      </w:r>
      <w:r>
        <w:t>3, 53-58.</w:t>
      </w:r>
    </w:p>
    <w:p w:rsidR="00EB329D" w:rsidRPr="00EB329D" w:rsidRDefault="00EB329D" w:rsidP="00BD577E">
      <w:r>
        <w:t xml:space="preserve">Fulford, M. 2002. ‘Phases of urbanism in Roman Britain’, </w:t>
      </w:r>
      <w:r>
        <w:rPr>
          <w:i/>
        </w:rPr>
        <w:t xml:space="preserve">Antiquity, </w:t>
      </w:r>
      <w:r>
        <w:t>79. 291, 264-266.</w:t>
      </w:r>
    </w:p>
    <w:p w:rsidR="007115E0" w:rsidRPr="003C1065" w:rsidRDefault="007115E0" w:rsidP="00BD577E">
      <w:r>
        <w:t xml:space="preserve">Gillespie, </w:t>
      </w:r>
      <w:r w:rsidR="003C1065">
        <w:t xml:space="preserve">C. 2015. ‘The Wolf and the Hare: Boudica’s Political Bodies in Tacitus and Dio’, </w:t>
      </w:r>
      <w:r w:rsidR="003C1065">
        <w:rPr>
          <w:i/>
        </w:rPr>
        <w:t>Classical World</w:t>
      </w:r>
      <w:r w:rsidR="003C1065">
        <w:t>, 108. 3, 403-430.</w:t>
      </w:r>
    </w:p>
    <w:p w:rsidR="00BD577E" w:rsidRDefault="00CF45EC" w:rsidP="00BD047B">
      <w:proofErr w:type="spellStart"/>
      <w:r>
        <w:t>Hingley</w:t>
      </w:r>
      <w:proofErr w:type="spellEnd"/>
      <w:r>
        <w:t xml:space="preserve">, R. 2005. </w:t>
      </w:r>
      <w:r>
        <w:rPr>
          <w:i/>
        </w:rPr>
        <w:t>Boudica</w:t>
      </w:r>
      <w:r w:rsidR="002D6888">
        <w:rPr>
          <w:i/>
        </w:rPr>
        <w:t>: Iron Age Warrior Queen.</w:t>
      </w:r>
      <w:r>
        <w:rPr>
          <w:i/>
        </w:rPr>
        <w:t xml:space="preserve"> </w:t>
      </w:r>
      <w:r>
        <w:t xml:space="preserve"> London: </w:t>
      </w:r>
      <w:proofErr w:type="spellStart"/>
      <w:r>
        <w:t>Hambledon</w:t>
      </w:r>
      <w:proofErr w:type="spellEnd"/>
      <w:r>
        <w:t xml:space="preserve"> Continuum.</w:t>
      </w:r>
    </w:p>
    <w:p w:rsidR="00D36ECE" w:rsidRDefault="00D36ECE" w:rsidP="00BD047B">
      <w:r>
        <w:t xml:space="preserve">Holland, R. 2000. </w:t>
      </w:r>
      <w:r>
        <w:rPr>
          <w:i/>
        </w:rPr>
        <w:t xml:space="preserve">Nero: The Man Behind </w:t>
      </w:r>
      <w:proofErr w:type="gramStart"/>
      <w:r>
        <w:rPr>
          <w:i/>
        </w:rPr>
        <w:t>The</w:t>
      </w:r>
      <w:proofErr w:type="gramEnd"/>
      <w:r>
        <w:rPr>
          <w:i/>
        </w:rPr>
        <w:t xml:space="preserve"> Myth</w:t>
      </w:r>
      <w:r>
        <w:t xml:space="preserve">. Stroud: Sutton </w:t>
      </w:r>
      <w:r w:rsidR="00625C79">
        <w:t>Publishing</w:t>
      </w:r>
      <w:r>
        <w:t>.</w:t>
      </w:r>
    </w:p>
    <w:p w:rsidR="00882270" w:rsidRPr="00882270" w:rsidRDefault="00882270" w:rsidP="00BD047B">
      <w:r>
        <w:t xml:space="preserve">Hose, M. 2009. ‘Cassius Dio: A Senator and Historian in the Age of Anxiety’, in J. </w:t>
      </w:r>
      <w:proofErr w:type="spellStart"/>
      <w:r>
        <w:t>Marincola</w:t>
      </w:r>
      <w:proofErr w:type="spellEnd"/>
      <w:r>
        <w:t xml:space="preserve"> (ed.), </w:t>
      </w:r>
      <w:r>
        <w:rPr>
          <w:i/>
        </w:rPr>
        <w:t>Companion to Greek and Roman Historiography.</w:t>
      </w:r>
      <w:r>
        <w:rPr>
          <w:b/>
          <w:i/>
        </w:rPr>
        <w:t xml:space="preserve"> </w:t>
      </w:r>
      <w:r>
        <w:t>Hoboken: Wiley.</w:t>
      </w:r>
    </w:p>
    <w:p w:rsidR="00625C79" w:rsidRPr="00625C79" w:rsidRDefault="00625C79" w:rsidP="00BD047B">
      <w:r>
        <w:lastRenderedPageBreak/>
        <w:t xml:space="preserve">James, L. 2001. </w:t>
      </w:r>
      <w:r>
        <w:rPr>
          <w:i/>
        </w:rPr>
        <w:t>Warrior Race: A History of The British at War.</w:t>
      </w:r>
      <w:r>
        <w:t xml:space="preserve"> </w:t>
      </w:r>
      <w:r w:rsidR="007115E0">
        <w:t>London: Little, Brown.</w:t>
      </w:r>
    </w:p>
    <w:p w:rsidR="00631E48" w:rsidRDefault="00631E48" w:rsidP="00BD047B">
      <w:r>
        <w:t xml:space="preserve">James, S. ‘A Companion to Tacitus’, </w:t>
      </w:r>
      <w:r>
        <w:rPr>
          <w:i/>
        </w:rPr>
        <w:t>Reference Reviews</w:t>
      </w:r>
      <w:r>
        <w:t>, 27. 3, 50.</w:t>
      </w:r>
    </w:p>
    <w:p w:rsidR="00486988" w:rsidRDefault="00910177" w:rsidP="00486988">
      <w:r>
        <w:t xml:space="preserve">Johnson, M. 2012. </w:t>
      </w:r>
      <w:r>
        <w:rPr>
          <w:i/>
        </w:rPr>
        <w:t xml:space="preserve">Boudicca. </w:t>
      </w:r>
      <w:r>
        <w:t>London: Bloomsbury Academic.</w:t>
      </w:r>
    </w:p>
    <w:p w:rsidR="00486988" w:rsidRDefault="00486988" w:rsidP="00486988">
      <w:proofErr w:type="spellStart"/>
      <w:r>
        <w:t>Levene</w:t>
      </w:r>
      <w:proofErr w:type="spellEnd"/>
      <w:r>
        <w:t xml:space="preserve">, D.S.  2009. ‘Warfare in the Annals’, in A.J. Woodman (ed.), </w:t>
      </w:r>
      <w:r>
        <w:rPr>
          <w:i/>
        </w:rPr>
        <w:t xml:space="preserve">The Cambridge Companion </w:t>
      </w:r>
      <w:proofErr w:type="gramStart"/>
      <w:r>
        <w:rPr>
          <w:i/>
        </w:rPr>
        <w:t>To</w:t>
      </w:r>
      <w:proofErr w:type="gramEnd"/>
      <w:r>
        <w:rPr>
          <w:i/>
        </w:rPr>
        <w:t xml:space="preserve"> Tacitus. </w:t>
      </w:r>
      <w:r>
        <w:t>Cambridge: Cambridge University Press.</w:t>
      </w:r>
    </w:p>
    <w:p w:rsidR="00B9691B" w:rsidRPr="00486988" w:rsidRDefault="00B9691B" w:rsidP="00486988">
      <w:r>
        <w:t xml:space="preserve">Malamud, M.  2009. ‘Tacitus and the twentieth-century novel’, in A.J. Woodman (ed.), </w:t>
      </w:r>
      <w:r>
        <w:rPr>
          <w:i/>
        </w:rPr>
        <w:t xml:space="preserve">The Cambridge Companion </w:t>
      </w:r>
      <w:proofErr w:type="gramStart"/>
      <w:r>
        <w:rPr>
          <w:i/>
        </w:rPr>
        <w:t>To</w:t>
      </w:r>
      <w:proofErr w:type="gramEnd"/>
      <w:r>
        <w:rPr>
          <w:i/>
        </w:rPr>
        <w:t xml:space="preserve"> Tacitus. </w:t>
      </w:r>
      <w:r>
        <w:t>Cambridge: Cambridge University Press.</w:t>
      </w:r>
    </w:p>
    <w:p w:rsidR="00F8287A" w:rsidRPr="00910177" w:rsidRDefault="00F8287A" w:rsidP="00BD047B">
      <w:r>
        <w:t xml:space="preserve">National Archives. ‘Lesson 2: Introduction to nouns; first declension nouns; cases of nouns’ No date. Nationalarchives.gov.uk. </w:t>
      </w:r>
      <w:hyperlink r:id="rId8" w:history="1">
        <w:r w:rsidR="00997F5F" w:rsidRPr="00BC6248">
          <w:rPr>
            <w:rStyle w:val="Hyperlink"/>
          </w:rPr>
          <w:t>http://www.nationalarchives.gov.uk/latin/beginners/lesson02/default.htm</w:t>
        </w:r>
      </w:hyperlink>
      <w:r>
        <w:t xml:space="preserve">  [Accessed: 12</w:t>
      </w:r>
      <w:r w:rsidRPr="00F8287A">
        <w:rPr>
          <w:vertAlign w:val="superscript"/>
        </w:rPr>
        <w:t>th</w:t>
      </w:r>
      <w:r>
        <w:t xml:space="preserve"> November 2017]</w:t>
      </w:r>
    </w:p>
    <w:p w:rsidR="005A6905" w:rsidRDefault="005A6905" w:rsidP="00BD047B">
      <w:r>
        <w:t xml:space="preserve">Overbeck, J.C. 1969. ‘Tacitus and Dio on Boudicca’s Rebellion’, </w:t>
      </w:r>
      <w:r>
        <w:rPr>
          <w:i/>
        </w:rPr>
        <w:t>The American Journal of Philology,</w:t>
      </w:r>
      <w:r w:rsidR="00D36ECE">
        <w:t xml:space="preserve"> </w:t>
      </w:r>
      <w:r>
        <w:t>90</w:t>
      </w:r>
      <w:r w:rsidR="00D36ECE">
        <w:t>.</w:t>
      </w:r>
      <w:r>
        <w:t xml:space="preserve"> </w:t>
      </w:r>
      <w:proofErr w:type="gramStart"/>
      <w:r>
        <w:t>April,</w:t>
      </w:r>
      <w:proofErr w:type="gramEnd"/>
      <w:r w:rsidR="00D36ECE">
        <w:t xml:space="preserve"> </w:t>
      </w:r>
      <w:r>
        <w:t>129-145.</w:t>
      </w:r>
    </w:p>
    <w:p w:rsidR="00E97733" w:rsidRPr="00E97733" w:rsidRDefault="00E97733" w:rsidP="00BD047B">
      <w:proofErr w:type="spellStart"/>
      <w:r>
        <w:t>Romey</w:t>
      </w:r>
      <w:proofErr w:type="spellEnd"/>
      <w:r>
        <w:t xml:space="preserve">, K.M. 2001. ‘Bad, Bad Boudicca’, </w:t>
      </w:r>
      <w:r>
        <w:rPr>
          <w:i/>
        </w:rPr>
        <w:t>Archaeology,</w:t>
      </w:r>
      <w:r>
        <w:t xml:space="preserve"> 54. 2, 16-16.</w:t>
      </w:r>
    </w:p>
    <w:p w:rsidR="005A054A" w:rsidRDefault="005A054A" w:rsidP="005A054A">
      <w:r w:rsidRPr="005A054A">
        <w:t>Syme, R. 1958.</w:t>
      </w:r>
      <w:r>
        <w:t xml:space="preserve"> </w:t>
      </w:r>
      <w:r w:rsidRPr="005A054A">
        <w:rPr>
          <w:i/>
        </w:rPr>
        <w:t>Tacitus.</w:t>
      </w:r>
      <w:r w:rsidRPr="005A054A">
        <w:t xml:space="preserve"> Oxford: Clarendon Press</w:t>
      </w:r>
      <w:r>
        <w:t>.</w:t>
      </w:r>
      <w:r w:rsidRPr="005A054A">
        <w:t xml:space="preserve"> </w:t>
      </w:r>
    </w:p>
    <w:p w:rsidR="002D59E2" w:rsidRDefault="002D59E2" w:rsidP="00BD047B">
      <w:r>
        <w:t xml:space="preserve">Webster, G. 1978. </w:t>
      </w:r>
      <w:r w:rsidRPr="002D59E2">
        <w:rPr>
          <w:i/>
        </w:rPr>
        <w:t>Boudica: The British Revolt Against Rome AD 60.</w:t>
      </w:r>
      <w:r>
        <w:rPr>
          <w:i/>
        </w:rPr>
        <w:t xml:space="preserve"> </w:t>
      </w:r>
      <w:r>
        <w:t>London: Routledge.</w:t>
      </w:r>
    </w:p>
    <w:p w:rsidR="00391442" w:rsidRDefault="00391442" w:rsidP="00BD047B"/>
    <w:p w:rsidR="00391442" w:rsidRDefault="00391442" w:rsidP="00BD047B"/>
    <w:p w:rsidR="00391442" w:rsidRDefault="00391442" w:rsidP="00BD047B"/>
    <w:p w:rsidR="00391442" w:rsidRDefault="00391442" w:rsidP="00BD047B"/>
    <w:p w:rsidR="00391442" w:rsidRDefault="00391442" w:rsidP="00BD047B"/>
    <w:p w:rsidR="00391442" w:rsidRDefault="00391442" w:rsidP="00BD047B"/>
    <w:p w:rsidR="00391442" w:rsidRDefault="00391442" w:rsidP="00BD047B"/>
    <w:p w:rsidR="00391442" w:rsidRDefault="00391442" w:rsidP="00BD047B"/>
    <w:p w:rsidR="00391442" w:rsidRDefault="00391442" w:rsidP="00BD047B"/>
    <w:p w:rsidR="00391442" w:rsidRDefault="00391442" w:rsidP="00BD047B"/>
    <w:p w:rsidR="00391442" w:rsidRDefault="00391442" w:rsidP="00BD047B"/>
    <w:p w:rsidR="00391442" w:rsidRDefault="00391442" w:rsidP="00BD047B"/>
    <w:p w:rsidR="00391442" w:rsidRDefault="00391442" w:rsidP="00BD047B"/>
    <w:p w:rsidR="00391442" w:rsidRDefault="00391442" w:rsidP="00BD047B"/>
    <w:p w:rsidR="00391442" w:rsidRDefault="00391442" w:rsidP="00BD047B"/>
    <w:p w:rsidR="00391442" w:rsidRDefault="00391442" w:rsidP="00BD047B"/>
    <w:p w:rsidR="00391442" w:rsidRDefault="00391442" w:rsidP="00BD047B"/>
    <w:p w:rsidR="00391442" w:rsidRDefault="00391442" w:rsidP="00BD047B"/>
    <w:p w:rsidR="00391442" w:rsidRDefault="00391442" w:rsidP="00BD047B"/>
    <w:p w:rsidR="00391442" w:rsidRDefault="00391442" w:rsidP="00BD047B">
      <w:r>
        <w:t>Bibliography:</w:t>
      </w:r>
    </w:p>
    <w:p w:rsidR="007D632A" w:rsidRPr="007D632A" w:rsidRDefault="00391442" w:rsidP="007D632A">
      <w:r>
        <w:t xml:space="preserve">Adamson, M. 2005. </w:t>
      </w:r>
      <w:r w:rsidRPr="007D632A">
        <w:rPr>
          <w:i/>
        </w:rPr>
        <w:t>An Archaeological Analysis of Gender Roles in Ancient Nonliterate Cultures of Eurasia</w:t>
      </w:r>
      <w:r w:rsidR="007D632A">
        <w:rPr>
          <w:i/>
        </w:rPr>
        <w:t>.</w:t>
      </w:r>
      <w:r>
        <w:t xml:space="preserve"> B.A.(Hons)</w:t>
      </w:r>
      <w:r w:rsidR="007D632A">
        <w:t>.</w:t>
      </w:r>
      <w:r>
        <w:t xml:space="preserve"> Flinders University of South Australia</w:t>
      </w:r>
      <w:r w:rsidR="007D632A">
        <w:t xml:space="preserve">. </w:t>
      </w:r>
      <w:r w:rsidR="00343307">
        <w:t xml:space="preserve">[online] </w:t>
      </w:r>
      <w:hyperlink r:id="rId9" w:history="1">
        <w:r w:rsidR="00343307" w:rsidRPr="00BC6248">
          <w:rPr>
            <w:rStyle w:val="Hyperlink"/>
          </w:rPr>
          <w:t>http://www.flinders.edu.au/ehl/fms/archaeology_files/dig_library/theses/MikeAdamson.pdf</w:t>
        </w:r>
      </w:hyperlink>
      <w:r w:rsidR="007D632A">
        <w:t xml:space="preserve"> [Accessed: 6</w:t>
      </w:r>
      <w:r w:rsidR="007D632A" w:rsidRPr="007D632A">
        <w:rPr>
          <w:vertAlign w:val="superscript"/>
        </w:rPr>
        <w:t>th</w:t>
      </w:r>
      <w:r w:rsidR="007D632A">
        <w:t xml:space="preserve"> November 2017]</w:t>
      </w:r>
    </w:p>
    <w:p w:rsidR="00391442" w:rsidRDefault="00391442" w:rsidP="00391442">
      <w:r>
        <w:t xml:space="preserve">Allison, P.M. 2015. ‘Characterising Roman </w:t>
      </w:r>
      <w:proofErr w:type="spellStart"/>
      <w:r>
        <w:t>Artifacts</w:t>
      </w:r>
      <w:proofErr w:type="spellEnd"/>
      <w:r>
        <w:t xml:space="preserve"> to Investigate Gendered Practices in Contexts Without Sexed Bodies’, </w:t>
      </w:r>
      <w:r>
        <w:rPr>
          <w:i/>
        </w:rPr>
        <w:t xml:space="preserve">American Journal of Archaeology, </w:t>
      </w:r>
      <w:r>
        <w:t xml:space="preserve">119. </w:t>
      </w:r>
      <w:proofErr w:type="gramStart"/>
      <w:r>
        <w:t>January,</w:t>
      </w:r>
      <w:proofErr w:type="gramEnd"/>
      <w:r>
        <w:t xml:space="preserve"> 103-123. </w:t>
      </w:r>
    </w:p>
    <w:p w:rsidR="00391442" w:rsidRDefault="00391442" w:rsidP="00391442">
      <w:r>
        <w:t xml:space="preserve">Barnes, T.D. 1984. ‘The Composition of Cassius </w:t>
      </w:r>
      <w:proofErr w:type="spellStart"/>
      <w:r>
        <w:t>Dio’s</w:t>
      </w:r>
      <w:proofErr w:type="spellEnd"/>
      <w:r>
        <w:t xml:space="preserve"> “Roman History”’, </w:t>
      </w:r>
      <w:r>
        <w:rPr>
          <w:i/>
        </w:rPr>
        <w:t>Phoenix</w:t>
      </w:r>
      <w:r>
        <w:t>, 38. 3, 240-255.</w:t>
      </w:r>
    </w:p>
    <w:p w:rsidR="00391442" w:rsidRDefault="00391442" w:rsidP="00391442">
      <w:r>
        <w:t xml:space="preserve">Birley, A.R. 2009. ‘The Agricola’, in A.J. Woodman (ed.), </w:t>
      </w:r>
      <w:r>
        <w:rPr>
          <w:i/>
        </w:rPr>
        <w:t xml:space="preserve">The Cambridge Companion </w:t>
      </w:r>
      <w:proofErr w:type="gramStart"/>
      <w:r>
        <w:rPr>
          <w:i/>
        </w:rPr>
        <w:t>To</w:t>
      </w:r>
      <w:proofErr w:type="gramEnd"/>
      <w:r>
        <w:rPr>
          <w:i/>
        </w:rPr>
        <w:t xml:space="preserve"> Tacitus. </w:t>
      </w:r>
      <w:r>
        <w:t>Cambridge: Cambridge University Press.</w:t>
      </w:r>
    </w:p>
    <w:p w:rsidR="00391442" w:rsidRPr="00330F0F" w:rsidRDefault="00391442" w:rsidP="00391442">
      <w:r>
        <w:t xml:space="preserve">Cassius Dio, </w:t>
      </w:r>
      <w:r>
        <w:rPr>
          <w:i/>
        </w:rPr>
        <w:t>Roman History.</w:t>
      </w:r>
      <w:r>
        <w:t xml:space="preserve"> E. Cary (trans.). 1925. London: William Heinemann.</w:t>
      </w:r>
    </w:p>
    <w:p w:rsidR="00391442" w:rsidRDefault="00391442" w:rsidP="00391442">
      <w:r>
        <w:t>Champion, T. 1995. ‘</w:t>
      </w:r>
      <w:r w:rsidRPr="00BD047B">
        <w:t>Power,</w:t>
      </w:r>
      <w:r>
        <w:t xml:space="preserve"> P</w:t>
      </w:r>
      <w:r w:rsidRPr="00BD047B">
        <w:t xml:space="preserve">olitics and </w:t>
      </w:r>
      <w:r>
        <w:t>S</w:t>
      </w:r>
      <w:r w:rsidRPr="00BD047B">
        <w:t>tatus’</w:t>
      </w:r>
      <w:r>
        <w:t xml:space="preserve">, in M. Green (ed.), </w:t>
      </w:r>
      <w:r w:rsidRPr="00BD047B">
        <w:rPr>
          <w:i/>
        </w:rPr>
        <w:t>The Celtic World</w:t>
      </w:r>
      <w:r>
        <w:t>. London: Routledge, 85-94.</w:t>
      </w:r>
      <w:bookmarkStart w:id="0" w:name="_GoBack"/>
      <w:bookmarkEnd w:id="0"/>
    </w:p>
    <w:p w:rsidR="00391442" w:rsidRPr="000E20A4" w:rsidRDefault="00391442" w:rsidP="00391442">
      <w:r>
        <w:t xml:space="preserve">Cunliffe, B. 1991. </w:t>
      </w:r>
      <w:r>
        <w:rPr>
          <w:i/>
        </w:rPr>
        <w:t>Iron Age Communities in Britain.</w:t>
      </w:r>
      <w:r>
        <w:t xml:space="preserve"> London: Routledge.</w:t>
      </w:r>
    </w:p>
    <w:p w:rsidR="00391442" w:rsidRPr="007B18E3" w:rsidRDefault="00391442" w:rsidP="00391442">
      <w:r>
        <w:t xml:space="preserve">Dudley, D.R. and Webster, G. 1962. </w:t>
      </w:r>
      <w:r>
        <w:rPr>
          <w:i/>
        </w:rPr>
        <w:t>The Rebellion of Boudicca.</w:t>
      </w:r>
      <w:r>
        <w:t xml:space="preserve"> London: Routledge.</w:t>
      </w:r>
    </w:p>
    <w:p w:rsidR="00391442" w:rsidRDefault="00391442" w:rsidP="00391442">
      <w:r>
        <w:t xml:space="preserve">Dyer, J. 1990. </w:t>
      </w:r>
      <w:r>
        <w:rPr>
          <w:i/>
        </w:rPr>
        <w:t>Ancient Britain.</w:t>
      </w:r>
      <w:r>
        <w:t xml:space="preserve"> London: Routledge. </w:t>
      </w:r>
    </w:p>
    <w:p w:rsidR="00391442" w:rsidRDefault="00391442" w:rsidP="00391442">
      <w:proofErr w:type="spellStart"/>
      <w:r>
        <w:t>Frigo</w:t>
      </w:r>
      <w:proofErr w:type="spellEnd"/>
      <w:r>
        <w:t xml:space="preserve">, N. 2015. ‘Women in Ancient Rome’, </w:t>
      </w:r>
      <w:r>
        <w:rPr>
          <w:i/>
        </w:rPr>
        <w:t>Agora</w:t>
      </w:r>
      <w:r>
        <w:t>, 50. 3, 53-58.</w:t>
      </w:r>
    </w:p>
    <w:p w:rsidR="00391442" w:rsidRDefault="00391442" w:rsidP="00391442">
      <w:r>
        <w:t xml:space="preserve">Fulford, M. 2002. ‘Phases of urbanism in Roman Britain’, </w:t>
      </w:r>
      <w:r>
        <w:rPr>
          <w:i/>
        </w:rPr>
        <w:t xml:space="preserve">Antiquity, </w:t>
      </w:r>
      <w:r>
        <w:t>79. 291, 264-266.</w:t>
      </w:r>
    </w:p>
    <w:p w:rsidR="00391442" w:rsidRDefault="00391442" w:rsidP="00391442">
      <w:r>
        <w:t xml:space="preserve">Gaius Julius Caesar, </w:t>
      </w:r>
      <w:r w:rsidRPr="001C24F4">
        <w:rPr>
          <w:i/>
        </w:rPr>
        <w:t xml:space="preserve">Commentaries on the Gallic </w:t>
      </w:r>
      <w:r w:rsidR="00270C76">
        <w:rPr>
          <w:i/>
        </w:rPr>
        <w:t>W</w:t>
      </w:r>
      <w:r w:rsidRPr="001C24F4">
        <w:rPr>
          <w:i/>
        </w:rPr>
        <w:t>ar</w:t>
      </w:r>
      <w:r>
        <w:t xml:space="preserve">. W.S. Bohn &amp; W.A </w:t>
      </w:r>
      <w:proofErr w:type="spellStart"/>
      <w:r>
        <w:t>McDevitte</w:t>
      </w:r>
      <w:proofErr w:type="spellEnd"/>
      <w:r>
        <w:t xml:space="preserve"> (trans.). 1869. New York: Harper &amp; Brothers.</w:t>
      </w:r>
    </w:p>
    <w:p w:rsidR="00391442" w:rsidRPr="003C1065" w:rsidRDefault="00391442" w:rsidP="00391442">
      <w:r>
        <w:t xml:space="preserve">Gillespie, C. 2015. ‘The Wolf and the Hare: Boudica’s Political Bodies in Tacitus and Dio’, </w:t>
      </w:r>
      <w:r>
        <w:rPr>
          <w:i/>
        </w:rPr>
        <w:t>Classical World</w:t>
      </w:r>
      <w:r>
        <w:t>, 108. 3, 403-430.</w:t>
      </w:r>
    </w:p>
    <w:p w:rsidR="00391442" w:rsidRDefault="00391442" w:rsidP="00391442">
      <w:proofErr w:type="spellStart"/>
      <w:r>
        <w:t>Hingley</w:t>
      </w:r>
      <w:proofErr w:type="spellEnd"/>
      <w:r>
        <w:t xml:space="preserve">, R. 2005. </w:t>
      </w:r>
      <w:r>
        <w:rPr>
          <w:i/>
        </w:rPr>
        <w:t xml:space="preserve">Boudica: Iron Age Warrior Queen. </w:t>
      </w:r>
      <w:r>
        <w:t xml:space="preserve"> London: </w:t>
      </w:r>
      <w:proofErr w:type="spellStart"/>
      <w:r>
        <w:t>Hambledon</w:t>
      </w:r>
      <w:proofErr w:type="spellEnd"/>
      <w:r>
        <w:t xml:space="preserve"> Continuum.</w:t>
      </w:r>
    </w:p>
    <w:p w:rsidR="00391442" w:rsidRDefault="00391442" w:rsidP="00391442">
      <w:r>
        <w:t xml:space="preserve">Holland, R. 2000. </w:t>
      </w:r>
      <w:r>
        <w:rPr>
          <w:i/>
        </w:rPr>
        <w:t xml:space="preserve">Nero: The Man Behind </w:t>
      </w:r>
      <w:proofErr w:type="gramStart"/>
      <w:r>
        <w:rPr>
          <w:i/>
        </w:rPr>
        <w:t>The</w:t>
      </w:r>
      <w:proofErr w:type="gramEnd"/>
      <w:r>
        <w:rPr>
          <w:i/>
        </w:rPr>
        <w:t xml:space="preserve"> Myth</w:t>
      </w:r>
      <w:r>
        <w:t>. Stroud: Sutton Publishing.</w:t>
      </w:r>
    </w:p>
    <w:p w:rsidR="00391442" w:rsidRPr="00882270" w:rsidRDefault="00391442" w:rsidP="00391442">
      <w:r>
        <w:t xml:space="preserve">Hose, M. 2009. ‘Cassius Dio: A Senator and Historian in the Age of Anxiety’, in J. </w:t>
      </w:r>
      <w:proofErr w:type="spellStart"/>
      <w:r>
        <w:t>Marincola</w:t>
      </w:r>
      <w:proofErr w:type="spellEnd"/>
      <w:r>
        <w:t xml:space="preserve"> (ed.), </w:t>
      </w:r>
      <w:r>
        <w:rPr>
          <w:i/>
        </w:rPr>
        <w:t>Companion to Greek and Roman Historiography.</w:t>
      </w:r>
      <w:r>
        <w:rPr>
          <w:b/>
          <w:i/>
        </w:rPr>
        <w:t xml:space="preserve"> </w:t>
      </w:r>
      <w:r>
        <w:t>Hoboken: Wiley.</w:t>
      </w:r>
    </w:p>
    <w:p w:rsidR="00391442" w:rsidRPr="00625C79" w:rsidRDefault="00391442" w:rsidP="00391442">
      <w:r>
        <w:t xml:space="preserve">James, L. 2001. </w:t>
      </w:r>
      <w:r>
        <w:rPr>
          <w:i/>
        </w:rPr>
        <w:t>Warrior Race: A History of The British at War.</w:t>
      </w:r>
      <w:r>
        <w:t xml:space="preserve"> London: Little, Brown.</w:t>
      </w:r>
    </w:p>
    <w:p w:rsidR="00391442" w:rsidRDefault="00391442" w:rsidP="00391442">
      <w:r>
        <w:t xml:space="preserve">James, S. ‘A Companion to Tacitus’, </w:t>
      </w:r>
      <w:r>
        <w:rPr>
          <w:i/>
        </w:rPr>
        <w:t>Reference Reviews</w:t>
      </w:r>
      <w:r>
        <w:t>, 27. 3, 50.</w:t>
      </w:r>
    </w:p>
    <w:p w:rsidR="00391442" w:rsidRDefault="00391442" w:rsidP="00391442">
      <w:r>
        <w:t xml:space="preserve">Johnson, M. 2012. </w:t>
      </w:r>
      <w:r>
        <w:rPr>
          <w:i/>
        </w:rPr>
        <w:t xml:space="preserve">Boudicca. </w:t>
      </w:r>
      <w:r>
        <w:t>London: Bloomsbury Academic.</w:t>
      </w:r>
    </w:p>
    <w:p w:rsidR="00391442" w:rsidRDefault="00391442" w:rsidP="00391442">
      <w:proofErr w:type="spellStart"/>
      <w:r>
        <w:t>Levene</w:t>
      </w:r>
      <w:proofErr w:type="spellEnd"/>
      <w:r>
        <w:t xml:space="preserve">, D.S.  2009. ‘Warfare in the Annals’, in A.J. Woodman (ed.), </w:t>
      </w:r>
      <w:r>
        <w:rPr>
          <w:i/>
        </w:rPr>
        <w:t xml:space="preserve">The Cambridge Companion </w:t>
      </w:r>
      <w:proofErr w:type="gramStart"/>
      <w:r>
        <w:rPr>
          <w:i/>
        </w:rPr>
        <w:t>To</w:t>
      </w:r>
      <w:proofErr w:type="gramEnd"/>
      <w:r>
        <w:rPr>
          <w:i/>
        </w:rPr>
        <w:t xml:space="preserve"> Tacitus. </w:t>
      </w:r>
      <w:r>
        <w:t>Cambridge: Cambridge University Press.</w:t>
      </w:r>
    </w:p>
    <w:p w:rsidR="00391442" w:rsidRPr="00486988" w:rsidRDefault="00391442" w:rsidP="00391442">
      <w:r>
        <w:t xml:space="preserve">Malamud, M.  2009. ‘Tacitus and the twentieth-century novel’, in A.J. Woodman (ed.), </w:t>
      </w:r>
      <w:r>
        <w:rPr>
          <w:i/>
        </w:rPr>
        <w:t xml:space="preserve">The Cambridge Companion </w:t>
      </w:r>
      <w:r w:rsidR="00C0059B">
        <w:rPr>
          <w:i/>
        </w:rPr>
        <w:t>to</w:t>
      </w:r>
      <w:r>
        <w:rPr>
          <w:i/>
        </w:rPr>
        <w:t xml:space="preserve"> Tacitus. </w:t>
      </w:r>
      <w:r>
        <w:t>Cambridge: Cambridge University Press</w:t>
      </w:r>
      <w:r w:rsidR="00C0059B">
        <w:t xml:space="preserve">. </w:t>
      </w:r>
    </w:p>
    <w:p w:rsidR="00391442" w:rsidRPr="00910177" w:rsidRDefault="00391442" w:rsidP="00391442">
      <w:r>
        <w:lastRenderedPageBreak/>
        <w:t xml:space="preserve">National Archives. ‘Lesson 2: Introduction to nouns; first declension nouns; cases of nouns’ No date. Nationalarchives.gov.uk. </w:t>
      </w:r>
      <w:hyperlink r:id="rId10" w:history="1">
        <w:r w:rsidRPr="00E66CB5">
          <w:rPr>
            <w:rStyle w:val="Hyperlink"/>
          </w:rPr>
          <w:t>http://www.nationalarchives.gov.uk/latin/beginners/lesson02/default.htm</w:t>
        </w:r>
      </w:hyperlink>
      <w:r>
        <w:t xml:space="preserve">  [Accessed: 12</w:t>
      </w:r>
      <w:r w:rsidRPr="00F8287A">
        <w:rPr>
          <w:vertAlign w:val="superscript"/>
        </w:rPr>
        <w:t>th</w:t>
      </w:r>
      <w:r>
        <w:t xml:space="preserve"> November 2017]</w:t>
      </w:r>
    </w:p>
    <w:p w:rsidR="00391442" w:rsidRDefault="00391442" w:rsidP="00391442">
      <w:r>
        <w:t xml:space="preserve">Overbeck, J.C. 1969. ‘Tacitus and Dio on Boudicca’s Rebellion’, </w:t>
      </w:r>
      <w:r>
        <w:rPr>
          <w:i/>
        </w:rPr>
        <w:t>The American Journal of Philology,</w:t>
      </w:r>
      <w:r>
        <w:t xml:space="preserve"> 90. </w:t>
      </w:r>
      <w:proofErr w:type="gramStart"/>
      <w:r>
        <w:t>April,</w:t>
      </w:r>
      <w:proofErr w:type="gramEnd"/>
      <w:r>
        <w:t xml:space="preserve"> 129-145.</w:t>
      </w:r>
    </w:p>
    <w:p w:rsidR="00391442" w:rsidRDefault="00391442" w:rsidP="00391442">
      <w:proofErr w:type="spellStart"/>
      <w:r>
        <w:t>Romey</w:t>
      </w:r>
      <w:proofErr w:type="spellEnd"/>
      <w:r>
        <w:t xml:space="preserve">, K.M. 2001. ‘Bad, Bad Boudicca’, </w:t>
      </w:r>
      <w:r>
        <w:rPr>
          <w:i/>
        </w:rPr>
        <w:t>Archaeology,</w:t>
      </w:r>
      <w:r>
        <w:t xml:space="preserve"> 54. 2, 16-16.</w:t>
      </w:r>
    </w:p>
    <w:p w:rsidR="00C0059B" w:rsidRPr="00E97733" w:rsidRDefault="00C0059B" w:rsidP="00391442">
      <w:r>
        <w:t xml:space="preserve">Suetonius, </w:t>
      </w:r>
      <w:r>
        <w:rPr>
          <w:i/>
        </w:rPr>
        <w:t xml:space="preserve">The Lives of the Twelve Caesars. </w:t>
      </w:r>
      <w:r>
        <w:t>J.C. Rolfe (trans.). 1914. Cambridge: Harvard University Press.</w:t>
      </w:r>
    </w:p>
    <w:p w:rsidR="00391442" w:rsidRDefault="00391442" w:rsidP="00391442">
      <w:r w:rsidRPr="005A054A">
        <w:t>Syme, R. 1958.</w:t>
      </w:r>
      <w:r>
        <w:t xml:space="preserve"> </w:t>
      </w:r>
      <w:r w:rsidRPr="005A054A">
        <w:rPr>
          <w:i/>
        </w:rPr>
        <w:t>Tacitus.</w:t>
      </w:r>
      <w:r w:rsidRPr="005A054A">
        <w:t xml:space="preserve"> Oxford: Clarendon Press</w:t>
      </w:r>
      <w:r>
        <w:t>.</w:t>
      </w:r>
      <w:r w:rsidRPr="005A054A">
        <w:t xml:space="preserve"> </w:t>
      </w:r>
    </w:p>
    <w:p w:rsidR="00391442" w:rsidRDefault="00391442" w:rsidP="00391442">
      <w:r>
        <w:t xml:space="preserve">Tacitus, </w:t>
      </w:r>
      <w:r>
        <w:rPr>
          <w:i/>
        </w:rPr>
        <w:t>Agricola.</w:t>
      </w:r>
      <w:r>
        <w:t xml:space="preserve"> A.J. Church &amp; W.J. </w:t>
      </w:r>
      <w:proofErr w:type="spellStart"/>
      <w:r>
        <w:t>Brodribb</w:t>
      </w:r>
      <w:proofErr w:type="spellEnd"/>
      <w:r>
        <w:t xml:space="preserve"> (trans.). 1877. London: Macmillan.</w:t>
      </w:r>
    </w:p>
    <w:p w:rsidR="00391442" w:rsidRDefault="00391442" w:rsidP="00391442">
      <w:r>
        <w:t xml:space="preserve">Tacitus, </w:t>
      </w:r>
      <w:r>
        <w:rPr>
          <w:i/>
        </w:rPr>
        <w:t>The Annals.</w:t>
      </w:r>
      <w:r>
        <w:t xml:space="preserve"> A.J. Church, W.J. </w:t>
      </w:r>
      <w:proofErr w:type="spellStart"/>
      <w:r>
        <w:t>Brodribb</w:t>
      </w:r>
      <w:proofErr w:type="spellEnd"/>
      <w:r>
        <w:t xml:space="preserve"> &amp; S. Bryant (trans.). New York: Random House, </w:t>
      </w:r>
      <w:proofErr w:type="gramStart"/>
      <w:r>
        <w:t>Inc..</w:t>
      </w:r>
      <w:proofErr w:type="gramEnd"/>
      <w:r>
        <w:t xml:space="preserve"> </w:t>
      </w:r>
    </w:p>
    <w:p w:rsidR="00391442" w:rsidRPr="002D59E2" w:rsidRDefault="00391442" w:rsidP="00391442">
      <w:r>
        <w:t xml:space="preserve">Webster, G. 1978. </w:t>
      </w:r>
      <w:r w:rsidRPr="002D59E2">
        <w:rPr>
          <w:i/>
        </w:rPr>
        <w:t>Boudica: The British Revolt Against Rome AD 60.</w:t>
      </w:r>
      <w:r>
        <w:rPr>
          <w:i/>
        </w:rPr>
        <w:t xml:space="preserve"> </w:t>
      </w:r>
      <w:r>
        <w:t>London: Routledge.</w:t>
      </w:r>
    </w:p>
    <w:p w:rsidR="00391442" w:rsidRPr="002D59E2" w:rsidRDefault="00391442" w:rsidP="00BD047B"/>
    <w:sectPr w:rsidR="00391442" w:rsidRPr="002D59E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22ED6" w:rsidRDefault="00222ED6" w:rsidP="00A641CA">
      <w:pPr>
        <w:spacing w:after="0" w:line="240" w:lineRule="auto"/>
      </w:pPr>
      <w:r>
        <w:separator/>
      </w:r>
    </w:p>
  </w:endnote>
  <w:endnote w:type="continuationSeparator" w:id="0">
    <w:p w:rsidR="00222ED6" w:rsidRDefault="00222ED6" w:rsidP="00A641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22ED6" w:rsidRDefault="00222ED6" w:rsidP="00A641CA">
      <w:pPr>
        <w:spacing w:after="0" w:line="240" w:lineRule="auto"/>
      </w:pPr>
      <w:r>
        <w:separator/>
      </w:r>
    </w:p>
  </w:footnote>
  <w:footnote w:type="continuationSeparator" w:id="0">
    <w:p w:rsidR="00222ED6" w:rsidRDefault="00222ED6" w:rsidP="00A641CA">
      <w:pPr>
        <w:spacing w:after="0" w:line="240" w:lineRule="auto"/>
      </w:pPr>
      <w:r>
        <w:continuationSeparator/>
      </w:r>
    </w:p>
  </w:footnote>
  <w:footnote w:id="1">
    <w:p w:rsidR="007115E0" w:rsidRDefault="007115E0">
      <w:pPr>
        <w:pStyle w:val="FootnoteText"/>
      </w:pPr>
      <w:r>
        <w:rPr>
          <w:rStyle w:val="FootnoteReference"/>
        </w:rPr>
        <w:footnoteRef/>
      </w:r>
      <w:r>
        <w:t xml:space="preserve"> Gillespie 2015: 403-404</w:t>
      </w:r>
    </w:p>
  </w:footnote>
  <w:footnote w:id="2">
    <w:p w:rsidR="007115E0" w:rsidRDefault="007115E0">
      <w:pPr>
        <w:pStyle w:val="FootnoteText"/>
      </w:pPr>
      <w:r>
        <w:rPr>
          <w:rStyle w:val="FootnoteReference"/>
        </w:rPr>
        <w:footnoteRef/>
      </w:r>
      <w:r>
        <w:t xml:space="preserve"> Gillespie 2015: 403</w:t>
      </w:r>
    </w:p>
  </w:footnote>
  <w:footnote w:id="3">
    <w:p w:rsidR="00BA7BF7" w:rsidRDefault="00BA7BF7">
      <w:pPr>
        <w:pStyle w:val="FootnoteText"/>
      </w:pPr>
      <w:r>
        <w:rPr>
          <w:rStyle w:val="FootnoteReference"/>
        </w:rPr>
        <w:footnoteRef/>
      </w:r>
      <w:r>
        <w:t xml:space="preserve"> Tac. Ann. 14.35; Cass. Dio 62.2-3</w:t>
      </w:r>
      <w:r w:rsidR="00625C79">
        <w:t>; James 2001: 16-17</w:t>
      </w:r>
    </w:p>
  </w:footnote>
  <w:footnote w:id="4">
    <w:p w:rsidR="00A1623C" w:rsidRDefault="00A1623C" w:rsidP="00A1623C">
      <w:pPr>
        <w:pStyle w:val="FootnoteText"/>
      </w:pPr>
      <w:r>
        <w:rPr>
          <w:rStyle w:val="FootnoteReference"/>
        </w:rPr>
        <w:footnoteRef/>
      </w:r>
      <w:r>
        <w:t xml:space="preserve"> James 2001: 14</w:t>
      </w:r>
    </w:p>
  </w:footnote>
  <w:footnote w:id="5">
    <w:p w:rsidR="00A1623C" w:rsidRDefault="00A1623C" w:rsidP="00A1623C">
      <w:pPr>
        <w:pStyle w:val="FootnoteText"/>
      </w:pPr>
      <w:r>
        <w:rPr>
          <w:rStyle w:val="FootnoteReference"/>
        </w:rPr>
        <w:footnoteRef/>
      </w:r>
      <w:r>
        <w:t xml:space="preserve"> Cass. Dio 62.5; National Archives</w:t>
      </w:r>
    </w:p>
  </w:footnote>
  <w:footnote w:id="6">
    <w:p w:rsidR="00CC73AB" w:rsidRDefault="00CC73AB">
      <w:pPr>
        <w:pStyle w:val="FootnoteText"/>
      </w:pPr>
      <w:r>
        <w:rPr>
          <w:rStyle w:val="FootnoteReference"/>
        </w:rPr>
        <w:footnoteRef/>
      </w:r>
      <w:r>
        <w:t xml:space="preserve"> Overbeck 1969: 129-130</w:t>
      </w:r>
    </w:p>
  </w:footnote>
  <w:footnote w:id="7">
    <w:p w:rsidR="00910177" w:rsidRDefault="00910177">
      <w:pPr>
        <w:pStyle w:val="FootnoteText"/>
      </w:pPr>
      <w:r>
        <w:rPr>
          <w:rStyle w:val="FootnoteReference"/>
        </w:rPr>
        <w:footnoteRef/>
      </w:r>
      <w:r>
        <w:t xml:space="preserve"> Johnson 2012: 39-40</w:t>
      </w:r>
    </w:p>
  </w:footnote>
  <w:footnote w:id="8">
    <w:p w:rsidR="005A054A" w:rsidRDefault="005A054A">
      <w:pPr>
        <w:pStyle w:val="FootnoteText"/>
      </w:pPr>
      <w:r>
        <w:rPr>
          <w:rStyle w:val="FootnoteReference"/>
        </w:rPr>
        <w:footnoteRef/>
      </w:r>
      <w:r>
        <w:t xml:space="preserve"> Overbeck 1969: 131</w:t>
      </w:r>
    </w:p>
  </w:footnote>
  <w:footnote w:id="9">
    <w:p w:rsidR="00B9691B" w:rsidRDefault="00B9691B">
      <w:pPr>
        <w:pStyle w:val="FootnoteText"/>
      </w:pPr>
      <w:r>
        <w:rPr>
          <w:rStyle w:val="FootnoteReference"/>
        </w:rPr>
        <w:footnoteRef/>
      </w:r>
      <w:r>
        <w:t xml:space="preserve"> </w:t>
      </w:r>
      <w:proofErr w:type="spellStart"/>
      <w:r>
        <w:t>Levene</w:t>
      </w:r>
      <w:proofErr w:type="spellEnd"/>
      <w:r>
        <w:t xml:space="preserve"> 2009: 247-248</w:t>
      </w:r>
    </w:p>
  </w:footnote>
  <w:footnote w:id="10">
    <w:p w:rsidR="00B9691B" w:rsidRDefault="00B9691B">
      <w:pPr>
        <w:pStyle w:val="FootnoteText"/>
      </w:pPr>
      <w:r>
        <w:rPr>
          <w:rStyle w:val="FootnoteReference"/>
        </w:rPr>
        <w:footnoteRef/>
      </w:r>
      <w:r>
        <w:t xml:space="preserve"> Malamud 2009: 322-323</w:t>
      </w:r>
    </w:p>
  </w:footnote>
  <w:footnote w:id="11">
    <w:p w:rsidR="00840ACA" w:rsidRDefault="00840ACA">
      <w:pPr>
        <w:pStyle w:val="FootnoteText"/>
      </w:pPr>
      <w:r>
        <w:rPr>
          <w:rStyle w:val="FootnoteReference"/>
        </w:rPr>
        <w:footnoteRef/>
      </w:r>
      <w:r>
        <w:t xml:space="preserve"> Syme 1958: 526</w:t>
      </w:r>
    </w:p>
  </w:footnote>
  <w:footnote w:id="12">
    <w:p w:rsidR="00840ACA" w:rsidRDefault="00840ACA">
      <w:pPr>
        <w:pStyle w:val="FootnoteText"/>
      </w:pPr>
      <w:r>
        <w:rPr>
          <w:rStyle w:val="FootnoteReference"/>
        </w:rPr>
        <w:footnoteRef/>
      </w:r>
      <w:r>
        <w:t xml:space="preserve"> Tac. Ann. 31,35</w:t>
      </w:r>
    </w:p>
  </w:footnote>
  <w:footnote w:id="13">
    <w:p w:rsidR="00D4359E" w:rsidRDefault="00D4359E">
      <w:pPr>
        <w:pStyle w:val="FootnoteText"/>
      </w:pPr>
      <w:r>
        <w:rPr>
          <w:rStyle w:val="FootnoteReference"/>
        </w:rPr>
        <w:footnoteRef/>
      </w:r>
      <w:r>
        <w:t xml:space="preserve"> Syme 1958: 534</w:t>
      </w:r>
    </w:p>
  </w:footnote>
  <w:footnote w:id="14">
    <w:p w:rsidR="00974497" w:rsidRDefault="00974497">
      <w:pPr>
        <w:pStyle w:val="FootnoteText"/>
      </w:pPr>
      <w:r>
        <w:rPr>
          <w:rStyle w:val="FootnoteReference"/>
        </w:rPr>
        <w:footnoteRef/>
      </w:r>
      <w:r>
        <w:t xml:space="preserve"> Tac. Ann. 38</w:t>
      </w:r>
    </w:p>
  </w:footnote>
  <w:footnote w:id="15">
    <w:p w:rsidR="00D4359E" w:rsidRDefault="00D4359E">
      <w:pPr>
        <w:pStyle w:val="FootnoteText"/>
      </w:pPr>
      <w:r>
        <w:rPr>
          <w:rStyle w:val="FootnoteReference"/>
        </w:rPr>
        <w:footnoteRef/>
      </w:r>
      <w:r>
        <w:t xml:space="preserve"> Tac. Ann. 38</w:t>
      </w:r>
    </w:p>
  </w:footnote>
  <w:footnote w:id="16">
    <w:p w:rsidR="003F0796" w:rsidRDefault="003F0796">
      <w:pPr>
        <w:pStyle w:val="FootnoteText"/>
      </w:pPr>
      <w:r>
        <w:rPr>
          <w:rStyle w:val="FootnoteReference"/>
        </w:rPr>
        <w:footnoteRef/>
      </w:r>
      <w:r>
        <w:t xml:space="preserve"> Johnson 2012: 40</w:t>
      </w:r>
    </w:p>
  </w:footnote>
  <w:footnote w:id="17">
    <w:p w:rsidR="003D737F" w:rsidRDefault="003D737F">
      <w:pPr>
        <w:pStyle w:val="FootnoteText"/>
      </w:pPr>
      <w:r>
        <w:rPr>
          <w:rStyle w:val="FootnoteReference"/>
        </w:rPr>
        <w:footnoteRef/>
      </w:r>
      <w:r>
        <w:t xml:space="preserve"> Hose 2007: 462,464</w:t>
      </w:r>
    </w:p>
  </w:footnote>
  <w:footnote w:id="18">
    <w:p w:rsidR="003D737F" w:rsidRDefault="003D737F">
      <w:pPr>
        <w:pStyle w:val="FootnoteText"/>
      </w:pPr>
      <w:r>
        <w:rPr>
          <w:rStyle w:val="FootnoteReference"/>
        </w:rPr>
        <w:footnoteRef/>
      </w:r>
      <w:r>
        <w:t xml:space="preserve"> Hose 2007: 463-464</w:t>
      </w:r>
    </w:p>
  </w:footnote>
  <w:footnote w:id="19">
    <w:p w:rsidR="0063534F" w:rsidRDefault="0063534F">
      <w:pPr>
        <w:pStyle w:val="FootnoteText"/>
      </w:pPr>
      <w:r>
        <w:rPr>
          <w:rStyle w:val="FootnoteReference"/>
        </w:rPr>
        <w:footnoteRef/>
      </w:r>
      <w:r>
        <w:t xml:space="preserve"> Cass. Dio 62.1</w:t>
      </w:r>
    </w:p>
  </w:footnote>
  <w:footnote w:id="20">
    <w:p w:rsidR="008D3703" w:rsidRDefault="008D3703">
      <w:pPr>
        <w:pStyle w:val="FootnoteText"/>
      </w:pPr>
      <w:r>
        <w:rPr>
          <w:rStyle w:val="FootnoteReference"/>
        </w:rPr>
        <w:footnoteRef/>
      </w:r>
      <w:r>
        <w:t xml:space="preserve"> Hose 2007: 455-465</w:t>
      </w:r>
    </w:p>
  </w:footnote>
  <w:footnote w:id="21">
    <w:p w:rsidR="003F0796" w:rsidRDefault="003F0796">
      <w:pPr>
        <w:pStyle w:val="FootnoteText"/>
      </w:pPr>
      <w:r>
        <w:rPr>
          <w:rStyle w:val="FootnoteReference"/>
        </w:rPr>
        <w:footnoteRef/>
      </w:r>
      <w:r>
        <w:t xml:space="preserve"> Barnes 1984: 242;</w:t>
      </w:r>
      <w:r w:rsidRPr="003F0796">
        <w:t xml:space="preserve"> </w:t>
      </w:r>
      <w:r>
        <w:t>Holland 2000: 121</w:t>
      </w:r>
    </w:p>
  </w:footnote>
  <w:footnote w:id="22">
    <w:p w:rsidR="002D22E4" w:rsidRDefault="002D22E4">
      <w:pPr>
        <w:pStyle w:val="FootnoteText"/>
      </w:pPr>
      <w:r>
        <w:rPr>
          <w:rStyle w:val="FootnoteReference"/>
        </w:rPr>
        <w:footnoteRef/>
      </w:r>
      <w:r w:rsidR="00330F0F">
        <w:t xml:space="preserve"> </w:t>
      </w:r>
      <w:r w:rsidR="00B95D13">
        <w:t>Stanford 1994: 150</w:t>
      </w:r>
    </w:p>
  </w:footnote>
  <w:footnote w:id="23">
    <w:p w:rsidR="00021347" w:rsidRDefault="00021347">
      <w:pPr>
        <w:pStyle w:val="FootnoteText"/>
      </w:pPr>
      <w:r>
        <w:rPr>
          <w:rStyle w:val="FootnoteReference"/>
        </w:rPr>
        <w:footnoteRef/>
      </w:r>
      <w:r>
        <w:t xml:space="preserve"> </w:t>
      </w:r>
      <w:r w:rsidR="00631E48">
        <w:t>Stanford</w:t>
      </w:r>
      <w:r w:rsidR="00B95D13">
        <w:t xml:space="preserve"> 1994:</w:t>
      </w:r>
      <w:r w:rsidR="00631E48">
        <w:t xml:space="preserve"> 116,142</w:t>
      </w:r>
    </w:p>
  </w:footnote>
  <w:footnote w:id="24">
    <w:p w:rsidR="00910177" w:rsidRDefault="00910177">
      <w:pPr>
        <w:pStyle w:val="FootnoteText"/>
      </w:pPr>
      <w:r>
        <w:rPr>
          <w:rStyle w:val="FootnoteReference"/>
        </w:rPr>
        <w:footnoteRef/>
      </w:r>
      <w:r>
        <w:t xml:space="preserve"> James 2013: 50; Johnson 2012: 57</w:t>
      </w:r>
    </w:p>
  </w:footnote>
  <w:footnote w:id="25">
    <w:p w:rsidR="00193585" w:rsidRDefault="00193585">
      <w:pPr>
        <w:pStyle w:val="FootnoteText"/>
      </w:pPr>
      <w:r>
        <w:rPr>
          <w:rStyle w:val="FootnoteReference"/>
        </w:rPr>
        <w:footnoteRef/>
      </w:r>
      <w:r>
        <w:t xml:space="preserve"> Suet. </w:t>
      </w:r>
      <w:proofErr w:type="spellStart"/>
      <w:r>
        <w:t>Ner</w:t>
      </w:r>
      <w:proofErr w:type="spellEnd"/>
      <w:r>
        <w:t>. 39.1; Cass. Dio 62.1</w:t>
      </w:r>
    </w:p>
  </w:footnote>
  <w:footnote w:id="26">
    <w:p w:rsidR="005A6905" w:rsidRDefault="005A6905" w:rsidP="005A6905">
      <w:pPr>
        <w:pStyle w:val="FootnoteText"/>
      </w:pPr>
      <w:r>
        <w:rPr>
          <w:rStyle w:val="FootnoteReference"/>
        </w:rPr>
        <w:footnoteRef/>
      </w:r>
      <w:r>
        <w:t xml:space="preserve"> Overbeck 1969: 130-131</w:t>
      </w:r>
    </w:p>
  </w:footnote>
  <w:footnote w:id="27">
    <w:p w:rsidR="00A86BEA" w:rsidRDefault="00A86BEA">
      <w:pPr>
        <w:pStyle w:val="FootnoteText"/>
      </w:pPr>
      <w:r>
        <w:rPr>
          <w:rStyle w:val="FootnoteReference"/>
        </w:rPr>
        <w:footnoteRef/>
      </w:r>
      <w:r>
        <w:t xml:space="preserve"> Overbeck 1969: 131; Tac. Ann. 14.33</w:t>
      </w:r>
    </w:p>
  </w:footnote>
  <w:footnote w:id="28">
    <w:p w:rsidR="00A86BEA" w:rsidRDefault="00A86BEA">
      <w:pPr>
        <w:pStyle w:val="FootnoteText"/>
      </w:pPr>
      <w:r>
        <w:rPr>
          <w:rStyle w:val="FootnoteReference"/>
        </w:rPr>
        <w:footnoteRef/>
      </w:r>
      <w:r>
        <w:t xml:space="preserve"> Cass. Dio 62.2; Tac. Ann.</w:t>
      </w:r>
      <w:r w:rsidR="008F5377">
        <w:t xml:space="preserve"> 14.31; Tac. </w:t>
      </w:r>
      <w:proofErr w:type="spellStart"/>
      <w:r w:rsidR="008F5377">
        <w:t>Agr</w:t>
      </w:r>
      <w:proofErr w:type="spellEnd"/>
      <w:r w:rsidR="008F5377">
        <w:t>. 15</w:t>
      </w:r>
    </w:p>
  </w:footnote>
  <w:footnote w:id="29">
    <w:p w:rsidR="00C24CE5" w:rsidRDefault="00C24CE5">
      <w:pPr>
        <w:pStyle w:val="FootnoteText"/>
      </w:pPr>
      <w:r>
        <w:rPr>
          <w:rStyle w:val="FootnoteReference"/>
        </w:rPr>
        <w:footnoteRef/>
      </w:r>
      <w:r>
        <w:t xml:space="preserve"> Tac. Ann. 14.31</w:t>
      </w:r>
    </w:p>
  </w:footnote>
  <w:footnote w:id="30">
    <w:p w:rsidR="000660AA" w:rsidRDefault="000660AA">
      <w:pPr>
        <w:pStyle w:val="FootnoteText"/>
      </w:pPr>
      <w:r>
        <w:rPr>
          <w:rStyle w:val="FootnoteReference"/>
        </w:rPr>
        <w:footnoteRef/>
      </w:r>
      <w:r>
        <w:t xml:space="preserve"> Tac. Ann. 14.31</w:t>
      </w:r>
    </w:p>
  </w:footnote>
  <w:footnote w:id="31">
    <w:p w:rsidR="000660AA" w:rsidRDefault="000660AA">
      <w:pPr>
        <w:pStyle w:val="FootnoteText"/>
      </w:pPr>
      <w:r>
        <w:rPr>
          <w:rStyle w:val="FootnoteReference"/>
        </w:rPr>
        <w:footnoteRef/>
      </w:r>
      <w:r>
        <w:t xml:space="preserve"> Cass. Dio 62.2; Hose 2007: 465</w:t>
      </w:r>
    </w:p>
  </w:footnote>
  <w:footnote w:id="32">
    <w:p w:rsidR="00D47992" w:rsidRDefault="00D47992">
      <w:pPr>
        <w:pStyle w:val="FootnoteText"/>
      </w:pPr>
      <w:r>
        <w:rPr>
          <w:rStyle w:val="FootnoteReference"/>
        </w:rPr>
        <w:footnoteRef/>
      </w:r>
      <w:r>
        <w:t xml:space="preserve"> Cass. Dio 62.2</w:t>
      </w:r>
    </w:p>
  </w:footnote>
  <w:footnote w:id="33">
    <w:p w:rsidR="00D47992" w:rsidRDefault="00D47992">
      <w:pPr>
        <w:pStyle w:val="FootnoteText"/>
      </w:pPr>
      <w:r>
        <w:rPr>
          <w:rStyle w:val="FootnoteReference"/>
        </w:rPr>
        <w:footnoteRef/>
      </w:r>
      <w:r>
        <w:t xml:space="preserve"> Cass. Dio 62.2; </w:t>
      </w:r>
      <w:r w:rsidR="00744383">
        <w:t>Stanford 1994: 130-131</w:t>
      </w:r>
    </w:p>
  </w:footnote>
  <w:footnote w:id="34">
    <w:p w:rsidR="00744383" w:rsidRDefault="00744383">
      <w:pPr>
        <w:pStyle w:val="FootnoteText"/>
      </w:pPr>
      <w:r>
        <w:rPr>
          <w:rStyle w:val="FootnoteReference"/>
        </w:rPr>
        <w:footnoteRef/>
      </w:r>
      <w:r>
        <w:t xml:space="preserve"> Tac. Ann. 14.31,35; James 2001: 14 </w:t>
      </w:r>
    </w:p>
  </w:footnote>
  <w:footnote w:id="35">
    <w:p w:rsidR="003D731A" w:rsidRDefault="003D731A">
      <w:pPr>
        <w:pStyle w:val="FootnoteText"/>
      </w:pPr>
      <w:r>
        <w:rPr>
          <w:rStyle w:val="FootnoteReference"/>
        </w:rPr>
        <w:footnoteRef/>
      </w:r>
      <w:r>
        <w:t xml:space="preserve"> Gillespie 2015: 409,414</w:t>
      </w:r>
    </w:p>
  </w:footnote>
  <w:footnote w:id="36">
    <w:p w:rsidR="003D731A" w:rsidRDefault="003D731A">
      <w:pPr>
        <w:pStyle w:val="FootnoteText"/>
      </w:pPr>
      <w:r>
        <w:rPr>
          <w:rStyle w:val="FootnoteReference"/>
        </w:rPr>
        <w:footnoteRef/>
      </w:r>
      <w:r>
        <w:t xml:space="preserve"> Gillespie 2015: 403</w:t>
      </w:r>
    </w:p>
  </w:footnote>
  <w:footnote w:id="37">
    <w:p w:rsidR="00D028BB" w:rsidRDefault="00D028BB">
      <w:pPr>
        <w:pStyle w:val="FootnoteText"/>
      </w:pPr>
      <w:r>
        <w:rPr>
          <w:rStyle w:val="FootnoteReference"/>
        </w:rPr>
        <w:footnoteRef/>
      </w:r>
      <w:r>
        <w:t xml:space="preserve"> Tac. Ann. 14.35; Cass. Dio 62.3-6</w:t>
      </w:r>
    </w:p>
  </w:footnote>
  <w:footnote w:id="38">
    <w:p w:rsidR="00D028BB" w:rsidRDefault="00D028BB">
      <w:pPr>
        <w:pStyle w:val="FootnoteText"/>
      </w:pPr>
      <w:r>
        <w:rPr>
          <w:rStyle w:val="FootnoteReference"/>
        </w:rPr>
        <w:footnoteRef/>
      </w:r>
      <w:r>
        <w:t xml:space="preserve"> Tac. Ann. 14.35; Cass. Dio 62.3-6</w:t>
      </w:r>
    </w:p>
  </w:footnote>
  <w:footnote w:id="39">
    <w:p w:rsidR="00C504A8" w:rsidRDefault="00C504A8">
      <w:pPr>
        <w:pStyle w:val="FootnoteText"/>
      </w:pPr>
      <w:r>
        <w:rPr>
          <w:rStyle w:val="FootnoteReference"/>
        </w:rPr>
        <w:footnoteRef/>
      </w:r>
      <w:r>
        <w:t xml:space="preserve"> Webster 1978: 17</w:t>
      </w:r>
    </w:p>
  </w:footnote>
  <w:footnote w:id="40">
    <w:p w:rsidR="00D028BB" w:rsidRDefault="00D028BB">
      <w:pPr>
        <w:pStyle w:val="FootnoteText"/>
      </w:pPr>
      <w:r>
        <w:rPr>
          <w:rStyle w:val="FootnoteReference"/>
        </w:rPr>
        <w:footnoteRef/>
      </w:r>
      <w:r>
        <w:t xml:space="preserve"> Tac. Ann 14.35</w:t>
      </w:r>
    </w:p>
  </w:footnote>
  <w:footnote w:id="41">
    <w:p w:rsidR="00C504A8" w:rsidRDefault="00C504A8">
      <w:pPr>
        <w:pStyle w:val="FootnoteText"/>
      </w:pPr>
      <w:r>
        <w:rPr>
          <w:rStyle w:val="FootnoteReference"/>
        </w:rPr>
        <w:footnoteRef/>
      </w:r>
      <w:r>
        <w:t xml:space="preserve"> Tac. Ann. 14.35; Cass. Dio 62.3-6</w:t>
      </w:r>
    </w:p>
  </w:footnote>
  <w:footnote w:id="42">
    <w:p w:rsidR="00C504A8" w:rsidRDefault="00C504A8">
      <w:pPr>
        <w:pStyle w:val="FootnoteText"/>
      </w:pPr>
      <w:r>
        <w:rPr>
          <w:rStyle w:val="FootnoteReference"/>
        </w:rPr>
        <w:footnoteRef/>
      </w:r>
      <w:r>
        <w:t xml:space="preserve"> Cass. Dio 62.3-6</w:t>
      </w:r>
    </w:p>
  </w:footnote>
  <w:footnote w:id="43">
    <w:p w:rsidR="00C504A8" w:rsidRDefault="00C504A8">
      <w:pPr>
        <w:pStyle w:val="FootnoteText"/>
      </w:pPr>
      <w:r>
        <w:rPr>
          <w:rStyle w:val="FootnoteReference"/>
        </w:rPr>
        <w:footnoteRef/>
      </w:r>
      <w:r>
        <w:t xml:space="preserve"> Cass. Dio 62.3-6</w:t>
      </w:r>
    </w:p>
  </w:footnote>
  <w:footnote w:id="44">
    <w:p w:rsidR="00BF10ED" w:rsidRDefault="00BF10ED">
      <w:pPr>
        <w:pStyle w:val="FootnoteText"/>
      </w:pPr>
      <w:r>
        <w:rPr>
          <w:rStyle w:val="FootnoteReference"/>
        </w:rPr>
        <w:footnoteRef/>
      </w:r>
      <w:r>
        <w:t xml:space="preserve"> Webster 1978: 17</w:t>
      </w:r>
    </w:p>
  </w:footnote>
  <w:footnote w:id="45">
    <w:p w:rsidR="00BF10ED" w:rsidRDefault="00BF10ED">
      <w:pPr>
        <w:pStyle w:val="FootnoteText"/>
      </w:pPr>
      <w:r>
        <w:rPr>
          <w:rStyle w:val="FootnoteReference"/>
        </w:rPr>
        <w:footnoteRef/>
      </w:r>
      <w:r>
        <w:t xml:space="preserve"> Webster 1978: 17</w:t>
      </w:r>
      <w:r w:rsidR="00AC13C0">
        <w:t>; Tac. Ann. 14.36</w:t>
      </w:r>
    </w:p>
  </w:footnote>
  <w:footnote w:id="46">
    <w:p w:rsidR="00BF10ED" w:rsidRDefault="00BF10ED">
      <w:pPr>
        <w:pStyle w:val="FootnoteText"/>
      </w:pPr>
      <w:r>
        <w:rPr>
          <w:rStyle w:val="FootnoteReference"/>
        </w:rPr>
        <w:footnoteRef/>
      </w:r>
      <w:r>
        <w:t xml:space="preserve"> Tac. Ann. </w:t>
      </w:r>
      <w:r w:rsidR="00AC13C0">
        <w:t>14.36</w:t>
      </w:r>
    </w:p>
  </w:footnote>
  <w:footnote w:id="47">
    <w:p w:rsidR="00AC13C0" w:rsidRDefault="00AC13C0">
      <w:pPr>
        <w:pStyle w:val="FootnoteText"/>
      </w:pPr>
      <w:r>
        <w:rPr>
          <w:rStyle w:val="FootnoteReference"/>
        </w:rPr>
        <w:footnoteRef/>
      </w:r>
      <w:r>
        <w:t xml:space="preserve"> Cass. Dio 62.9-10</w:t>
      </w:r>
    </w:p>
  </w:footnote>
  <w:footnote w:id="48">
    <w:p w:rsidR="00A1623C" w:rsidRDefault="00A1623C">
      <w:pPr>
        <w:pStyle w:val="FootnoteText"/>
      </w:pPr>
      <w:r>
        <w:rPr>
          <w:rStyle w:val="FootnoteReference"/>
        </w:rPr>
        <w:footnoteRef/>
      </w:r>
      <w:r>
        <w:t xml:space="preserve"> </w:t>
      </w:r>
      <w:proofErr w:type="spellStart"/>
      <w:r>
        <w:t>Romey</w:t>
      </w:r>
      <w:proofErr w:type="spellEnd"/>
      <w:r>
        <w:t xml:space="preserve"> 2001: 16</w:t>
      </w:r>
    </w:p>
  </w:footnote>
  <w:footnote w:id="49">
    <w:p w:rsidR="00E97733" w:rsidRDefault="00E97733">
      <w:pPr>
        <w:pStyle w:val="FootnoteText"/>
      </w:pPr>
      <w:r>
        <w:rPr>
          <w:rStyle w:val="FootnoteReference"/>
        </w:rPr>
        <w:footnoteRef/>
      </w:r>
      <w:r>
        <w:t xml:space="preserve"> </w:t>
      </w:r>
      <w:proofErr w:type="spellStart"/>
      <w:r>
        <w:t>Romey</w:t>
      </w:r>
      <w:proofErr w:type="spellEnd"/>
      <w:r>
        <w:t xml:space="preserve"> 2001: 16</w:t>
      </w:r>
    </w:p>
  </w:footnote>
  <w:footnote w:id="50">
    <w:p w:rsidR="00EB329D" w:rsidRDefault="00EB329D">
      <w:pPr>
        <w:pStyle w:val="FootnoteText"/>
      </w:pPr>
      <w:r>
        <w:rPr>
          <w:rStyle w:val="FootnoteReference"/>
        </w:rPr>
        <w:footnoteRef/>
      </w:r>
      <w:r>
        <w:t xml:space="preserve"> Fulford 2002: 264</w:t>
      </w:r>
    </w:p>
  </w:footnote>
  <w:footnote w:id="51">
    <w:p w:rsidR="002D59E2" w:rsidRDefault="002D59E2">
      <w:pPr>
        <w:pStyle w:val="FootnoteText"/>
      </w:pPr>
      <w:r>
        <w:rPr>
          <w:rStyle w:val="FootnoteReference"/>
        </w:rPr>
        <w:footnoteRef/>
      </w:r>
      <w:r>
        <w:t xml:space="preserve"> Webster 1978: 20; Tac. Ann. 14.31-33</w:t>
      </w:r>
    </w:p>
  </w:footnote>
  <w:footnote w:id="52">
    <w:p w:rsidR="00A641CA" w:rsidRDefault="00A641CA">
      <w:pPr>
        <w:pStyle w:val="FootnoteText"/>
      </w:pPr>
      <w:r>
        <w:rPr>
          <w:rStyle w:val="FootnoteReference"/>
        </w:rPr>
        <w:footnoteRef/>
      </w:r>
      <w:r>
        <w:t xml:space="preserve"> </w:t>
      </w:r>
      <w:proofErr w:type="spellStart"/>
      <w:r>
        <w:t>Frigo</w:t>
      </w:r>
      <w:proofErr w:type="spellEnd"/>
      <w:r>
        <w:t xml:space="preserve"> 2015: 53-54</w:t>
      </w:r>
    </w:p>
  </w:footnote>
  <w:footnote w:id="53">
    <w:p w:rsidR="001C24F4" w:rsidRDefault="001C24F4">
      <w:pPr>
        <w:pStyle w:val="FootnoteText"/>
      </w:pPr>
      <w:r>
        <w:rPr>
          <w:rStyle w:val="FootnoteReference"/>
        </w:rPr>
        <w:footnoteRef/>
      </w:r>
      <w:r>
        <w:t xml:space="preserve"> </w:t>
      </w:r>
      <w:proofErr w:type="spellStart"/>
      <w:r>
        <w:t>Caes</w:t>
      </w:r>
      <w:proofErr w:type="spellEnd"/>
      <w:r>
        <w:t xml:space="preserve">. </w:t>
      </w:r>
      <w:proofErr w:type="spellStart"/>
      <w:r>
        <w:t>BGall</w:t>
      </w:r>
      <w:proofErr w:type="spellEnd"/>
      <w:r>
        <w:t xml:space="preserve">. 5.14 </w:t>
      </w:r>
    </w:p>
  </w:footnote>
  <w:footnote w:id="54">
    <w:p w:rsidR="00783928" w:rsidRDefault="00783928">
      <w:pPr>
        <w:pStyle w:val="FootnoteText"/>
      </w:pPr>
      <w:r>
        <w:rPr>
          <w:rStyle w:val="FootnoteReference"/>
        </w:rPr>
        <w:footnoteRef/>
      </w:r>
      <w:r>
        <w:t xml:space="preserve"> Tac. </w:t>
      </w:r>
      <w:proofErr w:type="spellStart"/>
      <w:r>
        <w:t>Ag</w:t>
      </w:r>
      <w:r w:rsidR="00034377">
        <w:t>r</w:t>
      </w:r>
      <w:proofErr w:type="spellEnd"/>
      <w:r>
        <w:t>. 16</w:t>
      </w:r>
      <w:r w:rsidR="00F619AC">
        <w:t>;</w:t>
      </w:r>
      <w:r w:rsidR="00584087">
        <w:t xml:space="preserve"> Cass. Dio 62.2</w:t>
      </w:r>
    </w:p>
  </w:footnote>
  <w:footnote w:id="55">
    <w:p w:rsidR="00DA5EFA" w:rsidRDefault="00DA5EFA">
      <w:pPr>
        <w:pStyle w:val="FootnoteText"/>
      </w:pPr>
      <w:r>
        <w:rPr>
          <w:rStyle w:val="FootnoteReference"/>
        </w:rPr>
        <w:footnoteRef/>
      </w:r>
      <w:r>
        <w:t xml:space="preserve"> Tac. </w:t>
      </w:r>
      <w:proofErr w:type="spellStart"/>
      <w:r>
        <w:t>Ag</w:t>
      </w:r>
      <w:r w:rsidR="00034377">
        <w:t>r</w:t>
      </w:r>
      <w:proofErr w:type="spellEnd"/>
      <w:r>
        <w:t>. 16</w:t>
      </w:r>
      <w:r w:rsidR="00F619AC">
        <w:t>;</w:t>
      </w:r>
      <w:r>
        <w:t xml:space="preserve"> Cass. Dio 62.2</w:t>
      </w:r>
    </w:p>
  </w:footnote>
  <w:footnote w:id="56">
    <w:p w:rsidR="009F1264" w:rsidRDefault="009F1264">
      <w:pPr>
        <w:pStyle w:val="FootnoteText"/>
      </w:pPr>
      <w:r>
        <w:rPr>
          <w:rStyle w:val="FootnoteReference"/>
        </w:rPr>
        <w:footnoteRef/>
      </w:r>
      <w:r>
        <w:t xml:space="preserve"> </w:t>
      </w:r>
      <w:r w:rsidR="00D761E9">
        <w:t>Dyer 1990: 165</w:t>
      </w:r>
    </w:p>
  </w:footnote>
  <w:footnote w:id="57">
    <w:p w:rsidR="00D761E9" w:rsidRDefault="00D761E9">
      <w:pPr>
        <w:pStyle w:val="FootnoteText"/>
      </w:pPr>
      <w:r>
        <w:rPr>
          <w:rStyle w:val="FootnoteReference"/>
        </w:rPr>
        <w:footnoteRef/>
      </w:r>
      <w:r>
        <w:t xml:space="preserve"> Tac. </w:t>
      </w:r>
      <w:proofErr w:type="spellStart"/>
      <w:r>
        <w:t>Ag</w:t>
      </w:r>
      <w:r w:rsidR="00034377">
        <w:t>r</w:t>
      </w:r>
      <w:proofErr w:type="spellEnd"/>
      <w:r>
        <w:t>. 16</w:t>
      </w:r>
      <w:r w:rsidR="00F619AC">
        <w:t>;</w:t>
      </w:r>
      <w:r w:rsidR="00840ACA">
        <w:t xml:space="preserve"> Tac. Ann. 35</w:t>
      </w:r>
      <w:r w:rsidR="00F619AC">
        <w:t>;</w:t>
      </w:r>
      <w:r>
        <w:t xml:space="preserve"> Adamson 2005: 36</w:t>
      </w:r>
    </w:p>
  </w:footnote>
  <w:footnote w:id="58">
    <w:p w:rsidR="00034377" w:rsidRDefault="00034377">
      <w:pPr>
        <w:pStyle w:val="FootnoteText"/>
      </w:pPr>
      <w:r>
        <w:rPr>
          <w:rStyle w:val="FootnoteReference"/>
        </w:rPr>
        <w:footnoteRef/>
      </w:r>
      <w:r>
        <w:t xml:space="preserve"> Tac. Ann. 14.31</w:t>
      </w:r>
    </w:p>
  </w:footnote>
  <w:footnote w:id="59">
    <w:p w:rsidR="00034377" w:rsidRDefault="00034377">
      <w:pPr>
        <w:pStyle w:val="FootnoteText"/>
      </w:pPr>
      <w:r>
        <w:rPr>
          <w:rStyle w:val="FootnoteReference"/>
        </w:rPr>
        <w:footnoteRef/>
      </w:r>
      <w:r>
        <w:t xml:space="preserve"> </w:t>
      </w:r>
      <w:r w:rsidR="007B18E3">
        <w:t>Tac. Ann. 14.31</w:t>
      </w:r>
      <w:r w:rsidR="00F619AC">
        <w:t>;</w:t>
      </w:r>
      <w:r w:rsidR="007B18E3">
        <w:t xml:space="preserve"> Dudley &amp; Webster 1962: 47</w:t>
      </w:r>
    </w:p>
  </w:footnote>
  <w:footnote w:id="60">
    <w:p w:rsidR="00CF45EC" w:rsidRDefault="00CF45EC">
      <w:pPr>
        <w:pStyle w:val="FootnoteText"/>
      </w:pPr>
      <w:r>
        <w:rPr>
          <w:rStyle w:val="FootnoteReference"/>
        </w:rPr>
        <w:footnoteRef/>
      </w:r>
      <w:r>
        <w:t xml:space="preserve"> </w:t>
      </w:r>
      <w:proofErr w:type="spellStart"/>
      <w:r>
        <w:t>Hingley</w:t>
      </w:r>
      <w:proofErr w:type="spellEnd"/>
      <w:r>
        <w:t xml:space="preserve"> </w:t>
      </w:r>
      <w:r w:rsidR="004756AD">
        <w:t xml:space="preserve">2005: </w:t>
      </w:r>
      <w:r>
        <w:t>76-77</w:t>
      </w:r>
    </w:p>
  </w:footnote>
  <w:footnote w:id="61">
    <w:p w:rsidR="00CF45EC" w:rsidRDefault="00CF45EC">
      <w:pPr>
        <w:pStyle w:val="FootnoteText"/>
      </w:pPr>
      <w:r>
        <w:rPr>
          <w:rStyle w:val="FootnoteReference"/>
        </w:rPr>
        <w:footnoteRef/>
      </w:r>
      <w:r>
        <w:t xml:space="preserve"> </w:t>
      </w:r>
      <w:proofErr w:type="spellStart"/>
      <w:r>
        <w:t>Hingley</w:t>
      </w:r>
      <w:proofErr w:type="spellEnd"/>
      <w:r w:rsidR="004756AD">
        <w:t xml:space="preserve"> 2005:</w:t>
      </w:r>
      <w:r>
        <w:t xml:space="preserve"> 76-78</w:t>
      </w:r>
    </w:p>
  </w:footnote>
  <w:footnote w:id="62">
    <w:p w:rsidR="00BE6A1B" w:rsidRDefault="00BE6A1B">
      <w:pPr>
        <w:pStyle w:val="FootnoteText"/>
      </w:pPr>
      <w:r>
        <w:rPr>
          <w:rStyle w:val="FootnoteReference"/>
        </w:rPr>
        <w:footnoteRef/>
      </w:r>
      <w:r>
        <w:t xml:space="preserve"> </w:t>
      </w:r>
      <w:r w:rsidR="00F10154">
        <w:t>Champion 1995: 91</w:t>
      </w:r>
    </w:p>
  </w:footnote>
  <w:footnote w:id="63">
    <w:p w:rsidR="0053787B" w:rsidRDefault="0053787B">
      <w:pPr>
        <w:pStyle w:val="FootnoteText"/>
      </w:pPr>
      <w:r>
        <w:rPr>
          <w:rStyle w:val="FootnoteReference"/>
        </w:rPr>
        <w:footnoteRef/>
      </w:r>
      <w:r>
        <w:t xml:space="preserve"> Allison 2015: 104</w:t>
      </w:r>
    </w:p>
  </w:footnote>
  <w:footnote w:id="64">
    <w:p w:rsidR="00F10154" w:rsidRDefault="00F10154">
      <w:pPr>
        <w:pStyle w:val="FootnoteText"/>
      </w:pPr>
      <w:r>
        <w:rPr>
          <w:rStyle w:val="FootnoteReference"/>
        </w:rPr>
        <w:footnoteRef/>
      </w:r>
      <w:r>
        <w:t xml:space="preserve"> Cunliffe 1991: 139</w:t>
      </w:r>
      <w:r w:rsidR="00F619AC">
        <w:t>;</w:t>
      </w:r>
      <w:r w:rsidR="0053787B">
        <w:t xml:space="preserve"> Tac. Ann. </w:t>
      </w:r>
      <w:r w:rsidR="00547525">
        <w:t>14.35</w:t>
      </w:r>
    </w:p>
  </w:footnote>
  <w:footnote w:id="65">
    <w:p w:rsidR="004756AD" w:rsidRDefault="004756AD">
      <w:pPr>
        <w:pStyle w:val="FootnoteText"/>
      </w:pPr>
      <w:r>
        <w:rPr>
          <w:rStyle w:val="FootnoteReference"/>
        </w:rPr>
        <w:footnoteRef/>
      </w:r>
      <w:r>
        <w:t xml:space="preserve"> </w:t>
      </w:r>
      <w:proofErr w:type="spellStart"/>
      <w:r>
        <w:t>Hingley</w:t>
      </w:r>
      <w:proofErr w:type="spellEnd"/>
      <w:r>
        <w:t xml:space="preserve"> 2005: 45</w:t>
      </w:r>
    </w:p>
  </w:footnote>
  <w:footnote w:id="66">
    <w:p w:rsidR="00AC13C0" w:rsidRDefault="00AC13C0">
      <w:pPr>
        <w:pStyle w:val="FootnoteText"/>
      </w:pPr>
      <w:r>
        <w:rPr>
          <w:rStyle w:val="FootnoteReference"/>
        </w:rPr>
        <w:footnoteRef/>
      </w:r>
      <w:r>
        <w:t xml:space="preserve"> Tac. Ann. 14.31,35; Cass. Dio 62.2</w:t>
      </w:r>
    </w:p>
  </w:footnote>
  <w:footnote w:id="67">
    <w:p w:rsidR="00526CE6" w:rsidRDefault="00526CE6">
      <w:pPr>
        <w:pStyle w:val="FootnoteText"/>
      </w:pPr>
      <w:r>
        <w:rPr>
          <w:rStyle w:val="FootnoteReference"/>
        </w:rPr>
        <w:footnoteRef/>
      </w:r>
      <w:r>
        <w:t xml:space="preserve"> Stanford1994: 112</w:t>
      </w:r>
    </w:p>
  </w:footnote>
  <w:footnote w:id="68">
    <w:p w:rsidR="00AC13C0" w:rsidRDefault="00AC13C0">
      <w:pPr>
        <w:pStyle w:val="FootnoteText"/>
      </w:pPr>
      <w:r>
        <w:rPr>
          <w:rStyle w:val="FootnoteReference"/>
        </w:rPr>
        <w:footnoteRef/>
      </w:r>
      <w:r>
        <w:t xml:space="preserve"> Webster 1978: 20</w:t>
      </w:r>
    </w:p>
  </w:footnote>
  <w:footnote w:id="69">
    <w:p w:rsidR="0020407E" w:rsidRDefault="0020407E">
      <w:pPr>
        <w:pStyle w:val="FootnoteText"/>
      </w:pPr>
      <w:r>
        <w:rPr>
          <w:rStyle w:val="FootnoteReference"/>
        </w:rPr>
        <w:footnoteRef/>
      </w:r>
      <w:r>
        <w:t xml:space="preserve"> Tac. </w:t>
      </w:r>
      <w:proofErr w:type="spellStart"/>
      <w:r>
        <w:t>Agr</w:t>
      </w:r>
      <w:proofErr w:type="spellEnd"/>
      <w:r>
        <w:t>. 16; Dyer 1990: 165; Champion 1995: 91</w:t>
      </w:r>
    </w:p>
  </w:footnote>
  <w:footnote w:id="70">
    <w:p w:rsidR="0020407E" w:rsidRDefault="0020407E">
      <w:pPr>
        <w:pStyle w:val="FootnoteText"/>
      </w:pPr>
      <w:r>
        <w:rPr>
          <w:rStyle w:val="FootnoteReference"/>
        </w:rPr>
        <w:footnoteRef/>
      </w:r>
      <w:r>
        <w:t xml:space="preserve"> Hose 2007: 463-464;</w:t>
      </w:r>
      <w:r w:rsidR="00486988">
        <w:t xml:space="preserve"> </w:t>
      </w:r>
      <w:proofErr w:type="spellStart"/>
      <w:r w:rsidR="00486988">
        <w:t>Levene</w:t>
      </w:r>
      <w:proofErr w:type="spellEnd"/>
      <w:r w:rsidR="00486988">
        <w:t xml:space="preserve"> 2009:247-248</w:t>
      </w:r>
    </w:p>
  </w:footnote>
  <w:footnote w:id="71">
    <w:p w:rsidR="000E20A4" w:rsidRDefault="000E20A4">
      <w:pPr>
        <w:pStyle w:val="FootnoteText"/>
      </w:pPr>
      <w:r>
        <w:rPr>
          <w:rStyle w:val="FootnoteReference"/>
        </w:rPr>
        <w:footnoteRef/>
      </w:r>
      <w:r>
        <w:t xml:space="preserve"> Birley 2009: 74</w:t>
      </w:r>
    </w:p>
  </w:footnote>
  <w:footnote w:id="72">
    <w:p w:rsidR="000E20A4" w:rsidRDefault="000E20A4">
      <w:pPr>
        <w:pStyle w:val="FootnoteText"/>
      </w:pPr>
      <w:r>
        <w:rPr>
          <w:rStyle w:val="FootnoteReference"/>
        </w:rPr>
        <w:footnoteRef/>
      </w:r>
      <w:r>
        <w:t xml:space="preserve"> Cunliffe 1991: 207-208</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0E69"/>
    <w:rsid w:val="00021347"/>
    <w:rsid w:val="00021FC8"/>
    <w:rsid w:val="00031333"/>
    <w:rsid w:val="00034377"/>
    <w:rsid w:val="000660AA"/>
    <w:rsid w:val="000B2EAC"/>
    <w:rsid w:val="000C5DD7"/>
    <w:rsid w:val="000E20A4"/>
    <w:rsid w:val="000E3CB0"/>
    <w:rsid w:val="0016724B"/>
    <w:rsid w:val="00193585"/>
    <w:rsid w:val="0019491B"/>
    <w:rsid w:val="001C0A46"/>
    <w:rsid w:val="001C24F4"/>
    <w:rsid w:val="001C5E17"/>
    <w:rsid w:val="0020407E"/>
    <w:rsid w:val="00214CCF"/>
    <w:rsid w:val="00222ED6"/>
    <w:rsid w:val="00233E23"/>
    <w:rsid w:val="00270C76"/>
    <w:rsid w:val="002D0D71"/>
    <w:rsid w:val="002D22E4"/>
    <w:rsid w:val="002D59E2"/>
    <w:rsid w:val="002D6888"/>
    <w:rsid w:val="00326161"/>
    <w:rsid w:val="00330F0F"/>
    <w:rsid w:val="00334458"/>
    <w:rsid w:val="00343307"/>
    <w:rsid w:val="00354182"/>
    <w:rsid w:val="00391442"/>
    <w:rsid w:val="003C1065"/>
    <w:rsid w:val="003D731A"/>
    <w:rsid w:val="003D737F"/>
    <w:rsid w:val="003E39B6"/>
    <w:rsid w:val="003F0796"/>
    <w:rsid w:val="003F6692"/>
    <w:rsid w:val="00401A12"/>
    <w:rsid w:val="00402597"/>
    <w:rsid w:val="0043632C"/>
    <w:rsid w:val="004368D2"/>
    <w:rsid w:val="00446462"/>
    <w:rsid w:val="0045117C"/>
    <w:rsid w:val="004756AD"/>
    <w:rsid w:val="004846C8"/>
    <w:rsid w:val="00486988"/>
    <w:rsid w:val="004A0E69"/>
    <w:rsid w:val="004C30D7"/>
    <w:rsid w:val="004D3C0E"/>
    <w:rsid w:val="004E5D5C"/>
    <w:rsid w:val="00506DB2"/>
    <w:rsid w:val="00526CE6"/>
    <w:rsid w:val="0053787B"/>
    <w:rsid w:val="005426D1"/>
    <w:rsid w:val="00544368"/>
    <w:rsid w:val="005452C4"/>
    <w:rsid w:val="00547525"/>
    <w:rsid w:val="00584087"/>
    <w:rsid w:val="005A054A"/>
    <w:rsid w:val="005A6905"/>
    <w:rsid w:val="005F584B"/>
    <w:rsid w:val="006122DB"/>
    <w:rsid w:val="006137D6"/>
    <w:rsid w:val="00613F17"/>
    <w:rsid w:val="00625C79"/>
    <w:rsid w:val="00631E48"/>
    <w:rsid w:val="0063534F"/>
    <w:rsid w:val="00654760"/>
    <w:rsid w:val="006D5A86"/>
    <w:rsid w:val="006E389B"/>
    <w:rsid w:val="0070495D"/>
    <w:rsid w:val="007115E0"/>
    <w:rsid w:val="007442AD"/>
    <w:rsid w:val="00744383"/>
    <w:rsid w:val="00783928"/>
    <w:rsid w:val="007A55C2"/>
    <w:rsid w:val="007B18E3"/>
    <w:rsid w:val="007B2E60"/>
    <w:rsid w:val="007D632A"/>
    <w:rsid w:val="007E683C"/>
    <w:rsid w:val="007F37E9"/>
    <w:rsid w:val="007F5ABB"/>
    <w:rsid w:val="00814083"/>
    <w:rsid w:val="00831011"/>
    <w:rsid w:val="008349EA"/>
    <w:rsid w:val="00840ACA"/>
    <w:rsid w:val="00882270"/>
    <w:rsid w:val="00896029"/>
    <w:rsid w:val="008D3703"/>
    <w:rsid w:val="008D7214"/>
    <w:rsid w:val="008F5377"/>
    <w:rsid w:val="00910177"/>
    <w:rsid w:val="009378CB"/>
    <w:rsid w:val="00950703"/>
    <w:rsid w:val="009538A8"/>
    <w:rsid w:val="00954CE0"/>
    <w:rsid w:val="00974497"/>
    <w:rsid w:val="00982A45"/>
    <w:rsid w:val="00997F5F"/>
    <w:rsid w:val="009A68AF"/>
    <w:rsid w:val="009F1264"/>
    <w:rsid w:val="00A02E8F"/>
    <w:rsid w:val="00A1623C"/>
    <w:rsid w:val="00A364B0"/>
    <w:rsid w:val="00A641CA"/>
    <w:rsid w:val="00A86BEA"/>
    <w:rsid w:val="00A91369"/>
    <w:rsid w:val="00AC13C0"/>
    <w:rsid w:val="00B54163"/>
    <w:rsid w:val="00B663DD"/>
    <w:rsid w:val="00B95D13"/>
    <w:rsid w:val="00B9691B"/>
    <w:rsid w:val="00BA7BF7"/>
    <w:rsid w:val="00BD047B"/>
    <w:rsid w:val="00BD577E"/>
    <w:rsid w:val="00BE6A1B"/>
    <w:rsid w:val="00BF10ED"/>
    <w:rsid w:val="00C0059B"/>
    <w:rsid w:val="00C14BD7"/>
    <w:rsid w:val="00C15C49"/>
    <w:rsid w:val="00C24CE5"/>
    <w:rsid w:val="00C504A8"/>
    <w:rsid w:val="00CC73AB"/>
    <w:rsid w:val="00CF3E15"/>
    <w:rsid w:val="00CF45EC"/>
    <w:rsid w:val="00D028BB"/>
    <w:rsid w:val="00D36ECE"/>
    <w:rsid w:val="00D37878"/>
    <w:rsid w:val="00D4359E"/>
    <w:rsid w:val="00D45F5F"/>
    <w:rsid w:val="00D47992"/>
    <w:rsid w:val="00D612EC"/>
    <w:rsid w:val="00D761E9"/>
    <w:rsid w:val="00D80E8F"/>
    <w:rsid w:val="00D849DB"/>
    <w:rsid w:val="00DA5EFA"/>
    <w:rsid w:val="00DB6AEE"/>
    <w:rsid w:val="00DD5D7A"/>
    <w:rsid w:val="00E3583D"/>
    <w:rsid w:val="00E711D7"/>
    <w:rsid w:val="00E97733"/>
    <w:rsid w:val="00EA29C8"/>
    <w:rsid w:val="00EB329D"/>
    <w:rsid w:val="00EE00B0"/>
    <w:rsid w:val="00F10154"/>
    <w:rsid w:val="00F21907"/>
    <w:rsid w:val="00F25B9F"/>
    <w:rsid w:val="00F544E8"/>
    <w:rsid w:val="00F619AC"/>
    <w:rsid w:val="00F72D4E"/>
    <w:rsid w:val="00F8287A"/>
    <w:rsid w:val="00F93D90"/>
    <w:rsid w:val="00FA49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91024B"/>
  <w15:chartTrackingRefBased/>
  <w15:docId w15:val="{0672D22B-B9CB-4CF5-B004-2B7C0E41BA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4A0E69"/>
    <w:rPr>
      <w:i/>
      <w:iCs/>
    </w:rPr>
  </w:style>
  <w:style w:type="paragraph" w:styleId="FootnoteText">
    <w:name w:val="footnote text"/>
    <w:basedOn w:val="Normal"/>
    <w:link w:val="FootnoteTextChar"/>
    <w:uiPriority w:val="99"/>
    <w:unhideWhenUsed/>
    <w:rsid w:val="00A641CA"/>
    <w:pPr>
      <w:spacing w:after="0" w:line="240" w:lineRule="auto"/>
    </w:pPr>
    <w:rPr>
      <w:sz w:val="20"/>
      <w:szCs w:val="20"/>
    </w:rPr>
  </w:style>
  <w:style w:type="character" w:customStyle="1" w:styleId="FootnoteTextChar">
    <w:name w:val="Footnote Text Char"/>
    <w:basedOn w:val="DefaultParagraphFont"/>
    <w:link w:val="FootnoteText"/>
    <w:uiPriority w:val="99"/>
    <w:rsid w:val="00A641CA"/>
    <w:rPr>
      <w:sz w:val="20"/>
      <w:szCs w:val="20"/>
    </w:rPr>
  </w:style>
  <w:style w:type="character" w:styleId="FootnoteReference">
    <w:name w:val="footnote reference"/>
    <w:basedOn w:val="DefaultParagraphFont"/>
    <w:uiPriority w:val="99"/>
    <w:semiHidden/>
    <w:unhideWhenUsed/>
    <w:rsid w:val="00A641CA"/>
    <w:rPr>
      <w:vertAlign w:val="superscript"/>
    </w:rPr>
  </w:style>
  <w:style w:type="character" w:styleId="Hyperlink">
    <w:name w:val="Hyperlink"/>
    <w:basedOn w:val="DefaultParagraphFont"/>
    <w:uiPriority w:val="99"/>
    <w:unhideWhenUsed/>
    <w:rsid w:val="00BD047B"/>
    <w:rPr>
      <w:color w:val="0563C1" w:themeColor="hyperlink"/>
      <w:u w:val="single"/>
    </w:rPr>
  </w:style>
  <w:style w:type="character" w:styleId="UnresolvedMention">
    <w:name w:val="Unresolved Mention"/>
    <w:basedOn w:val="DefaultParagraphFont"/>
    <w:uiPriority w:val="99"/>
    <w:semiHidden/>
    <w:unhideWhenUsed/>
    <w:rsid w:val="00BD047B"/>
    <w:rPr>
      <w:color w:val="808080"/>
      <w:shd w:val="clear" w:color="auto" w:fill="E6E6E6"/>
    </w:rPr>
  </w:style>
  <w:style w:type="character" w:styleId="FollowedHyperlink">
    <w:name w:val="FollowedHyperlink"/>
    <w:basedOn w:val="DefaultParagraphFont"/>
    <w:uiPriority w:val="99"/>
    <w:semiHidden/>
    <w:unhideWhenUsed/>
    <w:rsid w:val="005A6905"/>
    <w:rPr>
      <w:color w:val="954F72" w:themeColor="followedHyperlink"/>
      <w:u w:val="single"/>
    </w:rPr>
  </w:style>
  <w:style w:type="paragraph" w:styleId="CommentText">
    <w:name w:val="annotation text"/>
    <w:basedOn w:val="Normal"/>
    <w:link w:val="CommentTextChar"/>
    <w:uiPriority w:val="99"/>
    <w:semiHidden/>
    <w:unhideWhenUsed/>
    <w:rsid w:val="00A1623C"/>
    <w:pPr>
      <w:spacing w:line="240" w:lineRule="auto"/>
    </w:pPr>
    <w:rPr>
      <w:sz w:val="20"/>
      <w:szCs w:val="20"/>
    </w:rPr>
  </w:style>
  <w:style w:type="character" w:customStyle="1" w:styleId="CommentTextChar">
    <w:name w:val="Comment Text Char"/>
    <w:basedOn w:val="DefaultParagraphFont"/>
    <w:link w:val="CommentText"/>
    <w:uiPriority w:val="99"/>
    <w:semiHidden/>
    <w:rsid w:val="00A1623C"/>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ationalarchives.gov.uk/latin/beginners/lesson02/default.htm" TargetMode="External"/><Relationship Id="rId3" Type="http://schemas.openxmlformats.org/officeDocument/2006/relationships/settings" Target="settings.xml"/><Relationship Id="rId7" Type="http://schemas.openxmlformats.org/officeDocument/2006/relationships/hyperlink" Target="http://www.flinders.edu.au/ehl/fms/archaeology_files/dig_library/theses/MikeAdamson.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nationalarchives.gov.uk/latin/beginners/lesson02/default.htm" TargetMode="External"/><Relationship Id="rId4" Type="http://schemas.openxmlformats.org/officeDocument/2006/relationships/webSettings" Target="webSettings.xml"/><Relationship Id="rId9" Type="http://schemas.openxmlformats.org/officeDocument/2006/relationships/hyperlink" Target="http://www.flinders.edu.au/ehl/fms/archaeology_files/dig_library/theses/MikeAdamso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CE573E-F178-42EF-ADB9-E9B941B574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9</Pages>
  <Words>3096</Words>
  <Characters>17651</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dc:creator>
  <cp:keywords/>
  <dc:description/>
  <cp:lastModifiedBy>Student</cp:lastModifiedBy>
  <cp:revision>8</cp:revision>
  <dcterms:created xsi:type="dcterms:W3CDTF">2017-11-13T16:59:00Z</dcterms:created>
  <dcterms:modified xsi:type="dcterms:W3CDTF">2017-11-14T09:47:00Z</dcterms:modified>
</cp:coreProperties>
</file>