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C9A1647" wp14:paraId="08062AC5" wp14:textId="4C3D2094">
      <w:pPr>
        <w:shd w:val="clear" w:color="auto" w:fill="FFFFFF" w:themeFill="background1"/>
        <w:spacing w:before="300" w:beforeAutospacing="off" w:after="300" w:afterAutospacing="off"/>
        <w:ind w:left="2160"/>
        <w:jc w:val="both"/>
        <w:rPr>
          <w:rFonts w:ascii="Calibri" w:hAnsi="Calibri" w:eastAsia="Calibri" w:cs="Calibri"/>
          <w:b w:val="1"/>
          <w:bCs w:val="1"/>
          <w:i w:val="0"/>
          <w:iCs w:val="0"/>
          <w:caps w:val="0"/>
          <w:smallCaps w:val="0"/>
          <w:noProof w:val="0"/>
          <w:color w:val="0D0D0D" w:themeColor="text1" w:themeTint="F2" w:themeShade="FF"/>
          <w:sz w:val="24"/>
          <w:szCs w:val="24"/>
          <w:lang w:val="en-US"/>
        </w:rPr>
      </w:pPr>
      <w:r w:rsidRPr="2C9A1647" w:rsidR="3842A96F">
        <w:rPr>
          <w:rFonts w:ascii="Calibri" w:hAnsi="Calibri" w:eastAsia="Calibri" w:cs="Calibri"/>
          <w:b w:val="1"/>
          <w:bCs w:val="1"/>
          <w:i w:val="0"/>
          <w:iCs w:val="0"/>
          <w:caps w:val="0"/>
          <w:smallCaps w:val="0"/>
          <w:noProof w:val="0"/>
          <w:color w:val="0D0D0D" w:themeColor="text1" w:themeTint="F2" w:themeShade="FF"/>
          <w:sz w:val="24"/>
          <w:szCs w:val="24"/>
          <w:lang w:val="en-US"/>
        </w:rPr>
        <w:t>How Lay People Uphold Judicial Fairne</w:t>
      </w:r>
      <w:r w:rsidRPr="2C9A1647" w:rsidR="31D7A299">
        <w:rPr>
          <w:rFonts w:ascii="Calibri" w:hAnsi="Calibri" w:eastAsia="Calibri" w:cs="Calibri"/>
          <w:b w:val="1"/>
          <w:bCs w:val="1"/>
          <w:i w:val="0"/>
          <w:iCs w:val="0"/>
          <w:caps w:val="0"/>
          <w:smallCaps w:val="0"/>
          <w:noProof w:val="0"/>
          <w:color w:val="0D0D0D" w:themeColor="text1" w:themeTint="F2" w:themeShade="FF"/>
          <w:sz w:val="24"/>
          <w:szCs w:val="24"/>
          <w:lang w:val="en-US"/>
        </w:rPr>
        <w:t>ss</w:t>
      </w:r>
    </w:p>
    <w:p xmlns:wp14="http://schemas.microsoft.com/office/word/2010/wordml" w:rsidP="2C9A1647" wp14:paraId="4A599FFA" wp14:textId="3888F59F">
      <w:pPr>
        <w:shd w:val="clear" w:color="auto" w:fill="FFFFFF" w:themeFill="background1"/>
        <w:spacing w:before="300" w:beforeAutospacing="off" w:after="300" w:afterAutospacing="off"/>
        <w:ind w:left="2160"/>
        <w:jc w:val="both"/>
        <w:rPr>
          <w:rFonts w:ascii="Calibri" w:hAnsi="Calibri" w:eastAsia="Calibri" w:cs="Calibri"/>
          <w:b w:val="1"/>
          <w:bCs w:val="1"/>
          <w:i w:val="0"/>
          <w:iCs w:val="0"/>
          <w:caps w:val="0"/>
          <w:smallCaps w:val="0"/>
          <w:noProof w:val="0"/>
          <w:color w:val="0D0D0D" w:themeColor="text1" w:themeTint="F2" w:themeShade="FF"/>
          <w:sz w:val="24"/>
          <w:szCs w:val="24"/>
          <w:lang w:val="en-US"/>
        </w:rPr>
      </w:pPr>
    </w:p>
    <w:p xmlns:wp14="http://schemas.microsoft.com/office/word/2010/wordml" w:rsidP="2C9A1647" wp14:paraId="47E36D94" wp14:textId="5379EFDC">
      <w:pPr>
        <w:shd w:val="clear" w:color="auto" w:fill="FFFFFF" w:themeFill="background1"/>
        <w:spacing w:before="300" w:beforeAutospacing="off" w:after="300" w:afterAutospacing="off"/>
        <w:ind w:left="2160"/>
        <w:jc w:val="both"/>
        <w:rPr>
          <w:rFonts w:ascii="Calibri" w:hAnsi="Calibri" w:eastAsia="Calibri" w:cs="Calibri"/>
          <w:b w:val="1"/>
          <w:bCs w:val="1"/>
          <w:i w:val="0"/>
          <w:iCs w:val="0"/>
          <w:caps w:val="0"/>
          <w:smallCaps w:val="0"/>
          <w:noProof w:val="0"/>
          <w:color w:val="0D0D0D" w:themeColor="text1" w:themeTint="F2" w:themeShade="FF"/>
          <w:sz w:val="24"/>
          <w:szCs w:val="24"/>
          <w:lang w:val="en-US"/>
        </w:rPr>
      </w:pPr>
    </w:p>
    <w:p xmlns:wp14="http://schemas.microsoft.com/office/word/2010/wordml" w:rsidP="2C9A1647" wp14:paraId="434A59E5" wp14:textId="364B2C44">
      <w:pPr>
        <w:shd w:val="clear" w:color="auto" w:fill="FFFFFF" w:themeFill="background1"/>
        <w:spacing w:before="300" w:beforeAutospacing="off" w:after="300" w:afterAutospacing="off"/>
        <w:ind w:left="2160"/>
        <w:jc w:val="both"/>
        <w:rPr>
          <w:rFonts w:ascii="Calibri" w:hAnsi="Calibri" w:eastAsia="Calibri" w:cs="Calibri"/>
          <w:b w:val="1"/>
          <w:bCs w:val="1"/>
          <w:i w:val="0"/>
          <w:iCs w:val="0"/>
          <w:caps w:val="0"/>
          <w:smallCaps w:val="0"/>
          <w:noProof w:val="0"/>
          <w:color w:val="0D0D0D" w:themeColor="text1" w:themeTint="F2" w:themeShade="FF"/>
          <w:sz w:val="24"/>
          <w:szCs w:val="24"/>
          <w:lang w:val="en-US"/>
        </w:rPr>
      </w:pPr>
    </w:p>
    <w:p xmlns:wp14="http://schemas.microsoft.com/office/word/2010/wordml" w:rsidP="2C9A1647" wp14:paraId="79320F56" wp14:textId="55FB732D">
      <w:pPr>
        <w:shd w:val="clear" w:color="auto" w:fill="FFFFFF" w:themeFill="background1"/>
        <w:spacing w:before="300" w:beforeAutospacing="off" w:after="300" w:afterAutospacing="off"/>
        <w:ind w:left="2160"/>
        <w:jc w:val="both"/>
        <w:rPr>
          <w:rFonts w:ascii="Calibri" w:hAnsi="Calibri" w:eastAsia="Calibri" w:cs="Calibri"/>
          <w:b w:val="1"/>
          <w:bCs w:val="1"/>
          <w:i w:val="0"/>
          <w:iCs w:val="0"/>
          <w:caps w:val="0"/>
          <w:smallCaps w:val="0"/>
          <w:noProof w:val="0"/>
          <w:color w:val="0D0D0D" w:themeColor="text1" w:themeTint="F2" w:themeShade="FF"/>
          <w:sz w:val="24"/>
          <w:szCs w:val="24"/>
          <w:lang w:val="en-US"/>
        </w:rPr>
      </w:pPr>
    </w:p>
    <w:p xmlns:wp14="http://schemas.microsoft.com/office/word/2010/wordml" w:rsidP="2C9A1647" wp14:paraId="2C25981C" wp14:textId="00C63149">
      <w:pPr>
        <w:shd w:val="clear" w:color="auto" w:fill="FFFFFF" w:themeFill="background1"/>
        <w:spacing w:before="300" w:beforeAutospacing="off" w:after="300" w:afterAutospacing="off"/>
        <w:ind w:left="2160"/>
        <w:jc w:val="both"/>
        <w:rPr>
          <w:rFonts w:ascii="Calibri" w:hAnsi="Calibri" w:eastAsia="Calibri" w:cs="Calibri"/>
          <w:b w:val="1"/>
          <w:bCs w:val="1"/>
          <w:i w:val="0"/>
          <w:iCs w:val="0"/>
          <w:caps w:val="0"/>
          <w:smallCaps w:val="0"/>
          <w:noProof w:val="0"/>
          <w:color w:val="0D0D0D" w:themeColor="text1" w:themeTint="F2" w:themeShade="FF"/>
          <w:sz w:val="24"/>
          <w:szCs w:val="24"/>
          <w:lang w:val="en-US"/>
        </w:rPr>
      </w:pPr>
    </w:p>
    <w:p xmlns:wp14="http://schemas.microsoft.com/office/word/2010/wordml" w:rsidP="2C9A1647" wp14:paraId="1AC89A1F" wp14:textId="01DFD103">
      <w:pPr>
        <w:shd w:val="clear" w:color="auto" w:fill="FFFFFF" w:themeFill="background1"/>
        <w:spacing w:before="300" w:beforeAutospacing="off" w:after="300" w:afterAutospacing="off"/>
        <w:ind w:left="2160"/>
        <w:jc w:val="both"/>
        <w:rPr>
          <w:rFonts w:ascii="Calibri" w:hAnsi="Calibri" w:eastAsia="Calibri" w:cs="Calibri"/>
          <w:b w:val="1"/>
          <w:bCs w:val="1"/>
          <w:i w:val="0"/>
          <w:iCs w:val="0"/>
          <w:caps w:val="0"/>
          <w:smallCaps w:val="0"/>
          <w:noProof w:val="0"/>
          <w:color w:val="0D0D0D" w:themeColor="text1" w:themeTint="F2" w:themeShade="FF"/>
          <w:sz w:val="24"/>
          <w:szCs w:val="24"/>
          <w:lang w:val="en-US"/>
        </w:rPr>
      </w:pPr>
    </w:p>
    <w:p xmlns:wp14="http://schemas.microsoft.com/office/word/2010/wordml" w:rsidP="2C9A1647" wp14:paraId="774E475D" wp14:textId="6138E652">
      <w:pPr>
        <w:shd w:val="clear" w:color="auto" w:fill="FFFFFF" w:themeFill="background1"/>
        <w:spacing w:before="300" w:beforeAutospacing="off" w:after="300" w:afterAutospacing="off"/>
        <w:ind w:left="2160"/>
        <w:jc w:val="both"/>
        <w:rPr>
          <w:rFonts w:ascii="Calibri" w:hAnsi="Calibri" w:eastAsia="Calibri" w:cs="Calibri"/>
          <w:b w:val="1"/>
          <w:bCs w:val="1"/>
          <w:i w:val="0"/>
          <w:iCs w:val="0"/>
          <w:caps w:val="0"/>
          <w:smallCaps w:val="0"/>
          <w:noProof w:val="0"/>
          <w:color w:val="0D0D0D" w:themeColor="text1" w:themeTint="F2" w:themeShade="FF"/>
          <w:sz w:val="24"/>
          <w:szCs w:val="24"/>
          <w:lang w:val="en-US"/>
        </w:rPr>
      </w:pPr>
    </w:p>
    <w:p xmlns:wp14="http://schemas.microsoft.com/office/word/2010/wordml" w:rsidP="2C9A1647" wp14:paraId="1DA19F03" wp14:textId="378FE188">
      <w:pPr>
        <w:shd w:val="clear" w:color="auto" w:fill="FFFFFF" w:themeFill="background1"/>
        <w:spacing w:before="300" w:beforeAutospacing="off" w:after="300" w:afterAutospacing="off"/>
        <w:ind w:left="2160"/>
        <w:jc w:val="both"/>
        <w:rPr>
          <w:rFonts w:ascii="Calibri" w:hAnsi="Calibri" w:eastAsia="Calibri" w:cs="Calibri"/>
          <w:b w:val="1"/>
          <w:bCs w:val="1"/>
          <w:i w:val="0"/>
          <w:iCs w:val="0"/>
          <w:caps w:val="0"/>
          <w:smallCaps w:val="0"/>
          <w:noProof w:val="0"/>
          <w:color w:val="0D0D0D" w:themeColor="text1" w:themeTint="F2" w:themeShade="FF"/>
          <w:sz w:val="24"/>
          <w:szCs w:val="24"/>
          <w:lang w:val="en-US"/>
        </w:rPr>
      </w:pPr>
    </w:p>
    <w:p xmlns:wp14="http://schemas.microsoft.com/office/word/2010/wordml" w:rsidP="2C9A1647" wp14:paraId="7C36E1D0" wp14:textId="398620E9">
      <w:pPr>
        <w:shd w:val="clear" w:color="auto" w:fill="FFFFFF" w:themeFill="background1"/>
        <w:spacing w:before="300" w:beforeAutospacing="off" w:after="300" w:afterAutospacing="off"/>
        <w:ind w:left="2160"/>
        <w:jc w:val="both"/>
        <w:rPr>
          <w:rFonts w:ascii="Calibri" w:hAnsi="Calibri" w:eastAsia="Calibri" w:cs="Calibri"/>
          <w:b w:val="1"/>
          <w:bCs w:val="1"/>
          <w:i w:val="0"/>
          <w:iCs w:val="0"/>
          <w:caps w:val="0"/>
          <w:smallCaps w:val="0"/>
          <w:noProof w:val="0"/>
          <w:color w:val="0D0D0D" w:themeColor="text1" w:themeTint="F2" w:themeShade="FF"/>
          <w:sz w:val="24"/>
          <w:szCs w:val="24"/>
          <w:lang w:val="en-US"/>
        </w:rPr>
      </w:pPr>
    </w:p>
    <w:p xmlns:wp14="http://schemas.microsoft.com/office/word/2010/wordml" w:rsidP="2C9A1647" wp14:paraId="2F38DD8F" wp14:textId="1DB1C5EA">
      <w:pPr>
        <w:pStyle w:val="Normal"/>
        <w:shd w:val="clear" w:color="auto" w:fill="FFFFFF" w:themeFill="background1"/>
        <w:spacing w:before="300" w:beforeAutospacing="off" w:after="300" w:afterAutospacing="off"/>
        <w:ind w:left="2160"/>
        <w:jc w:val="both"/>
        <w:rPr>
          <w:rFonts w:ascii="Calibri" w:hAnsi="Calibri" w:eastAsia="Calibri" w:cs="Calibri"/>
          <w:b w:val="1"/>
          <w:bCs w:val="1"/>
          <w:i w:val="0"/>
          <w:iCs w:val="0"/>
          <w:caps w:val="0"/>
          <w:smallCaps w:val="0"/>
          <w:noProof w:val="0"/>
          <w:color w:val="0D0D0D" w:themeColor="text1" w:themeTint="F2" w:themeShade="FF"/>
          <w:sz w:val="24"/>
          <w:szCs w:val="24"/>
          <w:lang w:val="en-US"/>
        </w:rPr>
      </w:pPr>
      <w:r w:rsidRPr="2C9A1647" w:rsidR="3842A96F">
        <w:rPr>
          <w:rFonts w:ascii="Calibri" w:hAnsi="Calibri" w:eastAsia="Calibri" w:cs="Calibri"/>
          <w:b w:val="1"/>
          <w:bCs w:val="1"/>
          <w:i w:val="0"/>
          <w:iCs w:val="0"/>
          <w:caps w:val="0"/>
          <w:smallCaps w:val="0"/>
          <w:noProof w:val="0"/>
          <w:color w:val="0D0D0D" w:themeColor="text1" w:themeTint="F2" w:themeShade="FF"/>
          <w:sz w:val="24"/>
          <w:szCs w:val="24"/>
          <w:lang w:val="en-US"/>
        </w:rPr>
        <w:t xml:space="preserve">Module: </w:t>
      </w:r>
      <w:r w:rsidRPr="2C9A1647" w:rsidR="539B3BB3">
        <w:rPr>
          <w:rFonts w:ascii="Calibri" w:hAnsi="Calibri" w:eastAsia="Calibri" w:cs="Calibri"/>
          <w:b w:val="1"/>
          <w:bCs w:val="1"/>
          <w:i w:val="0"/>
          <w:iCs w:val="0"/>
          <w:caps w:val="0"/>
          <w:smallCaps w:val="0"/>
          <w:noProof w:val="0"/>
          <w:color w:val="0D0D0D" w:themeColor="text1" w:themeTint="F2" w:themeShade="FF"/>
          <w:sz w:val="24"/>
          <w:szCs w:val="24"/>
          <w:lang w:val="en-US"/>
        </w:rPr>
        <w:t>Legal Process</w:t>
      </w:r>
    </w:p>
    <w:p xmlns:wp14="http://schemas.microsoft.com/office/word/2010/wordml" w:rsidP="2C9A1647" wp14:paraId="60D0C7DC" wp14:textId="6B4B3869">
      <w:pPr>
        <w:pStyle w:val="Normal"/>
        <w:shd w:val="clear" w:color="auto" w:fill="FFFFFF" w:themeFill="background1"/>
        <w:spacing w:before="300" w:beforeAutospacing="off" w:after="300" w:afterAutospacing="off"/>
        <w:ind w:left="2160"/>
        <w:jc w:val="both"/>
        <w:rPr>
          <w:rFonts w:ascii="Calibri" w:hAnsi="Calibri" w:eastAsia="Calibri" w:cs="Calibri"/>
          <w:b w:val="1"/>
          <w:bCs w:val="1"/>
          <w:i w:val="0"/>
          <w:iCs w:val="0"/>
          <w:caps w:val="0"/>
          <w:smallCaps w:val="0"/>
          <w:noProof w:val="0"/>
          <w:color w:val="0D0D0D" w:themeColor="text1" w:themeTint="F2" w:themeShade="FF"/>
          <w:sz w:val="24"/>
          <w:szCs w:val="24"/>
          <w:lang w:val="en-US"/>
        </w:rPr>
      </w:pPr>
      <w:r w:rsidRPr="2C9A1647" w:rsidR="4F8A9BF0">
        <w:rPr>
          <w:rFonts w:ascii="Calibri" w:hAnsi="Calibri" w:eastAsia="Calibri" w:cs="Calibri"/>
          <w:b w:val="1"/>
          <w:bCs w:val="1"/>
          <w:i w:val="0"/>
          <w:iCs w:val="0"/>
          <w:caps w:val="0"/>
          <w:smallCaps w:val="0"/>
          <w:noProof w:val="0"/>
          <w:color w:val="0D0D0D" w:themeColor="text1" w:themeTint="F2" w:themeShade="FF"/>
          <w:sz w:val="24"/>
          <w:szCs w:val="24"/>
          <w:lang w:val="en-US"/>
        </w:rPr>
        <w:t>Lecturer</w:t>
      </w:r>
      <w:r w:rsidRPr="2C9A1647" w:rsidR="4F8A9BF0">
        <w:rPr>
          <w:rFonts w:ascii="Calibri" w:hAnsi="Calibri" w:eastAsia="Calibri" w:cs="Calibri"/>
          <w:b w:val="1"/>
          <w:bCs w:val="1"/>
          <w:i w:val="0"/>
          <w:iCs w:val="0"/>
          <w:caps w:val="0"/>
          <w:smallCaps w:val="0"/>
          <w:noProof w:val="0"/>
          <w:color w:val="0D0D0D" w:themeColor="text1" w:themeTint="F2" w:themeShade="FF"/>
          <w:sz w:val="24"/>
          <w:szCs w:val="24"/>
          <w:lang w:val="en-US"/>
        </w:rPr>
        <w:t>: Zita Draper</w:t>
      </w:r>
    </w:p>
    <w:p xmlns:wp14="http://schemas.microsoft.com/office/word/2010/wordml" w:rsidP="2C9A1647" wp14:paraId="327E7D59" wp14:textId="73955ED6">
      <w:pPr>
        <w:pStyle w:val="Normal"/>
        <w:shd w:val="clear" w:color="auto" w:fill="FFFFFF" w:themeFill="background1"/>
        <w:spacing w:before="300" w:beforeAutospacing="off" w:after="300" w:afterAutospacing="off"/>
        <w:ind w:left="2160"/>
        <w:jc w:val="both"/>
        <w:rPr>
          <w:rFonts w:ascii="Calibri" w:hAnsi="Calibri" w:eastAsia="Calibri" w:cs="Calibri"/>
          <w:b w:val="1"/>
          <w:bCs w:val="1"/>
          <w:i w:val="0"/>
          <w:iCs w:val="0"/>
          <w:caps w:val="0"/>
          <w:smallCaps w:val="0"/>
          <w:noProof w:val="0"/>
          <w:color w:val="0D0D0D" w:themeColor="text1" w:themeTint="F2" w:themeShade="FF"/>
          <w:sz w:val="24"/>
          <w:szCs w:val="24"/>
          <w:lang w:val="en-US"/>
        </w:rPr>
      </w:pPr>
      <w:r w:rsidRPr="2C9A1647" w:rsidR="4F8A9BF0">
        <w:rPr>
          <w:rFonts w:ascii="Calibri" w:hAnsi="Calibri" w:eastAsia="Calibri" w:cs="Calibri"/>
          <w:b w:val="1"/>
          <w:bCs w:val="1"/>
          <w:i w:val="0"/>
          <w:iCs w:val="0"/>
          <w:caps w:val="0"/>
          <w:smallCaps w:val="0"/>
          <w:noProof w:val="0"/>
          <w:color w:val="0D0D0D" w:themeColor="text1" w:themeTint="F2" w:themeShade="FF"/>
          <w:sz w:val="24"/>
          <w:szCs w:val="24"/>
          <w:lang w:val="en-US"/>
        </w:rPr>
        <w:t>Name: Olivia John</w:t>
      </w:r>
    </w:p>
    <w:p xmlns:wp14="http://schemas.microsoft.com/office/word/2010/wordml" w:rsidP="2C9A1647" wp14:paraId="598C9E77" wp14:textId="2E9E55B5">
      <w:pPr>
        <w:pStyle w:val="Normal"/>
        <w:shd w:val="clear" w:color="auto" w:fill="FFFFFF" w:themeFill="background1"/>
        <w:spacing w:before="300" w:beforeAutospacing="off" w:after="300" w:afterAutospacing="off"/>
        <w:ind w:left="0"/>
        <w:jc w:val="both"/>
        <w:rPr>
          <w:rFonts w:ascii="Calibri" w:hAnsi="Calibri" w:eastAsia="Calibri" w:cs="Calibri"/>
          <w:b w:val="1"/>
          <w:bCs w:val="1"/>
          <w:i w:val="0"/>
          <w:iCs w:val="0"/>
          <w:caps w:val="0"/>
          <w:smallCaps w:val="0"/>
          <w:noProof w:val="0"/>
          <w:color w:val="0D0D0D" w:themeColor="text1" w:themeTint="F2" w:themeShade="FF"/>
          <w:sz w:val="24"/>
          <w:szCs w:val="24"/>
          <w:lang w:val="en-US"/>
        </w:rPr>
      </w:pPr>
    </w:p>
    <w:p xmlns:wp14="http://schemas.microsoft.com/office/word/2010/wordml" w:rsidP="2C9A1647" wp14:paraId="3286CA84" wp14:textId="7C7369E5">
      <w:pPr>
        <w:pStyle w:val="Normal"/>
        <w:shd w:val="clear" w:color="auto" w:fill="FFFFFF" w:themeFill="background1"/>
        <w:spacing w:before="300" w:beforeAutospacing="off" w:after="300" w:afterAutospacing="off"/>
        <w:ind w:left="0"/>
        <w:jc w:val="both"/>
        <w:rPr>
          <w:rFonts w:ascii="Calibri" w:hAnsi="Calibri" w:eastAsia="Calibri" w:cs="Calibri"/>
          <w:b w:val="1"/>
          <w:bCs w:val="1"/>
          <w:noProof w:val="0"/>
          <w:sz w:val="24"/>
          <w:szCs w:val="24"/>
          <w:lang w:val="en-US"/>
        </w:rPr>
      </w:pPr>
      <w:r w:rsidRPr="2C9A1647" w:rsidR="3059AC97">
        <w:rPr>
          <w:rFonts w:ascii="Calibri" w:hAnsi="Calibri" w:eastAsia="Calibri" w:cs="Calibri"/>
          <w:b w:val="1"/>
          <w:bCs w:val="1"/>
          <w:i w:val="0"/>
          <w:iCs w:val="0"/>
          <w:caps w:val="0"/>
          <w:smallCaps w:val="0"/>
          <w:noProof w:val="0"/>
          <w:color w:val="0D0D0D" w:themeColor="text1" w:themeTint="F2" w:themeShade="FF"/>
          <w:sz w:val="24"/>
          <w:szCs w:val="24"/>
          <w:lang w:val="en-US"/>
        </w:rPr>
        <w:t>Introduction</w:t>
      </w:r>
    </w:p>
    <w:p xmlns:wp14="http://schemas.microsoft.com/office/word/2010/wordml" w:rsidP="2C9A1647" wp14:paraId="67AD41E2" wp14:textId="1B281F58">
      <w:pPr>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30465C73">
        <w:rPr>
          <w:rFonts w:ascii="Calibri" w:hAnsi="Calibri" w:eastAsia="Calibri" w:cs="Calibri"/>
          <w:b w:val="0"/>
          <w:bCs w:val="0"/>
          <w:i w:val="0"/>
          <w:iCs w:val="0"/>
          <w:caps w:val="0"/>
          <w:smallCaps w:val="0"/>
          <w:noProof w:val="0"/>
          <w:color w:val="0D0D0D" w:themeColor="text1" w:themeTint="F2" w:themeShade="FF"/>
          <w:sz w:val="24"/>
          <w:szCs w:val="24"/>
          <w:lang w:val="en-US"/>
        </w:rPr>
        <w:t>I</w:t>
      </w:r>
      <w:r w:rsidRPr="2C9A1647" w:rsidR="30465C73">
        <w:rPr>
          <w:rFonts w:ascii="Calibri" w:hAnsi="Calibri" w:eastAsia="Calibri" w:cs="Calibri"/>
          <w:b w:val="0"/>
          <w:bCs w:val="0"/>
          <w:i w:val="0"/>
          <w:iCs w:val="0"/>
          <w:caps w:val="0"/>
          <w:smallCaps w:val="0"/>
          <w:noProof w:val="0"/>
          <w:color w:val="0D0D0D" w:themeColor="text1" w:themeTint="F2" w:themeShade="FF"/>
          <w:sz w:val="24"/>
          <w:szCs w:val="24"/>
          <w:lang w:val="en-US"/>
        </w:rPr>
        <w:t>n</w:t>
      </w:r>
      <w:r w:rsidRPr="2C9A1647" w:rsidR="30465C7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intricate machinery of the legal system, lay people serve as indispensable cogs, ensuring that the wheels of justice turn with fairness, impartiality, and transparency. From the benches of magistrates' courts to the deliberation rooms of jury trials, these ordinary citizens, devoid of formal legal training, play pivotal roles in upholding judicial fairness and safeguarding the rights of defendants. Magistrates, drawn from the local community, </w:t>
      </w:r>
      <w:r w:rsidRPr="2C9A1647" w:rsidR="30465C73">
        <w:rPr>
          <w:rFonts w:ascii="Calibri" w:hAnsi="Calibri" w:eastAsia="Calibri" w:cs="Calibri"/>
          <w:b w:val="0"/>
          <w:bCs w:val="0"/>
          <w:i w:val="0"/>
          <w:iCs w:val="0"/>
          <w:caps w:val="0"/>
          <w:smallCaps w:val="0"/>
          <w:noProof w:val="0"/>
          <w:color w:val="0D0D0D" w:themeColor="text1" w:themeTint="F2" w:themeShade="FF"/>
          <w:sz w:val="24"/>
          <w:szCs w:val="24"/>
          <w:lang w:val="en-US"/>
        </w:rPr>
        <w:t>adjudicate</w:t>
      </w:r>
      <w:r w:rsidRPr="2C9A1647" w:rsidR="30465C7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cases with a blend of legal knowledge and common sense, while jurors, randomly selected from the populace, deliberate on matters of guilt or innocence. Together, they </w:t>
      </w:r>
      <w:r w:rsidRPr="2C9A1647" w:rsidR="30465C73">
        <w:rPr>
          <w:rFonts w:ascii="Calibri" w:hAnsi="Calibri" w:eastAsia="Calibri" w:cs="Calibri"/>
          <w:b w:val="0"/>
          <w:bCs w:val="0"/>
          <w:i w:val="0"/>
          <w:iCs w:val="0"/>
          <w:caps w:val="0"/>
          <w:smallCaps w:val="0"/>
          <w:noProof w:val="0"/>
          <w:color w:val="0D0D0D" w:themeColor="text1" w:themeTint="F2" w:themeShade="FF"/>
          <w:sz w:val="24"/>
          <w:szCs w:val="24"/>
          <w:lang w:val="en-US"/>
        </w:rPr>
        <w:t>represent</w:t>
      </w:r>
      <w:r w:rsidRPr="2C9A1647" w:rsidR="30465C7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diverse perspectives and values of society, ensuring that justice is administered equitably and </w:t>
      </w:r>
      <w:r w:rsidRPr="2C9A1647" w:rsidR="30465C73">
        <w:rPr>
          <w:rFonts w:ascii="Calibri" w:hAnsi="Calibri" w:eastAsia="Calibri" w:cs="Calibri"/>
          <w:b w:val="0"/>
          <w:bCs w:val="0"/>
          <w:i w:val="0"/>
          <w:iCs w:val="0"/>
          <w:caps w:val="0"/>
          <w:smallCaps w:val="0"/>
          <w:noProof w:val="0"/>
          <w:color w:val="0D0D0D" w:themeColor="text1" w:themeTint="F2" w:themeShade="FF"/>
          <w:sz w:val="24"/>
          <w:szCs w:val="24"/>
          <w:lang w:val="en-US"/>
        </w:rPr>
        <w:t>in accordance with</w:t>
      </w:r>
      <w:r w:rsidRPr="2C9A1647" w:rsidR="30465C7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rule of law. This essay explores the multifaceted ways in which lay people contribute to judicial fairness, from their impartial adjudication to their representation of community interests and their commitment to transparency and accountability in legal proceedings.</w:t>
      </w:r>
    </w:p>
    <w:p xmlns:wp14="http://schemas.microsoft.com/office/word/2010/wordml" w:rsidP="2C9A1647" wp14:paraId="1442C31C" wp14:textId="0FEA4821">
      <w:pPr>
        <w:pStyle w:val="Normal"/>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2708E5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Lay people, including magistrates and jurors, play a crucial role in the legal system, contributing to the fairness and integrity of criminal proceedings. This essay critically examines the importance of lay people </w:t>
      </w:r>
      <w:r w:rsidRPr="2C9A1647" w:rsidR="0922CA5C">
        <w:rPr>
          <w:rFonts w:ascii="Calibri" w:hAnsi="Calibri" w:eastAsia="Calibri" w:cs="Calibri"/>
          <w:b w:val="0"/>
          <w:bCs w:val="0"/>
          <w:i w:val="0"/>
          <w:iCs w:val="0"/>
          <w:caps w:val="0"/>
          <w:smallCaps w:val="0"/>
          <w:noProof w:val="0"/>
          <w:color w:val="0D0D0D" w:themeColor="text1" w:themeTint="F2" w:themeShade="FF"/>
          <w:sz w:val="24"/>
          <w:szCs w:val="24"/>
          <w:lang w:val="en-US"/>
        </w:rPr>
        <w:t>considering</w:t>
      </w:r>
      <w:r w:rsidRPr="2C9A1647" w:rsidR="2708E5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their roles in safeguarding defendants' rights and ensuring justice for all.</w:t>
      </w:r>
    </w:p>
    <w:p xmlns:wp14="http://schemas.microsoft.com/office/word/2010/wordml" w:rsidP="2C9A1647" wp14:paraId="5AC16100" wp14:textId="75C8DA7F">
      <w:pPr>
        <w:shd w:val="clear" w:color="auto" w:fill="FFFFFF" w:themeFill="background1"/>
        <w:spacing w:before="300" w:beforeAutospacing="off" w:after="300" w:afterAutospacing="off"/>
        <w:jc w:val="both"/>
        <w:rPr>
          <w:rFonts w:ascii="Calibri" w:hAnsi="Calibri" w:eastAsia="Calibri" w:cs="Calibri"/>
          <w:b w:val="1"/>
          <w:bCs w:val="1"/>
          <w:i w:val="0"/>
          <w:iCs w:val="0"/>
          <w:caps w:val="0"/>
          <w:smallCaps w:val="0"/>
          <w:noProof w:val="0"/>
          <w:color w:val="0D0D0D" w:themeColor="text1" w:themeTint="F2" w:themeShade="FF"/>
          <w:sz w:val="24"/>
          <w:szCs w:val="24"/>
          <w:lang w:val="en-US"/>
        </w:rPr>
      </w:pPr>
      <w:r w:rsidRPr="2C9A1647" w:rsidR="2708E584">
        <w:rPr>
          <w:rFonts w:ascii="Calibri" w:hAnsi="Calibri" w:eastAsia="Calibri" w:cs="Calibri"/>
          <w:b w:val="1"/>
          <w:bCs w:val="1"/>
          <w:i w:val="0"/>
          <w:iCs w:val="0"/>
          <w:caps w:val="0"/>
          <w:smallCaps w:val="0"/>
          <w:noProof w:val="0"/>
          <w:color w:val="0D0D0D" w:themeColor="text1" w:themeTint="F2" w:themeShade="FF"/>
          <w:sz w:val="24"/>
          <w:szCs w:val="24"/>
          <w:lang w:val="en-US"/>
        </w:rPr>
        <w:t>Magistrates</w:t>
      </w:r>
    </w:p>
    <w:p xmlns:wp14="http://schemas.microsoft.com/office/word/2010/wordml" w:rsidP="2C9A1647" wp14:paraId="6C191B63" wp14:textId="1216D2EE">
      <w:pPr>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2708E5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Magistrates, also known as justices of the peace, are recruited from the local </w:t>
      </w:r>
      <w:r w:rsidRPr="2C9A1647" w:rsidR="518A0444">
        <w:rPr>
          <w:rFonts w:ascii="Calibri" w:hAnsi="Calibri" w:eastAsia="Calibri" w:cs="Calibri"/>
          <w:b w:val="0"/>
          <w:bCs w:val="0"/>
          <w:i w:val="0"/>
          <w:iCs w:val="0"/>
          <w:caps w:val="0"/>
          <w:smallCaps w:val="0"/>
          <w:noProof w:val="0"/>
          <w:color w:val="0D0D0D" w:themeColor="text1" w:themeTint="F2" w:themeShade="FF"/>
          <w:sz w:val="24"/>
          <w:szCs w:val="24"/>
          <w:lang w:val="en-US"/>
        </w:rPr>
        <w:t>community,</w:t>
      </w:r>
      <w:r w:rsidRPr="2C9A1647" w:rsidR="2708E5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appointed by the Lord Chancellor. The selection process involves an application, interview, and training, with candidates assessed for their suitability based on legal knowledge, personal qualities, and community understanding (Wade &amp; Forsyth, 2015). Legislation such as the Courts Act 2003 and regulations set out by the Judicial Appointments Commission define the process of appointing magistrates and the criteria for eligibility (Legislation.gov.uk, n.d.). Despite efforts to diversify the magistracy, concerns persist </w:t>
      </w:r>
      <w:r w:rsidRPr="2C9A1647" w:rsidR="2708E584">
        <w:rPr>
          <w:rFonts w:ascii="Calibri" w:hAnsi="Calibri" w:eastAsia="Calibri" w:cs="Calibri"/>
          <w:b w:val="0"/>
          <w:bCs w:val="0"/>
          <w:i w:val="0"/>
          <w:iCs w:val="0"/>
          <w:caps w:val="0"/>
          <w:smallCaps w:val="0"/>
          <w:noProof w:val="0"/>
          <w:color w:val="0D0D0D" w:themeColor="text1" w:themeTint="F2" w:themeShade="FF"/>
          <w:sz w:val="24"/>
          <w:szCs w:val="24"/>
          <w:lang w:val="en-US"/>
        </w:rPr>
        <w:t>regarding</w:t>
      </w:r>
      <w:r w:rsidRPr="2C9A1647" w:rsidR="2708E5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demographic composition of magistrates. The majority are older, white, middle-class individuals, raising questions about their representativeness and ability to understand the diverse experiences of defendants (Sentencing Council, 2019). To become a magistrate, individuals must </w:t>
      </w:r>
      <w:r w:rsidRPr="2C9A1647" w:rsidR="2708E584">
        <w:rPr>
          <w:rFonts w:ascii="Calibri" w:hAnsi="Calibri" w:eastAsia="Calibri" w:cs="Calibri"/>
          <w:b w:val="0"/>
          <w:bCs w:val="0"/>
          <w:i w:val="0"/>
          <w:iCs w:val="0"/>
          <w:caps w:val="0"/>
          <w:smallCaps w:val="0"/>
          <w:noProof w:val="0"/>
          <w:color w:val="0D0D0D" w:themeColor="text1" w:themeTint="F2" w:themeShade="FF"/>
          <w:sz w:val="24"/>
          <w:szCs w:val="24"/>
          <w:lang w:val="en-US"/>
        </w:rPr>
        <w:t>demonstrate</w:t>
      </w:r>
      <w:r w:rsidRPr="2C9A1647" w:rsidR="2708E5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good character, sound judgment, and a commitment to serving the community. Magistrates typically serve on a voluntary basis, committing to regular court sessions and ongoing training (HM Courts &amp; Tribunals Service, n.d.). Efforts to address diversity issues within the magistracy have included targeted recruitment campaigns, outreach programs, and unconscious bias training. However, progress has been slow, and disparities persist in the demographic profile of magistrates (Sentencing Council, 2019).</w:t>
      </w:r>
    </w:p>
    <w:p xmlns:wp14="http://schemas.microsoft.com/office/word/2010/wordml" w:rsidP="2C9A1647" wp14:paraId="3CB90C99" wp14:textId="56AD8F54">
      <w:pPr>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6AB03AB4">
        <w:rPr>
          <w:rFonts w:ascii="Calibri" w:hAnsi="Calibri" w:eastAsia="Calibri" w:cs="Calibri"/>
          <w:b w:val="0"/>
          <w:bCs w:val="0"/>
          <w:i w:val="0"/>
          <w:iCs w:val="0"/>
          <w:caps w:val="0"/>
          <w:smallCaps w:val="0"/>
          <w:noProof w:val="0"/>
          <w:color w:val="0D0D0D" w:themeColor="text1" w:themeTint="F2" w:themeShade="FF"/>
          <w:sz w:val="24"/>
          <w:szCs w:val="24"/>
          <w:lang w:val="en-US"/>
        </w:rPr>
        <w:t>In addition to their recruitment and selection process, magistrates play a significant role in the administration of justice within local communities. They preside over a wide range of criminal cases, including summary offenses, bail applications, and preliminary hearings for more serious offenses. Their responsibilities also extend to youth court proceedings, where they deal with cases involving young offenders (HM Courts &amp; Tribunals Service, n.d.).</w:t>
      </w:r>
    </w:p>
    <w:p xmlns:wp14="http://schemas.microsoft.com/office/word/2010/wordml" w:rsidP="2C9A1647" wp14:paraId="4FDD2E34" wp14:textId="28AD41B8">
      <w:pPr>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6AB03AB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Despite efforts to promote diversity and inclusivity, criticisms </w:t>
      </w:r>
      <w:r w:rsidRPr="2C9A1647" w:rsidR="6AB03AB4">
        <w:rPr>
          <w:rFonts w:ascii="Calibri" w:hAnsi="Calibri" w:eastAsia="Calibri" w:cs="Calibri"/>
          <w:b w:val="0"/>
          <w:bCs w:val="0"/>
          <w:i w:val="0"/>
          <w:iCs w:val="0"/>
          <w:caps w:val="0"/>
          <w:smallCaps w:val="0"/>
          <w:noProof w:val="0"/>
          <w:color w:val="0D0D0D" w:themeColor="text1" w:themeTint="F2" w:themeShade="FF"/>
          <w:sz w:val="24"/>
          <w:szCs w:val="24"/>
          <w:lang w:val="en-US"/>
        </w:rPr>
        <w:t>regarding</w:t>
      </w:r>
      <w:r w:rsidRPr="2C9A1647" w:rsidR="6AB03AB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representativeness of magistrates persist. Research </w:t>
      </w:r>
      <w:r w:rsidRPr="2C9A1647" w:rsidR="6AB03AB4">
        <w:rPr>
          <w:rFonts w:ascii="Calibri" w:hAnsi="Calibri" w:eastAsia="Calibri" w:cs="Calibri"/>
          <w:b w:val="0"/>
          <w:bCs w:val="0"/>
          <w:i w:val="0"/>
          <w:iCs w:val="0"/>
          <w:caps w:val="0"/>
          <w:smallCaps w:val="0"/>
          <w:noProof w:val="0"/>
          <w:color w:val="0D0D0D" w:themeColor="text1" w:themeTint="F2" w:themeShade="FF"/>
          <w:sz w:val="24"/>
          <w:szCs w:val="24"/>
          <w:lang w:val="en-US"/>
        </w:rPr>
        <w:t>indicates</w:t>
      </w:r>
      <w:r w:rsidRPr="2C9A1647" w:rsidR="6AB03AB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that magistrates are more likely to be older, wealthier, and better educated than the general population, leading to concerns about their ability to understand the experiences and circumstances of defendants from diverse backgrounds (Baldwin &amp; Chui, 2014).</w:t>
      </w:r>
      <w:r w:rsidRPr="2C9A1647" w:rsidR="5592489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2C9A1647" w:rsidR="6AB03AB4">
        <w:rPr>
          <w:rFonts w:ascii="Calibri" w:hAnsi="Calibri" w:eastAsia="Calibri" w:cs="Calibri"/>
          <w:b w:val="0"/>
          <w:bCs w:val="0"/>
          <w:i w:val="0"/>
          <w:iCs w:val="0"/>
          <w:caps w:val="0"/>
          <w:smallCaps w:val="0"/>
          <w:noProof w:val="0"/>
          <w:color w:val="0D0D0D" w:themeColor="text1" w:themeTint="F2" w:themeShade="FF"/>
          <w:sz w:val="24"/>
          <w:szCs w:val="24"/>
          <w:lang w:val="en-US"/>
        </w:rPr>
        <w:t>To address these concerns, various initiatives have been implemented to encourage greater diversity within the magistracy. These include targeted recruitment drives in underrepresented communities, outreach programs aimed at raising awareness of the role of magistrates, and training initiatives focused on unconscious bias and cultural sensitivity (Sentencing Council, 2019).</w:t>
      </w:r>
    </w:p>
    <w:p xmlns:wp14="http://schemas.microsoft.com/office/word/2010/wordml" w:rsidP="2C9A1647" wp14:paraId="2DA52E22" wp14:textId="60F71800">
      <w:pPr>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6AB03AB4">
        <w:rPr>
          <w:rFonts w:ascii="Calibri" w:hAnsi="Calibri" w:eastAsia="Calibri" w:cs="Calibri"/>
          <w:b w:val="0"/>
          <w:bCs w:val="0"/>
          <w:i w:val="0"/>
          <w:iCs w:val="0"/>
          <w:caps w:val="0"/>
          <w:smallCaps w:val="0"/>
          <w:noProof w:val="0"/>
          <w:color w:val="0D0D0D" w:themeColor="text1" w:themeTint="F2" w:themeShade="FF"/>
          <w:sz w:val="24"/>
          <w:szCs w:val="24"/>
          <w:lang w:val="en-US"/>
        </w:rPr>
        <w:t>Moreover, some have called for structural reforms to the magistracy to enhance its representativeness and effectiveness. Suggestions include the introduction of more flexible working arrangements to accommodate individuals from different socioeconomic backgrounds, the establishment of support networks and mentoring programs for new magistrates, and the implementation of performance monitoring and evaluation mechanisms to ensure accountability and quality standards (Sentencing Council, 2019).</w:t>
      </w:r>
    </w:p>
    <w:p xmlns:wp14="http://schemas.microsoft.com/office/word/2010/wordml" w:rsidP="2C9A1647" wp14:paraId="70F64EBE" wp14:textId="7A17AC84">
      <w:pPr>
        <w:pStyle w:val="Normal"/>
        <w:shd w:val="clear" w:color="auto" w:fill="FFFFFF" w:themeFill="background1"/>
        <w:spacing w:before="300" w:beforeAutospacing="off" w:after="300" w:afterAutospacing="off"/>
        <w:jc w:val="both"/>
        <w:rPr>
          <w:rFonts w:ascii="Calibri" w:hAnsi="Calibri" w:eastAsia="Calibri" w:cs="Calibri"/>
          <w:b w:val="1"/>
          <w:bCs w:val="1"/>
          <w:i w:val="0"/>
          <w:iCs w:val="0"/>
          <w:caps w:val="0"/>
          <w:smallCaps w:val="0"/>
          <w:noProof w:val="0"/>
          <w:color w:val="0D0D0D" w:themeColor="text1" w:themeTint="F2" w:themeShade="FF"/>
          <w:sz w:val="24"/>
          <w:szCs w:val="24"/>
          <w:lang w:val="en-US"/>
        </w:rPr>
      </w:pPr>
      <w:r w:rsidRPr="2C9A1647" w:rsidR="2708E584">
        <w:rPr>
          <w:rFonts w:ascii="Calibri" w:hAnsi="Calibri" w:eastAsia="Calibri" w:cs="Calibri"/>
          <w:b w:val="1"/>
          <w:bCs w:val="1"/>
          <w:i w:val="0"/>
          <w:iCs w:val="0"/>
          <w:caps w:val="0"/>
          <w:smallCaps w:val="0"/>
          <w:noProof w:val="0"/>
          <w:color w:val="0D0D0D" w:themeColor="text1" w:themeTint="F2" w:themeShade="FF"/>
          <w:sz w:val="24"/>
          <w:szCs w:val="24"/>
          <w:lang w:val="en-US"/>
        </w:rPr>
        <w:t>Juries</w:t>
      </w:r>
    </w:p>
    <w:p xmlns:wp14="http://schemas.microsoft.com/office/word/2010/wordml" w:rsidP="2C9A1647" wp14:paraId="0994AF9C" wp14:textId="4A284CFC">
      <w:pPr>
        <w:pStyle w:val="Normal"/>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2708E5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Any person aged 18 or over who is on the electoral register and has been a resident of the UK for at least five years is eligible to sit on a jury. However, certain individuals, such as those with certain criminal convictions or mental health issues, may be disqualified (Gov.uk, n.d.). The process of jury selection involves random sampling from the electoral register, with potential jurors summoned to attend court for jury service. </w:t>
      </w:r>
      <w:r w:rsidRPr="2C9A1647" w:rsidR="2ABF8948">
        <w:rPr>
          <w:rFonts w:ascii="Calibri" w:hAnsi="Calibri" w:eastAsia="Calibri" w:cs="Calibri"/>
          <w:b w:val="0"/>
          <w:bCs w:val="0"/>
          <w:i w:val="0"/>
          <w:iCs w:val="0"/>
          <w:caps w:val="0"/>
          <w:smallCaps w:val="0"/>
          <w:noProof w:val="0"/>
          <w:color w:val="0D0D0D" w:themeColor="text1" w:themeTint="F2" w:themeShade="FF"/>
          <w:sz w:val="24"/>
          <w:szCs w:val="24"/>
          <w:lang w:val="en-US"/>
        </w:rPr>
        <w:t>During jury selection, both the prosecution and defense can challenge potential jurors based on grounds such as bias or impartiality (Criminal Justice Act 2003).</w:t>
      </w:r>
      <w:r w:rsidRPr="2C9A1647" w:rsidR="2708E5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While juries are intended to ensure that justice is done by providing a verdict based on the evidence presented in court, their effectiveness in achieving this goal has been debated. Some argue that juries bring diverse perspectives and common sense to legal proceedings, while others raise concerns about their susceptibility to biases and inconsistencies (Roberts &amp; Zuckerman, 2015). Trial by jury is considered a cornerstone of the criminal justice system, providing defendants with the right to be tried by their peers. However, its efficacy in guaranteeing a fair trial depends on </w:t>
      </w:r>
      <w:r w:rsidRPr="2C9A1647" w:rsidR="7D29093E">
        <w:rPr>
          <w:rFonts w:ascii="Calibri" w:hAnsi="Calibri" w:eastAsia="Calibri" w:cs="Calibri"/>
          <w:b w:val="0"/>
          <w:bCs w:val="0"/>
          <w:i w:val="0"/>
          <w:iCs w:val="0"/>
          <w:caps w:val="0"/>
          <w:smallCaps w:val="0"/>
          <w:noProof w:val="0"/>
          <w:color w:val="0D0D0D" w:themeColor="text1" w:themeTint="F2" w:themeShade="FF"/>
          <w:sz w:val="24"/>
          <w:szCs w:val="24"/>
          <w:lang w:val="en-US"/>
        </w:rPr>
        <w:t>numerous</w:t>
      </w:r>
      <w:r w:rsidRPr="2C9A1647" w:rsidR="7D29093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factors</w:t>
      </w:r>
      <w:r w:rsidRPr="2C9A1647" w:rsidR="2708E584">
        <w:rPr>
          <w:rFonts w:ascii="Calibri" w:hAnsi="Calibri" w:eastAsia="Calibri" w:cs="Calibri"/>
          <w:b w:val="0"/>
          <w:bCs w:val="0"/>
          <w:i w:val="0"/>
          <w:iCs w:val="0"/>
          <w:caps w:val="0"/>
          <w:smallCaps w:val="0"/>
          <w:noProof w:val="0"/>
          <w:color w:val="0D0D0D" w:themeColor="text1" w:themeTint="F2" w:themeShade="FF"/>
          <w:sz w:val="24"/>
          <w:szCs w:val="24"/>
          <w:lang w:val="en-US"/>
        </w:rPr>
        <w:t>, including the quality of evidence, the competence of legal representation, and the impartiality of jurors (Roberts &amp; Zuckerman, 2015).</w:t>
      </w:r>
    </w:p>
    <w:p xmlns:wp14="http://schemas.microsoft.com/office/word/2010/wordml" w:rsidP="2C9A1647" wp14:paraId="1008C490" wp14:textId="657BC757">
      <w:pPr>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2759DDE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In the context of jury service, jurors are selected at random from the electoral register and summoned to attend court to hear evidence and </w:t>
      </w:r>
      <w:r w:rsidRPr="2C9A1647" w:rsidR="2759DDE2">
        <w:rPr>
          <w:rFonts w:ascii="Calibri" w:hAnsi="Calibri" w:eastAsia="Calibri" w:cs="Calibri"/>
          <w:b w:val="0"/>
          <w:bCs w:val="0"/>
          <w:i w:val="0"/>
          <w:iCs w:val="0"/>
          <w:caps w:val="0"/>
          <w:smallCaps w:val="0"/>
          <w:noProof w:val="0"/>
          <w:color w:val="0D0D0D" w:themeColor="text1" w:themeTint="F2" w:themeShade="FF"/>
          <w:sz w:val="24"/>
          <w:szCs w:val="24"/>
          <w:lang w:val="en-US"/>
        </w:rPr>
        <w:t>render</w:t>
      </w:r>
      <w:r w:rsidRPr="2C9A1647" w:rsidR="2759DDE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 verdict in criminal trials. The principle of jury service is rooted in the idea that a defendant should be judged by a panel of their peers, </w:t>
      </w:r>
      <w:r w:rsidRPr="2C9A1647" w:rsidR="2759DDE2">
        <w:rPr>
          <w:rFonts w:ascii="Calibri" w:hAnsi="Calibri" w:eastAsia="Calibri" w:cs="Calibri"/>
          <w:b w:val="0"/>
          <w:bCs w:val="0"/>
          <w:i w:val="0"/>
          <w:iCs w:val="0"/>
          <w:caps w:val="0"/>
          <w:smallCaps w:val="0"/>
          <w:noProof w:val="0"/>
          <w:color w:val="0D0D0D" w:themeColor="text1" w:themeTint="F2" w:themeShade="FF"/>
          <w:sz w:val="24"/>
          <w:szCs w:val="24"/>
          <w:lang w:val="en-US"/>
        </w:rPr>
        <w:t>representing</w:t>
      </w:r>
      <w:r w:rsidRPr="2C9A1647" w:rsidR="2759DDE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 cross-section of society (Goldberg &amp; Kelley, 2019).</w:t>
      </w:r>
      <w:r w:rsidRPr="2C9A1647" w:rsidR="2759DDE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While jury service is </w:t>
      </w:r>
      <w:r w:rsidRPr="2C9A1647" w:rsidR="2759DDE2">
        <w:rPr>
          <w:rFonts w:ascii="Calibri" w:hAnsi="Calibri" w:eastAsia="Calibri" w:cs="Calibri"/>
          <w:b w:val="0"/>
          <w:bCs w:val="0"/>
          <w:i w:val="0"/>
          <w:iCs w:val="0"/>
          <w:caps w:val="0"/>
          <w:smallCaps w:val="0"/>
          <w:noProof w:val="0"/>
          <w:color w:val="0D0D0D" w:themeColor="text1" w:themeTint="F2" w:themeShade="FF"/>
          <w:sz w:val="24"/>
          <w:szCs w:val="24"/>
          <w:lang w:val="en-US"/>
        </w:rPr>
        <w:t>generally regarded</w:t>
      </w:r>
      <w:r w:rsidRPr="2C9A1647" w:rsidR="2759DDE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as a civic duty and an essential </w:t>
      </w:r>
      <w:r w:rsidRPr="2C9A1647" w:rsidR="2759DDE2">
        <w:rPr>
          <w:rFonts w:ascii="Calibri" w:hAnsi="Calibri" w:eastAsia="Calibri" w:cs="Calibri"/>
          <w:b w:val="0"/>
          <w:bCs w:val="0"/>
          <w:i w:val="0"/>
          <w:iCs w:val="0"/>
          <w:caps w:val="0"/>
          <w:smallCaps w:val="0"/>
          <w:noProof w:val="0"/>
          <w:color w:val="0D0D0D" w:themeColor="text1" w:themeTint="F2" w:themeShade="FF"/>
          <w:sz w:val="24"/>
          <w:szCs w:val="24"/>
          <w:lang w:val="en-US"/>
        </w:rPr>
        <w:t>component</w:t>
      </w:r>
      <w:r w:rsidRPr="2C9A1647" w:rsidR="2759DDE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of the criminal justice system, concerns have been raised about the challenges and limitations of jury trials. These include the complexity of legal proceedings, the potential for jury intimidation or tampering, and the risk of jurors being influenced by media coverage or personal biases (Goldberg &amp; Kelley, 2019).</w:t>
      </w:r>
    </w:p>
    <w:p xmlns:wp14="http://schemas.microsoft.com/office/word/2010/wordml" w:rsidP="2C9A1647" wp14:paraId="76F11324" wp14:textId="6E64B692">
      <w:pPr>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2759DDE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To address these challenges, courts have implemented various measures to safeguard the integrity of jury trials and ensure fairness for all parties involved. These may include pre-trial instructions to jurors </w:t>
      </w:r>
      <w:r w:rsidRPr="2C9A1647" w:rsidR="2759DDE2">
        <w:rPr>
          <w:rFonts w:ascii="Calibri" w:hAnsi="Calibri" w:eastAsia="Calibri" w:cs="Calibri"/>
          <w:b w:val="0"/>
          <w:bCs w:val="0"/>
          <w:i w:val="0"/>
          <w:iCs w:val="0"/>
          <w:caps w:val="0"/>
          <w:smallCaps w:val="0"/>
          <w:noProof w:val="0"/>
          <w:color w:val="0D0D0D" w:themeColor="text1" w:themeTint="F2" w:themeShade="FF"/>
          <w:sz w:val="24"/>
          <w:szCs w:val="24"/>
          <w:lang w:val="en-US"/>
        </w:rPr>
        <w:t>regarding</w:t>
      </w:r>
      <w:r w:rsidRPr="2C9A1647" w:rsidR="2759DDE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their obligations and responsibilities, restrictions on media reporting to prevent prejudicial publicity, and the use of </w:t>
      </w:r>
      <w:r w:rsidRPr="2C9A1647" w:rsidR="13B71447">
        <w:rPr>
          <w:rFonts w:ascii="Calibri" w:hAnsi="Calibri" w:eastAsia="Calibri" w:cs="Calibri"/>
          <w:b w:val="0"/>
          <w:bCs w:val="0"/>
          <w:i w:val="0"/>
          <w:iCs w:val="0"/>
          <w:caps w:val="0"/>
          <w:smallCaps w:val="0"/>
          <w:noProof w:val="0"/>
          <w:color w:val="0D0D0D" w:themeColor="text1" w:themeTint="F2" w:themeShade="FF"/>
          <w:sz w:val="24"/>
          <w:szCs w:val="24"/>
          <w:lang w:val="en-US"/>
        </w:rPr>
        <w:t>void</w:t>
      </w:r>
      <w:r w:rsidRPr="2C9A1647" w:rsidR="2759DDE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dire procedures to screen potential jurors for bias or impartiality (Goldberg &amp; Kelley, 2019).</w:t>
      </w:r>
    </w:p>
    <w:p xmlns:wp14="http://schemas.microsoft.com/office/word/2010/wordml" w:rsidP="2C9A1647" wp14:paraId="3AFF30E7" wp14:textId="118A64A5">
      <w:pPr>
        <w:shd w:val="clear" w:color="auto" w:fill="FFFFFF" w:themeFill="background1"/>
        <w:spacing w:before="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Lay people, including magistrates and jurors, play crucial roles in upholding judicial fairness within the legal system. Their participation ensures that justice is administered impartially, transparently, and </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in accordance with</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rule of law. Here's how lay people contribute to judicial fairness:</w:t>
      </w:r>
    </w:p>
    <w:p xmlns:wp14="http://schemas.microsoft.com/office/word/2010/wordml" w:rsidP="2C9A1647" wp14:paraId="49E6327B" wp14:textId="1AA2C16F">
      <w:pPr>
        <w:pStyle w:val="ListParagraph"/>
        <w:numPr>
          <w:ilvl w:val="0"/>
          <w:numId w:val="1"/>
        </w:numPr>
        <w:shd w:val="clear" w:color="auto" w:fill="FFFFFF" w:themeFill="background1"/>
        <w:spacing w:before="240" w:beforeAutospacing="off" w:after="24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4A6B29CA">
        <w:rPr>
          <w:rFonts w:ascii="Calibri" w:hAnsi="Calibri" w:eastAsia="Calibri" w:cs="Calibri"/>
          <w:b w:val="1"/>
          <w:bCs w:val="1"/>
          <w:i w:val="0"/>
          <w:iCs w:val="0"/>
          <w:caps w:val="0"/>
          <w:smallCaps w:val="0"/>
          <w:noProof w:val="0"/>
          <w:color w:val="0D0D0D" w:themeColor="text1" w:themeTint="F2" w:themeShade="FF"/>
          <w:sz w:val="24"/>
          <w:szCs w:val="24"/>
          <w:lang w:val="en-US"/>
        </w:rPr>
        <w:t>Impartial Adjudication</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Lay magistrates, also known as justices of the peace, preside over cases in magistrates' courts alongside professional legal advisors. Despite lacking formal legal qualifications, magistrates are trained to apply legal principles and procedural rules impartially. Research has shown that lay magistrates </w:t>
      </w:r>
      <w:r w:rsidRPr="2C9A1647" w:rsidR="326B1DC3">
        <w:rPr>
          <w:rFonts w:ascii="Calibri" w:hAnsi="Calibri" w:eastAsia="Calibri" w:cs="Calibri"/>
          <w:b w:val="0"/>
          <w:bCs w:val="0"/>
          <w:i w:val="0"/>
          <w:iCs w:val="0"/>
          <w:caps w:val="0"/>
          <w:smallCaps w:val="0"/>
          <w:noProof w:val="0"/>
          <w:color w:val="0D0D0D" w:themeColor="text1" w:themeTint="F2" w:themeShade="FF"/>
          <w:sz w:val="24"/>
          <w:szCs w:val="24"/>
          <w:lang w:val="en-US"/>
        </w:rPr>
        <w:t>can deliver</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fair judgments and </w:t>
      </w:r>
      <w:r w:rsidRPr="2C9A1647" w:rsidR="62EFE65D">
        <w:rPr>
          <w:rFonts w:ascii="Calibri" w:hAnsi="Calibri" w:eastAsia="Calibri" w:cs="Calibri"/>
          <w:b w:val="0"/>
          <w:bCs w:val="0"/>
          <w:i w:val="0"/>
          <w:iCs w:val="0"/>
          <w:caps w:val="0"/>
          <w:smallCaps w:val="0"/>
          <w:noProof w:val="0"/>
          <w:color w:val="0D0D0D" w:themeColor="text1" w:themeTint="F2" w:themeShade="FF"/>
          <w:sz w:val="24"/>
          <w:szCs w:val="24"/>
          <w:lang w:val="en-US"/>
        </w:rPr>
        <w:t>uphold</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rule of law (Tong &amp; Rowe, 2015). Their participation ensures that defendants are tried by individuals who </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represent</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diverse perspectives and values of the community.</w:t>
      </w:r>
    </w:p>
    <w:p xmlns:wp14="http://schemas.microsoft.com/office/word/2010/wordml" w:rsidP="2C9A1647" wp14:paraId="1EDE70F8" wp14:textId="429CB139">
      <w:pPr>
        <w:pStyle w:val="ListParagraph"/>
        <w:numPr>
          <w:ilvl w:val="0"/>
          <w:numId w:val="1"/>
        </w:numPr>
        <w:shd w:val="clear" w:color="auto" w:fill="FFFFFF" w:themeFill="background1"/>
        <w:spacing w:before="240" w:beforeAutospacing="off" w:after="24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4A6B29CA">
        <w:rPr>
          <w:rFonts w:ascii="Calibri" w:hAnsi="Calibri" w:eastAsia="Calibri" w:cs="Calibri"/>
          <w:b w:val="1"/>
          <w:bCs w:val="1"/>
          <w:i w:val="0"/>
          <w:iCs w:val="0"/>
          <w:caps w:val="0"/>
          <w:smallCaps w:val="0"/>
          <w:noProof w:val="0"/>
          <w:color w:val="0D0D0D" w:themeColor="text1" w:themeTint="F2" w:themeShade="FF"/>
          <w:sz w:val="24"/>
          <w:szCs w:val="24"/>
          <w:lang w:val="en-US"/>
        </w:rPr>
        <w:t>Community Representation</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Magistrates are drawn from the local community, reflecting its diversity in terms of age, gender, ethnicity, and socioeconomic background. This ensures that defendants are judged by individuals who understand the cultural, social, and economic factors that may have contributed to their circumstances. Community representation fosters trust in the judicial process and promotes </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perceptions</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of fairness and legitimacy (Roberts, 2003).</w:t>
      </w:r>
    </w:p>
    <w:p xmlns:wp14="http://schemas.microsoft.com/office/word/2010/wordml" w:rsidP="2C9A1647" wp14:paraId="5FE0A475" wp14:textId="76E9CC4F">
      <w:pPr>
        <w:pStyle w:val="ListParagraph"/>
        <w:numPr>
          <w:ilvl w:val="0"/>
          <w:numId w:val="1"/>
        </w:numPr>
        <w:shd w:val="clear" w:color="auto" w:fill="FFFFFF" w:themeFill="background1"/>
        <w:spacing w:before="240" w:beforeAutospacing="off" w:after="24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4A6B29CA">
        <w:rPr>
          <w:rFonts w:ascii="Calibri" w:hAnsi="Calibri" w:eastAsia="Calibri" w:cs="Calibri"/>
          <w:b w:val="1"/>
          <w:bCs w:val="1"/>
          <w:i w:val="0"/>
          <w:iCs w:val="0"/>
          <w:caps w:val="0"/>
          <w:smallCaps w:val="0"/>
          <w:noProof w:val="0"/>
          <w:color w:val="0D0D0D" w:themeColor="text1" w:themeTint="F2" w:themeShade="FF"/>
          <w:sz w:val="24"/>
          <w:szCs w:val="24"/>
          <w:lang w:val="en-US"/>
        </w:rPr>
        <w:t>Lay Participation in Jury Deliberations</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 Jurors, selected randomly from the general population, deliberate alongside legal professionals to reach verdicts in criminal trials. The deliberative process allows jurors to consider evidence, assess witness credibility, and weigh legal arguments before reaching a consensus. Research suggests that lay jurors bring valuable perspectives and life experiences to deliberations, contributing to the robustness and fairness of verdicts (Hans &amp; Vidmar, 2016).</w:t>
      </w:r>
    </w:p>
    <w:p xmlns:wp14="http://schemas.microsoft.com/office/word/2010/wordml" w:rsidP="2C9A1647" wp14:paraId="08812A82" wp14:textId="33984782">
      <w:pPr>
        <w:pStyle w:val="ListParagraph"/>
        <w:numPr>
          <w:ilvl w:val="0"/>
          <w:numId w:val="1"/>
        </w:numPr>
        <w:shd w:val="clear" w:color="auto" w:fill="FFFFFF" w:themeFill="background1"/>
        <w:spacing w:before="240" w:beforeAutospacing="off" w:after="24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4A6B29CA">
        <w:rPr>
          <w:rFonts w:ascii="Calibri" w:hAnsi="Calibri" w:eastAsia="Calibri" w:cs="Calibri"/>
          <w:b w:val="1"/>
          <w:bCs w:val="1"/>
          <w:i w:val="0"/>
          <w:iCs w:val="0"/>
          <w:caps w:val="0"/>
          <w:smallCaps w:val="0"/>
          <w:noProof w:val="0"/>
          <w:color w:val="0D0D0D" w:themeColor="text1" w:themeTint="F2" w:themeShade="FF"/>
          <w:sz w:val="24"/>
          <w:szCs w:val="24"/>
          <w:lang w:val="en-US"/>
        </w:rPr>
        <w:t>Safeguarding Defendant Rights</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Lay people play a critical role in safeguarding defendants' rights during legal proceedings. Magistrates ensure that defendants are afforded due process, including the right to a fair trial, legal representation, and the presumption of innocence. Similarly, jurors are instructed to base their verdict solely on the evidence presented in court and to disregard any preconceptions or biases. Their adherence to legal instructions helps protect defendants from unfair convictions and </w:t>
      </w:r>
      <w:r w:rsidRPr="2C9A1647" w:rsidR="12B2B77B">
        <w:rPr>
          <w:rFonts w:ascii="Calibri" w:hAnsi="Calibri" w:eastAsia="Calibri" w:cs="Calibri"/>
          <w:b w:val="0"/>
          <w:bCs w:val="0"/>
          <w:i w:val="0"/>
          <w:iCs w:val="0"/>
          <w:caps w:val="0"/>
          <w:smallCaps w:val="0"/>
          <w:noProof w:val="0"/>
          <w:color w:val="0D0D0D" w:themeColor="text1" w:themeTint="F2" w:themeShade="FF"/>
          <w:sz w:val="24"/>
          <w:szCs w:val="24"/>
          <w:lang w:val="en-US"/>
        </w:rPr>
        <w:t>injustices</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(Redlich et al., 2010).</w:t>
      </w:r>
    </w:p>
    <w:p xmlns:wp14="http://schemas.microsoft.com/office/word/2010/wordml" w:rsidP="2C9A1647" wp14:paraId="2767FE03" wp14:textId="562BC91F">
      <w:pPr>
        <w:pStyle w:val="ListParagraph"/>
        <w:numPr>
          <w:ilvl w:val="0"/>
          <w:numId w:val="1"/>
        </w:numPr>
        <w:shd w:val="clear" w:color="auto" w:fill="FFFFFF" w:themeFill="background1"/>
        <w:spacing w:before="240" w:beforeAutospacing="off" w:after="24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4A6B29CA">
        <w:rPr>
          <w:rFonts w:ascii="Calibri" w:hAnsi="Calibri" w:eastAsia="Calibri" w:cs="Calibri"/>
          <w:b w:val="1"/>
          <w:bCs w:val="1"/>
          <w:i w:val="0"/>
          <w:iCs w:val="0"/>
          <w:caps w:val="0"/>
          <w:smallCaps w:val="0"/>
          <w:noProof w:val="0"/>
          <w:color w:val="0D0D0D" w:themeColor="text1" w:themeTint="F2" w:themeShade="FF"/>
          <w:sz w:val="24"/>
          <w:szCs w:val="24"/>
          <w:lang w:val="en-US"/>
        </w:rPr>
        <w:t>Transparency and Accountability</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Lay participation in the legal system enhances transparency and accountability by bringing judicial proceedings into the public domain. Magistrates' court hearings are open to the public, allowing members of the community to </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observe</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legal proceedings and scrutinize the administration of justice. Likewise, jury trials are conducted in open courtrooms, ensuring that verdicts are reached through transparent and accountable processes (Hans &amp; Vidmar, 2016).</w:t>
      </w:r>
    </w:p>
    <w:p xmlns:wp14="http://schemas.microsoft.com/office/word/2010/wordml" w:rsidP="2C9A1647" wp14:paraId="28BAA993" wp14:textId="1131C8E4">
      <w:pPr>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In summary, lay people uphold judicial fairness by </w:t>
      </w:r>
      <w:r w:rsidRPr="2C9A1647" w:rsidR="10992829">
        <w:rPr>
          <w:rFonts w:ascii="Calibri" w:hAnsi="Calibri" w:eastAsia="Calibri" w:cs="Calibri"/>
          <w:b w:val="0"/>
          <w:bCs w:val="0"/>
          <w:i w:val="0"/>
          <w:iCs w:val="0"/>
          <w:caps w:val="0"/>
          <w:smallCaps w:val="0"/>
          <w:noProof w:val="0"/>
          <w:color w:val="0D0D0D" w:themeColor="text1" w:themeTint="F2" w:themeShade="FF"/>
          <w:sz w:val="24"/>
          <w:szCs w:val="24"/>
          <w:lang w:val="en-US"/>
        </w:rPr>
        <w:t>judging</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cases impartially, </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representing</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community, </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participating</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in jury deliberations, safeguarding defendant rights, and promoting transparency and accountability in the legal system. Their involvement ensures justice is administered equitably and </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in accordance with</w:t>
      </w:r>
      <w:r w:rsidRPr="2C9A1647" w:rsidR="4A6B29C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rule of law.</w:t>
      </w:r>
    </w:p>
    <w:p xmlns:wp14="http://schemas.microsoft.com/office/word/2010/wordml" w:rsidP="2C9A1647" wp14:paraId="27F54705" wp14:textId="46191CF3">
      <w:pPr>
        <w:pStyle w:val="Normal"/>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2708E5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Conclusion: In conclusion, lay people, including magistrates and jurors, play a vital role in the legal system, contributing to the fairness and legitimacy of criminal proceedings. While magistrates provide local knowledge and community insight, efforts are needed to address concerns about their representativeness and diversity. Similarly, juries serve as a safeguard against unfair convictions, but questions </w:t>
      </w:r>
      <w:r w:rsidRPr="2C9A1647" w:rsidR="2708E584">
        <w:rPr>
          <w:rFonts w:ascii="Calibri" w:hAnsi="Calibri" w:eastAsia="Calibri" w:cs="Calibri"/>
          <w:b w:val="0"/>
          <w:bCs w:val="0"/>
          <w:i w:val="0"/>
          <w:iCs w:val="0"/>
          <w:caps w:val="0"/>
          <w:smallCaps w:val="0"/>
          <w:noProof w:val="0"/>
          <w:color w:val="0D0D0D" w:themeColor="text1" w:themeTint="F2" w:themeShade="FF"/>
          <w:sz w:val="24"/>
          <w:szCs w:val="24"/>
          <w:lang w:val="en-US"/>
        </w:rPr>
        <w:t>remain</w:t>
      </w:r>
      <w:r w:rsidRPr="2C9A1647" w:rsidR="2708E5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about their effectiveness in ensuring justice. Overall, the continued scrutiny and improvement of lay participation in the legal system are essential for upholding the principles of fairness, impartiality, and equality before the law.</w:t>
      </w:r>
    </w:p>
    <w:p xmlns:wp14="http://schemas.microsoft.com/office/word/2010/wordml" w:rsidP="2C9A1647" wp14:paraId="4A1448EE" wp14:textId="2ED0A529">
      <w:pPr>
        <w:pStyle w:val="Normal"/>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p>
    <w:p xmlns:wp14="http://schemas.microsoft.com/office/word/2010/wordml" w:rsidP="2C9A1647" wp14:paraId="42764C62" wp14:textId="45F3CCB3">
      <w:pPr>
        <w:pStyle w:val="Normal"/>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p>
    <w:p xmlns:wp14="http://schemas.microsoft.com/office/word/2010/wordml" w:rsidP="2C9A1647" wp14:paraId="037EDA21" wp14:textId="1979C570">
      <w:pPr>
        <w:pStyle w:val="Normal"/>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p>
    <w:p xmlns:wp14="http://schemas.microsoft.com/office/word/2010/wordml" w:rsidP="2C9A1647" wp14:paraId="27C80E04" wp14:textId="7BA04786">
      <w:pPr>
        <w:pStyle w:val="Normal"/>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p>
    <w:p xmlns:wp14="http://schemas.microsoft.com/office/word/2010/wordml" w:rsidP="2C9A1647" wp14:paraId="128C6396" wp14:textId="17347D97">
      <w:pPr>
        <w:pStyle w:val="Normal"/>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p>
    <w:p xmlns:wp14="http://schemas.microsoft.com/office/word/2010/wordml" w:rsidP="2C9A1647" wp14:paraId="6D36C1C4" wp14:textId="1BF6DBBC">
      <w:pPr>
        <w:pStyle w:val="Normal"/>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p>
    <w:p xmlns:wp14="http://schemas.microsoft.com/office/word/2010/wordml" w:rsidP="2C9A1647" wp14:paraId="04D9B515" wp14:textId="45677A1A">
      <w:pPr>
        <w:pStyle w:val="Normal"/>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p>
    <w:p xmlns:wp14="http://schemas.microsoft.com/office/word/2010/wordml" w:rsidP="2C9A1647" wp14:paraId="6975BE00" wp14:textId="67BD2D5C">
      <w:pPr>
        <w:pStyle w:val="Normal"/>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p>
    <w:p xmlns:wp14="http://schemas.microsoft.com/office/word/2010/wordml" w:rsidP="2C9A1647" wp14:paraId="501AF186" wp14:textId="2C430ECE">
      <w:pPr>
        <w:pStyle w:val="Normal"/>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p>
    <w:p xmlns:wp14="http://schemas.microsoft.com/office/word/2010/wordml" w:rsidP="2C9A1647" wp14:paraId="12C490AD" wp14:textId="14786F1B">
      <w:pPr>
        <w:pStyle w:val="Normal"/>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p>
    <w:p xmlns:wp14="http://schemas.microsoft.com/office/word/2010/wordml" w:rsidP="2C9A1647" wp14:paraId="06CB7CA7" wp14:textId="69B948C4">
      <w:pPr>
        <w:pStyle w:val="Normal"/>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p>
    <w:p xmlns:wp14="http://schemas.microsoft.com/office/word/2010/wordml" w:rsidP="2C9A1647" wp14:paraId="7791D6AB" wp14:textId="6E358060">
      <w:pPr>
        <w:pStyle w:val="Normal"/>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p>
    <w:p xmlns:wp14="http://schemas.microsoft.com/office/word/2010/wordml" w:rsidP="2C9A1647" wp14:paraId="7122DD76" wp14:textId="0ED88AB5">
      <w:pPr>
        <w:pStyle w:val="Normal"/>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39F26988">
        <w:rPr>
          <w:rFonts w:ascii="Calibri" w:hAnsi="Calibri" w:eastAsia="Calibri" w:cs="Calibri"/>
          <w:b w:val="0"/>
          <w:bCs w:val="0"/>
          <w:i w:val="0"/>
          <w:iCs w:val="0"/>
          <w:caps w:val="0"/>
          <w:smallCaps w:val="0"/>
          <w:noProof w:val="0"/>
          <w:color w:val="0D0D0D" w:themeColor="text1" w:themeTint="F2" w:themeShade="FF"/>
          <w:sz w:val="24"/>
          <w:szCs w:val="24"/>
          <w:lang w:val="en-US"/>
        </w:rPr>
        <w:t>Re</w:t>
      </w:r>
      <w:r w:rsidRPr="2C9A1647" w:rsidR="620277C2">
        <w:rPr>
          <w:rFonts w:ascii="Calibri" w:hAnsi="Calibri" w:eastAsia="Calibri" w:cs="Calibri"/>
          <w:b w:val="0"/>
          <w:bCs w:val="0"/>
          <w:i w:val="0"/>
          <w:iCs w:val="0"/>
          <w:caps w:val="0"/>
          <w:smallCaps w:val="0"/>
          <w:noProof w:val="0"/>
          <w:color w:val="0D0D0D" w:themeColor="text1" w:themeTint="F2" w:themeShade="FF"/>
          <w:sz w:val="24"/>
          <w:szCs w:val="24"/>
          <w:lang w:val="en-US"/>
        </w:rPr>
        <w:t>ferences</w:t>
      </w:r>
    </w:p>
    <w:p xmlns:wp14="http://schemas.microsoft.com/office/word/2010/wordml" w:rsidP="2C9A1647" wp14:paraId="5A1A3E36" wp14:textId="06DE2BA0">
      <w:pPr>
        <w:pStyle w:val="ListParagraph"/>
        <w:numPr>
          <w:ilvl w:val="0"/>
          <w:numId w:val="2"/>
        </w:numPr>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65196ED6">
        <w:rPr>
          <w:rFonts w:ascii="Calibri" w:hAnsi="Calibri" w:eastAsia="Calibri" w:cs="Calibri"/>
          <w:b w:val="0"/>
          <w:bCs w:val="0"/>
          <w:i w:val="0"/>
          <w:iCs w:val="0"/>
          <w:caps w:val="0"/>
          <w:smallCaps w:val="0"/>
          <w:noProof w:val="0"/>
          <w:color w:val="0D0D0D" w:themeColor="text1" w:themeTint="F2" w:themeShade="FF"/>
          <w:sz w:val="24"/>
          <w:szCs w:val="24"/>
          <w:lang w:val="en-US"/>
        </w:rPr>
        <w:t>Baldwin, J., &amp; Chui, W. H. (2014). Public and Private Interests in the Magistracy. In P. Chiu &amp; R. Chiu (Eds.), Public Governance and Leadership: Political and Managerial Problems in Making Public Governance Changes the Driver for Re-Constituting Leadership. Springer.</w:t>
      </w:r>
    </w:p>
    <w:p xmlns:wp14="http://schemas.microsoft.com/office/word/2010/wordml" w:rsidP="2C9A1647" wp14:paraId="2542CDF4" wp14:textId="7D66A549">
      <w:pPr>
        <w:pStyle w:val="ListParagraph"/>
        <w:numPr>
          <w:ilvl w:val="0"/>
          <w:numId w:val="2"/>
        </w:numPr>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65196ED6">
        <w:rPr>
          <w:rFonts w:ascii="Calibri" w:hAnsi="Calibri" w:eastAsia="Calibri" w:cs="Calibri"/>
          <w:b w:val="0"/>
          <w:bCs w:val="0"/>
          <w:i w:val="0"/>
          <w:iCs w:val="0"/>
          <w:caps w:val="0"/>
          <w:smallCaps w:val="0"/>
          <w:noProof w:val="0"/>
          <w:color w:val="0D0D0D" w:themeColor="text1" w:themeTint="F2" w:themeShade="FF"/>
          <w:sz w:val="24"/>
          <w:szCs w:val="24"/>
          <w:lang w:val="en-US"/>
        </w:rPr>
        <w:t>Goldberg, R. C., &amp; Kelley, M. D. (2019). Jury Selection: An Overview. In R. C. Goldberg &amp; M. D. Kelley (Eds.), Inside the Jury. Springer.</w:t>
      </w:r>
    </w:p>
    <w:p xmlns:wp14="http://schemas.microsoft.com/office/word/2010/wordml" w:rsidP="2C9A1647" wp14:paraId="3C5A954B" wp14:textId="1A8AAA3F">
      <w:pPr>
        <w:pStyle w:val="ListParagraph"/>
        <w:numPr>
          <w:ilvl w:val="0"/>
          <w:numId w:val="2"/>
        </w:numPr>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65196ED6">
        <w:rPr>
          <w:rFonts w:ascii="Calibri" w:hAnsi="Calibri" w:eastAsia="Calibri" w:cs="Calibri"/>
          <w:b w:val="0"/>
          <w:bCs w:val="0"/>
          <w:i w:val="0"/>
          <w:iCs w:val="0"/>
          <w:caps w:val="0"/>
          <w:smallCaps w:val="0"/>
          <w:noProof w:val="0"/>
          <w:color w:val="0D0D0D" w:themeColor="text1" w:themeTint="F2" w:themeShade="FF"/>
          <w:sz w:val="24"/>
          <w:szCs w:val="24"/>
          <w:lang w:val="en-US"/>
        </w:rPr>
        <w:t>HM Courts &amp; Tribunals Service. (n.d.). Becoming a magistrate. Retrieved from https://www.judiciary.uk/about-the-judiciary/the-judiciary-the-government-and-the-constitution/judicial-appointments/becoming-a-magistrate/</w:t>
      </w:r>
    </w:p>
    <w:p xmlns:wp14="http://schemas.microsoft.com/office/word/2010/wordml" w:rsidP="2C9A1647" wp14:paraId="405B6471" wp14:textId="36F63024">
      <w:pPr>
        <w:pStyle w:val="ListParagraph"/>
        <w:numPr>
          <w:ilvl w:val="0"/>
          <w:numId w:val="2"/>
        </w:numPr>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65196ED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Sentencing Council. (2019). Magistrates’ Courts: Report on Diversity. Retrieved from </w:t>
      </w:r>
      <w:hyperlink r:id="Rae6ac02c430f4071">
        <w:r w:rsidRPr="2C9A1647" w:rsidR="65196ED6">
          <w:rPr>
            <w:rStyle w:val="Hyperlink"/>
            <w:rFonts w:ascii="Calibri" w:hAnsi="Calibri" w:eastAsia="Calibri" w:cs="Calibri"/>
            <w:b w:val="0"/>
            <w:bCs w:val="0"/>
            <w:i w:val="0"/>
            <w:iCs w:val="0"/>
            <w:caps w:val="0"/>
            <w:smallCaps w:val="0"/>
            <w:noProof w:val="0"/>
            <w:sz w:val="24"/>
            <w:szCs w:val="24"/>
            <w:lang w:val="en-US"/>
          </w:rPr>
          <w:t>https://www.sentencingcouncil.org.uk/publications/magistrates-courts-report-on-diversity/</w:t>
        </w:r>
      </w:hyperlink>
    </w:p>
    <w:p xmlns:wp14="http://schemas.microsoft.com/office/word/2010/wordml" w:rsidP="2C9A1647" wp14:paraId="6DF9FC5A" wp14:textId="2F766D1F">
      <w:pPr>
        <w:pStyle w:val="ListParagraph"/>
        <w:numPr>
          <w:ilvl w:val="0"/>
          <w:numId w:val="2"/>
        </w:numPr>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r w:rsidRPr="2C9A1647" w:rsidR="65196ED6">
        <w:rPr>
          <w:rFonts w:ascii="Calibri" w:hAnsi="Calibri" w:eastAsia="Calibri" w:cs="Calibri"/>
          <w:b w:val="0"/>
          <w:bCs w:val="0"/>
          <w:i w:val="0"/>
          <w:iCs w:val="0"/>
          <w:caps w:val="0"/>
          <w:smallCaps w:val="0"/>
          <w:noProof w:val="0"/>
          <w:color w:val="0D0D0D" w:themeColor="text1" w:themeTint="F2" w:themeShade="FF"/>
          <w:sz w:val="24"/>
          <w:szCs w:val="24"/>
          <w:lang w:val="en-US"/>
        </w:rPr>
        <w:t>Hans, V. P., &amp; Vidmar, N. (2016). Judging the Jury. Basic Books.</w:t>
      </w:r>
    </w:p>
    <w:p xmlns:wp14="http://schemas.microsoft.com/office/word/2010/wordml" w:rsidP="2C9A1647" wp14:paraId="66C76E98" wp14:textId="2649CD59">
      <w:pPr>
        <w:pStyle w:val="ListParagraph"/>
        <w:numPr>
          <w:ilvl w:val="0"/>
          <w:numId w:val="2"/>
        </w:numPr>
        <w:rPr/>
      </w:pPr>
      <w:r w:rsidR="65196ED6">
        <w:rPr/>
        <w:t>Redlich, A. D., Summers, A., Hoover, S., &amp; Williams, B. (2010). Is Voluntary Informed Consent in Jury Research Ethical? Judicature, 94(1), 16–25.</w:t>
      </w:r>
    </w:p>
    <w:p xmlns:wp14="http://schemas.microsoft.com/office/word/2010/wordml" w:rsidP="2C9A1647" wp14:paraId="64DDE071" wp14:textId="185F2E40">
      <w:pPr>
        <w:pStyle w:val="ListParagraph"/>
        <w:numPr>
          <w:ilvl w:val="0"/>
          <w:numId w:val="2"/>
        </w:numPr>
        <w:rPr/>
      </w:pPr>
      <w:r w:rsidR="65196ED6">
        <w:rPr/>
        <w:t>Roberts, J. V. (2003). Magistrates in the Community: Constructing and Representing Justice. Oxford University Press.</w:t>
      </w:r>
    </w:p>
    <w:p xmlns:wp14="http://schemas.microsoft.com/office/word/2010/wordml" w:rsidP="2C9A1647" wp14:paraId="620E936F" wp14:textId="0AB99FEB">
      <w:pPr>
        <w:pStyle w:val="ListParagraph"/>
        <w:numPr>
          <w:ilvl w:val="0"/>
          <w:numId w:val="2"/>
        </w:numPr>
        <w:rPr/>
      </w:pPr>
      <w:r w:rsidR="65196ED6">
        <w:rPr/>
        <w:t>Tong, S., &amp; Rowe, M. (2015). Do Lay Magistrates' Decisions Show Jurisprudential Consistency Over Time? European Journal of Criminology, 12(6), 722–739</w:t>
      </w:r>
    </w:p>
    <w:p xmlns:wp14="http://schemas.microsoft.com/office/word/2010/wordml" w:rsidP="2C9A1647" wp14:paraId="11CD9C3A" wp14:textId="2653925D">
      <w:pPr>
        <w:pStyle w:val="Normal"/>
        <w:shd w:val="clear" w:color="auto" w:fill="FFFFFF" w:themeFill="background1"/>
        <w:spacing w:before="300" w:beforeAutospacing="off" w:after="300" w:afterAutospacing="off"/>
        <w:ind w:left="0"/>
        <w:jc w:val="both"/>
        <w:rPr>
          <w:rFonts w:ascii="Calibri" w:hAnsi="Calibri" w:eastAsia="Calibri" w:cs="Calibri"/>
          <w:b w:val="0"/>
          <w:bCs w:val="0"/>
          <w:i w:val="0"/>
          <w:iCs w:val="0"/>
          <w:caps w:val="0"/>
          <w:smallCaps w:val="0"/>
          <w:noProof w:val="0"/>
          <w:color w:val="0D0D0D" w:themeColor="text1" w:themeTint="F2" w:themeShade="FF"/>
          <w:sz w:val="24"/>
          <w:szCs w:val="24"/>
          <w:lang w:val="en-US"/>
        </w:rPr>
      </w:pPr>
    </w:p>
    <w:p xmlns:wp14="http://schemas.microsoft.com/office/word/2010/wordml" w:rsidP="2C9A1647" wp14:paraId="595E590D" wp14:textId="11C10AF3">
      <w:pPr>
        <w:pStyle w:val="Normal"/>
        <w:shd w:val="clear" w:color="auto" w:fill="FFFFFF" w:themeFill="background1"/>
        <w:spacing w:before="300" w:beforeAutospacing="off" w:after="300" w:afterAutospacing="off"/>
        <w:ind w:left="0"/>
        <w:jc w:val="both"/>
        <w:rPr>
          <w:rFonts w:ascii="Calibri" w:hAnsi="Calibri" w:eastAsia="Calibri" w:cs="Calibri"/>
          <w:b w:val="0"/>
          <w:bCs w:val="0"/>
          <w:i w:val="0"/>
          <w:iCs w:val="0"/>
          <w:caps w:val="0"/>
          <w:smallCaps w:val="0"/>
          <w:noProof w:val="0"/>
          <w:color w:val="0D0D0D" w:themeColor="text1" w:themeTint="F2" w:themeShade="FF"/>
          <w:sz w:val="24"/>
          <w:szCs w:val="24"/>
          <w:lang w:val="en-US"/>
        </w:rPr>
      </w:pPr>
    </w:p>
    <w:p xmlns:wp14="http://schemas.microsoft.com/office/word/2010/wordml" w:rsidP="2C9A1647" wp14:paraId="4F9B7B82" wp14:textId="1B92ABB2">
      <w:pPr>
        <w:pStyle w:val="Normal"/>
        <w:shd w:val="clear" w:color="auto" w:fill="FFFFFF" w:themeFill="background1"/>
        <w:spacing w:before="300" w:beforeAutospacing="off" w:after="300" w:afterAutospacing="off"/>
        <w:jc w:val="both"/>
        <w:rPr>
          <w:rFonts w:ascii="Calibri" w:hAnsi="Calibri" w:eastAsia="Calibri" w:cs="Calibri"/>
          <w:b w:val="0"/>
          <w:bCs w:val="0"/>
          <w:i w:val="0"/>
          <w:iCs w:val="0"/>
          <w:caps w:val="0"/>
          <w:smallCaps w:val="0"/>
          <w:noProof w:val="0"/>
          <w:color w:val="0D0D0D" w:themeColor="text1" w:themeTint="F2" w:themeShade="FF"/>
          <w:sz w:val="24"/>
          <w:szCs w:val="24"/>
          <w:lang w:val="en-US"/>
        </w:rPr>
      </w:pPr>
    </w:p>
    <w:p xmlns:wp14="http://schemas.microsoft.com/office/word/2010/wordml" w:rsidP="2C9A1647" wp14:paraId="5B21D324" wp14:textId="20A811D0">
      <w:pPr>
        <w:pStyle w:val="Normal"/>
        <w:spacing w:before="240" w:beforeAutospacing="off" w:after="240" w:afterAutospacing="off"/>
        <w:jc w:val="both"/>
        <w:rPr>
          <w:rFonts w:ascii="Aptos" w:hAnsi="Aptos" w:eastAsia="Aptos" w:cs="Aptos"/>
          <w:b w:val="1"/>
          <w:bCs w:val="1"/>
          <w:noProof w:val="0"/>
          <w:sz w:val="22"/>
          <w:szCs w:val="22"/>
          <w:lang w:val="en-US"/>
        </w:rPr>
      </w:pPr>
    </w:p>
    <w:p xmlns:wp14="http://schemas.microsoft.com/office/word/2010/wordml" w:rsidP="2C9A1647" wp14:paraId="2C078E63" wp14:textId="1C956ADB">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294f43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8592a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B88358"/>
    <w:rsid w:val="016A0BBE"/>
    <w:rsid w:val="01B88358"/>
    <w:rsid w:val="032D5052"/>
    <w:rsid w:val="06272B4D"/>
    <w:rsid w:val="0922CA5C"/>
    <w:rsid w:val="10992829"/>
    <w:rsid w:val="12B2B77B"/>
    <w:rsid w:val="13B71447"/>
    <w:rsid w:val="1EF514DC"/>
    <w:rsid w:val="231F429D"/>
    <w:rsid w:val="26A69E7E"/>
    <w:rsid w:val="2708E584"/>
    <w:rsid w:val="2753A17D"/>
    <w:rsid w:val="2759DDE2"/>
    <w:rsid w:val="29D80DD2"/>
    <w:rsid w:val="2ABF8948"/>
    <w:rsid w:val="2B53B9F7"/>
    <w:rsid w:val="2BDECB9C"/>
    <w:rsid w:val="2C9A1647"/>
    <w:rsid w:val="30465C73"/>
    <w:rsid w:val="3059AC97"/>
    <w:rsid w:val="31D7A299"/>
    <w:rsid w:val="326B1DC3"/>
    <w:rsid w:val="3842A96F"/>
    <w:rsid w:val="384DAA28"/>
    <w:rsid w:val="39F26988"/>
    <w:rsid w:val="3C11BB21"/>
    <w:rsid w:val="3F4765D9"/>
    <w:rsid w:val="3F71C413"/>
    <w:rsid w:val="3FF7E919"/>
    <w:rsid w:val="435D65B2"/>
    <w:rsid w:val="4A6B29CA"/>
    <w:rsid w:val="4BFFE854"/>
    <w:rsid w:val="4D6FCD77"/>
    <w:rsid w:val="4E155B60"/>
    <w:rsid w:val="4F8A9BF0"/>
    <w:rsid w:val="51353CBA"/>
    <w:rsid w:val="518A0444"/>
    <w:rsid w:val="539B3BB3"/>
    <w:rsid w:val="5592489C"/>
    <w:rsid w:val="58D919A8"/>
    <w:rsid w:val="5B1C0BD7"/>
    <w:rsid w:val="61BED78E"/>
    <w:rsid w:val="620277C2"/>
    <w:rsid w:val="62E39D6E"/>
    <w:rsid w:val="62EFE65D"/>
    <w:rsid w:val="65196ED6"/>
    <w:rsid w:val="6625C21C"/>
    <w:rsid w:val="68C1218A"/>
    <w:rsid w:val="6AB03AB4"/>
    <w:rsid w:val="6AED3830"/>
    <w:rsid w:val="6C05B635"/>
    <w:rsid w:val="70871113"/>
    <w:rsid w:val="722584D3"/>
    <w:rsid w:val="724D92A7"/>
    <w:rsid w:val="736B4AE1"/>
    <w:rsid w:val="7715DCF8"/>
    <w:rsid w:val="7926877D"/>
    <w:rsid w:val="79856989"/>
    <w:rsid w:val="7B4A7CA2"/>
    <w:rsid w:val="7D290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700E4"/>
  <w15:chartTrackingRefBased/>
  <w15:docId w15:val="{286B6B03-61F6-4F3B-BFBB-3EB950F6EB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entencingcouncil.org.uk/publications/magistrates-courts-report-on-diversity/" TargetMode="External" Id="Rae6ac02c430f4071" /><Relationship Type="http://schemas.openxmlformats.org/officeDocument/2006/relationships/numbering" Target="numbering.xml" Id="R1dabf92a928c4c0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2024-04-16T19:11:17.7999686Z</dcterms:created>
  <dcterms:modified xsi:type="dcterms:W3CDTF">2024-04-16T19:40:30.7487455Z</dcterms:modified>
  <dc:creator>Olivia John (2317064)</dc:creator>
  <lastModifiedBy>Olivia John (2317064)</lastModifiedBy>
</coreProperties>
</file>