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jc w:val="center"/>
      </w:pPr>
      <w:r>
        <w:rPr>
          <w:b/>
        </w:rPr>
        <w:t>Understanding and Engaging Stakeholders in Successful Deployment of an AI-Driven Customer Loyalty Platform</w:t>
      </w:r>
    </w:p>
    <w:p>
      <w:pPr>
        <w:jc w:val="center"/>
      </w:pPr>
      <w:r>
        <w:rPr>
          <w:b/>
        </w:rPr>
        <w:t>(ConnectPlus – Marks and Spencer Case Study)</w:t>
      </w:r>
    </w:p>
    <w:p/>
    <w:p>
      <w:pPr>
        <w:jc w:val="center"/>
      </w:pPr>
      <w:r>
        <w:rPr>
          <w:b/>
        </w:rPr>
        <w:t xml:space="preserve">Module: </w:t>
      </w:r>
      <w:r>
        <w:t>LCLM5001 – Understanding and Engaging Stakeholders</w:t>
      </w:r>
    </w:p>
    <w:p>
      <w:pPr>
        <w:jc w:val="center"/>
      </w:pPr>
      <w:r>
        <w:rPr>
          <w:b/>
        </w:rPr>
        <w:t xml:space="preserve">Student Name: </w:t>
      </w:r>
      <w:r>
        <w:t>Ibrahima</w:t>
      </w:r>
    </w:p>
    <w:p>
      <w:pPr>
        <w:jc w:val="center"/>
      </w:pPr>
      <w:r>
        <w:rPr>
          <w:b/>
        </w:rPr>
        <w:t xml:space="preserve">Student ID: </w:t>
      </w:r>
      <w:r/>
    </w:p>
    <w:p>
      <w:pPr>
        <w:jc w:val="center"/>
      </w:pPr>
      <w:r>
        <w:rPr>
          <w:b/>
        </w:rPr>
        <w:t xml:space="preserve">Module Leader: </w:t>
      </w:r>
      <w:r>
        <w:t>Eric Osei / Nadeem Mirza</w:t>
      </w:r>
    </w:p>
    <w:p>
      <w:pPr>
        <w:jc w:val="center"/>
      </w:pPr>
      <w:r>
        <w:rPr>
          <w:b/>
        </w:rPr>
        <w:t xml:space="preserve">Internal Verifier: </w:t>
      </w:r>
      <w:r>
        <w:t>Md Kalam / Samuel Ofori</w:t>
      </w:r>
    </w:p>
    <w:p>
      <w:pPr>
        <w:jc w:val="center"/>
      </w:pPr>
      <w:r>
        <w:rPr>
          <w:b/>
        </w:rPr>
        <w:t xml:space="preserve">Company Case Study: </w:t>
      </w:r>
      <w:r>
        <w:t>Marks and Spencer (M&amp;S) – UK Retail</w:t>
      </w:r>
    </w:p>
    <w:p>
      <w:pPr>
        <w:jc w:val="center"/>
      </w:pPr>
      <w:r>
        <w:rPr>
          <w:b/>
        </w:rPr>
        <w:t xml:space="preserve">Word Count: </w:t>
      </w:r>
      <w:r>
        <w:t>Approximately 4,000 words</w:t>
      </w:r>
    </w:p>
    <w:p>
      <w:pPr>
        <w:jc w:val="center"/>
      </w:pPr>
      <w:r>
        <w:rPr>
          <w:b/>
        </w:rPr>
        <w:t xml:space="preserve">Submission Date: </w:t>
      </w:r>
      <w:r>
        <w:t>18/08/2026</w:t>
      </w:r>
    </w:p>
    <w:p>
      <w:r>
        <w:br w:type="page"/>
      </w:r>
    </w:p>
    <w:p>
      <w:pPr>
        <w:pStyle w:val="Heading1"/>
      </w:pPr>
      <w:r>
        <w:t>Executive Summary</w:t>
      </w:r>
    </w:p>
    <w:p>
      <w:r>
        <w:t>This report examines the proposed deployment of ConnectPlus, an AI-driven customer loyalty platform, within Marks and Spencer (M&amp;S), a major UK retailer operating across clothing, home and food. The project is designed to improve customer engagement, personalisation and retention through responsible use of customer information and artificial intelligence. M&amp;S operates within a complex stakeholder environment that includes employees, customers, managers, suppliers, technology providers, delivery partners, regulators and other commercial partners. Each group has different levels of power, interest, expectations and responsibilities.</w:t>
      </w:r>
    </w:p>
    <w:p>
      <w:r>
        <w:t>Stakeholder mapping is therefore central to the project. The power-interest matrix and the salience model can help M&amp;S determine which stakeholders require close management, regular consultation or periodic communication. A structured engagement approach based on communication, consultation, collaboration and dedication can improve trust and support adoption of the platform. The report also considers a RACI framework, communication planning, stakeholder lifecycle and conflict-management approaches.</w:t>
      </w:r>
    </w:p>
    <w:p>
      <w:r>
        <w:t>The report identifies privacy, algorithmic bias, cybersecurity, employee resistance and supplier concerns as important risks. These risks are especially relevant when AI is used to personalise offers or analyse customer behaviour. Strong governance, transparency, clear accountability and continuous stakeholder feedback are recommended. Sustainable stakeholder engagement can improve customer satisfaction, operational coordination, innovation, brand trust and long-term business performance while ensuring that technological development remains responsible and aligned with M&amp;S's wider organisational objectives.</w:t>
      </w:r>
    </w:p>
    <w:p>
      <w:r>
        <w:br w:type="page"/>
      </w:r>
    </w:p>
    <w:p>
      <w:pPr>
        <w:pStyle w:val="Heading1"/>
      </w:pPr>
      <w:r>
        <w:t>Contents</w:t>
      </w:r>
    </w:p>
    <w:p>
      <w:r>
        <w:rPr>
          <w:b/>
        </w:rPr>
        <w:t xml:space="preserve">1. </w:t>
      </w:r>
      <w:r>
        <w:t>Executive Summary</w:t>
      </w:r>
    </w:p>
    <w:p>
      <w:r>
        <w:rPr>
          <w:b/>
        </w:rPr>
        <w:t xml:space="preserve">2. </w:t>
      </w:r>
      <w:r>
        <w:t>1. Introduction</w:t>
      </w:r>
    </w:p>
    <w:p>
      <w:r>
        <w:rPr>
          <w:b/>
        </w:rPr>
        <w:t xml:space="preserve">3. </w:t>
      </w:r>
      <w:r>
        <w:t>2. SMART Objectives</w:t>
      </w:r>
    </w:p>
    <w:p>
      <w:r>
        <w:rPr>
          <w:b/>
        </w:rPr>
        <w:t xml:space="preserve">4. </w:t>
      </w:r>
      <w:r>
        <w:t>3. Stakeholder Identification &amp; Analysis</w:t>
      </w:r>
    </w:p>
    <w:p>
      <w:r>
        <w:rPr>
          <w:b/>
        </w:rPr>
        <w:t xml:space="preserve">5. </w:t>
      </w:r>
      <w:r>
        <w:t>4. Stakeholder Theory Foundation</w:t>
      </w:r>
    </w:p>
    <w:p>
      <w:r>
        <w:rPr>
          <w:b/>
        </w:rPr>
        <w:t xml:space="preserve">6. </w:t>
      </w:r>
      <w:r>
        <w:t>5. Internal Stakeholders</w:t>
      </w:r>
    </w:p>
    <w:p>
      <w:r>
        <w:rPr>
          <w:b/>
        </w:rPr>
        <w:t xml:space="preserve">7. </w:t>
      </w:r>
      <w:r>
        <w:t>6. External Stakeholders</w:t>
      </w:r>
    </w:p>
    <w:p>
      <w:r>
        <w:rPr>
          <w:b/>
        </w:rPr>
        <w:t xml:space="preserve">8. </w:t>
      </w:r>
      <w:r>
        <w:t>7. Stakeholder Mapping Tools</w:t>
      </w:r>
    </w:p>
    <w:p>
      <w:r>
        <w:rPr>
          <w:b/>
        </w:rPr>
        <w:t xml:space="preserve">9. </w:t>
      </w:r>
      <w:r>
        <w:t>8. Critical Analysis</w:t>
      </w:r>
    </w:p>
    <w:p>
      <w:r>
        <w:rPr>
          <w:b/>
        </w:rPr>
        <w:t xml:space="preserve">10. </w:t>
      </w:r>
      <w:r>
        <w:t>9. Roles, Responsibilities, Benefits &amp; Challenges</w:t>
      </w:r>
    </w:p>
    <w:p>
      <w:r>
        <w:rPr>
          <w:b/>
        </w:rPr>
        <w:t xml:space="preserve">11. </w:t>
      </w:r>
      <w:r>
        <w:t>10. Stakeholder Engagement Strategy and Conflict Management</w:t>
      </w:r>
    </w:p>
    <w:p>
      <w:r>
        <w:rPr>
          <w:b/>
        </w:rPr>
        <w:t xml:space="preserve">12. </w:t>
      </w:r>
      <w:r>
        <w:t>11. Communication Plan</w:t>
      </w:r>
    </w:p>
    <w:p>
      <w:r>
        <w:rPr>
          <w:b/>
        </w:rPr>
        <w:t xml:space="preserve">13. </w:t>
      </w:r>
      <w:r>
        <w:t>12. RACI Matrix</w:t>
      </w:r>
    </w:p>
    <w:p>
      <w:r>
        <w:rPr>
          <w:b/>
        </w:rPr>
        <w:t xml:space="preserve">14. </w:t>
      </w:r>
      <w:r>
        <w:t>13. Stakeholder Engagement Lifecycle</w:t>
      </w:r>
    </w:p>
    <w:p>
      <w:r>
        <w:rPr>
          <w:b/>
        </w:rPr>
        <w:t xml:space="preserve">15. </w:t>
      </w:r>
      <w:r>
        <w:t>14. Conflict Management Strategies</w:t>
      </w:r>
    </w:p>
    <w:p>
      <w:r>
        <w:rPr>
          <w:b/>
        </w:rPr>
        <w:t xml:space="preserve">16. </w:t>
      </w:r>
      <w:r>
        <w:t>15. Cultural and Global Considerations</w:t>
      </w:r>
    </w:p>
    <w:p>
      <w:r>
        <w:rPr>
          <w:b/>
        </w:rPr>
        <w:t xml:space="preserve">17. </w:t>
      </w:r>
      <w:r>
        <w:t>16. Impact of Sustainable Stakeholder Engagement</w:t>
      </w:r>
    </w:p>
    <w:p>
      <w:r>
        <w:rPr>
          <w:b/>
        </w:rPr>
        <w:t xml:space="preserve">18. </w:t>
      </w:r>
      <w:r>
        <w:t>17. Recommendations and Conclusion</w:t>
      </w:r>
    </w:p>
    <w:p>
      <w:r>
        <w:rPr>
          <w:b/>
        </w:rPr>
        <w:t xml:space="preserve">19. </w:t>
      </w:r>
      <w:r>
        <w:t>References</w:t>
      </w:r>
    </w:p>
    <w:p>
      <w:pPr>
        <w:pStyle w:val="Heading1"/>
      </w:pPr>
      <w:r>
        <w:t>1. Introduction</w:t>
      </w:r>
    </w:p>
    <w:p>
      <w:r>
        <w:t>Marks and Spencer (M&amp;S) is a long-established UK retailer with a strong presence in clothing, home and food. The company combines physical stores with digital retail channels and therefore operates in an environment where customer expectations, technology and competition continue to change. Digital transformation creates opportunities to improve customer experience, but it also requires careful coordination between the organisation and the stakeholders affected by new systems.</w:t>
      </w:r>
    </w:p>
    <w:p>
      <w:r>
        <w:t>This report proposes the introduction of ConnectPlus, an AI-driven customer loyalty platform for M&amp;S. The platform would use customer information, purchasing patterns and engagement data to support more relevant recommendations, rewards and communications. The purpose is not simply to increase sales, but to create a more consistent relationship between M&amp;S and its customers while supporting data-informed management decisions.</w:t>
      </w:r>
    </w:p>
    <w:p>
      <w:r>
        <w:t>The project requires stakeholder engagement because successful implementation depends on more than technology. Senior management must approve resources and strategic priorities; IT and data teams must design and secure the system; store and customer-service employees must understand the changes; customers must trust the way their information is used; suppliers and technology partners must coordinate with the platform; and regulators must be satisfied that relevant legal and ethical requirements are addressed.</w:t>
      </w:r>
    </w:p>
    <w:p>
      <w:r>
        <w:t>The report applies stakeholder theory, the salience model and Mendelow's power-interest matrix. It then develops an engagement strategy using communication, consultation, collaboration and dedication. The analysis also considers conflict management, RACI responsibilities, the stakeholder engagement lifecycle and the business, operational, strategic, ethical and governance impacts of sustainable engagement.</w:t>
      </w:r>
    </w:p>
    <w:p>
      <w:pPr>
        <w:pStyle w:val="Heading1"/>
      </w:pPr>
      <w:r>
        <w:t>2. SMART Objectives</w:t>
      </w:r>
    </w:p>
    <w:p>
      <w:r>
        <w:t>The first objective is to improve customer retention by approximately 8% through relevant AI-supported personalisation, rewards and customer communications. The objective is specific because it focuses on retention, measurable through customer retention and repeat-purchase indicators, achievable through a controlled digital pilot, relevant to customer loyalty and time-bound through the initial implementation and evaluation period.</w:t>
      </w:r>
    </w:p>
    <w:p>
      <w:r>
        <w:t>The second objective is to complete stakeholder identification and mapping before the platform is fully deployed. Internal and external stakeholders will be assessed according to their power, interest, legitimacy and urgency. This will support prioritisation and reduce the possibility of important stakeholders being overlooked.</w:t>
      </w:r>
    </w:p>
    <w:p>
      <w:r>
        <w:t>The third objective is to maintain strong data-protection and governance controls. The project should align its information-handling processes with applicable UK data-protection requirements, including UK GDPR principles where relevant. Security, transparency, access controls and responsible AI practices should be reviewed throughout the project.</w:t>
      </w:r>
    </w:p>
    <w:p>
      <w:r>
        <w:t>The fourth objective is to establish a structured stakeholder engagement process within six months. The process should include regular project meetings, consultation sessions, feedback channels, performance dashboards and communication updates. The aim is to improve coordination between business functions and external partners.</w:t>
      </w:r>
    </w:p>
    <w:p>
      <w:r>
        <w:t>The fifth objective is to reduce stakeholder conflict through early communication and formal feedback loops. Concerns about data use, algorithmic recommendations, employee workload, customer experience or commercial impacts should be recorded, assessed and resolved through appropriate negotiation or mediation.</w:t>
      </w:r>
    </w:p>
    <w:p>
      <w:pPr>
        <w:pStyle w:val="Heading1"/>
      </w:pPr>
      <w:r>
        <w:t>3. Stakeholder Identification &amp; Analysis</w:t>
      </w:r>
    </w:p>
    <w:p>
      <w:pPr>
        <w:pStyle w:val="Heading2"/>
      </w:pPr>
      <w:r>
        <w:t>3.1 Stakeholder Theory Foundation</w:t>
      </w:r>
    </w:p>
    <w:p>
      <w:r>
        <w:t>Stakeholder theory argues that organisations should consider the interests of parties that affect or are affected by organisational activity. Freeman, Harrison and Zyglidopoulos (2018) emphasise value creation for stakeholders rather than a narrow focus on financial outcomes. For M&amp;S, this means that the ConnectPlus project should create value for customers and the organisation while also considering employees, suppliers, regulators, technology partners and other groups.</w:t>
      </w:r>
    </w:p>
    <w:p>
      <w:r>
        <w:t>The salience model assesses stakeholders through power, legitimacy and urgency. Power reflects the ability to influence project outcomes; legitimacy reflects the appropriateness of a stakeholder's involvement; and urgency reflects how quickly stakeholder concerns require attention. This approach helps project leaders distinguish between stakeholders who require immediate and intensive management and those who can be monitored with lighter engagement.</w:t>
      </w:r>
    </w:p>
    <w:p>
      <w:r>
        <w:t>Mendelow's power-interest matrix provides another useful method. High-power, high-interest stakeholders should be managed closely. High-power, lower-interest groups should be kept satisfied. Lower-power but highly interested groups should be kept informed, while those with low power and low interest can be monitored. Combining these approaches creates a more balanced basis for stakeholder prioritisation.</w:t>
      </w:r>
    </w:p>
    <w:p>
      <w:pPr>
        <w:pStyle w:val="Heading1"/>
      </w:pPr>
      <w:r>
        <w:t>4. Internal Stakeholders</w:t>
      </w:r>
    </w:p>
    <w:p>
      <w:r>
        <w:t>Senior leadership represents a high-power stakeholder group because executives control strategic direction, resources and investment decisions. Their role is to confirm that ConnectPlus supports M&amp;S's wider customer, digital and commercial priorities. They also need evidence that the project provides value without creating unacceptable operational, financial or reputational risk.</w:t>
      </w:r>
    </w:p>
    <w:p>
      <w:r>
        <w:t>The project manager coordinates activities, milestones, resources and stakeholder expectations. The project manager should maintain a clear governance structure and ensure that decisions, risks and dependencies are visible to the appropriate decision-makers.</w:t>
      </w:r>
    </w:p>
    <w:p>
      <w:r>
        <w:t>IT, software and cybersecurity specialists are responsible for platform architecture, integration, system performance and security. Data scientists and analytics specialists develop models that can identify useful patterns in customer behaviour. Their work must be balanced with privacy, fairness and explainability requirements.</w:t>
      </w:r>
    </w:p>
    <w:p>
      <w:r>
        <w:t>Marketing and customer-relationship teams are important because they translate platform capability into customer-facing loyalty activity. They can design campaigns, rewards and communications while monitoring customer response. Store managers and customer-service employees are also important because they interact directly with customers and may identify practical problems that are not visible in technical testing.</w:t>
      </w:r>
    </w:p>
    <w:p>
      <w:r>
        <w:t>Legal, compliance and information-governance teams should review the use of personal information, privacy notices, consent or other lawful bases where applicable, retention practices and supplier arrangements. Finance and procurement teams also have an interest because the project requires investment, vendor management and value-for-money assessment.</w:t>
      </w:r>
    </w:p>
    <w:p>
      <w:pPr>
        <w:pStyle w:val="Heading1"/>
      </w:pPr>
      <w:r>
        <w:t>5. External Stakeholders</w:t>
      </w:r>
    </w:p>
    <w:p>
      <w:r>
        <w:t>Customers are the central external stakeholder group. Their participation determines whether the platform produces genuine loyalty and engagement. Customers may value relevant offers and easier digital interactions, but they may also be concerned about privacy, excessive personalisation or the accuracy of recommendations. Customer feedback must therefore be part of the design and testing process.</w:t>
      </w:r>
    </w:p>
    <w:p>
      <w:r>
        <w:t>Suppliers and commercial partners can be affected when loyalty activity changes product demand, promotional planning or customer expectations. Technology providers may supply cloud, analytics, security or software capabilities. Delivery and fulfilment partners can also influence the customer experience because loyalty benefits are ultimately connected to reliable service.</w:t>
      </w:r>
    </w:p>
    <w:p>
      <w:r>
        <w:t>Regulators and relevant public authorities have a legitimate interest in ensuring that personal data and automated decision-making are handled responsibly. Their expectations make compliance and governance important from the earliest stages rather than after the technology has been deployed.</w:t>
      </w:r>
    </w:p>
    <w:p>
      <w:r>
        <w:t>Investors and other external stakeholders may be interested in whether digital investment produces sustainable commercial value and protects the reputation of the M&amp;S brand. Their expectations reinforce the need for measurable outcomes, risk controls and transparent governance.</w:t>
      </w:r>
    </w:p>
    <w:p>
      <w:pPr>
        <w:pStyle w:val="Heading1"/>
      </w:pPr>
      <w:r>
        <w:t>6. Stakeholder Mapping Tools</w:t>
      </w:r>
    </w:p>
    <w:p>
      <w:pPr>
        <w:pStyle w:val="Heading2"/>
      </w:pPr>
      <w:r>
        <w:t>6.1 Power–Interest Matrix</w:t>
      </w:r>
    </w:p>
    <w:p>
      <w:pPr>
        <w:pStyle w:val="ListBullet"/>
      </w:pPr>
      <w:r>
        <w:t>High power / high interest: senior leadership, project leadership, legal/compliance and major technology decision-makers. These stakeholders require close management.</w:t>
      </w:r>
    </w:p>
    <w:p>
      <w:pPr>
        <w:pStyle w:val="ListBullet"/>
      </w:pPr>
      <w:r>
        <w:t>High power / lower interest: major suppliers, selected commercial partners and some senior corporate functions. They should be kept satisfied and updated on material changes.</w:t>
      </w:r>
    </w:p>
    <w:p>
      <w:pPr>
        <w:pStyle w:val="ListBullet"/>
      </w:pPr>
      <w:r>
        <w:t>Lower power / high interest: customers, store colleagues and customer-service teams. They should receive accessible information and meaningful opportunities to provide feedback.</w:t>
      </w:r>
    </w:p>
    <w:p>
      <w:pPr>
        <w:pStyle w:val="ListBullet"/>
      </w:pPr>
      <w:r>
        <w:t>Lower power / lower interest: peripheral vendors and stakeholders with limited influence over the project. They can be monitored and updated when relevant.</w:t>
      </w:r>
    </w:p>
    <w:p>
      <w:pPr>
        <w:pStyle w:val="Heading2"/>
      </w:pPr>
      <w:r>
        <w:t>6.2 Salience Model</w:t>
      </w:r>
    </w:p>
    <w:p>
      <w:r>
        <w:t>The salience model adds greater depth by considering power, legitimacy and urgency. Senior leadership and compliance stakeholders may possess strong levels of all three attributes during critical project decisions. Customers possess strong legitimacy and may have high urgency where privacy or service issues arise. Employees can become highly salient during implementation because their cooperation is essential for operational adoption. Smaller suppliers may have legitimate interests but lower power and urgency.</w:t>
      </w:r>
    </w:p>
    <w:p>
      <w:pPr>
        <w:pStyle w:val="Heading1"/>
      </w:pPr>
      <w:r>
        <w:t>7. Critical Analysis</w:t>
      </w:r>
    </w:p>
    <w:p>
      <w:r>
        <w:t>Stakeholder power is not evenly distributed. Senior leaders control investment and strategic approval, while customers control adoption through their willingness to engage. Employees have practical knowledge of operational processes, but may have less formal decision-making authority. This imbalance means that M&amp;S should avoid treating stakeholder engagement as a one-way communication exercise.</w:t>
      </w:r>
    </w:p>
    <w:p>
      <w:r>
        <w:t>AI creates additional complexity because decisions can depend on data quality, model design and algorithmic assumptions. A technically successful platform could still fail if customers do not trust it or if employees do not understand its purpose. Sustainable governance should therefore combine technical controls with stakeholder participation.</w:t>
      </w:r>
    </w:p>
    <w:p>
      <w:pPr>
        <w:pStyle w:val="Heading1"/>
      </w:pPr>
      <w:r>
        <w:t>8. Roles, Responsibilities, Benefits &amp; Challenges</w:t>
      </w:r>
    </w:p>
    <w:p>
      <w:pPr>
        <w:pStyle w:val="Heading2"/>
      </w:pPr>
      <w:r>
        <w:t>8.1 Roles</w:t>
      </w:r>
    </w:p>
    <w:p>
      <w:r>
        <w:t>IT teams are responsible for system development, integration, testing and security. Data specialists design and evaluate personalisation models. Marketing teams translate customer insight into loyalty offers and communications. Legal and compliance teams provide guidance on privacy and responsible data use. Project managers coordinate delivery, while store and customer-service teams support implementation and collect practical feedback. Customers provide experience-based feedback on usability, relevance and trust.</w:t>
      </w:r>
    </w:p>
    <w:p>
      <w:pPr>
        <w:pStyle w:val="Heading2"/>
      </w:pPr>
      <w:r>
        <w:t>8.2 Benefits</w:t>
      </w:r>
    </w:p>
    <w:p>
      <w:r>
        <w:t>A successful platform can improve customer experience by providing more relevant rewards and communications. Better retention can support repeat purchasing and reduce the cost of repeatedly acquiring customers. Customer analytics can also support management decision-making by showing patterns in engagement and response.</w:t>
      </w:r>
    </w:p>
    <w:p>
      <w:r>
        <w:t>The project may create competitive differentiation by combining M&amp;S's established brand and customer relationships with more advanced digital personalisation. It can also support innovation by creating feedback loops between customers, employees and management.</w:t>
      </w:r>
    </w:p>
    <w:p>
      <w:pPr>
        <w:pStyle w:val="Heading2"/>
      </w:pPr>
      <w:r>
        <w:t>8.3 Challenges</w:t>
      </w:r>
    </w:p>
    <w:p>
      <w:r>
        <w:t>Privacy is a major challenge. Customers may be uncomfortable if they do not understand how their information is collected or used. Algorithmic bias is another concern because poorly designed models may produce unfair or inaccurate recommendations. Cybersecurity and system dependency can create operational risks.</w:t>
      </w:r>
    </w:p>
    <w:p>
      <w:r>
        <w:t>Employees may resist changes if they believe AI will increase workload or reduce their role. Suppliers may be concerned if changes to promotions or recommendations affect demand. Different customer groups may also respond differently to personalisation, meaning that engagement must be tested rather than assumed.</w:t>
      </w:r>
    </w:p>
    <w:p>
      <w:pPr>
        <w:pStyle w:val="Heading1"/>
      </w:pPr>
      <w:r>
        <w:t>9. Stakeholder Engagement Strategy and Conflict Management</w:t>
      </w:r>
    </w:p>
    <w:p>
      <w:pPr>
        <w:pStyle w:val="Heading2"/>
      </w:pPr>
      <w:r>
        <w:t>9.1 Theoretical Foundation</w:t>
      </w:r>
    </w:p>
    <w:p>
      <w:r>
        <w:t>Stakeholder engagement should be based on long-term value creation. Freeman, Harrison and Zyglidopoulos (2018) argue for considering stakeholder interests within organisational value creation. Relationship marketing also emphasises the value of sustained relationships rather than purely transactional interactions (Wongsansukcharoen, 2022). These ideas are relevant to M&amp;S because customer loyalty depends on trust, consistent service and meaningful engagement.</w:t>
      </w:r>
    </w:p>
    <w:p>
      <w:r>
        <w:t>A relational stakeholder perspective also highlights trust, interaction and cooperation. For ConnectPlus, this means that M&amp;S should not only communicate what the platform does, but should provide mechanisms through which stakeholders can question, influence and improve the project.</w:t>
      </w:r>
    </w:p>
    <w:p>
      <w:pPr>
        <w:pStyle w:val="Heading2"/>
      </w:pPr>
      <w:r>
        <w:t>9.2 Engagement Framework – 4C Model</w:t>
      </w:r>
    </w:p>
    <w:p>
      <w:r>
        <w:t>Communication involves sharing clear, accurate and timely information. M&amp;S should explain the purpose of ConnectPlus, the benefits expected and the controls used to protect customer information.</w:t>
      </w:r>
    </w:p>
    <w:p>
      <w:r>
        <w:t>Consultation gives stakeholders an opportunity to express concerns and provide feedback. Customer research, employee workshops and supplier discussions can identify issues before they become major implementation problems.</w:t>
      </w:r>
    </w:p>
    <w:p>
      <w:r>
        <w:t>Collaboration requires different groups to work together. Technical teams should collaborate with marketing, legal, operations and customer-facing colleagues rather than developing the system in isolation.</w:t>
      </w:r>
    </w:p>
    <w:p>
      <w:r>
        <w:t>Dedication reflects long-term commitment. Stakeholder engagement should continue after launch through performance reviews, customer feedback, employee learning and governance checks. This reduces the risk that engagement disappears once the technology goes live.</w:t>
      </w:r>
    </w:p>
    <w:p>
      <w:pPr>
        <w:pStyle w:val="Heading1"/>
      </w:pPr>
      <w:r>
        <w:t>10. Communication Plan</w:t>
      </w:r>
    </w:p>
    <w:p>
      <w:r>
        <w:t>Internal communication should include regular project meetings for leadership and project teams, short operational briefings for store and customer-service colleagues, and dashboards showing project progress, adoption, risks and performance. Communication should use accessible language so that non-technical employees understand how ConnectPlus affects their work.</w:t>
      </w:r>
    </w:p>
    <w:p>
      <w:r>
        <w:t>External communication should be tailored to customers, suppliers, technology partners and regulators. Customers should receive clear information about relevant features and the handling of their data. Regulators should receive appropriate compliance information. Partners should be informed of technical, operational or commercial dependencies.</w:t>
      </w:r>
    </w:p>
    <w:p>
      <w:r>
        <w:t>Digital dashboards can support timely decision-making by presenting engagement, performance and risk information. However, dashboards should complement rather than replace human judgement and direct stakeholder dialogue.</w:t>
      </w:r>
    </w:p>
    <w:p>
      <w:pPr>
        <w:pStyle w:val="Heading1"/>
      </w:pPr>
      <w:r>
        <w:t>11. RACI Matrix</w:t>
      </w:r>
    </w:p>
    <w:tbl>
      <w:tblPr>
        <w:tblStyle w:val="TableGrid"/>
        <w:tblW w:type="auto" w:w="0"/>
        <w:jc w:val="center"/>
        <w:tblLook w:firstColumn="1" w:firstRow="1" w:lastColumn="0" w:lastRow="0" w:noHBand="0" w:noVBand="1" w:val="04A0"/>
      </w:tblPr>
      <w:tblGrid>
        <w:gridCol w:w="1958"/>
        <w:gridCol w:w="1958"/>
        <w:gridCol w:w="1958"/>
        <w:gridCol w:w="1958"/>
        <w:gridCol w:w="1958"/>
      </w:tblGrid>
      <w:tr>
        <w:tc>
          <w:tcPr>
            <w:tcW w:type="dxa" w:w="1958"/>
          </w:tcPr>
          <w:p>
            <w:r>
              <w:t>Activity</w:t>
            </w:r>
          </w:p>
        </w:tc>
        <w:tc>
          <w:tcPr>
            <w:tcW w:type="dxa" w:w="1958"/>
          </w:tcPr>
          <w:p>
            <w:r>
              <w:t>IT/Data</w:t>
            </w:r>
          </w:p>
        </w:tc>
        <w:tc>
          <w:tcPr>
            <w:tcW w:type="dxa" w:w="1958"/>
          </w:tcPr>
          <w:p>
            <w:r>
              <w:t>Project Manager</w:t>
            </w:r>
          </w:p>
        </w:tc>
        <w:tc>
          <w:tcPr>
            <w:tcW w:type="dxa" w:w="1958"/>
          </w:tcPr>
          <w:p>
            <w:r>
              <w:t>Legal/Compliance</w:t>
            </w:r>
          </w:p>
        </w:tc>
        <w:tc>
          <w:tcPr>
            <w:tcW w:type="dxa" w:w="1958"/>
          </w:tcPr>
          <w:p>
            <w:r>
              <w:t>Customers &amp; Employees</w:t>
            </w:r>
          </w:p>
        </w:tc>
      </w:tr>
      <w:tr>
        <w:tc>
          <w:tcPr>
            <w:tcW w:type="dxa" w:w="1958"/>
            <w:vAlign w:val="center"/>
          </w:tcPr>
          <w:p>
            <w:r>
              <w:t>System development and AI integration</w:t>
            </w:r>
          </w:p>
        </w:tc>
        <w:tc>
          <w:tcPr>
            <w:tcW w:type="dxa" w:w="1958"/>
            <w:vAlign w:val="center"/>
          </w:tcPr>
          <w:p>
            <w:r>
              <w:t>R</w:t>
            </w:r>
          </w:p>
        </w:tc>
        <w:tc>
          <w:tcPr>
            <w:tcW w:type="dxa" w:w="1958"/>
            <w:vAlign w:val="center"/>
          </w:tcPr>
          <w:p>
            <w:r>
              <w:t>A</w:t>
            </w:r>
          </w:p>
        </w:tc>
        <w:tc>
          <w:tcPr>
            <w:tcW w:type="dxa" w:w="1958"/>
            <w:vAlign w:val="center"/>
          </w:tcPr>
          <w:p>
            <w:r>
              <w:t>C</w:t>
            </w:r>
          </w:p>
        </w:tc>
        <w:tc>
          <w:tcPr>
            <w:tcW w:type="dxa" w:w="1958"/>
            <w:vAlign w:val="center"/>
          </w:tcPr>
          <w:p>
            <w:r>
              <w:t>I</w:t>
            </w:r>
          </w:p>
        </w:tc>
      </w:tr>
      <w:tr>
        <w:tc>
          <w:tcPr>
            <w:tcW w:type="dxa" w:w="1958"/>
            <w:vAlign w:val="center"/>
          </w:tcPr>
          <w:p>
            <w:r>
              <w:t>Data protection and governance</w:t>
            </w:r>
          </w:p>
        </w:tc>
        <w:tc>
          <w:tcPr>
            <w:tcW w:type="dxa" w:w="1958"/>
            <w:vAlign w:val="center"/>
          </w:tcPr>
          <w:p>
            <w:r>
              <w:t>C</w:t>
            </w:r>
          </w:p>
        </w:tc>
        <w:tc>
          <w:tcPr>
            <w:tcW w:type="dxa" w:w="1958"/>
            <w:vAlign w:val="center"/>
          </w:tcPr>
          <w:p>
            <w:r>
              <w:t>A</w:t>
            </w:r>
          </w:p>
        </w:tc>
        <w:tc>
          <w:tcPr>
            <w:tcW w:type="dxa" w:w="1958"/>
            <w:vAlign w:val="center"/>
          </w:tcPr>
          <w:p>
            <w:r>
              <w:t>R</w:t>
            </w:r>
          </w:p>
        </w:tc>
        <w:tc>
          <w:tcPr>
            <w:tcW w:type="dxa" w:w="1958"/>
            <w:vAlign w:val="center"/>
          </w:tcPr>
          <w:p>
            <w:r>
              <w:t>I</w:t>
            </w:r>
          </w:p>
        </w:tc>
      </w:tr>
      <w:tr>
        <w:tc>
          <w:tcPr>
            <w:tcW w:type="dxa" w:w="1958"/>
            <w:vAlign w:val="center"/>
          </w:tcPr>
          <w:p>
            <w:r>
              <w:t>Customer research and feedback</w:t>
            </w:r>
          </w:p>
        </w:tc>
        <w:tc>
          <w:tcPr>
            <w:tcW w:type="dxa" w:w="1958"/>
            <w:vAlign w:val="center"/>
          </w:tcPr>
          <w:p>
            <w:r>
              <w:t>C</w:t>
            </w:r>
          </w:p>
        </w:tc>
        <w:tc>
          <w:tcPr>
            <w:tcW w:type="dxa" w:w="1958"/>
            <w:vAlign w:val="center"/>
          </w:tcPr>
          <w:p>
            <w:r>
              <w:t>A</w:t>
            </w:r>
          </w:p>
        </w:tc>
        <w:tc>
          <w:tcPr>
            <w:tcW w:type="dxa" w:w="1958"/>
            <w:vAlign w:val="center"/>
          </w:tcPr>
          <w:p>
            <w:r>
              <w:t>C</w:t>
            </w:r>
          </w:p>
        </w:tc>
        <w:tc>
          <w:tcPr>
            <w:tcW w:type="dxa" w:w="1958"/>
            <w:vAlign w:val="center"/>
          </w:tcPr>
          <w:p>
            <w:r>
              <w:t>R</w:t>
            </w:r>
          </w:p>
        </w:tc>
      </w:tr>
      <w:tr>
        <w:tc>
          <w:tcPr>
            <w:tcW w:type="dxa" w:w="1958"/>
            <w:vAlign w:val="center"/>
          </w:tcPr>
          <w:p>
            <w:r>
              <w:t>Project progress reporting</w:t>
            </w:r>
          </w:p>
        </w:tc>
        <w:tc>
          <w:tcPr>
            <w:tcW w:type="dxa" w:w="1958"/>
            <w:vAlign w:val="center"/>
          </w:tcPr>
          <w:p>
            <w:r>
              <w:t>C</w:t>
            </w:r>
          </w:p>
        </w:tc>
        <w:tc>
          <w:tcPr>
            <w:tcW w:type="dxa" w:w="1958"/>
            <w:vAlign w:val="center"/>
          </w:tcPr>
          <w:p>
            <w:r>
              <w:t>R/A</w:t>
            </w:r>
          </w:p>
        </w:tc>
        <w:tc>
          <w:tcPr>
            <w:tcW w:type="dxa" w:w="1958"/>
            <w:vAlign w:val="center"/>
          </w:tcPr>
          <w:p>
            <w:r>
              <w:t>C</w:t>
            </w:r>
          </w:p>
        </w:tc>
        <w:tc>
          <w:tcPr>
            <w:tcW w:type="dxa" w:w="1958"/>
            <w:vAlign w:val="center"/>
          </w:tcPr>
          <w:p>
            <w:r>
              <w:t>I</w:t>
            </w:r>
          </w:p>
        </w:tc>
      </w:tr>
      <w:tr>
        <w:tc>
          <w:tcPr>
            <w:tcW w:type="dxa" w:w="1958"/>
            <w:vAlign w:val="center"/>
          </w:tcPr>
          <w:p>
            <w:r>
              <w:t>Product and loyalty communications</w:t>
            </w:r>
          </w:p>
        </w:tc>
        <w:tc>
          <w:tcPr>
            <w:tcW w:type="dxa" w:w="1958"/>
            <w:vAlign w:val="center"/>
          </w:tcPr>
          <w:p>
            <w:r>
              <w:t>C</w:t>
            </w:r>
          </w:p>
        </w:tc>
        <w:tc>
          <w:tcPr>
            <w:tcW w:type="dxa" w:w="1958"/>
            <w:vAlign w:val="center"/>
          </w:tcPr>
          <w:p>
            <w:r>
              <w:t>A</w:t>
            </w:r>
          </w:p>
        </w:tc>
        <w:tc>
          <w:tcPr>
            <w:tcW w:type="dxa" w:w="1958"/>
            <w:vAlign w:val="center"/>
          </w:tcPr>
          <w:p>
            <w:r>
              <w:t>C</w:t>
            </w:r>
          </w:p>
        </w:tc>
        <w:tc>
          <w:tcPr>
            <w:tcW w:type="dxa" w:w="1958"/>
            <w:vAlign w:val="center"/>
          </w:tcPr>
          <w:p>
            <w:r>
              <w:t>C</w:t>
            </w:r>
          </w:p>
        </w:tc>
      </w:tr>
    </w:tbl>
    <w:p>
      <w:r>
        <w:t>The RACI structure clarifies who is Responsible, Accountable, Consulted and Informed. It reduces ambiguity and supports faster decisions. The project manager remains accountable for coordination, while specialist teams retain responsibility for their professional areas.</w:t>
      </w:r>
    </w:p>
    <w:p>
      <w:pPr>
        <w:pStyle w:val="Heading1"/>
      </w:pPr>
      <w:r>
        <w:t>12. Stakeholder Engagement Lifecycle</w:t>
      </w:r>
    </w:p>
    <w:p>
      <w:r>
        <w:t>Identification is the first stage and ensures that all relevant stakeholder groups are recognised. Mapping then categorises them according to power, interest and salience. Prioritisation directs resources toward stakeholders with the greatest potential impact on project success.</w:t>
      </w:r>
    </w:p>
    <w:p>
      <w:r>
        <w:t>Engagement follows through consultation, collaboration and communication. Follow-up activities monitor stakeholder responses and identify emerging concerns. A feedback loop then allows M&amp;S to change engagement methods, training or platform features when evidence shows that improvements are required.</w:t>
      </w:r>
    </w:p>
    <w:p>
      <w:pPr>
        <w:pStyle w:val="Heading1"/>
      </w:pPr>
      <w:r>
        <w:t>13. Conflict Management Strategies</w:t>
      </w:r>
    </w:p>
    <w:p>
      <w:r>
        <w:t>Conflicts should be addressed early rather than allowed to become project blockers. Negotiation can be used where stakeholders have competing interests but a mutually beneficial solution is possible. For example, customer personalisation goals may need to be balanced against privacy concerns.</w:t>
      </w:r>
    </w:p>
    <w:p>
      <w:r>
        <w:t>Mediation can help where departments disagree about implementation priorities. The project manager or an independent facilitator can clarify the evidence, identify shared objectives and document an agreed course of action. The salience model can also support prioritisation when multiple stakeholder demands compete for limited resources.</w:t>
      </w:r>
    </w:p>
    <w:p>
      <w:r>
        <w:t>Ethical concerns should not be treated as ordinary operational disagreements. Where a stakeholder raises a serious concern about privacy, discrimination or inappropriate data use, the issue should receive formal governance review before deployment continues.</w:t>
      </w:r>
    </w:p>
    <w:p>
      <w:pPr>
        <w:pStyle w:val="Heading1"/>
      </w:pPr>
      <w:r>
        <w:t>14. Cultural and Global Considerations</w:t>
      </w:r>
    </w:p>
    <w:p>
      <w:r>
        <w:t>M&amp;S is strongly associated with the UK market but also operates in international contexts and engages with global suppliers and technology providers. Customer expectations can vary between markets and demographic groups. Communication should therefore be adapted to language, culture and local expectations.</w:t>
      </w:r>
    </w:p>
    <w:p>
      <w:r>
        <w:t>Data-protection requirements also differ across jurisdictions. A common governance framework should be combined with local legal review where the platform operates across borders. This reduces the risk of assuming that one compliance approach is automatically appropriate everywhere.</w:t>
      </w:r>
    </w:p>
    <w:p>
      <w:pPr>
        <w:pStyle w:val="Heading1"/>
      </w:pPr>
      <w:r>
        <w:t>15. Critical Evaluation of the Engagement Strategy</w:t>
      </w:r>
    </w:p>
    <w:p>
      <w:r>
        <w:t>The proposed strategy can improve transparency, trust and coordination, but it also creates costs. Excessive consultation can delay decisions, while involving too many stakeholders in every decision can create confusion. M&amp;S should therefore match the intensity of engagement to stakeholder power, interest, legitimacy and urgency.</w:t>
      </w:r>
    </w:p>
    <w:p>
      <w:r>
        <w:t>Another risk is over-centralisation. If strategic decisions are controlled too tightly at corporate level, local teams may have insufficient flexibility to respond to customer needs. A balanced governance structure should establish common standards while allowing appropriate operational input.</w:t>
      </w:r>
    </w:p>
    <w:p>
      <w:pPr>
        <w:pStyle w:val="Heading1"/>
      </w:pPr>
      <w:r>
        <w:t>16. Impact of Sustainable Stakeholder Engagement</w:t>
      </w:r>
    </w:p>
    <w:p>
      <w:pPr>
        <w:pStyle w:val="Heading2"/>
      </w:pPr>
      <w:r>
        <w:t>16.1 Business Performance Impact</w:t>
      </w:r>
    </w:p>
    <w:p>
      <w:r>
        <w:t>Sustainable engagement can improve business performance by strengthening customer satisfaction and retention. Relevant recommendations and rewards may encourage repeat purchasing, while customer feedback can improve the quality of the loyalty proposition. Better relationships can also support brand trust and reduce avoidable communication failures.</w:t>
      </w:r>
    </w:p>
    <w:p>
      <w:pPr>
        <w:pStyle w:val="Heading2"/>
      </w:pPr>
      <w:r>
        <w:t>16.2 Strategic Impact</w:t>
      </w:r>
    </w:p>
    <w:p>
      <w:r>
        <w:t>Effective engagement can contribute to competitive advantage because it combines digital innovation with knowledge of customer needs. Continuous feedback can identify new opportunities for services, products and loyalty features. Strong relationships with suppliers and technology partners can also support future digital development.</w:t>
      </w:r>
    </w:p>
    <w:p>
      <w:pPr>
        <w:pStyle w:val="Heading2"/>
      </w:pPr>
      <w:r>
        <w:t>16.3 Operational Impact</w:t>
      </w:r>
    </w:p>
    <w:p>
      <w:r>
        <w:t>Structured communication reduces misunderstandings between departments and external partners. Clear responsibilities can reduce duplicated work, while faster access to reliable information can support more timely management decisions. Training and employee participation are especially important because technology only creates operational value when people can use it effectively.</w:t>
      </w:r>
    </w:p>
    <w:p>
      <w:pPr>
        <w:pStyle w:val="Heading2"/>
      </w:pPr>
      <w:r>
        <w:t>16.4 Ethical and Governance Impact</w:t>
      </w:r>
    </w:p>
    <w:p>
      <w:r>
        <w:t>Transparent engagement can strengthen trust in AI and data practices. Customers should understand the purpose of personalisation and have appropriate information about how their data is handled. Governance should include monitoring, documentation, risk assessment and periodic review of model performance.</w:t>
      </w:r>
    </w:p>
    <w:p>
      <w:pPr>
        <w:pStyle w:val="Heading2"/>
      </w:pPr>
      <w:r>
        <w:t>16.5 Critical Evaluation</w:t>
      </w:r>
    </w:p>
    <w:p>
      <w:r>
        <w:t>The benefits must be balanced against the risks of excessive reliance on AI, poor-quality data, cybersecurity incidents and algorithmic bias. If customers believe recommendations are unfair or intrusive, trust can decline. Consequently, human oversight and stakeholder feedback remain necessary even where the platform is technically advanced.</w:t>
      </w:r>
    </w:p>
    <w:p>
      <w:pPr>
        <w:pStyle w:val="Heading1"/>
      </w:pPr>
      <w:r>
        <w:t>17. Recommendations and Conclusion</w:t>
      </w:r>
    </w:p>
    <w:p>
      <w:pPr>
        <w:pStyle w:val="Heading2"/>
      </w:pPr>
      <w:r>
        <w:t>Recommendations</w:t>
      </w:r>
    </w:p>
    <w:p>
      <w:pPr>
        <w:pStyle w:val="ListBullet"/>
      </w:pPr>
      <w:r>
        <w:t>Create a formal stakeholder governance structure with clear decision rights and escalation routes.</w:t>
      </w:r>
    </w:p>
    <w:p>
      <w:pPr>
        <w:pStyle w:val="ListBullet"/>
      </w:pPr>
      <w:r>
        <w:t>Strengthen transparency around AI personalisation, data use and customer-facing loyalty features.</w:t>
      </w:r>
    </w:p>
    <w:p>
      <w:pPr>
        <w:pStyle w:val="ListBullet"/>
      </w:pPr>
      <w:r>
        <w:t>Introduce continuous feedback loops involving customers, store colleagues, customer-service teams and relevant partners.</w:t>
      </w:r>
    </w:p>
    <w:p>
      <w:pPr>
        <w:pStyle w:val="ListBullet"/>
      </w:pPr>
      <w:r>
        <w:t>Establish a structured UK and international compliance plan covering data protection, privacy and responsible AI.</w:t>
      </w:r>
    </w:p>
    <w:p>
      <w:pPr>
        <w:pStyle w:val="ListBullet"/>
      </w:pPr>
      <w:r>
        <w:t>Use pilot testing before full deployment so that customer and employee responses can be evaluated.</w:t>
      </w:r>
    </w:p>
    <w:p>
      <w:pPr>
        <w:pStyle w:val="ListBullet"/>
      </w:pPr>
      <w:r>
        <w:t>Provide training for employees so they understand the purpose of ConnectPlus, their responsibilities and how to support customers.</w:t>
      </w:r>
    </w:p>
    <w:p>
      <w:pPr>
        <w:pStyle w:val="ListBullet"/>
      </w:pPr>
      <w:r>
        <w:t>Monitor algorithmic performance for accuracy, fairness and unintended outcomes.</w:t>
      </w:r>
    </w:p>
    <w:p>
      <w:pPr>
        <w:pStyle w:val="ListBullet"/>
      </w:pPr>
      <w:r>
        <w:t>Maintain contingency planning for technology failure and ensure critical customer-service processes can continue if the platform is unavailable.</w:t>
      </w:r>
    </w:p>
    <w:p>
      <w:r>
        <w:t>In conclusion, stakeholder engagement is a critical success factor for the proposed ConnectPlus platform at Marks and Spencer. The project has the potential to strengthen customer relationships, support data-informed decisions and improve long-term competitiveness. However, technology alone cannot guarantee success. The platform must be supported by clear governance, employee involvement, customer trust, responsible data practices and effective communication.</w:t>
      </w:r>
    </w:p>
    <w:p>
      <w:r>
        <w:t>Applying stakeholder theory, the power-interest matrix, the salience model, the 4C engagement framework and RACI responsibilities provides a structured approach to managing the project. Sustainable engagement will allow M&amp;S to balance innovation with ethics and operational practicality. If stakeholder concerns are identified early and addressed transparently, ConnectPlus can become a responsible digital initiative that supports both customer value and organisational performance.</w:t>
      </w:r>
    </w:p>
    <w:p>
      <w:pPr>
        <w:pStyle w:val="Heading1"/>
      </w:pPr>
      <w:r>
        <w:t>References</w:t>
      </w:r>
    </w:p>
    <w:p>
      <w:pPr>
        <w:spacing w:after="100"/>
        <w:ind w:left="360" w:hanging="360"/>
      </w:pPr>
      <w:r>
        <w:t>Ali, F. and Haapasalo, H. (2023). Development Levels of Stakeholder Relationships in Collaborative projects: Challenges and Preconditions. International Journal of Managing Projects in Business, 16(8), pp.58–76. doi:10.1108/ijmpb-03-2022-0066.</w:t>
      </w:r>
    </w:p>
    <w:p>
      <w:pPr>
        <w:spacing w:after="100"/>
        <w:ind w:left="360" w:hanging="360"/>
      </w:pPr>
      <w:r>
        <w:t>Almeida, D., Shmarko, K. and Lomas, E. (2022). The ethics of facial recognition technologies, surveillance, and accountability in an age of artificial intelligence: a comparative analysis of US, EU, and UK regulatory frameworks. AI and Ethics, 2(3), pp.377–387. doi:10.1007/s43681-021-00077-w.</w:t>
      </w:r>
    </w:p>
    <w:p>
      <w:pPr>
        <w:spacing w:after="100"/>
        <w:ind w:left="360" w:hanging="360"/>
      </w:pPr>
      <w:r>
        <w:t>Brundage, M. et al. (2018). The Malicious Use of Artificial Intelligence: Forecasting, Prevention, and Mitigation. arXiv. Available at: https://arxiv.org/abs/1802.07228.</w:t>
      </w:r>
    </w:p>
    <w:p>
      <w:pPr>
        <w:spacing w:after="100"/>
        <w:ind w:left="360" w:hanging="360"/>
      </w:pPr>
      <w:r>
        <w:t>Cath, C. (2018). Governing artificial intelligence: Ethical, legal and technical opportunities and challenges. Philosophical Transactions of the Royal Society A, 376(2133). doi:10.1098/rsta.2018.0080.</w:t>
      </w:r>
    </w:p>
    <w:p>
      <w:pPr>
        <w:spacing w:after="100"/>
        <w:ind w:left="360" w:hanging="360"/>
      </w:pPr>
      <w:r>
        <w:t>Denley, A., Foulsham, M. and Hitchen, B. (2019). GDPR – How to Achieve and Maintain Compliance. Routledge. doi:10.4324/9780429449970.</w:t>
      </w:r>
    </w:p>
    <w:p>
      <w:pPr>
        <w:spacing w:after="100"/>
        <w:ind w:left="360" w:hanging="360"/>
      </w:pPr>
      <w:r>
        <w:t>Ding, L., Antonucci, G. and Venditti, M. (2024). Unveiling user responses to AI-powered personalised recommendations: a qualitative study of consumer engagement dynamics on Douyin. Qualitative Market Research: An International Journal, 28(2).</w:t>
      </w:r>
    </w:p>
    <w:p>
      <w:pPr>
        <w:spacing w:after="100"/>
        <w:ind w:left="360" w:hanging="360"/>
      </w:pPr>
      <w:r>
        <w:t>Freeman, R.E., Harrison, J.S. and Zyglidopoulos, S. (2018). Stakeholder Theory: Concepts and Strategies. Cambridge University Press. doi:10.1017/9781108539500.</w:t>
      </w:r>
    </w:p>
    <w:p>
      <w:pPr>
        <w:spacing w:after="100"/>
        <w:ind w:left="360" w:hanging="360"/>
      </w:pPr>
      <w:r>
        <w:t>Gillespie, K. and Swan, K.S. (2021). Global Marketing. Routledge. doi:10.4324/9781003141709.</w:t>
      </w:r>
    </w:p>
    <w:p>
      <w:pPr>
        <w:spacing w:after="100"/>
        <w:ind w:left="360" w:hanging="360"/>
      </w:pPr>
      <w:r>
        <w:t>Johnson, R.M. and Babu, R.I.I. (2020). Time and cost overruns in the UAE construction industry: a critical analysis. International Journal of Construction Management, 20(5), pp.1–10.</w:t>
      </w:r>
    </w:p>
    <w:p>
      <w:pPr>
        <w:spacing w:after="100"/>
        <w:ind w:left="360" w:hanging="360"/>
      </w:pPr>
      <w:r>
        <w:t>Jones, T.M., Harrison, J.S. and Felps, W. (2018). How Applying Instrumental Stakeholder Theory Can Provide Sustainable Competitive Advantage. Academy of Management Review, 43(3), pp.371–391. doi:10.5465/amr.2016.0111.</w:t>
      </w:r>
    </w:p>
    <w:p>
      <w:pPr>
        <w:spacing w:after="100"/>
        <w:ind w:left="360" w:hanging="360"/>
      </w:pPr>
      <w:r>
        <w:t>Kane, G.C., Palmer, D. and Phillips, A.N. (2019). Accelerating Digital Innovation Inside and Out. MIT Sloan-related digital innovation research.</w:t>
      </w:r>
    </w:p>
    <w:p>
      <w:pPr>
        <w:spacing w:after="100"/>
        <w:ind w:left="360" w:hanging="360"/>
      </w:pPr>
      <w:r>
        <w:t>Kim, J. and Yum, K. (2024). Enhancing Continuous Usage Intention in E-Commerce Marketplace Platforms: the Effects of Service Quality, Customer Satisfaction, and Trust. Applied Sciences, 14(17), p.7617. doi:10.3390/app14177617.</w:t>
      </w:r>
    </w:p>
    <w:p>
      <w:pPr>
        <w:spacing w:after="100"/>
        <w:ind w:left="360" w:hanging="360"/>
      </w:pPr>
      <w:r>
        <w:t>Knight, E., Daymond, J. and Paroutis, S. (2020). Design-Led Strategy: How To Bring Design Thinking Into The Art of Strategic Management. California Management Review, 62(2), pp.30–52. doi:10.1177/0008125619897594.</w:t>
      </w:r>
    </w:p>
    <w:p>
      <w:pPr>
        <w:spacing w:after="100"/>
        <w:ind w:left="360" w:hanging="360"/>
      </w:pPr>
      <w:r>
        <w:t>Lee, C.S. and Tajudeen, F.P. (2020). Usage and Impact of Artificial Intelligence on Accounting: Evidence from Malaysian Organisations. Asian Journal of Business and Accounting, 13(1), pp.213–240.</w:t>
      </w:r>
    </w:p>
    <w:p>
      <w:pPr>
        <w:spacing w:after="100"/>
        <w:ind w:left="360" w:hanging="360"/>
      </w:pPr>
      <w:r>
        <w:t>Liu, B. et al. (2023). Data-driven quantitative analysis of an integrated open digital ecosystems platform for user-centric energy retrofits. Technology in Society, 75, p.102347.</w:t>
      </w:r>
    </w:p>
    <w:p>
      <w:pPr>
        <w:spacing w:after="100"/>
        <w:ind w:left="360" w:hanging="360"/>
      </w:pPr>
      <w:r>
        <w:t>Serna, L.R., Nakandala, D. and Bowyer, D. (2022). Stakeholder identification and prioritization: The attribute of dependency. Journal of Business Research, 148, pp.444–455. doi:10.1016/j.jbusres.2022.04.062.</w:t>
      </w:r>
    </w:p>
    <w:p>
      <w:pPr>
        <w:spacing w:after="100"/>
        <w:ind w:left="360" w:hanging="360"/>
      </w:pPr>
      <w:r>
        <w:t>Sharma, A.K. and Sharma, R. (2024). Navigating compliance and regulations in marketing analytics. Applied Marketing Analytics.</w:t>
      </w:r>
    </w:p>
    <w:p>
      <w:pPr>
        <w:spacing w:after="100"/>
        <w:ind w:left="360" w:hanging="360"/>
      </w:pPr>
      <w:r>
        <w:t>Singh, V. et al. (2023). Service Quality, Customer Satisfaction And Customer Loyalty: A Comprehensive Literature Review. Journal of Survey in Fisheries Sciences, 10(4S), pp.3457–3464.</w:t>
      </w:r>
    </w:p>
    <w:p>
      <w:pPr>
        <w:spacing w:after="100"/>
        <w:ind w:left="360" w:hanging="360"/>
      </w:pPr>
      <w:r>
        <w:t>Theodorakopoulos, L. and Theodoropoulou, A. (2024). Leveraging Big Data Analytics for Understanding Consumer Behavior in Digital Marketing: A Systematic Review. Human Behavior and Emerging Technologies, 2024(1), pp.1–21.</w:t>
      </w:r>
    </w:p>
    <w:p>
      <w:pPr>
        <w:spacing w:after="100"/>
        <w:ind w:left="360" w:hanging="360"/>
      </w:pPr>
      <w:r>
        <w:t>Tun, H.M., Rahman, H.A., Naing, L. and Malik, O.A. (2024). Trust in AI-Based Clinical Decision Support Systems Among Healthcare Workers: A Systematic Review. Journal of Medical Internet Research.</w:t>
      </w:r>
    </w:p>
    <w:p>
      <w:pPr>
        <w:spacing w:after="100"/>
        <w:ind w:left="360" w:hanging="360"/>
      </w:pPr>
      <w:r>
        <w:t>Vashishth, T.K. et al. (2024). Enhancing Customer Experience through AI-Enabled Content Personalization in E-Commerce Marketing. CRC Press eBooks, pp.7–32.</w:t>
      </w:r>
    </w:p>
    <w:p>
      <w:pPr>
        <w:spacing w:after="100"/>
        <w:ind w:left="360" w:hanging="360"/>
      </w:pPr>
      <w:r>
        <w:t>Wongsansukcharoen, J. (2022). Effect of community relationship management, relationship marketing orientation, customer engagement, and brand trust on brand loyalty. Journal of Retailing and Consumer Services, 64, p.102826.</w:t>
      </w:r>
    </w:p>
    <w:p>
      <w:pPr>
        <w:spacing w:after="100"/>
        <w:ind w:left="360" w:hanging="360"/>
      </w:pPr>
      <w:r>
        <w:t>Wood, D.J., Mitchell, R.K., Agle, B.R. and Bryan, L.M. (2021). Stakeholder identification and salience after 20 years: Progress, problems, and prospects. Business &amp; Society, 60(1), pp.196–245. doi:10.1177/0007650318816522.</w:t>
      </w:r>
    </w:p>
    <w:p>
      <w:pPr>
        <w:spacing w:after="100"/>
        <w:ind w:left="360" w:hanging="360"/>
      </w:pPr>
      <w:r>
        <w:t>Yu, Q., Barnes, B.R. and Ye, Y. (2022). Internal market orientation, interdepartmental relationships and market performance. European Journal of Marketing, 56(5), pp.1464–1487.</w:t>
      </w:r>
    </w:p>
    <w:sectPr w:rsidR="00FC693F" w:rsidRPr="0006063C" w:rsidSect="00034616">
      <w:pgSz w:w="12240" w:h="15840"/>
      <w:pgMar w:top="1080" w:right="1224" w:bottom="1080"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20" w:line="276" w:lineRule="auto"/>
    </w:pPr>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rial" w:hAnsi="Arial"/>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ascii="Arial" w:hAnsi="Arial"/>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ascii="Arial" w:hAnsi="Arial"/>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