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35411521" w14:textId="77777777" w:rsidR="002A136F" w:rsidRDefault="002A136F" w:rsidP="002A136F">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David Langley</w:t>
            </w:r>
          </w:p>
          <w:p w14:paraId="1CD46E54" w14:textId="77777777" w:rsidR="002A136F" w:rsidRDefault="002A136F" w:rsidP="002A136F">
            <w:pPr>
              <w:overflowPunct/>
              <w:autoSpaceDE/>
              <w:autoSpaceDN/>
              <w:adjustRightInd/>
              <w:ind w:right="-957"/>
              <w:textAlignment w:val="auto"/>
              <w:rPr>
                <w:rFonts w:ascii="Times New Roman" w:hAnsi="Times New Roman" w:cs="Times New Roman"/>
                <w:b/>
                <w:color w:val="auto"/>
                <w:sz w:val="48"/>
              </w:rPr>
            </w:pPr>
          </w:p>
          <w:p w14:paraId="1C99501A" w14:textId="77777777" w:rsidR="002A136F" w:rsidRDefault="002A136F" w:rsidP="002A136F">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0951604@student.uwtsd.ac.uk</w:t>
            </w:r>
          </w:p>
          <w:p w14:paraId="40A2C924" w14:textId="77777777" w:rsidR="002A136F" w:rsidRDefault="002A136F" w:rsidP="002A136F">
            <w:pPr>
              <w:overflowPunct/>
              <w:autoSpaceDE/>
              <w:autoSpaceDN/>
              <w:adjustRightInd/>
              <w:ind w:right="-957"/>
              <w:textAlignment w:val="auto"/>
              <w:rPr>
                <w:rFonts w:ascii="Times New Roman" w:hAnsi="Times New Roman" w:cs="Times New Roman"/>
                <w:b/>
                <w:color w:val="auto"/>
                <w:sz w:val="48"/>
              </w:rPr>
            </w:pPr>
          </w:p>
          <w:p w14:paraId="400B3FCC" w14:textId="77777777" w:rsidR="002A136F" w:rsidRDefault="002A136F" w:rsidP="002A136F">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622FD17A" w14:textId="34D23527" w:rsidR="0085230E" w:rsidRPr="005D3F07" w:rsidRDefault="002A136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0951604</w:t>
            </w: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 xml:space="preserve">Task </w:t>
      </w:r>
      <w:proofErr w:type="gramStart"/>
      <w:r w:rsidRPr="00EE5BC3">
        <w:rPr>
          <w:b/>
          <w:sz w:val="28"/>
          <w:szCs w:val="28"/>
        </w:rPr>
        <w:t>4</w:t>
      </w:r>
      <w:proofErr w:type="gramEnd"/>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proofErr w:type="gramStart"/>
      <w:r w:rsidR="00D60F88" w:rsidRPr="00706BB5">
        <w:rPr>
          <w:i/>
          <w:iCs/>
          <w:sz w:val="24"/>
          <w:szCs w:val="24"/>
        </w:rPr>
        <w:t xml:space="preserve">. </w:t>
      </w:r>
      <w:r w:rsidR="00337FEF" w:rsidRPr="00706BB5">
        <w:rPr>
          <w:i/>
          <w:iCs/>
          <w:sz w:val="24"/>
          <w:szCs w:val="24"/>
        </w:rPr>
        <w:t xml:space="preserve"> </w:t>
      </w:r>
      <w:proofErr w:type="gramEnd"/>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p w14:paraId="43A3FBEB" w14:textId="77777777" w:rsidR="002A136F" w:rsidRDefault="002A136F" w:rsidP="00FC0334">
      <w:pPr>
        <w:rPr>
          <w:sz w:val="24"/>
          <w:szCs w:val="24"/>
        </w:rPr>
      </w:pPr>
    </w:p>
    <w:p w14:paraId="4687AEE8" w14:textId="77777777" w:rsidR="002A136F" w:rsidRDefault="002A136F" w:rsidP="002A136F">
      <w:pPr>
        <w:jc w:val="both"/>
        <w:rPr>
          <w:b/>
          <w:bCs/>
          <w:sz w:val="24"/>
          <w:szCs w:val="24"/>
        </w:rPr>
      </w:pPr>
      <w:r w:rsidRPr="00906DD7">
        <w:rPr>
          <w:b/>
          <w:bCs/>
          <w:sz w:val="24"/>
          <w:szCs w:val="24"/>
        </w:rPr>
        <w:t>Task 4 Part A</w:t>
      </w:r>
    </w:p>
    <w:p w14:paraId="5E4DDFA8" w14:textId="77777777" w:rsidR="002A136F" w:rsidRPr="00906DD7" w:rsidRDefault="002A136F" w:rsidP="002A136F">
      <w:pPr>
        <w:jc w:val="both"/>
        <w:rPr>
          <w:b/>
          <w:bCs/>
          <w:sz w:val="24"/>
          <w:szCs w:val="24"/>
        </w:rPr>
      </w:pPr>
    </w:p>
    <w:p w14:paraId="6C8A2704" w14:textId="5AABBB48" w:rsidR="002A136F" w:rsidRPr="00906DD7" w:rsidRDefault="002A136F" w:rsidP="002A136F">
      <w:pPr>
        <w:jc w:val="both"/>
        <w:rPr>
          <w:sz w:val="24"/>
          <w:szCs w:val="24"/>
        </w:rPr>
      </w:pPr>
      <w:r w:rsidRPr="00906DD7">
        <w:rPr>
          <w:sz w:val="24"/>
          <w:szCs w:val="24"/>
        </w:rPr>
        <w:t xml:space="preserve">In 2004, the Welsh Government made the ‘United Nations Convention on the Rights of the Child’ </w:t>
      </w:r>
      <w:sdt>
        <w:sdtPr>
          <w:rPr>
            <w:sz w:val="24"/>
            <w:szCs w:val="24"/>
          </w:rPr>
          <w:id w:val="-1157140039"/>
          <w:citation/>
        </w:sdtPr>
        <w:sdtContent>
          <w:r w:rsidRPr="00906DD7">
            <w:rPr>
              <w:sz w:val="24"/>
              <w:szCs w:val="24"/>
            </w:rPr>
            <w:fldChar w:fldCharType="begin"/>
          </w:r>
          <w:r w:rsidRPr="00906DD7">
            <w:rPr>
              <w:sz w:val="24"/>
              <w:szCs w:val="24"/>
            </w:rPr>
            <w:instrText xml:space="preserve">CITATION The89 \n  \l 2057 </w:instrText>
          </w:r>
          <w:r w:rsidRPr="00906DD7">
            <w:rPr>
              <w:sz w:val="24"/>
              <w:szCs w:val="24"/>
            </w:rPr>
            <w:fldChar w:fldCharType="separate"/>
          </w:r>
          <w:r w:rsidR="00010B44" w:rsidRPr="00010B44">
            <w:rPr>
              <w:noProof/>
              <w:sz w:val="24"/>
              <w:szCs w:val="24"/>
            </w:rPr>
            <w:t>(1989)</w:t>
          </w:r>
          <w:r w:rsidRPr="00906DD7">
            <w:rPr>
              <w:sz w:val="24"/>
              <w:szCs w:val="24"/>
            </w:rPr>
            <w:fldChar w:fldCharType="end"/>
          </w:r>
        </w:sdtContent>
      </w:sdt>
      <w:r w:rsidRPr="00906DD7">
        <w:rPr>
          <w:sz w:val="24"/>
          <w:szCs w:val="24"/>
        </w:rPr>
        <w:t xml:space="preserve">, the basis for future policy making about children in Wales </w:t>
      </w:r>
      <w:sdt>
        <w:sdtPr>
          <w:rPr>
            <w:sz w:val="24"/>
            <w:szCs w:val="24"/>
          </w:rPr>
          <w:id w:val="840053824"/>
          <w:citation/>
        </w:sdtPr>
        <w:sdtContent>
          <w:r w:rsidRPr="00906DD7">
            <w:rPr>
              <w:sz w:val="24"/>
              <w:szCs w:val="24"/>
            </w:rPr>
            <w:fldChar w:fldCharType="begin"/>
          </w:r>
          <w:r w:rsidRPr="00906DD7">
            <w:rPr>
              <w:sz w:val="24"/>
              <w:szCs w:val="24"/>
            </w:rPr>
            <w:instrText xml:space="preserve"> CITATION Wel222 \l 2057 </w:instrText>
          </w:r>
          <w:r w:rsidRPr="00906DD7">
            <w:rPr>
              <w:sz w:val="24"/>
              <w:szCs w:val="24"/>
            </w:rPr>
            <w:fldChar w:fldCharType="separate"/>
          </w:r>
          <w:r w:rsidR="00010B44" w:rsidRPr="00010B44">
            <w:rPr>
              <w:noProof/>
              <w:sz w:val="24"/>
              <w:szCs w:val="24"/>
            </w:rPr>
            <w:t>(Welsh Government (e), 2022)</w:t>
          </w:r>
          <w:r w:rsidRPr="00906DD7">
            <w:rPr>
              <w:sz w:val="24"/>
              <w:szCs w:val="24"/>
            </w:rPr>
            <w:fldChar w:fldCharType="end"/>
          </w:r>
        </w:sdtContent>
      </w:sdt>
      <w:r w:rsidRPr="00906DD7">
        <w:rPr>
          <w:sz w:val="24"/>
          <w:szCs w:val="24"/>
        </w:rPr>
        <w:t xml:space="preserve">, represented in Part 1 of the Schedule to the ‘Rights of Children and Young Persons (Wales) Measure 2011’ </w:t>
      </w:r>
      <w:sdt>
        <w:sdtPr>
          <w:rPr>
            <w:sz w:val="24"/>
            <w:szCs w:val="24"/>
          </w:rPr>
          <w:id w:val="-1173799074"/>
          <w:citation/>
        </w:sdtPr>
        <w:sdtContent>
          <w:r w:rsidRPr="00906DD7">
            <w:rPr>
              <w:sz w:val="24"/>
              <w:szCs w:val="24"/>
            </w:rPr>
            <w:fldChar w:fldCharType="begin"/>
          </w:r>
          <w:r w:rsidRPr="00906DD7">
            <w:rPr>
              <w:sz w:val="24"/>
              <w:szCs w:val="24"/>
            </w:rPr>
            <w:instrText xml:space="preserve">CITATION Rig11 \l 2057 </w:instrText>
          </w:r>
          <w:r w:rsidRPr="00906DD7">
            <w:rPr>
              <w:sz w:val="24"/>
              <w:szCs w:val="24"/>
            </w:rPr>
            <w:fldChar w:fldCharType="separate"/>
          </w:r>
          <w:r w:rsidR="00010B44" w:rsidRPr="00010B44">
            <w:rPr>
              <w:noProof/>
              <w:sz w:val="24"/>
              <w:szCs w:val="24"/>
            </w:rPr>
            <w:t>(National Assembly for Wales, 2011)</w:t>
          </w:r>
          <w:r w:rsidRPr="00906DD7">
            <w:rPr>
              <w:sz w:val="24"/>
              <w:szCs w:val="24"/>
            </w:rPr>
            <w:fldChar w:fldCharType="end"/>
          </w:r>
        </w:sdtContent>
      </w:sdt>
      <w:r w:rsidRPr="00906DD7">
        <w:rPr>
          <w:sz w:val="24"/>
          <w:szCs w:val="24"/>
        </w:rPr>
        <w:t xml:space="preserve">. Several of the Articles directly inform safeguarding definitions, thresholds and responsibilities in Wales and the wider UK, including; Article 3, ‘best interests of the child’, Article 4, ‘the implementation of the Convention’, Article 6, ‘life, survival and development’, Article 9 ‘separation from parents’, Article 11, ‘abduction and non-return’, Article 19, ‘protection from violence, abuse and neglect’ Article 27, ‘adequate standard of living’, Article 32-36 (child exploitation), and Article 29, ‘recovery from trauma and reintegration’. </w:t>
      </w:r>
    </w:p>
    <w:p w14:paraId="0B07AF61" w14:textId="77777777" w:rsidR="002A136F" w:rsidRPr="00906DD7" w:rsidRDefault="002A136F" w:rsidP="002A136F">
      <w:pPr>
        <w:jc w:val="both"/>
        <w:rPr>
          <w:sz w:val="24"/>
          <w:szCs w:val="24"/>
        </w:rPr>
      </w:pPr>
    </w:p>
    <w:p w14:paraId="40DFD782" w14:textId="7813ACE5" w:rsidR="002A136F" w:rsidRPr="00906DD7" w:rsidRDefault="002A136F" w:rsidP="002A136F">
      <w:pPr>
        <w:jc w:val="both"/>
        <w:rPr>
          <w:sz w:val="24"/>
          <w:szCs w:val="24"/>
        </w:rPr>
      </w:pPr>
      <w:r w:rsidRPr="00906DD7">
        <w:rPr>
          <w:sz w:val="24"/>
          <w:szCs w:val="24"/>
        </w:rPr>
        <w:t xml:space="preserve">The overarching legislations that informs the safeguarding of children in Wales, are the Social Service and Well-being (Wales) Act 2014 (SSWBA2014) </w:t>
      </w:r>
      <w:sdt>
        <w:sdtPr>
          <w:rPr>
            <w:sz w:val="24"/>
            <w:szCs w:val="24"/>
          </w:rPr>
          <w:id w:val="1915120355"/>
          <w:citation/>
        </w:sdtPr>
        <w:sdtContent>
          <w:r w:rsidRPr="00906DD7">
            <w:rPr>
              <w:sz w:val="24"/>
              <w:szCs w:val="24"/>
            </w:rPr>
            <w:fldChar w:fldCharType="begin"/>
          </w:r>
          <w:r w:rsidRPr="00906DD7">
            <w:rPr>
              <w:sz w:val="24"/>
              <w:szCs w:val="24"/>
            </w:rPr>
            <w:instrText xml:space="preserve">CITATION Placeholder4 \l 2057 </w:instrText>
          </w:r>
          <w:r w:rsidRPr="00906DD7">
            <w:rPr>
              <w:sz w:val="24"/>
              <w:szCs w:val="24"/>
            </w:rPr>
            <w:fldChar w:fldCharType="separate"/>
          </w:r>
          <w:r w:rsidR="00010B44" w:rsidRPr="00010B44">
            <w:rPr>
              <w:noProof/>
              <w:sz w:val="24"/>
              <w:szCs w:val="24"/>
            </w:rPr>
            <w:t>(Welsh Government (f), 2014)</w:t>
          </w:r>
          <w:r w:rsidRPr="00906DD7">
            <w:rPr>
              <w:sz w:val="24"/>
              <w:szCs w:val="24"/>
            </w:rPr>
            <w:fldChar w:fldCharType="end"/>
          </w:r>
        </w:sdtContent>
      </w:sdt>
      <w:r w:rsidRPr="00906DD7">
        <w:rPr>
          <w:sz w:val="24"/>
          <w:szCs w:val="24"/>
        </w:rPr>
        <w:t xml:space="preserve"> and the Children Act 1989 </w:t>
      </w:r>
      <w:sdt>
        <w:sdtPr>
          <w:rPr>
            <w:sz w:val="24"/>
            <w:szCs w:val="24"/>
          </w:rPr>
          <w:id w:val="-1281107755"/>
          <w:citation/>
        </w:sdtPr>
        <w:sdtContent>
          <w:r w:rsidRPr="00906DD7">
            <w:rPr>
              <w:sz w:val="24"/>
              <w:szCs w:val="24"/>
            </w:rPr>
            <w:fldChar w:fldCharType="begin"/>
          </w:r>
          <w:r w:rsidRPr="00906DD7">
            <w:rPr>
              <w:sz w:val="24"/>
              <w:szCs w:val="24"/>
            </w:rPr>
            <w:instrText xml:space="preserve">CITATION Chi89 \l 2057 </w:instrText>
          </w:r>
          <w:r w:rsidRPr="00906DD7">
            <w:rPr>
              <w:sz w:val="24"/>
              <w:szCs w:val="24"/>
            </w:rPr>
            <w:fldChar w:fldCharType="separate"/>
          </w:r>
          <w:r w:rsidR="00010B44" w:rsidRPr="00010B44">
            <w:rPr>
              <w:noProof/>
              <w:sz w:val="24"/>
              <w:szCs w:val="24"/>
            </w:rPr>
            <w:t>(UK Parliament, 1989)</w:t>
          </w:r>
          <w:r w:rsidRPr="00906DD7">
            <w:rPr>
              <w:sz w:val="24"/>
              <w:szCs w:val="24"/>
            </w:rPr>
            <w:fldChar w:fldCharType="end"/>
          </w:r>
        </w:sdtContent>
      </w:sdt>
      <w:r w:rsidRPr="00906DD7">
        <w:rPr>
          <w:sz w:val="24"/>
          <w:szCs w:val="24"/>
        </w:rPr>
        <w:t xml:space="preserve">. Section 28 of the Children Act </w:t>
      </w:r>
      <w:sdt>
        <w:sdtPr>
          <w:rPr>
            <w:sz w:val="24"/>
            <w:szCs w:val="24"/>
          </w:rPr>
          <w:id w:val="-1775316050"/>
          <w:citation/>
        </w:sdtPr>
        <w:sdtContent>
          <w:r w:rsidRPr="00906DD7">
            <w:rPr>
              <w:sz w:val="24"/>
              <w:szCs w:val="24"/>
            </w:rPr>
            <w:fldChar w:fldCharType="begin"/>
          </w:r>
          <w:r w:rsidRPr="00906DD7">
            <w:rPr>
              <w:sz w:val="24"/>
              <w:szCs w:val="24"/>
            </w:rPr>
            <w:instrText xml:space="preserve">CITATION Chi89 \n  \l 2057 </w:instrText>
          </w:r>
          <w:r w:rsidRPr="00906DD7">
            <w:rPr>
              <w:sz w:val="24"/>
              <w:szCs w:val="24"/>
            </w:rPr>
            <w:fldChar w:fldCharType="separate"/>
          </w:r>
          <w:r w:rsidR="00010B44" w:rsidRPr="00010B44">
            <w:rPr>
              <w:noProof/>
              <w:sz w:val="24"/>
              <w:szCs w:val="24"/>
            </w:rPr>
            <w:t>(1989)</w:t>
          </w:r>
          <w:r w:rsidRPr="00906DD7">
            <w:rPr>
              <w:sz w:val="24"/>
              <w:szCs w:val="24"/>
            </w:rPr>
            <w:fldChar w:fldCharType="end"/>
          </w:r>
        </w:sdtContent>
      </w:sdt>
      <w:r w:rsidRPr="00906DD7">
        <w:rPr>
          <w:sz w:val="24"/>
          <w:szCs w:val="24"/>
        </w:rPr>
        <w:t xml:space="preserve"> places a duty on Local Authorities (LA) and statutory bodies to safeguard children and promote their welfare. Section 47 of the Children Act </w:t>
      </w:r>
      <w:sdt>
        <w:sdtPr>
          <w:rPr>
            <w:sz w:val="24"/>
            <w:szCs w:val="24"/>
          </w:rPr>
          <w:id w:val="-1803229614"/>
          <w:citation/>
        </w:sdtPr>
        <w:sdtContent>
          <w:r w:rsidRPr="00906DD7">
            <w:rPr>
              <w:sz w:val="24"/>
              <w:szCs w:val="24"/>
            </w:rPr>
            <w:fldChar w:fldCharType="begin"/>
          </w:r>
          <w:r w:rsidRPr="00906DD7">
            <w:rPr>
              <w:sz w:val="24"/>
              <w:szCs w:val="24"/>
            </w:rPr>
            <w:instrText xml:space="preserve">CITATION Chi89 \n  \l 2057 </w:instrText>
          </w:r>
          <w:r w:rsidRPr="00906DD7">
            <w:rPr>
              <w:sz w:val="24"/>
              <w:szCs w:val="24"/>
            </w:rPr>
            <w:fldChar w:fldCharType="separate"/>
          </w:r>
          <w:r w:rsidR="00010B44" w:rsidRPr="00010B44">
            <w:rPr>
              <w:noProof/>
              <w:sz w:val="24"/>
              <w:szCs w:val="24"/>
            </w:rPr>
            <w:t>(1989)</w:t>
          </w:r>
          <w:r w:rsidRPr="00906DD7">
            <w:rPr>
              <w:sz w:val="24"/>
              <w:szCs w:val="24"/>
            </w:rPr>
            <w:fldChar w:fldCharType="end"/>
          </w:r>
        </w:sdtContent>
      </w:sdt>
      <w:r w:rsidRPr="00906DD7">
        <w:rPr>
          <w:sz w:val="24"/>
          <w:szCs w:val="24"/>
        </w:rPr>
        <w:t xml:space="preserve">, dictates that LAs are compelled to make enquires where there is reasonable cause to suspect a child is experiencing or at risk of significant harm, and asses if safeguarding procedures are required to protect said child. </w:t>
      </w:r>
    </w:p>
    <w:p w14:paraId="665B63B3" w14:textId="77777777" w:rsidR="002A136F" w:rsidRPr="00906DD7" w:rsidRDefault="002A136F" w:rsidP="002A136F">
      <w:pPr>
        <w:jc w:val="both"/>
        <w:rPr>
          <w:sz w:val="24"/>
          <w:szCs w:val="24"/>
        </w:rPr>
      </w:pPr>
    </w:p>
    <w:p w14:paraId="5B0CC32F" w14:textId="214122BD" w:rsidR="002A136F" w:rsidRPr="00906DD7" w:rsidRDefault="002A136F" w:rsidP="002A136F">
      <w:pPr>
        <w:jc w:val="both"/>
        <w:rPr>
          <w:sz w:val="24"/>
          <w:szCs w:val="24"/>
        </w:rPr>
      </w:pPr>
      <w:r w:rsidRPr="00906DD7">
        <w:rPr>
          <w:sz w:val="24"/>
          <w:szCs w:val="24"/>
        </w:rPr>
        <w:t xml:space="preserve">Part 7 of the SSWBA2014 (section 130.4) expresses the duty and criteria for LAs and their ‘partners’ (e.g., regional Police forces, local health boards, care and support providers, local education boards, safeguarding boards, </w:t>
      </w:r>
      <w:proofErr w:type="gramStart"/>
      <w:r w:rsidRPr="00906DD7">
        <w:rPr>
          <w:sz w:val="24"/>
          <w:szCs w:val="24"/>
        </w:rPr>
        <w:t>etc</w:t>
      </w:r>
      <w:proofErr w:type="gramEnd"/>
      <w:r w:rsidRPr="00906DD7">
        <w:rPr>
          <w:sz w:val="24"/>
          <w:szCs w:val="24"/>
        </w:rPr>
        <w:t>…)  to report any child deemed ‘at risk</w:t>
      </w:r>
      <w:proofErr w:type="gramStart"/>
      <w:r w:rsidRPr="00906DD7">
        <w:rPr>
          <w:sz w:val="24"/>
          <w:szCs w:val="24"/>
        </w:rPr>
        <w:t>’.</w:t>
      </w:r>
      <w:proofErr w:type="gramEnd"/>
      <w:r w:rsidRPr="00906DD7">
        <w:rPr>
          <w:sz w:val="24"/>
          <w:szCs w:val="24"/>
        </w:rPr>
        <w:t xml:space="preserve"> Section 135 of the SSWBA2014, dictates the LA’s duty to establish multi-agency Child Safeguarding Boards and enact their ‘functions’ as per ‘The Safeguarding Boards (Functions and Procedures) (Wales) Regulations 2015’ </w:t>
      </w:r>
      <w:sdt>
        <w:sdtPr>
          <w:rPr>
            <w:sz w:val="24"/>
            <w:szCs w:val="24"/>
          </w:rPr>
          <w:id w:val="-1011687832"/>
          <w:citation/>
        </w:sdtPr>
        <w:sdtContent>
          <w:r w:rsidRPr="00906DD7">
            <w:rPr>
              <w:sz w:val="24"/>
              <w:szCs w:val="24"/>
            </w:rPr>
            <w:fldChar w:fldCharType="begin"/>
          </w:r>
          <w:r w:rsidRPr="00906DD7">
            <w:rPr>
              <w:sz w:val="24"/>
              <w:szCs w:val="24"/>
            </w:rPr>
            <w:instrText xml:space="preserve"> CITATION Soc15 \l 2057 </w:instrText>
          </w:r>
          <w:r w:rsidRPr="00906DD7">
            <w:rPr>
              <w:sz w:val="24"/>
              <w:szCs w:val="24"/>
            </w:rPr>
            <w:fldChar w:fldCharType="separate"/>
          </w:r>
          <w:r w:rsidR="00010B44" w:rsidRPr="00010B44">
            <w:rPr>
              <w:noProof/>
              <w:sz w:val="24"/>
              <w:szCs w:val="24"/>
            </w:rPr>
            <w:t>(Social Care Wales, 2015)</w:t>
          </w:r>
          <w:r w:rsidRPr="00906DD7">
            <w:rPr>
              <w:sz w:val="24"/>
              <w:szCs w:val="24"/>
            </w:rPr>
            <w:fldChar w:fldCharType="end"/>
          </w:r>
        </w:sdtContent>
      </w:sdt>
      <w:r w:rsidRPr="00906DD7">
        <w:rPr>
          <w:sz w:val="24"/>
          <w:szCs w:val="24"/>
        </w:rPr>
        <w:t xml:space="preserve">. The ‘National Independent Safeguarding Board’ </w:t>
      </w:r>
      <w:sdt>
        <w:sdtPr>
          <w:rPr>
            <w:sz w:val="24"/>
            <w:szCs w:val="24"/>
          </w:rPr>
          <w:id w:val="1562822598"/>
          <w:citation/>
        </w:sdtPr>
        <w:sdtContent>
          <w:r w:rsidRPr="00906DD7">
            <w:rPr>
              <w:sz w:val="24"/>
              <w:szCs w:val="24"/>
            </w:rPr>
            <w:fldChar w:fldCharType="begin"/>
          </w:r>
          <w:r w:rsidRPr="00906DD7">
            <w:rPr>
              <w:sz w:val="24"/>
              <w:szCs w:val="24"/>
            </w:rPr>
            <w:instrText xml:space="preserve">CITATION Nat24 \n  \l 2057 </w:instrText>
          </w:r>
          <w:r w:rsidRPr="00906DD7">
            <w:rPr>
              <w:sz w:val="24"/>
              <w:szCs w:val="24"/>
            </w:rPr>
            <w:fldChar w:fldCharType="separate"/>
          </w:r>
          <w:r w:rsidR="00010B44" w:rsidRPr="00010B44">
            <w:rPr>
              <w:noProof/>
              <w:sz w:val="24"/>
              <w:szCs w:val="24"/>
            </w:rPr>
            <w:t>(2024)</w:t>
          </w:r>
          <w:r w:rsidRPr="00906DD7">
            <w:rPr>
              <w:sz w:val="24"/>
              <w:szCs w:val="24"/>
            </w:rPr>
            <w:fldChar w:fldCharType="end"/>
          </w:r>
        </w:sdtContent>
      </w:sdt>
      <w:r w:rsidRPr="00906DD7">
        <w:rPr>
          <w:sz w:val="24"/>
          <w:szCs w:val="24"/>
        </w:rPr>
        <w:t xml:space="preserve"> provides advice and support to the Local Safeguarding Boards in Wales, also producing feedback and annual reports to Welsh Ministers about the efficacy of those Boards. </w:t>
      </w:r>
    </w:p>
    <w:p w14:paraId="13A8D744" w14:textId="77777777" w:rsidR="002A136F" w:rsidRPr="00906DD7" w:rsidRDefault="002A136F" w:rsidP="002A136F">
      <w:pPr>
        <w:jc w:val="both"/>
        <w:rPr>
          <w:sz w:val="24"/>
          <w:szCs w:val="24"/>
        </w:rPr>
      </w:pPr>
    </w:p>
    <w:p w14:paraId="4F57027A" w14:textId="073E7076" w:rsidR="002A136F" w:rsidRPr="00906DD7" w:rsidRDefault="002A136F" w:rsidP="002A136F">
      <w:pPr>
        <w:jc w:val="both"/>
        <w:rPr>
          <w:sz w:val="24"/>
          <w:szCs w:val="24"/>
        </w:rPr>
      </w:pPr>
      <w:r w:rsidRPr="00906DD7">
        <w:rPr>
          <w:sz w:val="24"/>
          <w:szCs w:val="24"/>
        </w:rPr>
        <w:t xml:space="preserve">The expectations of how safeguarding functions are enacted by a LA and their partners is set out by the devolved Welsh Government in the SSWBA2014’s ‘Working Together to Safeguard People: Code of Safeguarding Practice’ </w:t>
      </w:r>
      <w:sdt>
        <w:sdtPr>
          <w:rPr>
            <w:sz w:val="24"/>
            <w:szCs w:val="24"/>
          </w:rPr>
          <w:id w:val="-754666389"/>
          <w:citation/>
        </w:sdtPr>
        <w:sdtContent>
          <w:r w:rsidRPr="00906DD7">
            <w:rPr>
              <w:sz w:val="24"/>
              <w:szCs w:val="24"/>
            </w:rPr>
            <w:fldChar w:fldCharType="begin"/>
          </w:r>
          <w:r w:rsidRPr="00906DD7">
            <w:rPr>
              <w:sz w:val="24"/>
              <w:szCs w:val="24"/>
            </w:rPr>
            <w:instrText xml:space="preserve">CITATION Wor22 \l 2057 </w:instrText>
          </w:r>
          <w:r w:rsidRPr="00906DD7">
            <w:rPr>
              <w:sz w:val="24"/>
              <w:szCs w:val="24"/>
            </w:rPr>
            <w:fldChar w:fldCharType="separate"/>
          </w:r>
          <w:r w:rsidR="00010B44" w:rsidRPr="00010B44">
            <w:rPr>
              <w:noProof/>
              <w:sz w:val="24"/>
              <w:szCs w:val="24"/>
            </w:rPr>
            <w:t>(Welsh Government (a), 2022)</w:t>
          </w:r>
          <w:r w:rsidRPr="00906DD7">
            <w:rPr>
              <w:sz w:val="24"/>
              <w:szCs w:val="24"/>
            </w:rPr>
            <w:fldChar w:fldCharType="end"/>
          </w:r>
        </w:sdtContent>
      </w:sdt>
      <w:r w:rsidRPr="00906DD7">
        <w:rPr>
          <w:sz w:val="24"/>
          <w:szCs w:val="24"/>
        </w:rPr>
        <w:t xml:space="preserve">, which places and emphasis on recognising the responsibilities they hold in relation to local ‘safeguarding arrangements’. </w:t>
      </w:r>
    </w:p>
    <w:p w14:paraId="5806D3B1" w14:textId="77777777" w:rsidR="002A136F" w:rsidRPr="00906DD7" w:rsidRDefault="002A136F" w:rsidP="002A136F">
      <w:pPr>
        <w:jc w:val="both"/>
        <w:rPr>
          <w:sz w:val="24"/>
          <w:szCs w:val="24"/>
        </w:rPr>
      </w:pPr>
    </w:p>
    <w:p w14:paraId="18F4112F" w14:textId="6FE61B11" w:rsidR="002A136F" w:rsidRPr="00906DD7" w:rsidRDefault="002A136F" w:rsidP="002A136F">
      <w:pPr>
        <w:jc w:val="both"/>
        <w:rPr>
          <w:sz w:val="24"/>
          <w:szCs w:val="24"/>
        </w:rPr>
      </w:pPr>
      <w:r w:rsidRPr="00906DD7">
        <w:rPr>
          <w:sz w:val="24"/>
          <w:szCs w:val="24"/>
        </w:rPr>
        <w:t xml:space="preserve">The Welsh Safeguarding Procedures </w:t>
      </w:r>
      <w:sdt>
        <w:sdtPr>
          <w:rPr>
            <w:sz w:val="24"/>
            <w:szCs w:val="24"/>
          </w:rPr>
          <w:id w:val="-1235460527"/>
          <w:citation/>
        </w:sdtPr>
        <w:sdtContent>
          <w:r w:rsidRPr="00906DD7">
            <w:rPr>
              <w:sz w:val="24"/>
              <w:szCs w:val="24"/>
            </w:rPr>
            <w:fldChar w:fldCharType="begin"/>
          </w:r>
          <w:r w:rsidRPr="00906DD7">
            <w:rPr>
              <w:sz w:val="24"/>
              <w:szCs w:val="24"/>
            </w:rPr>
            <w:instrText xml:space="preserve">CITATION Wel24 \l 2057 </w:instrText>
          </w:r>
          <w:r w:rsidRPr="00906DD7">
            <w:rPr>
              <w:sz w:val="24"/>
              <w:szCs w:val="24"/>
            </w:rPr>
            <w:fldChar w:fldCharType="separate"/>
          </w:r>
          <w:r w:rsidR="00010B44" w:rsidRPr="00010B44">
            <w:rPr>
              <w:noProof/>
              <w:sz w:val="24"/>
              <w:szCs w:val="24"/>
            </w:rPr>
            <w:t>(Welsh Government (g), 2024)</w:t>
          </w:r>
          <w:r w:rsidRPr="00906DD7">
            <w:rPr>
              <w:sz w:val="24"/>
              <w:szCs w:val="24"/>
            </w:rPr>
            <w:fldChar w:fldCharType="end"/>
          </w:r>
        </w:sdtContent>
      </w:sdt>
      <w:r w:rsidRPr="00906DD7">
        <w:rPr>
          <w:sz w:val="24"/>
          <w:szCs w:val="24"/>
        </w:rPr>
        <w:t xml:space="preserve"> for ‘Children at Risk of Harm’, cover all aspects of safeguarding children in Wales, informing practitioners about their responsibilities, the safeguarding procedures, how and when to enact them, as well as providing guidance on good practice in safeguarding scenarios. They also provide strategies and guidance to organisations (statutory and non-statutory) about how they should work and communicate to effectively safeguard children. </w:t>
      </w:r>
    </w:p>
    <w:p w14:paraId="6643F06B" w14:textId="77777777" w:rsidR="002A136F" w:rsidRPr="00906DD7" w:rsidRDefault="002A136F" w:rsidP="002A136F">
      <w:pPr>
        <w:jc w:val="both"/>
        <w:rPr>
          <w:sz w:val="24"/>
          <w:szCs w:val="24"/>
        </w:rPr>
      </w:pPr>
    </w:p>
    <w:p w14:paraId="576B297D" w14:textId="5612657D" w:rsidR="002A136F" w:rsidRPr="00906DD7" w:rsidRDefault="002A136F" w:rsidP="002A136F">
      <w:pPr>
        <w:jc w:val="both"/>
        <w:rPr>
          <w:sz w:val="24"/>
          <w:szCs w:val="24"/>
        </w:rPr>
      </w:pPr>
      <w:r w:rsidRPr="00906DD7">
        <w:rPr>
          <w:sz w:val="24"/>
          <w:szCs w:val="24"/>
        </w:rPr>
        <w:lastRenderedPageBreak/>
        <w:t xml:space="preserve">The Gillick competency and Fraser guidelines provides a framework for practitioners working with children, usually involving decisions of a medical nature </w:t>
      </w:r>
      <w:sdt>
        <w:sdtPr>
          <w:rPr>
            <w:sz w:val="24"/>
            <w:szCs w:val="24"/>
          </w:rPr>
          <w:id w:val="-1582358416"/>
          <w:citation/>
        </w:sdtPr>
        <w:sdtContent>
          <w:r w:rsidRPr="00906DD7">
            <w:rPr>
              <w:sz w:val="24"/>
              <w:szCs w:val="24"/>
            </w:rPr>
            <w:fldChar w:fldCharType="begin"/>
          </w:r>
          <w:r w:rsidRPr="00906DD7">
            <w:rPr>
              <w:sz w:val="24"/>
              <w:szCs w:val="24"/>
            </w:rPr>
            <w:instrText xml:space="preserve"> CITATION NSP22 \l 2057 </w:instrText>
          </w:r>
          <w:r w:rsidRPr="00906DD7">
            <w:rPr>
              <w:sz w:val="24"/>
              <w:szCs w:val="24"/>
            </w:rPr>
            <w:fldChar w:fldCharType="separate"/>
          </w:r>
          <w:r w:rsidR="00010B44" w:rsidRPr="00010B44">
            <w:rPr>
              <w:noProof/>
              <w:sz w:val="24"/>
              <w:szCs w:val="24"/>
            </w:rPr>
            <w:t>(NSPCC, 2022)</w:t>
          </w:r>
          <w:r w:rsidRPr="00906DD7">
            <w:rPr>
              <w:sz w:val="24"/>
              <w:szCs w:val="24"/>
            </w:rPr>
            <w:fldChar w:fldCharType="end"/>
          </w:r>
        </w:sdtContent>
      </w:sdt>
      <w:r w:rsidRPr="00906DD7">
        <w:rPr>
          <w:sz w:val="24"/>
          <w:szCs w:val="24"/>
        </w:rPr>
        <w:t>. They are used to identify if a child is mature enough to make decisions independent of parental wishes.</w:t>
      </w:r>
    </w:p>
    <w:p w14:paraId="45237A79" w14:textId="77777777" w:rsidR="002A136F" w:rsidRDefault="002A136F" w:rsidP="002A136F">
      <w:pPr>
        <w:jc w:val="both"/>
      </w:pPr>
    </w:p>
    <w:p w14:paraId="7D1E5A88" w14:textId="77777777" w:rsidR="002A136F" w:rsidRDefault="002A136F" w:rsidP="002A136F">
      <w:pPr>
        <w:jc w:val="both"/>
      </w:pPr>
    </w:p>
    <w:p w14:paraId="108406CD" w14:textId="3F775F64" w:rsidR="002A136F" w:rsidRPr="009513C6" w:rsidRDefault="002A136F" w:rsidP="002A136F">
      <w:pPr>
        <w:jc w:val="both"/>
        <w:rPr>
          <w:sz w:val="24"/>
          <w:szCs w:val="24"/>
        </w:rPr>
      </w:pPr>
      <w:r w:rsidRPr="009513C6">
        <w:rPr>
          <w:sz w:val="24"/>
          <w:szCs w:val="24"/>
        </w:rPr>
        <w:t>(</w:t>
      </w:r>
      <w:r w:rsidR="00010B44">
        <w:rPr>
          <w:sz w:val="24"/>
          <w:szCs w:val="24"/>
        </w:rPr>
        <w:t>503</w:t>
      </w:r>
      <w:r>
        <w:rPr>
          <w:sz w:val="24"/>
          <w:szCs w:val="24"/>
        </w:rPr>
        <w:t xml:space="preserve"> Words</w:t>
      </w:r>
      <w:r w:rsidRPr="009513C6">
        <w:rPr>
          <w:sz w:val="24"/>
          <w:szCs w:val="24"/>
        </w:rPr>
        <w:t>)</w:t>
      </w:r>
    </w:p>
    <w:p w14:paraId="0D851BC9" w14:textId="77777777" w:rsidR="002A136F" w:rsidRDefault="002A136F" w:rsidP="00FC0334">
      <w:pPr>
        <w:rPr>
          <w:sz w:val="24"/>
          <w:szCs w:val="24"/>
        </w:rPr>
      </w:pPr>
    </w:p>
    <w:p w14:paraId="1D929CFB" w14:textId="77777777" w:rsidR="002A136F" w:rsidRDefault="002A136F" w:rsidP="00FC0334">
      <w:pPr>
        <w:rPr>
          <w:sz w:val="24"/>
          <w:szCs w:val="24"/>
        </w:rPr>
      </w:pPr>
    </w:p>
    <w:p w14:paraId="50B1ED3E" w14:textId="77777777" w:rsidR="002A136F" w:rsidRDefault="002A136F" w:rsidP="00FC0334">
      <w:pPr>
        <w:rPr>
          <w:sz w:val="24"/>
          <w:szCs w:val="24"/>
        </w:rPr>
      </w:pPr>
    </w:p>
    <w:p w14:paraId="1E00396B" w14:textId="77777777" w:rsidR="002A136F" w:rsidRPr="009513C6" w:rsidRDefault="002A136F" w:rsidP="002A136F">
      <w:pPr>
        <w:jc w:val="both"/>
        <w:rPr>
          <w:b/>
          <w:bCs/>
          <w:sz w:val="24"/>
          <w:szCs w:val="24"/>
        </w:rPr>
      </w:pPr>
      <w:r w:rsidRPr="009513C6">
        <w:rPr>
          <w:b/>
          <w:bCs/>
          <w:sz w:val="24"/>
          <w:szCs w:val="24"/>
        </w:rPr>
        <w:t>Task 4 Part B</w:t>
      </w:r>
    </w:p>
    <w:p w14:paraId="09A773D3" w14:textId="77777777" w:rsidR="002A136F" w:rsidRPr="009513C6" w:rsidRDefault="002A136F" w:rsidP="002A136F">
      <w:pPr>
        <w:jc w:val="both"/>
        <w:rPr>
          <w:sz w:val="24"/>
          <w:szCs w:val="24"/>
        </w:rPr>
      </w:pPr>
    </w:p>
    <w:p w14:paraId="781310BC" w14:textId="6B1C17BE" w:rsidR="002A136F" w:rsidRPr="009513C6" w:rsidRDefault="002A136F" w:rsidP="002A136F">
      <w:pPr>
        <w:jc w:val="both"/>
        <w:rPr>
          <w:sz w:val="24"/>
          <w:szCs w:val="24"/>
        </w:rPr>
      </w:pPr>
      <w:r w:rsidRPr="009513C6">
        <w:rPr>
          <w:sz w:val="24"/>
          <w:szCs w:val="24"/>
        </w:rPr>
        <w:t>Adult and Child Safeguarding in Wales is informed (primarily) by the same legislation (i.e., SSWBA2014), but there are distinct factors and explicit differences between how either is managed. The main differences between the rights of adults and children, which separate the two in the context of safeguarding, are ‘self-determination’ and ‘mental capacity</w:t>
      </w:r>
      <w:proofErr w:type="gramStart"/>
      <w:r w:rsidRPr="009513C6">
        <w:rPr>
          <w:sz w:val="24"/>
          <w:szCs w:val="24"/>
        </w:rPr>
        <w:t>’.</w:t>
      </w:r>
      <w:proofErr w:type="gramEnd"/>
      <w:r w:rsidRPr="009513C6">
        <w:rPr>
          <w:sz w:val="24"/>
          <w:szCs w:val="24"/>
        </w:rPr>
        <w:t xml:space="preserve"> At 18-years-old, a person in the UK is regarded as an adult and is privy to the same rights and autonomy as any other adult, but at 16-years-old the Mental Capacity Act </w:t>
      </w:r>
      <w:sdt>
        <w:sdtPr>
          <w:rPr>
            <w:sz w:val="24"/>
            <w:szCs w:val="24"/>
          </w:rPr>
          <w:id w:val="1323542526"/>
          <w:citation/>
        </w:sdtPr>
        <w:sdtContent>
          <w:r w:rsidRPr="009513C6">
            <w:rPr>
              <w:sz w:val="24"/>
              <w:szCs w:val="24"/>
            </w:rPr>
            <w:fldChar w:fldCharType="begin"/>
          </w:r>
          <w:r w:rsidRPr="009513C6">
            <w:rPr>
              <w:sz w:val="24"/>
              <w:szCs w:val="24"/>
            </w:rPr>
            <w:instrText xml:space="preserve">CITATION Placeholder5 \n  \l 2057 </w:instrText>
          </w:r>
          <w:r w:rsidRPr="009513C6">
            <w:rPr>
              <w:sz w:val="24"/>
              <w:szCs w:val="24"/>
            </w:rPr>
            <w:fldChar w:fldCharType="separate"/>
          </w:r>
          <w:r w:rsidR="00010B44" w:rsidRPr="00010B44">
            <w:rPr>
              <w:noProof/>
              <w:sz w:val="24"/>
              <w:szCs w:val="24"/>
            </w:rPr>
            <w:t>(2005)</w:t>
          </w:r>
          <w:r w:rsidRPr="009513C6">
            <w:rPr>
              <w:sz w:val="24"/>
              <w:szCs w:val="24"/>
            </w:rPr>
            <w:fldChar w:fldCharType="end"/>
          </w:r>
        </w:sdtContent>
      </w:sdt>
      <w:r w:rsidRPr="009513C6">
        <w:rPr>
          <w:sz w:val="24"/>
          <w:szCs w:val="24"/>
        </w:rPr>
        <w:t xml:space="preserve"> is applied and (with some limitations) a young person can be regarded as capacitated to make decisions about things that affect them. The Mental Capacity Act 2005 does not apply to those under 16-years-old, instead the Gillick competence (in some situations) can provide a framework for practitioners working with children and young people to assess their understanding of a subject when they express “strong wishes about their future living arrangements which may conflict with their parents' or carers' views” </w:t>
      </w:r>
      <w:sdt>
        <w:sdtPr>
          <w:rPr>
            <w:sz w:val="24"/>
            <w:szCs w:val="24"/>
          </w:rPr>
          <w:id w:val="-1789347540"/>
          <w:citation/>
        </w:sdtPr>
        <w:sdtContent>
          <w:r w:rsidRPr="009513C6">
            <w:rPr>
              <w:sz w:val="24"/>
              <w:szCs w:val="24"/>
            </w:rPr>
            <w:fldChar w:fldCharType="begin"/>
          </w:r>
          <w:r w:rsidRPr="009513C6">
            <w:rPr>
              <w:sz w:val="24"/>
              <w:szCs w:val="24"/>
            </w:rPr>
            <w:instrText xml:space="preserve">CITATION Placeholder6 \l 2057 </w:instrText>
          </w:r>
          <w:r w:rsidRPr="009513C6">
            <w:rPr>
              <w:sz w:val="24"/>
              <w:szCs w:val="24"/>
            </w:rPr>
            <w:fldChar w:fldCharType="separate"/>
          </w:r>
          <w:r w:rsidR="00010B44" w:rsidRPr="00010B44">
            <w:rPr>
              <w:noProof/>
              <w:sz w:val="24"/>
              <w:szCs w:val="24"/>
            </w:rPr>
            <w:t>(NSPCC (a), 2022)</w:t>
          </w:r>
          <w:r w:rsidRPr="009513C6">
            <w:rPr>
              <w:sz w:val="24"/>
              <w:szCs w:val="24"/>
            </w:rPr>
            <w:fldChar w:fldCharType="end"/>
          </w:r>
        </w:sdtContent>
      </w:sdt>
      <w:r w:rsidRPr="009513C6">
        <w:rPr>
          <w:sz w:val="24"/>
          <w:szCs w:val="24"/>
        </w:rPr>
        <w:t xml:space="preserve">. The Children Act </w:t>
      </w:r>
      <w:sdt>
        <w:sdtPr>
          <w:rPr>
            <w:sz w:val="24"/>
            <w:szCs w:val="24"/>
          </w:rPr>
          <w:id w:val="-704256060"/>
          <w:citation/>
        </w:sdtPr>
        <w:sdtContent>
          <w:r w:rsidRPr="009513C6">
            <w:rPr>
              <w:sz w:val="24"/>
              <w:szCs w:val="24"/>
            </w:rPr>
            <w:fldChar w:fldCharType="begin"/>
          </w:r>
          <w:r w:rsidRPr="009513C6">
            <w:rPr>
              <w:sz w:val="24"/>
              <w:szCs w:val="24"/>
            </w:rPr>
            <w:instrText xml:space="preserve">CITATION Placeholder7 \n  \l 2057 </w:instrText>
          </w:r>
          <w:r w:rsidRPr="009513C6">
            <w:rPr>
              <w:sz w:val="24"/>
              <w:szCs w:val="24"/>
            </w:rPr>
            <w:fldChar w:fldCharType="separate"/>
          </w:r>
          <w:r w:rsidR="00010B44" w:rsidRPr="00010B44">
            <w:rPr>
              <w:noProof/>
              <w:sz w:val="24"/>
              <w:szCs w:val="24"/>
            </w:rPr>
            <w:t>(1989)</w:t>
          </w:r>
          <w:r w:rsidRPr="009513C6">
            <w:rPr>
              <w:sz w:val="24"/>
              <w:szCs w:val="24"/>
            </w:rPr>
            <w:fldChar w:fldCharType="end"/>
          </w:r>
        </w:sdtContent>
      </w:sdt>
      <w:r w:rsidRPr="009513C6">
        <w:rPr>
          <w:sz w:val="24"/>
          <w:szCs w:val="24"/>
        </w:rPr>
        <w:t xml:space="preserve"> specifically addresses this under Section 43.8.</w:t>
      </w:r>
    </w:p>
    <w:p w14:paraId="0E75E726" w14:textId="77777777" w:rsidR="002A136F" w:rsidRPr="009513C6" w:rsidRDefault="002A136F" w:rsidP="002A136F">
      <w:pPr>
        <w:jc w:val="both"/>
        <w:rPr>
          <w:sz w:val="24"/>
          <w:szCs w:val="24"/>
        </w:rPr>
      </w:pPr>
    </w:p>
    <w:p w14:paraId="5C31512E" w14:textId="21515081" w:rsidR="002A136F" w:rsidRPr="009513C6" w:rsidRDefault="002A136F" w:rsidP="002A136F">
      <w:pPr>
        <w:jc w:val="both"/>
        <w:rPr>
          <w:sz w:val="24"/>
          <w:szCs w:val="24"/>
        </w:rPr>
      </w:pPr>
      <w:r w:rsidRPr="009513C6">
        <w:rPr>
          <w:sz w:val="24"/>
          <w:szCs w:val="24"/>
        </w:rPr>
        <w:t xml:space="preserve">If capacitated (under the Mental Capacity Act 2005), an adult who is experiencing some form of abuse or harm from another person in their life, can choose not to act or allow an intervention, that choice must be legally respected, however a person who is under 16-years old is unable to legally consent for themselves, this would usually be with the parent or guardian. Section 44 of the Children Act </w:t>
      </w:r>
      <w:sdt>
        <w:sdtPr>
          <w:rPr>
            <w:sz w:val="24"/>
            <w:szCs w:val="24"/>
          </w:rPr>
          <w:id w:val="-654846699"/>
          <w:citation/>
        </w:sdtPr>
        <w:sdtContent>
          <w:r w:rsidRPr="009513C6">
            <w:rPr>
              <w:sz w:val="24"/>
              <w:szCs w:val="24"/>
            </w:rPr>
            <w:fldChar w:fldCharType="begin"/>
          </w:r>
          <w:r w:rsidRPr="009513C6">
            <w:rPr>
              <w:sz w:val="24"/>
              <w:szCs w:val="24"/>
            </w:rPr>
            <w:instrText xml:space="preserve">CITATION Placeholder7 \n  \l 2057 </w:instrText>
          </w:r>
          <w:r w:rsidRPr="009513C6">
            <w:rPr>
              <w:sz w:val="24"/>
              <w:szCs w:val="24"/>
            </w:rPr>
            <w:fldChar w:fldCharType="separate"/>
          </w:r>
          <w:r w:rsidR="00010B44" w:rsidRPr="00010B44">
            <w:rPr>
              <w:noProof/>
              <w:sz w:val="24"/>
              <w:szCs w:val="24"/>
            </w:rPr>
            <w:t>(1989)</w:t>
          </w:r>
          <w:r w:rsidRPr="009513C6">
            <w:rPr>
              <w:sz w:val="24"/>
              <w:szCs w:val="24"/>
            </w:rPr>
            <w:fldChar w:fldCharType="end"/>
          </w:r>
        </w:sdtContent>
      </w:sdt>
      <w:r w:rsidRPr="009513C6">
        <w:rPr>
          <w:sz w:val="24"/>
          <w:szCs w:val="24"/>
        </w:rPr>
        <w:t>, provides practitioners with the power to override parental wishes and remove a child from a place of harm, if the criteria are met.</w:t>
      </w:r>
    </w:p>
    <w:p w14:paraId="6B042A46" w14:textId="77777777" w:rsidR="002A136F" w:rsidRPr="009513C6" w:rsidRDefault="002A136F" w:rsidP="002A136F">
      <w:pPr>
        <w:jc w:val="both"/>
        <w:rPr>
          <w:sz w:val="24"/>
          <w:szCs w:val="24"/>
        </w:rPr>
      </w:pPr>
    </w:p>
    <w:p w14:paraId="19D6B418" w14:textId="604B9E85" w:rsidR="002A136F" w:rsidRPr="009513C6" w:rsidRDefault="002A136F" w:rsidP="002A136F">
      <w:pPr>
        <w:jc w:val="both"/>
        <w:rPr>
          <w:sz w:val="24"/>
          <w:szCs w:val="24"/>
        </w:rPr>
      </w:pPr>
      <w:r w:rsidRPr="009513C6">
        <w:rPr>
          <w:sz w:val="24"/>
          <w:szCs w:val="24"/>
        </w:rPr>
        <w:t xml:space="preserve">While the SSWBA2014 deals with both adult and child safeguarding, additionally for child safeguarding, section 47 of the Children Act </w:t>
      </w:r>
      <w:sdt>
        <w:sdtPr>
          <w:rPr>
            <w:sz w:val="24"/>
            <w:szCs w:val="24"/>
          </w:rPr>
          <w:id w:val="-1818872591"/>
          <w:citation/>
        </w:sdtPr>
        <w:sdtContent>
          <w:r w:rsidRPr="009513C6">
            <w:rPr>
              <w:sz w:val="24"/>
              <w:szCs w:val="24"/>
            </w:rPr>
            <w:fldChar w:fldCharType="begin"/>
          </w:r>
          <w:r w:rsidR="00010B44">
            <w:rPr>
              <w:sz w:val="24"/>
              <w:szCs w:val="24"/>
            </w:rPr>
            <w:instrText xml:space="preserve">CITATION Placeholder7 \n  \l 2057 </w:instrText>
          </w:r>
          <w:r w:rsidRPr="009513C6">
            <w:rPr>
              <w:sz w:val="24"/>
              <w:szCs w:val="24"/>
            </w:rPr>
            <w:fldChar w:fldCharType="separate"/>
          </w:r>
          <w:r w:rsidR="00010B44" w:rsidRPr="00010B44">
            <w:rPr>
              <w:noProof/>
              <w:sz w:val="24"/>
              <w:szCs w:val="24"/>
            </w:rPr>
            <w:t>(1989)</w:t>
          </w:r>
          <w:r w:rsidRPr="009513C6">
            <w:rPr>
              <w:sz w:val="24"/>
              <w:szCs w:val="24"/>
            </w:rPr>
            <w:fldChar w:fldCharType="end"/>
          </w:r>
        </w:sdtContent>
      </w:sdt>
      <w:r w:rsidRPr="009513C6">
        <w:rPr>
          <w:sz w:val="24"/>
          <w:szCs w:val="24"/>
        </w:rPr>
        <w:t xml:space="preserve"> dictates the conditions and definitions for a Local Authority (LA) </w:t>
      </w:r>
      <w:r w:rsidR="00010B44">
        <w:rPr>
          <w:sz w:val="24"/>
          <w:szCs w:val="24"/>
        </w:rPr>
        <w:t xml:space="preserve">to </w:t>
      </w:r>
      <w:r w:rsidRPr="009513C6">
        <w:rPr>
          <w:sz w:val="24"/>
          <w:szCs w:val="24"/>
        </w:rPr>
        <w:t>identify a child ‘at risk’ and enact their safeguarding procedures, whereas the adult safeguarding conditions are entirely dictated in Part 7 of the SSWBA2014.</w:t>
      </w:r>
    </w:p>
    <w:p w14:paraId="5CC7CF83" w14:textId="77777777" w:rsidR="002A136F" w:rsidRPr="009513C6" w:rsidRDefault="002A136F" w:rsidP="002A136F">
      <w:pPr>
        <w:jc w:val="both"/>
        <w:rPr>
          <w:sz w:val="24"/>
          <w:szCs w:val="24"/>
        </w:rPr>
      </w:pPr>
    </w:p>
    <w:p w14:paraId="7870C9C6" w14:textId="15191AF6" w:rsidR="002A136F" w:rsidRPr="009513C6" w:rsidRDefault="002A136F" w:rsidP="002A136F">
      <w:pPr>
        <w:jc w:val="both"/>
        <w:rPr>
          <w:sz w:val="24"/>
          <w:szCs w:val="24"/>
        </w:rPr>
      </w:pPr>
      <w:r w:rsidRPr="009513C6">
        <w:rPr>
          <w:sz w:val="24"/>
          <w:szCs w:val="24"/>
        </w:rPr>
        <w:t xml:space="preserve">While both adults and children can experience the same types of abuse, but the trends in the ‘types’ of abuse which practitioners are expected to be aware of, differ from adults to children </w:t>
      </w:r>
      <w:sdt>
        <w:sdtPr>
          <w:rPr>
            <w:sz w:val="24"/>
            <w:szCs w:val="24"/>
          </w:rPr>
          <w:id w:val="419915551"/>
          <w:citation/>
        </w:sdtPr>
        <w:sdtContent>
          <w:r w:rsidRPr="009513C6">
            <w:rPr>
              <w:sz w:val="24"/>
              <w:szCs w:val="24"/>
            </w:rPr>
            <w:fldChar w:fldCharType="begin"/>
          </w:r>
          <w:r w:rsidRPr="009513C6">
            <w:rPr>
              <w:sz w:val="24"/>
              <w:szCs w:val="24"/>
            </w:rPr>
            <w:instrText xml:space="preserve">CITATION Wal24 \l 2057 </w:instrText>
          </w:r>
          <w:r w:rsidRPr="009513C6">
            <w:rPr>
              <w:sz w:val="24"/>
              <w:szCs w:val="24"/>
            </w:rPr>
            <w:fldChar w:fldCharType="separate"/>
          </w:r>
          <w:r w:rsidR="00010B44" w:rsidRPr="00010B44">
            <w:rPr>
              <w:noProof/>
              <w:sz w:val="24"/>
              <w:szCs w:val="24"/>
            </w:rPr>
            <w:t>(Wales Safeguarding Procedures (a), 2024)</w:t>
          </w:r>
          <w:r w:rsidRPr="009513C6">
            <w:rPr>
              <w:sz w:val="24"/>
              <w:szCs w:val="24"/>
            </w:rPr>
            <w:fldChar w:fldCharType="end"/>
          </w:r>
        </w:sdtContent>
      </w:sdt>
      <w:r w:rsidRPr="009513C6">
        <w:rPr>
          <w:sz w:val="24"/>
          <w:szCs w:val="24"/>
        </w:rPr>
        <w:t xml:space="preserve"> </w:t>
      </w:r>
      <w:sdt>
        <w:sdtPr>
          <w:rPr>
            <w:sz w:val="24"/>
            <w:szCs w:val="24"/>
          </w:rPr>
          <w:id w:val="174930559"/>
          <w:citation/>
        </w:sdtPr>
        <w:sdtContent>
          <w:r w:rsidRPr="009513C6">
            <w:rPr>
              <w:sz w:val="24"/>
              <w:szCs w:val="24"/>
            </w:rPr>
            <w:fldChar w:fldCharType="begin"/>
          </w:r>
          <w:r w:rsidRPr="009513C6">
            <w:rPr>
              <w:sz w:val="24"/>
              <w:szCs w:val="24"/>
            </w:rPr>
            <w:instrText xml:space="preserve">CITATION Poi24 \l 2057 </w:instrText>
          </w:r>
          <w:r w:rsidRPr="009513C6">
            <w:rPr>
              <w:sz w:val="24"/>
              <w:szCs w:val="24"/>
            </w:rPr>
            <w:fldChar w:fldCharType="separate"/>
          </w:r>
          <w:r w:rsidR="00010B44" w:rsidRPr="00010B44">
            <w:rPr>
              <w:noProof/>
              <w:sz w:val="24"/>
              <w:szCs w:val="24"/>
            </w:rPr>
            <w:t>(Wales Safeguarding Procedures (b), 2024)</w:t>
          </w:r>
          <w:r w:rsidRPr="009513C6">
            <w:rPr>
              <w:sz w:val="24"/>
              <w:szCs w:val="24"/>
            </w:rPr>
            <w:fldChar w:fldCharType="end"/>
          </w:r>
        </w:sdtContent>
      </w:sdt>
      <w:r w:rsidRPr="009513C6">
        <w:rPr>
          <w:sz w:val="24"/>
          <w:szCs w:val="24"/>
        </w:rPr>
        <w:t xml:space="preserve">. For example, financial abuse in children is less prevalent (or at least prevalently reported) than it is in adult safeguarding cases, with neglect being far more prevalent in children’s safeguarding </w:t>
      </w:r>
      <w:sdt>
        <w:sdtPr>
          <w:rPr>
            <w:sz w:val="24"/>
            <w:szCs w:val="24"/>
          </w:rPr>
          <w:id w:val="198435042"/>
          <w:citation/>
        </w:sdtPr>
        <w:sdtContent>
          <w:r w:rsidRPr="009513C6">
            <w:rPr>
              <w:sz w:val="24"/>
              <w:szCs w:val="24"/>
            </w:rPr>
            <w:fldChar w:fldCharType="begin"/>
          </w:r>
          <w:r w:rsidRPr="009513C6">
            <w:rPr>
              <w:sz w:val="24"/>
              <w:szCs w:val="24"/>
            </w:rPr>
            <w:instrText xml:space="preserve"> CITATION NSP21 \l 2057 </w:instrText>
          </w:r>
          <w:r w:rsidRPr="009513C6">
            <w:rPr>
              <w:sz w:val="24"/>
              <w:szCs w:val="24"/>
            </w:rPr>
            <w:fldChar w:fldCharType="separate"/>
          </w:r>
          <w:r w:rsidR="00010B44" w:rsidRPr="00010B44">
            <w:rPr>
              <w:noProof/>
              <w:sz w:val="24"/>
              <w:szCs w:val="24"/>
            </w:rPr>
            <w:t>(NSPCC (b), 2021)</w:t>
          </w:r>
          <w:r w:rsidRPr="009513C6">
            <w:rPr>
              <w:sz w:val="24"/>
              <w:szCs w:val="24"/>
            </w:rPr>
            <w:fldChar w:fldCharType="end"/>
          </w:r>
        </w:sdtContent>
      </w:sdt>
      <w:r w:rsidRPr="009513C6">
        <w:rPr>
          <w:sz w:val="24"/>
          <w:szCs w:val="24"/>
        </w:rPr>
        <w:t>.</w:t>
      </w:r>
    </w:p>
    <w:p w14:paraId="19F9B46E" w14:textId="77777777" w:rsidR="002A136F" w:rsidRPr="00563AB3" w:rsidRDefault="002A136F" w:rsidP="002A136F">
      <w:pPr>
        <w:jc w:val="both"/>
      </w:pPr>
    </w:p>
    <w:p w14:paraId="1B8BB169" w14:textId="24FE22B7" w:rsidR="002A136F" w:rsidRDefault="002A136F" w:rsidP="002A136F">
      <w:pPr>
        <w:jc w:val="both"/>
        <w:rPr>
          <w:sz w:val="24"/>
          <w:szCs w:val="24"/>
        </w:rPr>
      </w:pPr>
      <w:r>
        <w:rPr>
          <w:sz w:val="24"/>
          <w:szCs w:val="24"/>
        </w:rPr>
        <w:t>(41</w:t>
      </w:r>
      <w:r w:rsidR="00010B44">
        <w:rPr>
          <w:sz w:val="24"/>
          <w:szCs w:val="24"/>
        </w:rPr>
        <w:t>4</w:t>
      </w:r>
      <w:r>
        <w:rPr>
          <w:sz w:val="24"/>
          <w:szCs w:val="24"/>
        </w:rPr>
        <w:t xml:space="preserve"> Words)</w:t>
      </w:r>
    </w:p>
    <w:p w14:paraId="5921CDA1" w14:textId="77777777" w:rsidR="002A136F" w:rsidRDefault="002A136F" w:rsidP="002A136F">
      <w:pPr>
        <w:jc w:val="both"/>
        <w:rPr>
          <w:sz w:val="24"/>
          <w:szCs w:val="24"/>
        </w:rPr>
      </w:pPr>
    </w:p>
    <w:p w14:paraId="477FFB11" w14:textId="77777777" w:rsidR="002A136F" w:rsidRDefault="002A136F" w:rsidP="00FC0334">
      <w:pPr>
        <w:rPr>
          <w:sz w:val="24"/>
          <w:szCs w:val="24"/>
        </w:rPr>
      </w:pPr>
    </w:p>
    <w:sectPr w:rsidR="002A136F"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DC4412" w14:textId="77777777" w:rsidR="00F554ED" w:rsidRDefault="00F554ED">
      <w:r>
        <w:separator/>
      </w:r>
    </w:p>
  </w:endnote>
  <w:endnote w:type="continuationSeparator" w:id="0">
    <w:p w14:paraId="08A6B4D8" w14:textId="77777777" w:rsidR="00F554ED" w:rsidRDefault="00F55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DE597" w14:textId="77777777" w:rsidR="00F554ED" w:rsidRDefault="00F554ED">
      <w:r>
        <w:separator/>
      </w:r>
    </w:p>
  </w:footnote>
  <w:footnote w:type="continuationSeparator" w:id="0">
    <w:p w14:paraId="1446F46A" w14:textId="77777777" w:rsidR="00F554ED" w:rsidRDefault="00F55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B44"/>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57E3"/>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36F"/>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473B"/>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698A"/>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3AE"/>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16F5"/>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54ED"/>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795370">
      <w:bodyDiv w:val="1"/>
      <w:marLeft w:val="0"/>
      <w:marRight w:val="0"/>
      <w:marTop w:val="0"/>
      <w:marBottom w:val="0"/>
      <w:divBdr>
        <w:top w:val="none" w:sz="0" w:space="0" w:color="auto"/>
        <w:left w:val="none" w:sz="0" w:space="0" w:color="auto"/>
        <w:bottom w:val="none" w:sz="0" w:space="0" w:color="auto"/>
        <w:right w:val="none" w:sz="0" w:space="0" w:color="auto"/>
      </w:divBdr>
    </w:div>
    <w:div w:id="229267858">
      <w:bodyDiv w:val="1"/>
      <w:marLeft w:val="0"/>
      <w:marRight w:val="0"/>
      <w:marTop w:val="0"/>
      <w:marBottom w:val="0"/>
      <w:divBdr>
        <w:top w:val="none" w:sz="0" w:space="0" w:color="auto"/>
        <w:left w:val="none" w:sz="0" w:space="0" w:color="auto"/>
        <w:bottom w:val="none" w:sz="0" w:space="0" w:color="auto"/>
        <w:right w:val="none" w:sz="0" w:space="0" w:color="auto"/>
      </w:divBdr>
    </w:div>
    <w:div w:id="308436234">
      <w:bodyDiv w:val="1"/>
      <w:marLeft w:val="0"/>
      <w:marRight w:val="0"/>
      <w:marTop w:val="0"/>
      <w:marBottom w:val="0"/>
      <w:divBdr>
        <w:top w:val="none" w:sz="0" w:space="0" w:color="auto"/>
        <w:left w:val="none" w:sz="0" w:space="0" w:color="auto"/>
        <w:bottom w:val="none" w:sz="0" w:space="0" w:color="auto"/>
        <w:right w:val="none" w:sz="0" w:space="0" w:color="auto"/>
      </w:divBdr>
    </w:div>
    <w:div w:id="465052460">
      <w:bodyDiv w:val="1"/>
      <w:marLeft w:val="0"/>
      <w:marRight w:val="0"/>
      <w:marTop w:val="0"/>
      <w:marBottom w:val="0"/>
      <w:divBdr>
        <w:top w:val="none" w:sz="0" w:space="0" w:color="auto"/>
        <w:left w:val="none" w:sz="0" w:space="0" w:color="auto"/>
        <w:bottom w:val="none" w:sz="0" w:space="0" w:color="auto"/>
        <w:right w:val="none" w:sz="0" w:space="0" w:color="auto"/>
      </w:divBdr>
    </w:div>
    <w:div w:id="522322948">
      <w:bodyDiv w:val="1"/>
      <w:marLeft w:val="0"/>
      <w:marRight w:val="0"/>
      <w:marTop w:val="0"/>
      <w:marBottom w:val="0"/>
      <w:divBdr>
        <w:top w:val="none" w:sz="0" w:space="0" w:color="auto"/>
        <w:left w:val="none" w:sz="0" w:space="0" w:color="auto"/>
        <w:bottom w:val="none" w:sz="0" w:space="0" w:color="auto"/>
        <w:right w:val="none" w:sz="0" w:space="0" w:color="auto"/>
      </w:divBdr>
    </w:div>
    <w:div w:id="548809554">
      <w:bodyDiv w:val="1"/>
      <w:marLeft w:val="0"/>
      <w:marRight w:val="0"/>
      <w:marTop w:val="0"/>
      <w:marBottom w:val="0"/>
      <w:divBdr>
        <w:top w:val="none" w:sz="0" w:space="0" w:color="auto"/>
        <w:left w:val="none" w:sz="0" w:space="0" w:color="auto"/>
        <w:bottom w:val="none" w:sz="0" w:space="0" w:color="auto"/>
        <w:right w:val="none" w:sz="0" w:space="0" w:color="auto"/>
      </w:divBdr>
    </w:div>
    <w:div w:id="609554775">
      <w:bodyDiv w:val="1"/>
      <w:marLeft w:val="0"/>
      <w:marRight w:val="0"/>
      <w:marTop w:val="0"/>
      <w:marBottom w:val="0"/>
      <w:divBdr>
        <w:top w:val="none" w:sz="0" w:space="0" w:color="auto"/>
        <w:left w:val="none" w:sz="0" w:space="0" w:color="auto"/>
        <w:bottom w:val="none" w:sz="0" w:space="0" w:color="auto"/>
        <w:right w:val="none" w:sz="0" w:space="0" w:color="auto"/>
      </w:divBdr>
    </w:div>
    <w:div w:id="619263484">
      <w:bodyDiv w:val="1"/>
      <w:marLeft w:val="0"/>
      <w:marRight w:val="0"/>
      <w:marTop w:val="0"/>
      <w:marBottom w:val="0"/>
      <w:divBdr>
        <w:top w:val="none" w:sz="0" w:space="0" w:color="auto"/>
        <w:left w:val="none" w:sz="0" w:space="0" w:color="auto"/>
        <w:bottom w:val="none" w:sz="0" w:space="0" w:color="auto"/>
        <w:right w:val="none" w:sz="0" w:space="0" w:color="auto"/>
      </w:divBdr>
    </w:div>
    <w:div w:id="750584528">
      <w:bodyDiv w:val="1"/>
      <w:marLeft w:val="0"/>
      <w:marRight w:val="0"/>
      <w:marTop w:val="0"/>
      <w:marBottom w:val="0"/>
      <w:divBdr>
        <w:top w:val="none" w:sz="0" w:space="0" w:color="auto"/>
        <w:left w:val="none" w:sz="0" w:space="0" w:color="auto"/>
        <w:bottom w:val="none" w:sz="0" w:space="0" w:color="auto"/>
        <w:right w:val="none" w:sz="0" w:space="0" w:color="auto"/>
      </w:divBdr>
    </w:div>
    <w:div w:id="959721361">
      <w:bodyDiv w:val="1"/>
      <w:marLeft w:val="0"/>
      <w:marRight w:val="0"/>
      <w:marTop w:val="0"/>
      <w:marBottom w:val="0"/>
      <w:divBdr>
        <w:top w:val="none" w:sz="0" w:space="0" w:color="auto"/>
        <w:left w:val="none" w:sz="0" w:space="0" w:color="auto"/>
        <w:bottom w:val="none" w:sz="0" w:space="0" w:color="auto"/>
        <w:right w:val="none" w:sz="0" w:space="0" w:color="auto"/>
      </w:divBdr>
    </w:div>
    <w:div w:id="97884761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96099828">
      <w:bodyDiv w:val="1"/>
      <w:marLeft w:val="0"/>
      <w:marRight w:val="0"/>
      <w:marTop w:val="0"/>
      <w:marBottom w:val="0"/>
      <w:divBdr>
        <w:top w:val="none" w:sz="0" w:space="0" w:color="auto"/>
        <w:left w:val="none" w:sz="0" w:space="0" w:color="auto"/>
        <w:bottom w:val="none" w:sz="0" w:space="0" w:color="auto"/>
        <w:right w:val="none" w:sz="0" w:space="0" w:color="auto"/>
      </w:divBdr>
    </w:div>
    <w:div w:id="113826079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6401491">
      <w:bodyDiv w:val="1"/>
      <w:marLeft w:val="0"/>
      <w:marRight w:val="0"/>
      <w:marTop w:val="0"/>
      <w:marBottom w:val="0"/>
      <w:divBdr>
        <w:top w:val="none" w:sz="0" w:space="0" w:color="auto"/>
        <w:left w:val="none" w:sz="0" w:space="0" w:color="auto"/>
        <w:bottom w:val="none" w:sz="0" w:space="0" w:color="auto"/>
        <w:right w:val="none" w:sz="0" w:space="0" w:color="auto"/>
      </w:divBdr>
    </w:div>
    <w:div w:id="1505782800">
      <w:bodyDiv w:val="1"/>
      <w:marLeft w:val="0"/>
      <w:marRight w:val="0"/>
      <w:marTop w:val="0"/>
      <w:marBottom w:val="0"/>
      <w:divBdr>
        <w:top w:val="none" w:sz="0" w:space="0" w:color="auto"/>
        <w:left w:val="none" w:sz="0" w:space="0" w:color="auto"/>
        <w:bottom w:val="none" w:sz="0" w:space="0" w:color="auto"/>
        <w:right w:val="none" w:sz="0" w:space="0" w:color="auto"/>
      </w:divBdr>
    </w:div>
    <w:div w:id="1565290776">
      <w:bodyDiv w:val="1"/>
      <w:marLeft w:val="0"/>
      <w:marRight w:val="0"/>
      <w:marTop w:val="0"/>
      <w:marBottom w:val="0"/>
      <w:divBdr>
        <w:top w:val="none" w:sz="0" w:space="0" w:color="auto"/>
        <w:left w:val="none" w:sz="0" w:space="0" w:color="auto"/>
        <w:bottom w:val="none" w:sz="0" w:space="0" w:color="auto"/>
        <w:right w:val="none" w:sz="0" w:space="0" w:color="auto"/>
      </w:divBdr>
    </w:div>
    <w:div w:id="1605260985">
      <w:bodyDiv w:val="1"/>
      <w:marLeft w:val="0"/>
      <w:marRight w:val="0"/>
      <w:marTop w:val="0"/>
      <w:marBottom w:val="0"/>
      <w:divBdr>
        <w:top w:val="none" w:sz="0" w:space="0" w:color="auto"/>
        <w:left w:val="none" w:sz="0" w:space="0" w:color="auto"/>
        <w:bottom w:val="none" w:sz="0" w:space="0" w:color="auto"/>
        <w:right w:val="none" w:sz="0" w:space="0" w:color="auto"/>
      </w:divBdr>
    </w:div>
    <w:div w:id="1634560109">
      <w:bodyDiv w:val="1"/>
      <w:marLeft w:val="0"/>
      <w:marRight w:val="0"/>
      <w:marTop w:val="0"/>
      <w:marBottom w:val="0"/>
      <w:divBdr>
        <w:top w:val="none" w:sz="0" w:space="0" w:color="auto"/>
        <w:left w:val="none" w:sz="0" w:space="0" w:color="auto"/>
        <w:bottom w:val="none" w:sz="0" w:space="0" w:color="auto"/>
        <w:right w:val="none" w:sz="0" w:space="0" w:color="auto"/>
      </w:divBdr>
    </w:div>
    <w:div w:id="1822313064">
      <w:bodyDiv w:val="1"/>
      <w:marLeft w:val="0"/>
      <w:marRight w:val="0"/>
      <w:marTop w:val="0"/>
      <w:marBottom w:val="0"/>
      <w:divBdr>
        <w:top w:val="none" w:sz="0" w:space="0" w:color="auto"/>
        <w:left w:val="none" w:sz="0" w:space="0" w:color="auto"/>
        <w:bottom w:val="none" w:sz="0" w:space="0" w:color="auto"/>
        <w:right w:val="none" w:sz="0" w:space="0" w:color="auto"/>
      </w:divBdr>
    </w:div>
    <w:div w:id="20302509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943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The89</b:Tag>
    <b:SourceType>DocumentFromInternetSite</b:SourceType>
    <b:Guid>{449FDCB0-9662-4D4E-8519-1194DB5FA414}</b:Guid>
    <b:Title>Convention on the Rights of the Child</b:Title>
    <b:URL>https://www.unicef.org.uk/wp-content/uploads/2016/08/unicef-convention-rights-child-uncrc.pdf</b:URL>
    <b:Year>1989</b:Year>
    <b:Month>November</b:Month>
    <b:Day>20</b:Day>
    <b:YearAccessed>2024</b:YearAccessed>
    <b:MonthAccessed>January</b:MonthAccessed>
    <b:DayAccessed>14</b:DayAccessed>
    <b:Author>
      <b:Author>
        <b:Corporate>The United Nations</b:Corporate>
      </b:Author>
    </b:Author>
    <b:RefOrder>1</b:RefOrder>
  </b:Source>
  <b:Source>
    <b:Tag>Wel222</b:Tag>
    <b:SourceType>InternetSite</b:SourceType>
    <b:Guid>{01B752BA-D879-C541-9107-7213D752FE03}</b:Guid>
    <b:Title>Children's rights in Wales</b:Title>
    <b:URL>https://www.gov.wales/childrens-rights-in-wales#:~:text=United%20Nations%20Convention%20on%20the%20Rights%20of%20the%20Child%20(UNCRC),-The%20United%20Nations&amp;text=Children%20and%20young%20people%20aged,non%2Ddiscrimination%20(article%202)</b:URL>
    <b:Year>2022</b:Year>
    <b:Month>February </b:Month>
    <b:Day>2022</b:Day>
    <b:YearAccessed>2024</b:YearAccessed>
    <b:MonthAccessed>January</b:MonthAccessed>
    <b:DayAccessed>14</b:DayAccessed>
    <b:Author>
      <b:Author>
        <b:Corporate>Welsh Government (e)</b:Corporate>
      </b:Author>
    </b:Author>
    <b:RefOrder>2</b:RefOrder>
  </b:Source>
  <b:Source>
    <b:Tag>Rig11</b:Tag>
    <b:SourceType>DocumentFromInternetSite</b:SourceType>
    <b:Guid>{956C3721-05B6-254E-A767-F264FF2AF30B}</b:Guid>
    <b:Title>Rights of Children and Young Persons (Wales) Measure</b:Title>
    <b:URL>https://www.legislation.gov.uk/mwa/2011/2/contents</b:URL>
    <b:Year>2011</b:Year>
    <b:Month>January</b:Month>
    <b:Day>18</b:Day>
    <b:YearAccessed>2024</b:YearAccessed>
    <b:MonthAccessed>January</b:MonthAccessed>
    <b:DayAccessed>14</b:DayAccessed>
    <b:Author>
      <b:Author>
        <b:Corporate>National Assembly for Wales</b:Corporate>
      </b:Author>
    </b:Author>
    <b:RefOrder>3</b:RefOrder>
  </b:Source>
  <b:Source>
    <b:Tag>Placeholder4</b:Tag>
    <b:SourceType>InternetSite</b:SourceType>
    <b:Guid>{AD755AA5-FBBB-CB4B-ACA6-5AB2DD513295}</b:Guid>
    <b:Author>
      <b:Author>
        <b:Corporate>Welsh Government (f)</b:Corporate>
      </b:Author>
    </b:Author>
    <b:Title>Social Service and Well-being (Wales) Act</b:Title>
    <b:InternetSiteTitle>legislation.gov.uk</b:InternetSiteTitle>
    <b:URL>https://www.legislation.gov.uk/anaw/2014/4/contents</b:URL>
    <b:Year>2014</b:Year>
    <b:LCID>en-GB</b:LCID>
    <b:YearAccessed>2023</b:YearAccessed>
    <b:MonthAccessed>May</b:MonthAccessed>
    <b:DayAccessed>1</b:DayAccessed>
    <b:RefOrder>4</b:RefOrder>
  </b:Source>
  <b:Source>
    <b:Tag>Chi89</b:Tag>
    <b:SourceType>DocumentFromInternetSite</b:SourceType>
    <b:Guid>{D22AB850-3DB2-5B44-8BB5-A16E95206FAC}</b:Guid>
    <b:Title>Children Act</b:Title>
    <b:Year>1989</b:Year>
    <b:YearAccessed>2024</b:YearAccessed>
    <b:MonthAccessed>January</b:MonthAccessed>
    <b:DayAccessed>7</b:DayAccessed>
    <b:URL>https://www.legislation.gov.uk/ukpga/1989/41/contents</b:URL>
    <b:Author>
      <b:Author>
        <b:Corporate>UK Parliament</b:Corporate>
      </b:Author>
    </b:Author>
    <b:Month>November</b:Month>
    <b:Day>16</b:Day>
    <b:RefOrder>5</b:RefOrder>
  </b:Source>
  <b:Source>
    <b:Tag>Soc15</b:Tag>
    <b:SourceType>DocumentFromInternetSite</b:SourceType>
    <b:Guid>{54EF8A57-81A6-194D-93EF-3D920FFD29E0}</b:Guid>
    <b:Title> The Safeguarding Boards (Functions and Procedures) (Wales) Regulations</b:Title>
    <b:URL>https://www.legislation.gov.uk/wsi/2015/1466/introduction/made</b:URL>
    <b:Year>2015</b:Year>
    <b:Month>July</b:Month>
    <b:Day>1</b:Day>
    <b:YearAccessed>2024</b:YearAccessed>
    <b:MonthAccessed>January</b:MonthAccessed>
    <b:DayAccessed>7</b:DayAccessed>
    <b:Author>
      <b:Author>
        <b:Corporate>Social Care Wales</b:Corporate>
      </b:Author>
    </b:Author>
    <b:RefOrder>6</b:RefOrder>
  </b:Source>
  <b:Source>
    <b:Tag>Nat24</b:Tag>
    <b:SourceType>InternetSite</b:SourceType>
    <b:Guid>{6BAB9810-1BEC-5C4B-A09B-360027D0A7B3}</b:Guid>
    <b:Title>National Independent Safeguarding Board Wales</b:Title>
    <b:URL>https://safeguardingboard.wales</b:URL>
    <b:Year>2024</b:Year>
    <b:YearAccessed>2024</b:YearAccessed>
    <b:MonthAccessed>January</b:MonthAccessed>
    <b:DayAccessed>14</b:DayAccessed>
    <b:Author>
      <b:Author>
        <b:Corporate>National Independent Safeguarding Board</b:Corporate>
      </b:Author>
    </b:Author>
    <b:RefOrder>7</b:RefOrder>
  </b:Source>
  <b:Source>
    <b:Tag>Wor22</b:Tag>
    <b:SourceType>DocumentFromInternetSite</b:SourceType>
    <b:Guid>{066DDE80-6958-8240-98FE-40C7AFD1D3E9}</b:Guid>
    <b:Title>Working Together to Safeguard People: Code of Safeguarding Practice</b:Title>
    <b:URL>https://www.gov.wales/sites/default/files/publications/2022-01/working-together-to-safeguard-people--code-of-safeguarding-practice_0.pdf</b:URL>
    <b:Year>2022</b:Year>
    <b:Month>January</b:Month>
    <b:YearAccessed>2024</b:YearAccessed>
    <b:MonthAccessed>January</b:MonthAccessed>
    <b:DayAccessed>7</b:DayAccessed>
    <b:Author>
      <b:Author>
        <b:Corporate>Welsh Government (a)</b:Corporate>
      </b:Author>
    </b:Author>
    <b:RefOrder>8</b:RefOrder>
  </b:Source>
  <b:Source>
    <b:Tag>Wel24</b:Tag>
    <b:SourceType>InternetSite</b:SourceType>
    <b:Guid>{9A13E6BA-6560-7B4C-B392-52045D3C99A1}</b:Guid>
    <b:Title>Children and young people at risk of harm</b:Title>
    <b:URL>https://safeguarding.wales/en/chi-i/</b:URL>
    <b:Year>2024</b:Year>
    <b:YearAccessed>2024</b:YearAccessed>
    <b:MonthAccessed>January</b:MonthAccessed>
    <b:DayAccessed>14</b:DayAccessed>
    <b:Author>
      <b:Author>
        <b:Corporate>Welsh Government (g)</b:Corporate>
      </b:Author>
    </b:Author>
    <b:RefOrder>9</b:RefOrder>
  </b:Source>
  <b:Source>
    <b:Tag>NSP22</b:Tag>
    <b:SourceType>InternetSite</b:SourceType>
    <b:Guid>{9198EC8C-7FB5-2341-9350-AAA12C39A2E9}</b:Guid>
    <b:Title>Gillick competency and Fraser guidelines</b:Title>
    <b:URL>https://learning.nspcc.org.uk/child-protection-system/gillick-competence-fraser-guidelines/</b:URL>
    <b:Year>2022</b:Year>
    <b:YearAccessed>2024</b:YearAccessed>
    <b:MonthAccessed>January </b:MonthAccessed>
    <b:DayAccessed>16</b:DayAccessed>
    <b:Author>
      <b:Author>
        <b:Corporate>NSPCC</b:Corporate>
      </b:Author>
    </b:Author>
    <b:Month>August</b:Month>
    <b:Day>05</b:Day>
    <b:RefOrder>10</b:RefOrder>
  </b:Source>
  <b:Source>
    <b:Tag>Placeholder5</b:Tag>
    <b:SourceType>DocumentFromInternetSite</b:SourceType>
    <b:Guid>{62577BB4-D497-2E49-A573-29CC4C8F8D8D}</b:Guid>
    <b:Title>Mental Capacity Act</b:Title>
    <b:InternetSiteTitle>Legislation.gov.uk</b:InternetSiteTitle>
    <b:URL>https://www.legislation.gov.uk/ukpga/2005/9/contents?view=plain</b:URL>
    <b:Year>2005</b:Year>
    <b:Author>
      <b:Author>
        <b:Corporate>UK Parliament (a)</b:Corporate>
      </b:Author>
    </b:Author>
    <b:YearAccessed>2023</b:YearAccessed>
    <b:MonthAccessed>February</b:MonthAccessed>
    <b:DayAccessed>5</b:DayAccessed>
    <b:LCID>en-GB</b:LCID>
    <b:RefOrder>11</b:RefOrder>
  </b:Source>
  <b:Source>
    <b:Tag>Placeholder6</b:Tag>
    <b:SourceType>InternetSite</b:SourceType>
    <b:Guid>{7412B3B4-E146-E141-92D6-04FEDE3D8D79}</b:Guid>
    <b:Title>Gillick competency and Fraser guidelines</b:Title>
    <b:URL>https://learning.nspcc.org.uk/child-protection-system/gillick-competence-fraser-guidelines/</b:URL>
    <b:Year>2022</b:Year>
    <b:YearAccessed>2024</b:YearAccessed>
    <b:MonthAccessed>January</b:MonthAccessed>
    <b:DayAccessed>16</b:DayAccessed>
    <b:Author>
      <b:Author>
        <b:Corporate>NSPCC (a)</b:Corporate>
      </b:Author>
    </b:Author>
    <b:Month>August</b:Month>
    <b:Day>05</b:Day>
    <b:RefOrder>12</b:RefOrder>
  </b:Source>
  <b:Source>
    <b:Tag>Placeholder7</b:Tag>
    <b:SourceType>DocumentFromInternetSite</b:SourceType>
    <b:Guid>{8910C2FE-39D2-0C4E-8E4E-E04DB7C8CD0E}</b:Guid>
    <b:Title>Children Act</b:Title>
    <b:Year>1989</b:Year>
    <b:YearAccessed>2024</b:YearAccessed>
    <b:MonthAccessed>January</b:MonthAccessed>
    <b:DayAccessed>7</b:DayAccessed>
    <b:URL>https://www.legislation.gov.uk/ukpga/1989/41/contents</b:URL>
    <b:Author>
      <b:Author>
        <b:Corporate>UK Parliament (a)</b:Corporate>
      </b:Author>
    </b:Author>
    <b:Month>November</b:Month>
    <b:Day>16</b:Day>
    <b:RefOrder>13</b:RefOrder>
  </b:Source>
  <b:Source>
    <b:Tag>Wal24</b:Tag>
    <b:SourceType>InternetSite</b:SourceType>
    <b:Guid>{EDE0E17E-D2D7-8A4C-A51C-5D3CB31145CC}</b:Guid>
    <b:Title>Pointers for Practice: Identifying Children Who May Require Early Interventions Because of Vulnerability to Abuse and Neglect</b:Title>
    <b:URL>https://safeguarding.wales/en/chi-i/chi-i-cp/c1p-p4/</b:URL>
    <b:Year>2024</b:Year>
    <b:YearAccessed>2024</b:YearAccessed>
    <b:MonthAccessed>January</b:MonthAccessed>
    <b:DayAccessed>17</b:DayAccessed>
    <b:Author>
      <b:Author>
        <b:Corporate>Wales Safeguarding Procedures (a)</b:Corporate>
      </b:Author>
    </b:Author>
    <b:RefOrder>14</b:RefOrder>
  </b:Source>
  <b:Source>
    <b:Tag>Poi24</b:Tag>
    <b:SourceType>InternetSite</b:SourceType>
    <b:Guid>{6B22CAA6-BCFB-9B40-8C7E-61A692253FF2}</b:Guid>
    <b:Title>Pointers for Practice: Signs and Indicators of Possible Abuse and Neglect in an Adult at risk</b:Title>
    <b:URL>https://safeguarding.wales/en/adu-i/adu-i-ap/a1p-p2/</b:URL>
    <b:Year>2024</b:Year>
    <b:YearAccessed>2024</b:YearAccessed>
    <b:MonthAccessed>January</b:MonthAccessed>
    <b:DayAccessed>17</b:DayAccessed>
    <b:Author>
      <b:Author>
        <b:Corporate>Wales Safeguarding Procedures (b)</b:Corporate>
      </b:Author>
    </b:Author>
    <b:RefOrder>15</b:RefOrder>
  </b:Source>
  <b:Source>
    <b:Tag>NSP21</b:Tag>
    <b:SourceType>InternetSite</b:SourceType>
    <b:Guid>{1E56F4A9-ACE3-BC4A-95C9-B453CA3632F1}</b:Guid>
    <b:Title>Child neglect: statistics briefing</b:Title>
    <b:URL>https://learning.nspcc.org.uk/research-resources/statistics-briefings/child-neglect/#:~:text=Neglect%20is%20the%20most%20common,protection%20register%20in%20the%20UK.</b:URL>
    <b:Year>2021</b:Year>
    <b:YearAccessed>2024</b:YearAccessed>
    <b:MonthAccessed>January</b:MonthAccessed>
    <b:DayAccessed>22</b:DayAccessed>
    <b:Author>
      <b:Author>
        <b:Corporate>NSPCC (b)</b:Corporate>
      </b:Author>
    </b:Author>
    <b:RefOrder>16</b:RefOrder>
  </b:Source>
</b:Sourc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6AD53640-A50E-E14B-8EA6-B6AF7DCC8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1193</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David Langley (0951604)</cp:lastModifiedBy>
  <cp:revision>3</cp:revision>
  <cp:lastPrinted>2020-02-11T19:20:00Z</cp:lastPrinted>
  <dcterms:created xsi:type="dcterms:W3CDTF">2024-10-07T10:13:00Z</dcterms:created>
  <dcterms:modified xsi:type="dcterms:W3CDTF">2024-10-07T17:48:00Z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