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A44410" w14:textId="77777777" w:rsidR="00FE3FA9" w:rsidRPr="002A6355" w:rsidRDefault="00A02277" w:rsidP="00E01640">
      <w:pPr>
        <w:spacing w:after="60" w:line="360" w:lineRule="auto"/>
        <w:rPr>
          <w:color w:val="000000" w:themeColor="text1"/>
        </w:rPr>
      </w:pPr>
      <w:r w:rsidRPr="002A6355">
        <w:rPr>
          <w:rFonts w:ascii="Arial" w:eastAsia="Arial" w:hAnsi="Arial" w:cs="Arial"/>
          <w:color w:val="000000" w:themeColor="text1"/>
          <w:sz w:val="22"/>
          <w:szCs w:val="22"/>
        </w:rPr>
        <w:t>Course: BSc (Hons) Health and Social Care</w:t>
      </w:r>
    </w:p>
    <w:p w14:paraId="1BD3E4AB" w14:textId="77777777" w:rsidR="00FE3FA9" w:rsidRPr="002A6355" w:rsidRDefault="00A02277" w:rsidP="00E01640">
      <w:pPr>
        <w:spacing w:after="60" w:line="360" w:lineRule="auto"/>
        <w:rPr>
          <w:color w:val="000000" w:themeColor="text1"/>
        </w:rPr>
      </w:pPr>
      <w:r w:rsidRPr="002A6355">
        <w:rPr>
          <w:rFonts w:ascii="Arial" w:eastAsia="Arial" w:hAnsi="Arial" w:cs="Arial"/>
          <w:color w:val="000000" w:themeColor="text1"/>
          <w:sz w:val="22"/>
          <w:szCs w:val="22"/>
        </w:rPr>
        <w:t>Module: Independent Project (BMHP6020_BIRM)</w:t>
      </w:r>
    </w:p>
    <w:p w14:paraId="2AF83935" w14:textId="77777777" w:rsidR="00FE3FA9" w:rsidRPr="002A6355" w:rsidRDefault="00A02277" w:rsidP="00E01640">
      <w:pPr>
        <w:spacing w:after="200" w:line="360" w:lineRule="auto"/>
        <w:rPr>
          <w:color w:val="000000" w:themeColor="text1"/>
        </w:rPr>
      </w:pPr>
      <w:r w:rsidRPr="002A6355">
        <w:rPr>
          <w:rFonts w:ascii="Arial" w:eastAsia="Arial" w:hAnsi="Arial" w:cs="Arial"/>
          <w:color w:val="000000" w:themeColor="text1"/>
          <w:sz w:val="22"/>
          <w:szCs w:val="22"/>
        </w:rPr>
        <w:t>Component 1: Element 1 - Project Proposal</w:t>
      </w:r>
    </w:p>
    <w:p w14:paraId="0FB76BDE" w14:textId="6017D920" w:rsidR="00FE3FA9" w:rsidRPr="002A6355" w:rsidRDefault="00A02277" w:rsidP="00E01640">
      <w:pPr>
        <w:spacing w:after="60" w:line="360" w:lineRule="auto"/>
        <w:rPr>
          <w:color w:val="000000" w:themeColor="text1"/>
        </w:rPr>
      </w:pPr>
      <w:r w:rsidRPr="002A6355">
        <w:rPr>
          <w:rFonts w:ascii="Arial" w:eastAsia="Arial" w:hAnsi="Arial" w:cs="Arial"/>
          <w:b/>
          <w:bCs/>
          <w:color w:val="000000" w:themeColor="text1"/>
          <w:sz w:val="22"/>
          <w:szCs w:val="22"/>
        </w:rPr>
        <w:t xml:space="preserve">Student ID: </w:t>
      </w:r>
      <w:r w:rsidR="009F7A0C">
        <w:rPr>
          <w:rFonts w:ascii="Arial" w:eastAsia="Arial" w:hAnsi="Arial" w:cs="Arial"/>
          <w:b/>
          <w:bCs/>
          <w:color w:val="000000" w:themeColor="text1"/>
          <w:sz w:val="22"/>
          <w:szCs w:val="22"/>
        </w:rPr>
        <w:t>2208014</w:t>
      </w:r>
    </w:p>
    <w:p w14:paraId="0AB1CD50" w14:textId="386860B1" w:rsidR="00FE3FA9" w:rsidRPr="002A6355" w:rsidRDefault="00A02277" w:rsidP="00E01640">
      <w:pPr>
        <w:spacing w:after="200" w:line="360" w:lineRule="auto"/>
        <w:rPr>
          <w:color w:val="000000" w:themeColor="text1"/>
        </w:rPr>
      </w:pPr>
      <w:r w:rsidRPr="002A6355">
        <w:rPr>
          <w:rFonts w:ascii="Arial" w:eastAsia="Arial" w:hAnsi="Arial" w:cs="Arial"/>
          <w:b/>
          <w:bCs/>
          <w:color w:val="000000" w:themeColor="text1"/>
          <w:sz w:val="22"/>
          <w:szCs w:val="22"/>
        </w:rPr>
        <w:t>Student Name:</w:t>
      </w:r>
      <w:r w:rsidR="009770C3">
        <w:rPr>
          <w:rFonts w:ascii="Arial" w:eastAsia="Arial" w:hAnsi="Arial" w:cs="Arial"/>
          <w:b/>
          <w:bCs/>
          <w:color w:val="000000" w:themeColor="text1"/>
          <w:sz w:val="22"/>
          <w:szCs w:val="22"/>
        </w:rPr>
        <w:t>Sarra</w:t>
      </w:r>
      <w:r w:rsidRPr="002A6355">
        <w:rPr>
          <w:rFonts w:ascii="Arial" w:eastAsia="Arial" w:hAnsi="Arial" w:cs="Arial"/>
          <w:b/>
          <w:bCs/>
          <w:color w:val="000000" w:themeColor="text1"/>
          <w:sz w:val="22"/>
          <w:szCs w:val="22"/>
        </w:rPr>
        <w:t xml:space="preserve"> </w:t>
      </w:r>
      <w:r w:rsidR="009770C3">
        <w:rPr>
          <w:rFonts w:ascii="Arial" w:eastAsia="Arial" w:hAnsi="Arial" w:cs="Arial"/>
          <w:b/>
          <w:bCs/>
          <w:color w:val="000000" w:themeColor="text1"/>
          <w:sz w:val="22"/>
          <w:szCs w:val="22"/>
        </w:rPr>
        <w:t>Fadl</w:t>
      </w:r>
    </w:p>
    <w:p w14:paraId="621E293D" w14:textId="77777777" w:rsidR="00FE3FA9" w:rsidRPr="002A6355" w:rsidRDefault="00A02277" w:rsidP="00E01640">
      <w:pPr>
        <w:pBdr>
          <w:bottom w:val="single" w:sz="8" w:space="4" w:color="1F3864"/>
        </w:pBdr>
        <w:spacing w:before="120" w:after="200" w:line="360" w:lineRule="auto"/>
        <w:jc w:val="center"/>
        <w:rPr>
          <w:color w:val="000000" w:themeColor="text1"/>
        </w:rPr>
      </w:pPr>
      <w:r w:rsidRPr="002A6355">
        <w:rPr>
          <w:rFonts w:ascii="Arial" w:eastAsia="Arial" w:hAnsi="Arial" w:cs="Arial"/>
          <w:b/>
          <w:bCs/>
          <w:color w:val="000000" w:themeColor="text1"/>
          <w:sz w:val="32"/>
          <w:szCs w:val="32"/>
        </w:rPr>
        <w:t>Element 1 - Project Proposal</w:t>
      </w:r>
    </w:p>
    <w:p w14:paraId="3A20E553" w14:textId="77777777" w:rsidR="00FE3FA9" w:rsidRPr="002A6355" w:rsidRDefault="00A02277" w:rsidP="00E01640">
      <w:pPr>
        <w:spacing w:after="160" w:line="360" w:lineRule="auto"/>
        <w:rPr>
          <w:color w:val="000000" w:themeColor="text1"/>
        </w:rPr>
      </w:pPr>
      <w:r w:rsidRPr="002A6355">
        <w:rPr>
          <w:rFonts w:ascii="Arial" w:eastAsia="Arial" w:hAnsi="Arial" w:cs="Arial"/>
          <w:b/>
          <w:bCs/>
          <w:color w:val="000000" w:themeColor="text1"/>
          <w:sz w:val="22"/>
          <w:szCs w:val="22"/>
        </w:rPr>
        <w:t xml:space="preserve">My project title: </w:t>
      </w:r>
      <w:r w:rsidRPr="002A6355">
        <w:rPr>
          <w:rFonts w:ascii="Arial" w:eastAsia="Arial" w:hAnsi="Arial" w:cs="Arial"/>
          <w:color w:val="000000" w:themeColor="text1"/>
          <w:sz w:val="22"/>
          <w:szCs w:val="22"/>
        </w:rPr>
        <w:t>The Impact of Mental Health Conditions on the Wellbeing and Quality of Life of Older People in Birmingham, UK: A Secondary Research Review</w:t>
      </w:r>
    </w:p>
    <w:p w14:paraId="1B0A64AA" w14:textId="77777777" w:rsidR="00FE3FA9" w:rsidRPr="002A6355" w:rsidRDefault="00A02277" w:rsidP="00E01640">
      <w:pPr>
        <w:keepNext/>
        <w:spacing w:before="240" w:after="100" w:line="360" w:lineRule="auto"/>
        <w:rPr>
          <w:color w:val="000000" w:themeColor="text1"/>
        </w:rPr>
      </w:pPr>
      <w:r w:rsidRPr="002A6355">
        <w:rPr>
          <w:rFonts w:ascii="Arial" w:eastAsia="Arial" w:hAnsi="Arial" w:cs="Arial"/>
          <w:b/>
          <w:bCs/>
          <w:color w:val="000000" w:themeColor="text1"/>
          <w:sz w:val="24"/>
          <w:szCs w:val="24"/>
        </w:rPr>
        <w:t>1) Aim:</w:t>
      </w:r>
    </w:p>
    <w:p w14:paraId="4188E625" w14:textId="4198CCC1" w:rsidR="000A6FA1" w:rsidRPr="002A6355" w:rsidRDefault="00A02277" w:rsidP="00E01640">
      <w:pPr>
        <w:spacing w:after="120" w:line="360" w:lineRule="auto"/>
        <w:rPr>
          <w:rFonts w:ascii="Arial" w:eastAsia="Arial" w:hAnsi="Arial" w:cs="Arial"/>
          <w:color w:val="000000" w:themeColor="text1"/>
          <w:sz w:val="22"/>
          <w:szCs w:val="22"/>
        </w:rPr>
      </w:pPr>
      <w:r w:rsidRPr="002A6355">
        <w:rPr>
          <w:rFonts w:ascii="Arial" w:eastAsia="Arial" w:hAnsi="Arial" w:cs="Arial"/>
          <w:color w:val="000000" w:themeColor="text1"/>
          <w:sz w:val="22"/>
          <w:szCs w:val="22"/>
        </w:rPr>
        <w:t>To</w:t>
      </w:r>
      <w:r w:rsidR="000A6FA1" w:rsidRPr="002A6355">
        <w:rPr>
          <w:rFonts w:ascii="Arial" w:eastAsia="Arial" w:hAnsi="Arial" w:cs="Arial"/>
          <w:color w:val="000000" w:themeColor="text1"/>
          <w:sz w:val="22"/>
          <w:szCs w:val="22"/>
        </w:rPr>
        <w:t xml:space="preserve"> To critically examine the impact of common mental health conditions on the wellbeing, independence and quality of life of older people aged 65 and over in Birmingham, UK and to identify how better to respond to these.</w:t>
      </w:r>
    </w:p>
    <w:p w14:paraId="3BF1F920" w14:textId="77777777" w:rsidR="000A6FA1" w:rsidRPr="002A6355" w:rsidRDefault="000A6FA1" w:rsidP="00E01640">
      <w:pPr>
        <w:spacing w:after="120" w:line="360" w:lineRule="auto"/>
        <w:rPr>
          <w:rFonts w:ascii="Arial" w:eastAsia="Arial" w:hAnsi="Arial" w:cs="Arial"/>
          <w:color w:val="000000" w:themeColor="text1"/>
          <w:sz w:val="22"/>
          <w:szCs w:val="22"/>
        </w:rPr>
      </w:pPr>
      <w:r w:rsidRPr="00AA3B9F">
        <w:rPr>
          <w:rFonts w:ascii="Arial" w:eastAsia="Arial" w:hAnsi="Arial" w:cs="Arial"/>
          <w:b/>
          <w:bCs/>
          <w:color w:val="000000" w:themeColor="text1"/>
          <w:sz w:val="22"/>
          <w:szCs w:val="22"/>
        </w:rPr>
        <w:t>2) Objectives</w:t>
      </w:r>
      <w:r w:rsidRPr="002A6355">
        <w:rPr>
          <w:rFonts w:ascii="Arial" w:eastAsia="Arial" w:hAnsi="Arial" w:cs="Arial"/>
          <w:color w:val="000000" w:themeColor="text1"/>
          <w:sz w:val="22"/>
          <w:szCs w:val="22"/>
        </w:rPr>
        <w:t>:</w:t>
      </w:r>
    </w:p>
    <w:p w14:paraId="4CEF18BD" w14:textId="77777777" w:rsidR="000A6FA1" w:rsidRPr="002A6355" w:rsidRDefault="000A6FA1" w:rsidP="00E01640">
      <w:pPr>
        <w:spacing w:after="120" w:line="360" w:lineRule="auto"/>
        <w:rPr>
          <w:rFonts w:ascii="Arial" w:eastAsia="Arial" w:hAnsi="Arial" w:cs="Arial"/>
          <w:color w:val="000000" w:themeColor="text1"/>
          <w:sz w:val="22"/>
          <w:szCs w:val="22"/>
        </w:rPr>
      </w:pPr>
      <w:r w:rsidRPr="002A6355">
        <w:rPr>
          <w:rFonts w:ascii="Arial" w:eastAsia="Arial" w:hAnsi="Arial" w:cs="Arial"/>
          <w:color w:val="000000" w:themeColor="text1"/>
          <w:sz w:val="22"/>
          <w:szCs w:val="22"/>
        </w:rPr>
        <w:t>To describe and explore the key mental health disorders of older people and the demographic, social and economic landscape of ageing in Birmingham.</w:t>
      </w:r>
    </w:p>
    <w:p w14:paraId="0B94FBE1" w14:textId="77777777" w:rsidR="000A6FA1" w:rsidRPr="002A6355" w:rsidRDefault="000A6FA1" w:rsidP="00E01640">
      <w:pPr>
        <w:spacing w:after="120" w:line="360" w:lineRule="auto"/>
        <w:rPr>
          <w:rFonts w:ascii="Arial" w:eastAsia="Arial" w:hAnsi="Arial" w:cs="Arial"/>
          <w:color w:val="000000" w:themeColor="text1"/>
          <w:sz w:val="22"/>
          <w:szCs w:val="22"/>
        </w:rPr>
      </w:pPr>
      <w:r w:rsidRPr="002A6355">
        <w:rPr>
          <w:rFonts w:ascii="Arial" w:eastAsia="Arial" w:hAnsi="Arial" w:cs="Arial"/>
          <w:color w:val="000000" w:themeColor="text1"/>
          <w:sz w:val="22"/>
          <w:szCs w:val="22"/>
        </w:rPr>
        <w:t>Discuss the impact of poor mental health on the physical, social and emotional functioning of older people, such as isolation, ageing alone and provision of services.</w:t>
      </w:r>
    </w:p>
    <w:p w14:paraId="6D8FABD2" w14:textId="77777777" w:rsidR="000A6FA1" w:rsidRPr="002A6355" w:rsidRDefault="000A6FA1" w:rsidP="00E01640">
      <w:pPr>
        <w:spacing w:after="120" w:line="360" w:lineRule="auto"/>
        <w:rPr>
          <w:rFonts w:ascii="Arial" w:eastAsia="Arial" w:hAnsi="Arial" w:cs="Arial"/>
          <w:color w:val="000000" w:themeColor="text1"/>
          <w:sz w:val="22"/>
          <w:szCs w:val="22"/>
        </w:rPr>
      </w:pPr>
      <w:r w:rsidRPr="002A6355">
        <w:rPr>
          <w:rFonts w:ascii="Arial" w:eastAsia="Arial" w:hAnsi="Arial" w:cs="Arial"/>
          <w:color w:val="000000" w:themeColor="text1"/>
          <w:sz w:val="22"/>
          <w:szCs w:val="22"/>
        </w:rPr>
        <w:t>Review existing policy, services and community support in Birmingham and to identify any issues that are barriers e.g. stigma, cultural diversity and inequality etc.</w:t>
      </w:r>
    </w:p>
    <w:p w14:paraId="3BBF8343" w14:textId="77777777" w:rsidR="000A6FA1" w:rsidRPr="002A6355" w:rsidRDefault="000A6FA1" w:rsidP="00E01640">
      <w:pPr>
        <w:spacing w:after="120" w:line="360" w:lineRule="auto"/>
        <w:rPr>
          <w:rFonts w:ascii="Arial" w:eastAsia="Arial" w:hAnsi="Arial" w:cs="Arial"/>
          <w:color w:val="000000" w:themeColor="text1"/>
          <w:sz w:val="22"/>
          <w:szCs w:val="22"/>
        </w:rPr>
      </w:pPr>
      <w:r w:rsidRPr="002A6355">
        <w:rPr>
          <w:rFonts w:ascii="Arial" w:eastAsia="Arial" w:hAnsi="Arial" w:cs="Arial"/>
          <w:color w:val="000000" w:themeColor="text1"/>
          <w:sz w:val="22"/>
          <w:szCs w:val="22"/>
        </w:rPr>
        <w:t>Make suggestions for health and social care practice and further research.</w:t>
      </w:r>
    </w:p>
    <w:p w14:paraId="3D1B7170" w14:textId="77777777" w:rsidR="000A6FA1" w:rsidRPr="00AA3B9F" w:rsidRDefault="000A6FA1" w:rsidP="00E01640">
      <w:pPr>
        <w:spacing w:after="120" w:line="360" w:lineRule="auto"/>
        <w:rPr>
          <w:rFonts w:ascii="Arial" w:eastAsia="Arial" w:hAnsi="Arial" w:cs="Arial"/>
          <w:b/>
          <w:bCs/>
          <w:color w:val="000000" w:themeColor="text1"/>
          <w:sz w:val="22"/>
          <w:szCs w:val="22"/>
        </w:rPr>
      </w:pPr>
      <w:r w:rsidRPr="00AA3B9F">
        <w:rPr>
          <w:rFonts w:ascii="Arial" w:eastAsia="Arial" w:hAnsi="Arial" w:cs="Arial"/>
          <w:b/>
          <w:bCs/>
          <w:color w:val="000000" w:themeColor="text1"/>
          <w:sz w:val="22"/>
          <w:szCs w:val="22"/>
        </w:rPr>
        <w:t>3) Background/Rationale:</w:t>
      </w:r>
    </w:p>
    <w:p w14:paraId="60DBB632" w14:textId="208871B1" w:rsidR="000A6FA1" w:rsidRPr="002A6355" w:rsidRDefault="000A6FA1" w:rsidP="00E01640">
      <w:pPr>
        <w:spacing w:after="120" w:line="360" w:lineRule="auto"/>
        <w:rPr>
          <w:rFonts w:ascii="Arial" w:eastAsia="Arial" w:hAnsi="Arial" w:cs="Arial"/>
          <w:color w:val="000000" w:themeColor="text1"/>
          <w:sz w:val="22"/>
          <w:szCs w:val="22"/>
        </w:rPr>
      </w:pPr>
      <w:r w:rsidRPr="002A6355">
        <w:rPr>
          <w:rFonts w:ascii="Arial" w:eastAsia="Arial" w:hAnsi="Arial" w:cs="Arial"/>
          <w:color w:val="000000" w:themeColor="text1"/>
          <w:sz w:val="22"/>
          <w:szCs w:val="22"/>
        </w:rPr>
        <w:t>Mental health issues are common in late life and often not identified, and may be confused with being part of the normal ageing process. Depression, anxiety and dementia can affect a person's independence, their sense of loneliness, physical health and health and social care needs. Older people can also experience bereavement, long-term illness and a decreased mobility, making them vulnerable. Poor</w:t>
      </w:r>
      <w:r w:rsidR="00E01640">
        <w:rPr>
          <w:rFonts w:ascii="Arial" w:eastAsia="Arial" w:hAnsi="Arial" w:cs="Arial"/>
          <w:color w:val="000000" w:themeColor="text1"/>
          <w:sz w:val="22"/>
          <w:szCs w:val="22"/>
        </w:rPr>
        <w:t xml:space="preserve"> mental </w:t>
      </w:r>
      <w:r w:rsidRPr="002A6355">
        <w:rPr>
          <w:rFonts w:ascii="Arial" w:eastAsia="Arial" w:hAnsi="Arial" w:cs="Arial"/>
          <w:color w:val="000000" w:themeColor="text1"/>
          <w:sz w:val="22"/>
          <w:szCs w:val="22"/>
        </w:rPr>
        <w:t>and physical health outcomes have been linked to loneliness and social isolation (Cacioppo and Hawkley, 2009; Holt-Lunstad, Smith and Layton, 2010); and depression and less social contact are recognized modifiable risk factors for dementia (Livingston et al., 2020).</w:t>
      </w:r>
    </w:p>
    <w:p w14:paraId="67E97434" w14:textId="77777777" w:rsidR="000A6FA1" w:rsidRPr="002A6355" w:rsidRDefault="000A6FA1" w:rsidP="00E01640">
      <w:pPr>
        <w:spacing w:after="120" w:line="360" w:lineRule="auto"/>
        <w:rPr>
          <w:rFonts w:ascii="Arial" w:eastAsia="Arial" w:hAnsi="Arial" w:cs="Arial"/>
          <w:color w:val="000000" w:themeColor="text1"/>
          <w:sz w:val="22"/>
          <w:szCs w:val="22"/>
        </w:rPr>
      </w:pPr>
      <w:r w:rsidRPr="002A6355">
        <w:rPr>
          <w:rFonts w:ascii="Arial" w:eastAsia="Arial" w:hAnsi="Arial" w:cs="Arial"/>
          <w:color w:val="000000" w:themeColor="text1"/>
          <w:sz w:val="22"/>
          <w:szCs w:val="22"/>
        </w:rPr>
        <w:t>Birmingham is the biggest local authority in the UK, with its population being very diverse and there being high levels of deprivation. These factors influence the mental health of older people and the timeliness of their access to help, especially for minority ethnic groups who may experience stigma and language and cultural barriers that delay seeking help (Mukadam, Cooper and Livingston, 2011). Prevention and person-centred care are emphasised in policies, including the Care Act 2014 and the NHS Long Term Plan. But evidence specific to older people in Birmingham seems to be isolated. While there is evidence that group based and participatory interventions are more effective at reducing isolation (Cattan et al., 2005), this project will utilise existing evidence to fill this void.</w:t>
      </w:r>
    </w:p>
    <w:p w14:paraId="021BD925" w14:textId="77777777" w:rsidR="000A6FA1" w:rsidRPr="002A6355" w:rsidRDefault="000A6FA1" w:rsidP="00E01640">
      <w:pPr>
        <w:spacing w:after="120" w:line="360" w:lineRule="auto"/>
        <w:rPr>
          <w:rFonts w:ascii="Arial" w:eastAsia="Arial" w:hAnsi="Arial" w:cs="Arial"/>
          <w:color w:val="000000" w:themeColor="text1"/>
          <w:sz w:val="22"/>
          <w:szCs w:val="22"/>
        </w:rPr>
      </w:pPr>
      <w:r w:rsidRPr="00AA3B9F">
        <w:rPr>
          <w:rFonts w:ascii="Arial" w:eastAsia="Arial" w:hAnsi="Arial" w:cs="Arial"/>
          <w:b/>
          <w:bCs/>
          <w:color w:val="000000" w:themeColor="text1"/>
          <w:sz w:val="22"/>
          <w:szCs w:val="22"/>
        </w:rPr>
        <w:t>4) Methods</w:t>
      </w:r>
      <w:r w:rsidRPr="002A6355">
        <w:rPr>
          <w:rFonts w:ascii="Arial" w:eastAsia="Arial" w:hAnsi="Arial" w:cs="Arial"/>
          <w:color w:val="000000" w:themeColor="text1"/>
          <w:sz w:val="22"/>
          <w:szCs w:val="22"/>
        </w:rPr>
        <w:t>:</w:t>
      </w:r>
    </w:p>
    <w:p w14:paraId="7BD5F8E5" w14:textId="77777777" w:rsidR="00DC4940" w:rsidRPr="002A6355" w:rsidRDefault="000A6FA1" w:rsidP="00E01640">
      <w:pPr>
        <w:spacing w:after="120" w:line="360" w:lineRule="auto"/>
        <w:rPr>
          <w:rFonts w:ascii="Arial" w:eastAsia="Arial" w:hAnsi="Arial" w:cs="Arial"/>
          <w:color w:val="000000" w:themeColor="text1"/>
          <w:sz w:val="22"/>
          <w:szCs w:val="22"/>
        </w:rPr>
      </w:pPr>
      <w:r w:rsidRPr="002A6355">
        <w:rPr>
          <w:rFonts w:ascii="Arial" w:eastAsia="Arial" w:hAnsi="Arial" w:cs="Arial"/>
          <w:color w:val="000000" w:themeColor="text1"/>
          <w:sz w:val="22"/>
          <w:szCs w:val="22"/>
        </w:rPr>
        <w:t>This project will rely heavily on secondary research, based on peer reviewed journal articles, government and NHS policy documents, Office for National Statistics data, Birmingham City Council reports and third sector publications (such as Age UK, Mind). Clear criteria for selection of sources will be: It has to be published in the last 10 years, it will have to be relevant to adults aged 65+, it will have to be UK-based or transferable, and it will have to be from a credible, peer-reviewed or official source. Thematic analysis will be used for data analysis, which involves identifying themes within the findings and making comparisons between the findings from different studies. Ethical standards are those that involve providing accurate Harvard referencing, avoiding plagiarism, representing sources fairly and ensuring that no identifiable personal data is used.</w:t>
      </w:r>
    </w:p>
    <w:p w14:paraId="68A54D6A" w14:textId="7382CBEB" w:rsidR="00FE3FA9" w:rsidRPr="002A6355" w:rsidRDefault="00A02277" w:rsidP="00E01640">
      <w:pPr>
        <w:spacing w:after="120" w:line="360" w:lineRule="auto"/>
        <w:rPr>
          <w:color w:val="000000" w:themeColor="text1"/>
        </w:rPr>
      </w:pPr>
      <w:r w:rsidRPr="002A6355">
        <w:rPr>
          <w:rFonts w:ascii="Arial" w:eastAsia="Arial" w:hAnsi="Arial" w:cs="Arial"/>
          <w:b/>
          <w:bCs/>
          <w:color w:val="000000" w:themeColor="text1"/>
          <w:sz w:val="24"/>
          <w:szCs w:val="24"/>
        </w:rPr>
        <w:t>5) Resources:</w:t>
      </w:r>
    </w:p>
    <w:p w14:paraId="2897D62B" w14:textId="77777777" w:rsidR="00FE3FA9" w:rsidRPr="002A6355" w:rsidRDefault="00A02277" w:rsidP="00E01640">
      <w:pPr>
        <w:pStyle w:val="ListParagraph"/>
        <w:numPr>
          <w:ilvl w:val="0"/>
          <w:numId w:val="2"/>
        </w:numPr>
        <w:spacing w:after="60" w:line="360" w:lineRule="auto"/>
        <w:rPr>
          <w:color w:val="000000" w:themeColor="text1"/>
        </w:rPr>
      </w:pPr>
      <w:r w:rsidRPr="002A6355">
        <w:rPr>
          <w:rFonts w:ascii="Arial" w:eastAsia="Arial" w:hAnsi="Arial" w:cs="Arial"/>
          <w:color w:val="000000" w:themeColor="text1"/>
          <w:sz w:val="22"/>
          <w:szCs w:val="22"/>
        </w:rPr>
        <w:t>Online databases: CINAHL, PubMed, Google Scholar and Social Care Online</w:t>
      </w:r>
    </w:p>
    <w:p w14:paraId="63FFF05B" w14:textId="77777777" w:rsidR="00FE3FA9" w:rsidRPr="002A6355" w:rsidRDefault="00A02277" w:rsidP="00E01640">
      <w:pPr>
        <w:pStyle w:val="ListParagraph"/>
        <w:numPr>
          <w:ilvl w:val="0"/>
          <w:numId w:val="2"/>
        </w:numPr>
        <w:spacing w:after="60" w:line="360" w:lineRule="auto"/>
        <w:rPr>
          <w:color w:val="000000" w:themeColor="text1"/>
        </w:rPr>
      </w:pPr>
      <w:r w:rsidRPr="002A6355">
        <w:rPr>
          <w:rFonts w:ascii="Arial" w:eastAsia="Arial" w:hAnsi="Arial" w:cs="Arial"/>
          <w:color w:val="000000" w:themeColor="text1"/>
          <w:sz w:val="22"/>
          <w:szCs w:val="22"/>
        </w:rPr>
        <w:t>University library and e-resources; NHS, ONS and Birmingham City Council websites</w:t>
      </w:r>
    </w:p>
    <w:p w14:paraId="6CB4D0DC" w14:textId="77777777" w:rsidR="00FE3FA9" w:rsidRPr="002A6355" w:rsidRDefault="00A02277" w:rsidP="00E01640">
      <w:pPr>
        <w:pStyle w:val="ListParagraph"/>
        <w:numPr>
          <w:ilvl w:val="0"/>
          <w:numId w:val="2"/>
        </w:numPr>
        <w:spacing w:after="60" w:line="360" w:lineRule="auto"/>
        <w:rPr>
          <w:color w:val="000000" w:themeColor="text1"/>
        </w:rPr>
      </w:pPr>
      <w:r w:rsidRPr="002A6355">
        <w:rPr>
          <w:rFonts w:ascii="Arial" w:eastAsia="Arial" w:hAnsi="Arial" w:cs="Arial"/>
          <w:color w:val="000000" w:themeColor="text1"/>
          <w:sz w:val="22"/>
          <w:szCs w:val="22"/>
        </w:rPr>
        <w:t>Referencing software (Zotero/Mendeley) and Microsoft Word/Excel for organising themes</w:t>
      </w:r>
    </w:p>
    <w:p w14:paraId="6FBD8726" w14:textId="77777777" w:rsidR="00FE3FA9" w:rsidRPr="002A6355" w:rsidRDefault="00A02277" w:rsidP="00E01640">
      <w:pPr>
        <w:keepNext/>
        <w:spacing w:before="240" w:after="100" w:line="360" w:lineRule="auto"/>
        <w:rPr>
          <w:color w:val="000000" w:themeColor="text1"/>
        </w:rPr>
      </w:pPr>
      <w:r w:rsidRPr="002A6355">
        <w:rPr>
          <w:rFonts w:ascii="Arial" w:eastAsia="Arial" w:hAnsi="Arial" w:cs="Arial"/>
          <w:b/>
          <w:bCs/>
          <w:color w:val="000000" w:themeColor="text1"/>
          <w:sz w:val="24"/>
          <w:szCs w:val="24"/>
        </w:rPr>
        <w:t>6) Timescale:</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800"/>
        <w:gridCol w:w="7560"/>
      </w:tblGrid>
      <w:tr w:rsidR="002A6355" w:rsidRPr="002A6355" w14:paraId="1EBCB176" w14:textId="77777777">
        <w:tc>
          <w:tcPr>
            <w:tcW w:w="1800" w:type="dxa"/>
            <w:tcBorders>
              <w:top w:val="single" w:sz="4" w:space="0" w:color="999999"/>
              <w:left w:val="single" w:sz="4" w:space="0" w:color="999999"/>
              <w:bottom w:val="single" w:sz="4" w:space="0" w:color="999999"/>
              <w:right w:val="single" w:sz="4" w:space="0" w:color="999999"/>
            </w:tcBorders>
            <w:shd w:val="clear" w:color="auto" w:fill="D9E2F3"/>
            <w:tcMar>
              <w:top w:w="60" w:type="dxa"/>
              <w:left w:w="100" w:type="dxa"/>
              <w:bottom w:w="60" w:type="dxa"/>
              <w:right w:w="100" w:type="dxa"/>
            </w:tcMar>
          </w:tcPr>
          <w:p w14:paraId="54F6A6FA" w14:textId="77777777" w:rsidR="00FE3FA9" w:rsidRPr="002A6355" w:rsidRDefault="00A02277" w:rsidP="00E01640">
            <w:pPr>
              <w:spacing w:line="360" w:lineRule="auto"/>
              <w:rPr>
                <w:color w:val="000000" w:themeColor="text1"/>
              </w:rPr>
            </w:pPr>
            <w:r w:rsidRPr="002A6355">
              <w:rPr>
                <w:rFonts w:ascii="Arial" w:eastAsia="Arial" w:hAnsi="Arial" w:cs="Arial"/>
                <w:b/>
                <w:bCs/>
                <w:color w:val="000000" w:themeColor="text1"/>
                <w:sz w:val="21"/>
                <w:szCs w:val="21"/>
              </w:rPr>
              <w:t>Weeks</w:t>
            </w:r>
          </w:p>
        </w:tc>
        <w:tc>
          <w:tcPr>
            <w:tcW w:w="7560" w:type="dxa"/>
            <w:tcBorders>
              <w:top w:val="single" w:sz="4" w:space="0" w:color="999999"/>
              <w:left w:val="single" w:sz="4" w:space="0" w:color="999999"/>
              <w:bottom w:val="single" w:sz="4" w:space="0" w:color="999999"/>
              <w:right w:val="single" w:sz="4" w:space="0" w:color="999999"/>
            </w:tcBorders>
            <w:shd w:val="clear" w:color="auto" w:fill="D9E2F3"/>
            <w:tcMar>
              <w:top w:w="60" w:type="dxa"/>
              <w:left w:w="100" w:type="dxa"/>
              <w:bottom w:w="60" w:type="dxa"/>
              <w:right w:w="100" w:type="dxa"/>
            </w:tcMar>
          </w:tcPr>
          <w:p w14:paraId="1570AD80" w14:textId="77777777" w:rsidR="00FE3FA9" w:rsidRPr="002A6355" w:rsidRDefault="00A02277" w:rsidP="00E01640">
            <w:pPr>
              <w:spacing w:line="360" w:lineRule="auto"/>
              <w:rPr>
                <w:color w:val="000000" w:themeColor="text1"/>
              </w:rPr>
            </w:pPr>
            <w:r w:rsidRPr="002A6355">
              <w:rPr>
                <w:rFonts w:ascii="Arial" w:eastAsia="Arial" w:hAnsi="Arial" w:cs="Arial"/>
                <w:b/>
                <w:bCs/>
                <w:color w:val="000000" w:themeColor="text1"/>
                <w:sz w:val="21"/>
                <w:szCs w:val="21"/>
              </w:rPr>
              <w:t>Key stage</w:t>
            </w:r>
          </w:p>
        </w:tc>
      </w:tr>
      <w:tr w:rsidR="002A6355" w:rsidRPr="002A6355" w14:paraId="132268BC" w14:textId="77777777">
        <w:tc>
          <w:tcPr>
            <w:tcW w:w="18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tcPr>
          <w:p w14:paraId="47F0CAEB" w14:textId="77777777" w:rsidR="00FE3FA9" w:rsidRPr="002A6355" w:rsidRDefault="00A02277" w:rsidP="00E01640">
            <w:pPr>
              <w:spacing w:line="360" w:lineRule="auto"/>
              <w:rPr>
                <w:color w:val="000000" w:themeColor="text1"/>
              </w:rPr>
            </w:pPr>
            <w:r w:rsidRPr="002A6355">
              <w:rPr>
                <w:rFonts w:ascii="Arial" w:eastAsia="Arial" w:hAnsi="Arial" w:cs="Arial"/>
                <w:color w:val="000000" w:themeColor="text1"/>
                <w:sz w:val="21"/>
                <w:szCs w:val="21"/>
              </w:rPr>
              <w:t>1–2</w:t>
            </w:r>
          </w:p>
        </w:tc>
        <w:tc>
          <w:tcPr>
            <w:tcW w:w="756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tcPr>
          <w:p w14:paraId="7BA5650C" w14:textId="77777777" w:rsidR="00FE3FA9" w:rsidRPr="002A6355" w:rsidRDefault="00A02277" w:rsidP="00E01640">
            <w:pPr>
              <w:spacing w:line="360" w:lineRule="auto"/>
              <w:rPr>
                <w:color w:val="000000" w:themeColor="text1"/>
              </w:rPr>
            </w:pPr>
            <w:r w:rsidRPr="002A6355">
              <w:rPr>
                <w:rFonts w:ascii="Arial" w:eastAsia="Arial" w:hAnsi="Arial" w:cs="Arial"/>
                <w:color w:val="000000" w:themeColor="text1"/>
                <w:sz w:val="21"/>
                <w:szCs w:val="21"/>
              </w:rPr>
              <w:t>Finalise topic and literature search strategy</w:t>
            </w:r>
          </w:p>
        </w:tc>
      </w:tr>
      <w:tr w:rsidR="002A6355" w:rsidRPr="002A6355" w14:paraId="3F0980EF" w14:textId="77777777">
        <w:tc>
          <w:tcPr>
            <w:tcW w:w="18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tcPr>
          <w:p w14:paraId="2A18B303" w14:textId="77777777" w:rsidR="00FE3FA9" w:rsidRPr="002A6355" w:rsidRDefault="00A02277" w:rsidP="00E01640">
            <w:pPr>
              <w:spacing w:line="360" w:lineRule="auto"/>
              <w:rPr>
                <w:color w:val="000000" w:themeColor="text1"/>
              </w:rPr>
            </w:pPr>
            <w:r w:rsidRPr="002A6355">
              <w:rPr>
                <w:rFonts w:ascii="Arial" w:eastAsia="Arial" w:hAnsi="Arial" w:cs="Arial"/>
                <w:color w:val="000000" w:themeColor="text1"/>
                <w:sz w:val="21"/>
                <w:szCs w:val="21"/>
              </w:rPr>
              <w:t>3–5</w:t>
            </w:r>
          </w:p>
        </w:tc>
        <w:tc>
          <w:tcPr>
            <w:tcW w:w="756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tcPr>
          <w:p w14:paraId="10985535" w14:textId="77777777" w:rsidR="00FE3FA9" w:rsidRPr="002A6355" w:rsidRDefault="00A02277" w:rsidP="00E01640">
            <w:pPr>
              <w:spacing w:line="360" w:lineRule="auto"/>
              <w:rPr>
                <w:color w:val="000000" w:themeColor="text1"/>
              </w:rPr>
            </w:pPr>
            <w:r w:rsidRPr="002A6355">
              <w:rPr>
                <w:rFonts w:ascii="Arial" w:eastAsia="Arial" w:hAnsi="Arial" w:cs="Arial"/>
                <w:color w:val="000000" w:themeColor="text1"/>
                <w:sz w:val="21"/>
                <w:szCs w:val="21"/>
              </w:rPr>
              <w:t>Search, screen and select sources</w:t>
            </w:r>
          </w:p>
        </w:tc>
      </w:tr>
      <w:tr w:rsidR="002A6355" w:rsidRPr="002A6355" w14:paraId="2BE3E347" w14:textId="77777777">
        <w:tc>
          <w:tcPr>
            <w:tcW w:w="18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tcPr>
          <w:p w14:paraId="6AA430E1" w14:textId="77777777" w:rsidR="00FE3FA9" w:rsidRPr="002A6355" w:rsidRDefault="00A02277" w:rsidP="00E01640">
            <w:pPr>
              <w:spacing w:line="360" w:lineRule="auto"/>
              <w:rPr>
                <w:color w:val="000000" w:themeColor="text1"/>
              </w:rPr>
            </w:pPr>
            <w:r w:rsidRPr="002A6355">
              <w:rPr>
                <w:rFonts w:ascii="Arial" w:eastAsia="Arial" w:hAnsi="Arial" w:cs="Arial"/>
                <w:color w:val="000000" w:themeColor="text1"/>
                <w:sz w:val="21"/>
                <w:szCs w:val="21"/>
              </w:rPr>
              <w:t>6–9</w:t>
            </w:r>
          </w:p>
        </w:tc>
        <w:tc>
          <w:tcPr>
            <w:tcW w:w="756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tcPr>
          <w:p w14:paraId="37F422B2" w14:textId="77777777" w:rsidR="00FE3FA9" w:rsidRPr="002A6355" w:rsidRDefault="00A02277" w:rsidP="00E01640">
            <w:pPr>
              <w:spacing w:line="360" w:lineRule="auto"/>
              <w:rPr>
                <w:color w:val="000000" w:themeColor="text1"/>
              </w:rPr>
            </w:pPr>
            <w:r w:rsidRPr="002A6355">
              <w:rPr>
                <w:rFonts w:ascii="Arial" w:eastAsia="Arial" w:hAnsi="Arial" w:cs="Arial"/>
                <w:color w:val="000000" w:themeColor="text1"/>
                <w:sz w:val="21"/>
                <w:szCs w:val="21"/>
              </w:rPr>
              <w:t>Analyse and identify themes</w:t>
            </w:r>
          </w:p>
        </w:tc>
      </w:tr>
      <w:tr w:rsidR="002A6355" w:rsidRPr="002A6355" w14:paraId="495FFD9F" w14:textId="77777777">
        <w:tc>
          <w:tcPr>
            <w:tcW w:w="180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tcPr>
          <w:p w14:paraId="6092E1C0" w14:textId="77777777" w:rsidR="00FE3FA9" w:rsidRPr="002A6355" w:rsidRDefault="00A02277" w:rsidP="00E01640">
            <w:pPr>
              <w:spacing w:line="360" w:lineRule="auto"/>
              <w:rPr>
                <w:color w:val="000000" w:themeColor="text1"/>
              </w:rPr>
            </w:pPr>
            <w:r w:rsidRPr="002A6355">
              <w:rPr>
                <w:rFonts w:ascii="Arial" w:eastAsia="Arial" w:hAnsi="Arial" w:cs="Arial"/>
                <w:color w:val="000000" w:themeColor="text1"/>
                <w:sz w:val="21"/>
                <w:szCs w:val="21"/>
              </w:rPr>
              <w:t>10–12</w:t>
            </w:r>
          </w:p>
        </w:tc>
        <w:tc>
          <w:tcPr>
            <w:tcW w:w="7560" w:type="dxa"/>
            <w:tcBorders>
              <w:top w:val="single" w:sz="4" w:space="0" w:color="999999"/>
              <w:left w:val="single" w:sz="4" w:space="0" w:color="999999"/>
              <w:bottom w:val="single" w:sz="4" w:space="0" w:color="999999"/>
              <w:right w:val="single" w:sz="4" w:space="0" w:color="999999"/>
            </w:tcBorders>
            <w:tcMar>
              <w:top w:w="60" w:type="dxa"/>
              <w:left w:w="100" w:type="dxa"/>
              <w:bottom w:w="60" w:type="dxa"/>
              <w:right w:w="100" w:type="dxa"/>
            </w:tcMar>
          </w:tcPr>
          <w:p w14:paraId="7DEB5D1C" w14:textId="77777777" w:rsidR="00FE3FA9" w:rsidRPr="002A6355" w:rsidRDefault="00A02277" w:rsidP="00E01640">
            <w:pPr>
              <w:spacing w:line="360" w:lineRule="auto"/>
              <w:rPr>
                <w:color w:val="000000" w:themeColor="text1"/>
              </w:rPr>
            </w:pPr>
            <w:r w:rsidRPr="002A6355">
              <w:rPr>
                <w:rFonts w:ascii="Arial" w:eastAsia="Arial" w:hAnsi="Arial" w:cs="Arial"/>
                <w:color w:val="000000" w:themeColor="text1"/>
                <w:sz w:val="21"/>
                <w:szCs w:val="21"/>
              </w:rPr>
              <w:t>Write, edit, reference and submit</w:t>
            </w:r>
          </w:p>
        </w:tc>
      </w:tr>
    </w:tbl>
    <w:p w14:paraId="02919FBF" w14:textId="77777777" w:rsidR="00FE3FA9" w:rsidRPr="002A6355" w:rsidRDefault="00FE3FA9" w:rsidP="00E01640">
      <w:pPr>
        <w:spacing w:after="60" w:line="360" w:lineRule="auto"/>
        <w:rPr>
          <w:color w:val="000000" w:themeColor="text1"/>
        </w:rPr>
      </w:pPr>
    </w:p>
    <w:p w14:paraId="27AA13D7" w14:textId="77777777" w:rsidR="00FE3FA9" w:rsidRPr="002A6355" w:rsidRDefault="00A02277" w:rsidP="00E01640">
      <w:pPr>
        <w:keepNext/>
        <w:spacing w:before="240" w:after="100" w:line="360" w:lineRule="auto"/>
        <w:rPr>
          <w:color w:val="000000" w:themeColor="text1"/>
        </w:rPr>
      </w:pPr>
      <w:r w:rsidRPr="002A6355">
        <w:rPr>
          <w:rFonts w:ascii="Arial" w:eastAsia="Arial" w:hAnsi="Arial" w:cs="Arial"/>
          <w:b/>
          <w:bCs/>
          <w:color w:val="000000" w:themeColor="text1"/>
          <w:sz w:val="24"/>
          <w:szCs w:val="24"/>
        </w:rPr>
        <w:t>7) Self-reflection as researcher (any strengths or challenges):</w:t>
      </w:r>
    </w:p>
    <w:p w14:paraId="42C7F474" w14:textId="77777777" w:rsidR="00FE3FA9" w:rsidRDefault="00A02277" w:rsidP="00E01640">
      <w:pPr>
        <w:spacing w:after="120" w:line="360" w:lineRule="auto"/>
        <w:rPr>
          <w:rFonts w:ascii="Arial" w:eastAsia="Arial" w:hAnsi="Arial" w:cs="Arial"/>
          <w:color w:val="000000" w:themeColor="text1"/>
          <w:sz w:val="22"/>
          <w:szCs w:val="22"/>
        </w:rPr>
      </w:pPr>
      <w:r w:rsidRPr="002A6355">
        <w:rPr>
          <w:rFonts w:ascii="Arial" w:eastAsia="Arial" w:hAnsi="Arial" w:cs="Arial"/>
          <w:color w:val="000000" w:themeColor="text1"/>
          <w:sz w:val="22"/>
          <w:szCs w:val="22"/>
        </w:rPr>
        <w:t>My strengths include organisation, research skills and an interest in older people's wellbeing. Challenges include critically appraising large volumes of evidence, limited Birmingham-specific data and maintaining objectivity on a sensitive topic. I aim to strengthen my critical analysis and academic writing, using supervisor feedback and university study support.</w:t>
      </w:r>
    </w:p>
    <w:p w14:paraId="2D101EB7" w14:textId="77777777" w:rsidR="00F771F0" w:rsidRDefault="00F771F0" w:rsidP="00E01640">
      <w:pPr>
        <w:spacing w:after="120" w:line="360" w:lineRule="auto"/>
        <w:rPr>
          <w:rFonts w:ascii="Arial" w:eastAsia="Arial" w:hAnsi="Arial" w:cs="Arial"/>
          <w:color w:val="000000" w:themeColor="text1"/>
          <w:sz w:val="22"/>
          <w:szCs w:val="22"/>
        </w:rPr>
      </w:pPr>
    </w:p>
    <w:p w14:paraId="194BA13C" w14:textId="77777777" w:rsidR="00F771F0" w:rsidRDefault="00F771F0" w:rsidP="00E01640">
      <w:pPr>
        <w:spacing w:after="120" w:line="360" w:lineRule="auto"/>
        <w:rPr>
          <w:rFonts w:ascii="Arial" w:eastAsia="Arial" w:hAnsi="Arial" w:cs="Arial"/>
          <w:color w:val="000000" w:themeColor="text1"/>
          <w:sz w:val="22"/>
          <w:szCs w:val="22"/>
        </w:rPr>
      </w:pPr>
    </w:p>
    <w:p w14:paraId="7F6DF7B4" w14:textId="77777777" w:rsidR="00F771F0" w:rsidRDefault="00F771F0" w:rsidP="00E01640">
      <w:pPr>
        <w:spacing w:after="120" w:line="360" w:lineRule="auto"/>
        <w:rPr>
          <w:rFonts w:ascii="Arial" w:eastAsia="Arial" w:hAnsi="Arial" w:cs="Arial"/>
          <w:color w:val="000000" w:themeColor="text1"/>
          <w:sz w:val="22"/>
          <w:szCs w:val="22"/>
        </w:rPr>
      </w:pPr>
    </w:p>
    <w:p w14:paraId="6EF1CA23" w14:textId="77777777" w:rsidR="00F771F0" w:rsidRDefault="00F771F0" w:rsidP="00E01640">
      <w:pPr>
        <w:spacing w:after="120" w:line="360" w:lineRule="auto"/>
        <w:rPr>
          <w:rFonts w:ascii="Arial" w:eastAsia="Arial" w:hAnsi="Arial" w:cs="Arial"/>
          <w:color w:val="000000" w:themeColor="text1"/>
          <w:sz w:val="22"/>
          <w:szCs w:val="22"/>
        </w:rPr>
      </w:pPr>
    </w:p>
    <w:p w14:paraId="769CEFF8" w14:textId="77777777" w:rsidR="00F771F0" w:rsidRDefault="00F771F0" w:rsidP="00E01640">
      <w:pPr>
        <w:spacing w:after="120" w:line="360" w:lineRule="auto"/>
        <w:rPr>
          <w:rFonts w:ascii="Arial" w:eastAsia="Arial" w:hAnsi="Arial" w:cs="Arial"/>
          <w:color w:val="000000" w:themeColor="text1"/>
          <w:sz w:val="22"/>
          <w:szCs w:val="22"/>
        </w:rPr>
      </w:pPr>
    </w:p>
    <w:p w14:paraId="3952AB28" w14:textId="77777777" w:rsidR="00F771F0" w:rsidRDefault="00F771F0" w:rsidP="00E01640">
      <w:pPr>
        <w:spacing w:after="120" w:line="360" w:lineRule="auto"/>
        <w:rPr>
          <w:rFonts w:ascii="Arial" w:eastAsia="Arial" w:hAnsi="Arial" w:cs="Arial"/>
          <w:color w:val="000000" w:themeColor="text1"/>
          <w:sz w:val="22"/>
          <w:szCs w:val="22"/>
        </w:rPr>
      </w:pPr>
    </w:p>
    <w:p w14:paraId="5DB1B798" w14:textId="77777777" w:rsidR="00F771F0" w:rsidRDefault="00F771F0" w:rsidP="00E01640">
      <w:pPr>
        <w:spacing w:after="120" w:line="360" w:lineRule="auto"/>
        <w:rPr>
          <w:rFonts w:ascii="Arial" w:eastAsia="Arial" w:hAnsi="Arial" w:cs="Arial"/>
          <w:color w:val="000000" w:themeColor="text1"/>
          <w:sz w:val="22"/>
          <w:szCs w:val="22"/>
        </w:rPr>
      </w:pPr>
    </w:p>
    <w:p w14:paraId="10B7E409" w14:textId="77777777" w:rsidR="00F771F0" w:rsidRDefault="00F771F0" w:rsidP="00E01640">
      <w:pPr>
        <w:spacing w:after="120" w:line="360" w:lineRule="auto"/>
        <w:rPr>
          <w:rFonts w:ascii="Arial" w:eastAsia="Arial" w:hAnsi="Arial" w:cs="Arial"/>
          <w:color w:val="000000" w:themeColor="text1"/>
          <w:sz w:val="22"/>
          <w:szCs w:val="22"/>
        </w:rPr>
      </w:pPr>
    </w:p>
    <w:p w14:paraId="059C473C" w14:textId="77777777" w:rsidR="00F771F0" w:rsidRDefault="00F771F0" w:rsidP="00E01640">
      <w:pPr>
        <w:spacing w:after="120" w:line="360" w:lineRule="auto"/>
        <w:rPr>
          <w:rFonts w:ascii="Arial" w:eastAsia="Arial" w:hAnsi="Arial" w:cs="Arial"/>
          <w:color w:val="000000" w:themeColor="text1"/>
          <w:sz w:val="22"/>
          <w:szCs w:val="22"/>
        </w:rPr>
      </w:pPr>
    </w:p>
    <w:p w14:paraId="6A5AA6BD" w14:textId="77777777" w:rsidR="00F771F0" w:rsidRDefault="00F771F0" w:rsidP="00E01640">
      <w:pPr>
        <w:spacing w:after="120" w:line="360" w:lineRule="auto"/>
        <w:rPr>
          <w:rFonts w:ascii="Arial" w:eastAsia="Arial" w:hAnsi="Arial" w:cs="Arial"/>
          <w:color w:val="000000" w:themeColor="text1"/>
          <w:sz w:val="22"/>
          <w:szCs w:val="22"/>
        </w:rPr>
      </w:pPr>
    </w:p>
    <w:p w14:paraId="611D26B7" w14:textId="77777777" w:rsidR="00F771F0" w:rsidRDefault="00F771F0" w:rsidP="00E01640">
      <w:pPr>
        <w:spacing w:after="120" w:line="360" w:lineRule="auto"/>
        <w:rPr>
          <w:rFonts w:ascii="Arial" w:eastAsia="Arial" w:hAnsi="Arial" w:cs="Arial"/>
          <w:color w:val="000000" w:themeColor="text1"/>
          <w:sz w:val="22"/>
          <w:szCs w:val="22"/>
        </w:rPr>
      </w:pPr>
    </w:p>
    <w:p w14:paraId="1733E43C" w14:textId="77777777" w:rsidR="00F771F0" w:rsidRDefault="00F771F0" w:rsidP="00E01640">
      <w:pPr>
        <w:spacing w:after="120" w:line="360" w:lineRule="auto"/>
        <w:rPr>
          <w:rFonts w:ascii="Arial" w:eastAsia="Arial" w:hAnsi="Arial" w:cs="Arial"/>
          <w:color w:val="000000" w:themeColor="text1"/>
          <w:sz w:val="22"/>
          <w:szCs w:val="22"/>
        </w:rPr>
      </w:pPr>
    </w:p>
    <w:p w14:paraId="4C1A2E11" w14:textId="77777777" w:rsidR="00F771F0" w:rsidRPr="002A6355" w:rsidRDefault="00F771F0" w:rsidP="00E01640">
      <w:pPr>
        <w:spacing w:after="120" w:line="360" w:lineRule="auto"/>
        <w:rPr>
          <w:color w:val="000000" w:themeColor="text1"/>
        </w:rPr>
      </w:pPr>
    </w:p>
    <w:p w14:paraId="0BF9CC5A" w14:textId="77777777" w:rsidR="00FE3FA9" w:rsidRPr="00F771F0" w:rsidRDefault="00A02277" w:rsidP="00E01640">
      <w:pPr>
        <w:keepNext/>
        <w:spacing w:before="240" w:after="100" w:line="360" w:lineRule="auto"/>
        <w:jc w:val="center"/>
        <w:rPr>
          <w:color w:val="000000" w:themeColor="text1"/>
        </w:rPr>
      </w:pPr>
      <w:r w:rsidRPr="00F771F0">
        <w:rPr>
          <w:rFonts w:ascii="Arial" w:eastAsia="Arial" w:hAnsi="Arial" w:cs="Arial"/>
          <w:b/>
          <w:bCs/>
          <w:color w:val="000000" w:themeColor="text1"/>
          <w:sz w:val="24"/>
          <w:szCs w:val="24"/>
        </w:rPr>
        <w:t>References</w:t>
      </w:r>
    </w:p>
    <w:p w14:paraId="092153BE" w14:textId="77777777" w:rsidR="00FE3FA9" w:rsidRPr="002A6355" w:rsidRDefault="00A02277" w:rsidP="00E01640">
      <w:pPr>
        <w:spacing w:after="120" w:line="360" w:lineRule="auto"/>
        <w:ind w:left="720" w:hanging="720"/>
        <w:rPr>
          <w:color w:val="000000" w:themeColor="text1"/>
        </w:rPr>
      </w:pPr>
      <w:r w:rsidRPr="002A6355">
        <w:rPr>
          <w:rFonts w:ascii="Arial" w:eastAsia="Arial" w:hAnsi="Arial" w:cs="Arial"/>
          <w:color w:val="000000" w:themeColor="text1"/>
          <w:sz w:val="22"/>
          <w:szCs w:val="22"/>
        </w:rPr>
        <w:t xml:space="preserve">Cacioppo, J.T. and Hawkley, L.C. (2009) 'Perceived social isolation and cognition', </w:t>
      </w:r>
      <w:r w:rsidRPr="002A6355">
        <w:rPr>
          <w:rFonts w:ascii="Arial" w:eastAsia="Arial" w:hAnsi="Arial" w:cs="Arial"/>
          <w:i/>
          <w:iCs/>
          <w:color w:val="000000" w:themeColor="text1"/>
          <w:sz w:val="22"/>
          <w:szCs w:val="22"/>
        </w:rPr>
        <w:t>Trends in Cognitive Sciences</w:t>
      </w:r>
      <w:r w:rsidRPr="002A6355">
        <w:rPr>
          <w:rFonts w:ascii="Arial" w:eastAsia="Arial" w:hAnsi="Arial" w:cs="Arial"/>
          <w:color w:val="000000" w:themeColor="text1"/>
          <w:sz w:val="22"/>
          <w:szCs w:val="22"/>
        </w:rPr>
        <w:t>, 13(10), pp. 447–454.</w:t>
      </w:r>
    </w:p>
    <w:p w14:paraId="5E965898" w14:textId="77777777" w:rsidR="00FE3FA9" w:rsidRPr="002A6355" w:rsidRDefault="00A02277" w:rsidP="00E01640">
      <w:pPr>
        <w:spacing w:after="120" w:line="360" w:lineRule="auto"/>
        <w:ind w:left="720" w:hanging="720"/>
        <w:rPr>
          <w:color w:val="000000" w:themeColor="text1"/>
        </w:rPr>
      </w:pPr>
      <w:r w:rsidRPr="002A6355">
        <w:rPr>
          <w:rFonts w:ascii="Arial" w:eastAsia="Arial" w:hAnsi="Arial" w:cs="Arial"/>
          <w:color w:val="000000" w:themeColor="text1"/>
          <w:sz w:val="22"/>
          <w:szCs w:val="22"/>
        </w:rPr>
        <w:t xml:space="preserve">Cattan, M., White, M., Bond, J. and Learmouth, A. (2005) 'Preventing social isolation and loneliness among older people: a systematic review of health promotion interventions', </w:t>
      </w:r>
      <w:r w:rsidRPr="002A6355">
        <w:rPr>
          <w:rFonts w:ascii="Arial" w:eastAsia="Arial" w:hAnsi="Arial" w:cs="Arial"/>
          <w:i/>
          <w:iCs/>
          <w:color w:val="000000" w:themeColor="text1"/>
          <w:sz w:val="22"/>
          <w:szCs w:val="22"/>
        </w:rPr>
        <w:t>Ageing and Society</w:t>
      </w:r>
      <w:r w:rsidRPr="002A6355">
        <w:rPr>
          <w:rFonts w:ascii="Arial" w:eastAsia="Arial" w:hAnsi="Arial" w:cs="Arial"/>
          <w:color w:val="000000" w:themeColor="text1"/>
          <w:sz w:val="22"/>
          <w:szCs w:val="22"/>
        </w:rPr>
        <w:t>, 25(1), pp. 41–67.</w:t>
      </w:r>
    </w:p>
    <w:p w14:paraId="48D19E61" w14:textId="77777777" w:rsidR="00FE3FA9" w:rsidRPr="002A6355" w:rsidRDefault="00A02277" w:rsidP="00E01640">
      <w:pPr>
        <w:spacing w:after="120" w:line="360" w:lineRule="auto"/>
        <w:ind w:left="720" w:hanging="720"/>
        <w:rPr>
          <w:color w:val="000000" w:themeColor="text1"/>
        </w:rPr>
      </w:pPr>
      <w:r w:rsidRPr="002A6355">
        <w:rPr>
          <w:rFonts w:ascii="Arial" w:eastAsia="Arial" w:hAnsi="Arial" w:cs="Arial"/>
          <w:color w:val="000000" w:themeColor="text1"/>
          <w:sz w:val="22"/>
          <w:szCs w:val="22"/>
        </w:rPr>
        <w:t xml:space="preserve">Holt-Lunstad, J., Smith, T.B. and Layton, J.B. (2010) 'Social relationships and mortality risk: a meta-analytic review', </w:t>
      </w:r>
      <w:r w:rsidRPr="002A6355">
        <w:rPr>
          <w:rFonts w:ascii="Arial" w:eastAsia="Arial" w:hAnsi="Arial" w:cs="Arial"/>
          <w:i/>
          <w:iCs/>
          <w:color w:val="000000" w:themeColor="text1"/>
          <w:sz w:val="22"/>
          <w:szCs w:val="22"/>
        </w:rPr>
        <w:t>PLoS Medicine</w:t>
      </w:r>
      <w:r w:rsidRPr="002A6355">
        <w:rPr>
          <w:rFonts w:ascii="Arial" w:eastAsia="Arial" w:hAnsi="Arial" w:cs="Arial"/>
          <w:color w:val="000000" w:themeColor="text1"/>
          <w:sz w:val="22"/>
          <w:szCs w:val="22"/>
        </w:rPr>
        <w:t>, 7(7), e1000316.</w:t>
      </w:r>
    </w:p>
    <w:p w14:paraId="2CB5BCF1" w14:textId="77777777" w:rsidR="00FE3FA9" w:rsidRPr="002A6355" w:rsidRDefault="00A02277" w:rsidP="00E01640">
      <w:pPr>
        <w:spacing w:after="120" w:line="360" w:lineRule="auto"/>
        <w:ind w:left="720" w:hanging="720"/>
        <w:rPr>
          <w:color w:val="000000" w:themeColor="text1"/>
        </w:rPr>
      </w:pPr>
      <w:r w:rsidRPr="002A6355">
        <w:rPr>
          <w:rFonts w:ascii="Arial" w:eastAsia="Arial" w:hAnsi="Arial" w:cs="Arial"/>
          <w:color w:val="000000" w:themeColor="text1"/>
          <w:sz w:val="22"/>
          <w:szCs w:val="22"/>
        </w:rPr>
        <w:t xml:space="preserve">Livingston, G. et al. (2020) 'Dementia prevention, intervention, and care: 2020 report of the Lancet Commission', </w:t>
      </w:r>
      <w:r w:rsidRPr="002A6355">
        <w:rPr>
          <w:rFonts w:ascii="Arial" w:eastAsia="Arial" w:hAnsi="Arial" w:cs="Arial"/>
          <w:i/>
          <w:iCs/>
          <w:color w:val="000000" w:themeColor="text1"/>
          <w:sz w:val="22"/>
          <w:szCs w:val="22"/>
        </w:rPr>
        <w:t>The Lancet</w:t>
      </w:r>
      <w:r w:rsidRPr="002A6355">
        <w:rPr>
          <w:rFonts w:ascii="Arial" w:eastAsia="Arial" w:hAnsi="Arial" w:cs="Arial"/>
          <w:color w:val="000000" w:themeColor="text1"/>
          <w:sz w:val="22"/>
          <w:szCs w:val="22"/>
        </w:rPr>
        <w:t>, 396(10248), pp. 413–446.</w:t>
      </w:r>
    </w:p>
    <w:p w14:paraId="531E2AE3" w14:textId="77777777" w:rsidR="00FE3FA9" w:rsidRPr="002A6355" w:rsidRDefault="00A02277" w:rsidP="00E01640">
      <w:pPr>
        <w:spacing w:after="120" w:line="360" w:lineRule="auto"/>
        <w:ind w:left="720" w:hanging="720"/>
        <w:rPr>
          <w:color w:val="000000" w:themeColor="text1"/>
        </w:rPr>
      </w:pPr>
      <w:r w:rsidRPr="002A6355">
        <w:rPr>
          <w:rFonts w:ascii="Arial" w:eastAsia="Arial" w:hAnsi="Arial" w:cs="Arial"/>
          <w:color w:val="000000" w:themeColor="text1"/>
          <w:sz w:val="22"/>
          <w:szCs w:val="22"/>
        </w:rPr>
        <w:t xml:space="preserve">Mukadam, N., Cooper, C. and Livingston, G. (2011) 'A systematic review of ethnicity and pathways to care in dementia', </w:t>
      </w:r>
      <w:r w:rsidRPr="002A6355">
        <w:rPr>
          <w:rFonts w:ascii="Arial" w:eastAsia="Arial" w:hAnsi="Arial" w:cs="Arial"/>
          <w:i/>
          <w:iCs/>
          <w:color w:val="000000" w:themeColor="text1"/>
          <w:sz w:val="22"/>
          <w:szCs w:val="22"/>
        </w:rPr>
        <w:t>International Journal of Geriatric Psychiatry</w:t>
      </w:r>
      <w:r w:rsidRPr="002A6355">
        <w:rPr>
          <w:rFonts w:ascii="Arial" w:eastAsia="Arial" w:hAnsi="Arial" w:cs="Arial"/>
          <w:color w:val="000000" w:themeColor="text1"/>
          <w:sz w:val="22"/>
          <w:szCs w:val="22"/>
        </w:rPr>
        <w:t>, 26(1), pp. 12–20.</w:t>
      </w:r>
    </w:p>
    <w:sectPr w:rsidR="00FE3FA9" w:rsidRPr="002A6355">
      <w:pgSz w:w="11906" w:h="16838"/>
      <w:pgMar w:top="1200" w:right="1300" w:bottom="1200" w:left="1300" w:header="708" w:footer="708"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Display">
    <w:panose1 w:val="020B0004020202020204"/>
    <w:charset w:val="00"/>
    <w:family w:val="roman"/>
    <w:notTrueType/>
    <w:pitch w:val="default"/>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51C3FD1"/>
    <w:multiLevelType w:val="hybridMultilevel"/>
    <w:tmpl w:val="FFFFFFFF"/>
    <w:lvl w:ilvl="0" w:tplc="E4AC5D00">
      <w:start w:val="1"/>
      <w:numFmt w:val="bullet"/>
      <w:lvlText w:val="●"/>
      <w:lvlJc w:val="left"/>
      <w:pPr>
        <w:ind w:left="720" w:hanging="360"/>
      </w:pPr>
    </w:lvl>
    <w:lvl w:ilvl="1" w:tplc="5D062D20">
      <w:start w:val="1"/>
      <w:numFmt w:val="bullet"/>
      <w:lvlText w:val="○"/>
      <w:lvlJc w:val="left"/>
      <w:pPr>
        <w:ind w:left="1440" w:hanging="360"/>
      </w:pPr>
    </w:lvl>
    <w:lvl w:ilvl="2" w:tplc="741E0BEA">
      <w:start w:val="1"/>
      <w:numFmt w:val="bullet"/>
      <w:lvlText w:val="■"/>
      <w:lvlJc w:val="left"/>
      <w:pPr>
        <w:ind w:left="2160" w:hanging="360"/>
      </w:pPr>
    </w:lvl>
    <w:lvl w:ilvl="3" w:tplc="917E2346">
      <w:start w:val="1"/>
      <w:numFmt w:val="bullet"/>
      <w:lvlText w:val="●"/>
      <w:lvlJc w:val="left"/>
      <w:pPr>
        <w:ind w:left="2880" w:hanging="360"/>
      </w:pPr>
    </w:lvl>
    <w:lvl w:ilvl="4" w:tplc="BFB86EB0">
      <w:start w:val="1"/>
      <w:numFmt w:val="bullet"/>
      <w:lvlText w:val="○"/>
      <w:lvlJc w:val="left"/>
      <w:pPr>
        <w:ind w:left="3600" w:hanging="360"/>
      </w:pPr>
    </w:lvl>
    <w:lvl w:ilvl="5" w:tplc="F440CE98">
      <w:start w:val="1"/>
      <w:numFmt w:val="bullet"/>
      <w:lvlText w:val="■"/>
      <w:lvlJc w:val="left"/>
      <w:pPr>
        <w:ind w:left="4320" w:hanging="360"/>
      </w:pPr>
    </w:lvl>
    <w:lvl w:ilvl="6" w:tplc="56CAF508">
      <w:start w:val="1"/>
      <w:numFmt w:val="bullet"/>
      <w:lvlText w:val="●"/>
      <w:lvlJc w:val="left"/>
      <w:pPr>
        <w:ind w:left="5040" w:hanging="360"/>
      </w:pPr>
    </w:lvl>
    <w:lvl w:ilvl="7" w:tplc="C7E8BF4C">
      <w:start w:val="1"/>
      <w:numFmt w:val="bullet"/>
      <w:lvlText w:val="●"/>
      <w:lvlJc w:val="left"/>
      <w:pPr>
        <w:ind w:left="5760" w:hanging="360"/>
      </w:pPr>
    </w:lvl>
    <w:lvl w:ilvl="8" w:tplc="4070997E">
      <w:start w:val="1"/>
      <w:numFmt w:val="bullet"/>
      <w:lvlText w:val="●"/>
      <w:lvlJc w:val="left"/>
      <w:pPr>
        <w:ind w:left="6480" w:hanging="360"/>
      </w:pPr>
    </w:lvl>
  </w:abstractNum>
  <w:abstractNum w:abstractNumId="1" w15:restartNumberingAfterBreak="0">
    <w:nsid w:val="3A8259DE"/>
    <w:multiLevelType w:val="hybridMultilevel"/>
    <w:tmpl w:val="FFFFFFFF"/>
    <w:lvl w:ilvl="0" w:tplc="E6363570">
      <w:start w:val="1"/>
      <w:numFmt w:val="bullet"/>
      <w:lvlText w:val="•"/>
      <w:lvlJc w:val="left"/>
      <w:pPr>
        <w:ind w:left="720" w:hanging="360"/>
      </w:pPr>
    </w:lvl>
    <w:lvl w:ilvl="1" w:tplc="93AA652A">
      <w:numFmt w:val="decimal"/>
      <w:lvlText w:val=""/>
      <w:lvlJc w:val="left"/>
    </w:lvl>
    <w:lvl w:ilvl="2" w:tplc="97482D12">
      <w:numFmt w:val="decimal"/>
      <w:lvlText w:val=""/>
      <w:lvlJc w:val="left"/>
    </w:lvl>
    <w:lvl w:ilvl="3" w:tplc="83FE0D1C">
      <w:numFmt w:val="decimal"/>
      <w:lvlText w:val=""/>
      <w:lvlJc w:val="left"/>
    </w:lvl>
    <w:lvl w:ilvl="4" w:tplc="67245964">
      <w:numFmt w:val="decimal"/>
      <w:lvlText w:val=""/>
      <w:lvlJc w:val="left"/>
    </w:lvl>
    <w:lvl w:ilvl="5" w:tplc="E0C80D78">
      <w:numFmt w:val="decimal"/>
      <w:lvlText w:val=""/>
      <w:lvlJc w:val="left"/>
    </w:lvl>
    <w:lvl w:ilvl="6" w:tplc="0204B360">
      <w:numFmt w:val="decimal"/>
      <w:lvlText w:val=""/>
      <w:lvlJc w:val="left"/>
    </w:lvl>
    <w:lvl w:ilvl="7" w:tplc="F28464F4">
      <w:numFmt w:val="decimal"/>
      <w:lvlText w:val=""/>
      <w:lvlJc w:val="left"/>
    </w:lvl>
    <w:lvl w:ilvl="8" w:tplc="6430196C">
      <w:numFmt w:val="decimal"/>
      <w:lvlText w:val=""/>
      <w:lvlJc w:val="left"/>
    </w:lvl>
  </w:abstractNum>
  <w:abstractNum w:abstractNumId="2" w15:restartNumberingAfterBreak="0">
    <w:nsid w:val="532C06B4"/>
    <w:multiLevelType w:val="hybridMultilevel"/>
    <w:tmpl w:val="A6EAD5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93354291">
    <w:abstractNumId w:val="0"/>
    <w:lvlOverride w:ilvl="0">
      <w:startOverride w:val="1"/>
    </w:lvlOverride>
  </w:num>
  <w:num w:numId="2" w16cid:durableId="1559314577">
    <w:abstractNumId w:val="1"/>
    <w:lvlOverride w:ilvl="0">
      <w:startOverride w:val="1"/>
    </w:lvlOverride>
  </w:num>
  <w:num w:numId="3" w16cid:durableId="13634066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7"/>
  <w:displayBackgroundShape/>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3FA9"/>
    <w:rsid w:val="000A6FA1"/>
    <w:rsid w:val="002A6355"/>
    <w:rsid w:val="002B3359"/>
    <w:rsid w:val="00447083"/>
    <w:rsid w:val="00895BB6"/>
    <w:rsid w:val="009770C3"/>
    <w:rsid w:val="00994F72"/>
    <w:rsid w:val="009F7A0C"/>
    <w:rsid w:val="00A02277"/>
    <w:rsid w:val="00A4568A"/>
    <w:rsid w:val="00AA3B9F"/>
    <w:rsid w:val="00AA3E08"/>
    <w:rsid w:val="00D856BC"/>
    <w:rsid w:val="00DC4940"/>
    <w:rsid w:val="00E01640"/>
    <w:rsid w:val="00E30224"/>
    <w:rsid w:val="00F771F0"/>
    <w:rsid w:val="00FE3F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03375AE"/>
  <w15:docId w15:val="{92635F7B-687B-2646-85F9-5FC5E9B949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theme" Target="theme/theme1.xml" /><Relationship Id="rId5" Type="http://schemas.openxmlformats.org/officeDocument/2006/relationships/fontTable" Target="fontTable.xml" /><Relationship Id="rId4" Type="http://schemas.openxmlformats.org/officeDocument/2006/relationships/webSettings" Target="web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788</Words>
  <Characters>4493</Characters>
  <Application>Microsoft Office Word</Application>
  <DocSecurity>0</DocSecurity>
  <Lines>37</Lines>
  <Paragraphs>10</Paragraphs>
  <ScaleCrop>false</ScaleCrop>
  <Company/>
  <LinksUpToDate>false</LinksUpToDate>
  <CharactersWithSpaces>5271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kamula wambua</cp:lastModifiedBy>
  <cp:revision>2</cp:revision>
  <dcterms:created xsi:type="dcterms:W3CDTF">2026-10-15T09:05:00Z</dcterms:created>
  <dcterms:modified xsi:type="dcterms:W3CDTF">2026-10-15T09:05:00Z</dcterms:modified>
</cp:coreProperties>
</file>