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DE1861" w14:textId="77777777" w:rsidR="00CD3E2C" w:rsidRPr="00570082" w:rsidRDefault="00CD3E2C" w:rsidP="00CD3E2C">
      <w:pPr>
        <w:pStyle w:val="Heading1"/>
        <w:ind w:left="1080"/>
        <w:jc w:val="left"/>
        <w:rPr>
          <w:rFonts w:ascii="Georgia" w:hAnsi="Georgia"/>
          <w:i w:val="0"/>
          <w:szCs w:val="24"/>
        </w:rPr>
      </w:pPr>
      <w:r w:rsidRPr="00570082">
        <w:rPr>
          <w:rFonts w:ascii="Georgia" w:hAnsi="Georgia"/>
          <w:i w:val="0"/>
          <w:szCs w:val="24"/>
        </w:rPr>
        <w:t>1</w:t>
      </w:r>
      <w:r w:rsidRPr="00570082">
        <w:rPr>
          <w:rFonts w:ascii="Georgia" w:hAnsi="Georgia"/>
          <w:i w:val="0"/>
          <w:szCs w:val="24"/>
        </w:rPr>
        <w:tab/>
        <w:t xml:space="preserve">Introductory Discussion [MID] </w:t>
      </w:r>
    </w:p>
    <w:p w14:paraId="075A286B" w14:textId="77777777" w:rsidR="00CD3E2C" w:rsidRPr="00570082" w:rsidRDefault="00CD3E2C" w:rsidP="00CD3E2C">
      <w:pPr>
        <w:ind w:left="1080"/>
        <w:rPr>
          <w:rFonts w:ascii="Georgia" w:hAnsi="Georgia"/>
          <w:szCs w:val="24"/>
          <w:lang w:val="en-US"/>
        </w:rPr>
      </w:pPr>
    </w:p>
    <w:p w14:paraId="28CD48FE" w14:textId="77777777" w:rsidR="00CD3E2C" w:rsidRPr="00570082" w:rsidRDefault="00CD3E2C" w:rsidP="00CD3E2C">
      <w:pPr>
        <w:ind w:left="1080"/>
        <w:rPr>
          <w:rFonts w:ascii="Georgia" w:hAnsi="Georgia"/>
          <w:szCs w:val="24"/>
          <w:lang w:val="en-US"/>
        </w:rPr>
      </w:pPr>
      <w:r w:rsidRPr="00570082">
        <w:rPr>
          <w:rFonts w:ascii="Georgia" w:hAnsi="Georgia"/>
          <w:szCs w:val="24"/>
          <w:lang w:val="en-US"/>
        </w:rPr>
        <w:t xml:space="preserve">In his book the </w:t>
      </w:r>
      <w:r w:rsidRPr="00570082">
        <w:rPr>
          <w:rFonts w:ascii="Georgia" w:hAnsi="Georgia"/>
          <w:i/>
          <w:szCs w:val="24"/>
          <w:lang w:val="en-US"/>
        </w:rPr>
        <w:t>Environmental Dimensions of Islam</w:t>
      </w:r>
      <w:r w:rsidRPr="00570082">
        <w:rPr>
          <w:rFonts w:ascii="Georgia" w:hAnsi="Georgia"/>
          <w:szCs w:val="24"/>
          <w:lang w:val="en-US"/>
        </w:rPr>
        <w:t xml:space="preserve"> Izzi Dien informs us that: </w:t>
      </w:r>
    </w:p>
    <w:p w14:paraId="667613FC" w14:textId="77777777" w:rsidR="00CD3E2C" w:rsidRPr="00570082" w:rsidRDefault="00CD3E2C" w:rsidP="00CD3E2C">
      <w:pPr>
        <w:ind w:left="1080"/>
        <w:rPr>
          <w:rFonts w:ascii="Georgia" w:hAnsi="Georgia" w:cs="CG Times"/>
          <w:szCs w:val="24"/>
        </w:rPr>
      </w:pPr>
    </w:p>
    <w:p w14:paraId="5AE990F9" w14:textId="77777777" w:rsidR="00CD3E2C" w:rsidRPr="00570082" w:rsidRDefault="00CD3E2C" w:rsidP="00CD3E2C">
      <w:pPr>
        <w:ind w:left="1620"/>
        <w:rPr>
          <w:rFonts w:ascii="Georgia" w:hAnsi="Georgia" w:cs="CG Times"/>
          <w:szCs w:val="24"/>
        </w:rPr>
      </w:pPr>
      <w:r w:rsidRPr="00570082">
        <w:rPr>
          <w:rFonts w:ascii="Georgia" w:hAnsi="Georgia" w:cs="CG Times"/>
          <w:szCs w:val="24"/>
        </w:rPr>
        <w:t xml:space="preserve">“During the third to sixth centuries the </w:t>
      </w:r>
      <w:r w:rsidRPr="00570082">
        <w:rPr>
          <w:rFonts w:ascii="Georgia" w:hAnsi="Georgia"/>
          <w:szCs w:val="24"/>
        </w:rPr>
        <w:t>eastern</w:t>
      </w:r>
      <w:r w:rsidRPr="00570082">
        <w:rPr>
          <w:rFonts w:ascii="Georgia" w:hAnsi="Georgia" w:cs="CG Times"/>
          <w:szCs w:val="24"/>
        </w:rPr>
        <w:t xml:space="preserve"> Roman and the Persian Sassanian Empires were in continuous conflict for the domination of Syria, Egypt and Asia Minor. With the birth of Muhammad in 571 came a new era of history and a new religion in Arabia that inherited the power and legacy of both civilisations. On the grounds of submitting to God alone and nothing but God, Islam was able to establish a civilization that expanded much further than its birthplace of Arabia. </w:t>
      </w:r>
    </w:p>
    <w:p w14:paraId="4D6B85E9" w14:textId="77777777" w:rsidR="00CD3E2C" w:rsidRPr="00570082" w:rsidRDefault="00CD3E2C" w:rsidP="00CD3E2C">
      <w:pPr>
        <w:ind w:left="1620"/>
        <w:rPr>
          <w:rFonts w:ascii="Georgia" w:hAnsi="Georgia" w:cs="CG Times"/>
          <w:szCs w:val="24"/>
        </w:rPr>
      </w:pPr>
    </w:p>
    <w:p w14:paraId="30FD133D" w14:textId="77777777" w:rsidR="00CD3E2C" w:rsidRPr="00570082" w:rsidRDefault="00CD3E2C" w:rsidP="00CD3E2C">
      <w:pPr>
        <w:ind w:left="1620"/>
        <w:rPr>
          <w:rFonts w:ascii="Georgia" w:hAnsi="Georgia" w:cs="CG Times"/>
          <w:szCs w:val="24"/>
        </w:rPr>
      </w:pPr>
      <w:r w:rsidRPr="00570082">
        <w:rPr>
          <w:rFonts w:ascii="Georgia" w:hAnsi="Georgia" w:cs="CG Times"/>
          <w:szCs w:val="24"/>
        </w:rPr>
        <w:t xml:space="preserve">“From that initial phase up to modern times the basic Islamic beliefs have remained unchanged. These beliefs are contained in the Islamic creed or </w:t>
      </w:r>
      <w:r w:rsidRPr="00570082">
        <w:rPr>
          <w:rFonts w:ascii="Georgia" w:hAnsi="Georgia" w:cs="CG Times"/>
          <w:i/>
          <w:iCs/>
          <w:szCs w:val="24"/>
        </w:rPr>
        <w:t>shahada</w:t>
      </w:r>
      <w:r w:rsidRPr="00570082">
        <w:rPr>
          <w:rFonts w:ascii="Georgia" w:hAnsi="Georgia" w:cs="CG Times"/>
          <w:szCs w:val="24"/>
        </w:rPr>
        <w:t xml:space="preserve">: "I bear witness that there is no God but Allah and Muhammad is the prophet of Allah", which is a constituent part of the call for prayer </w:t>
      </w:r>
      <w:r w:rsidRPr="00570082">
        <w:rPr>
          <w:rFonts w:ascii="Georgia" w:hAnsi="Georgia" w:cs="CG Times"/>
          <w:i/>
          <w:iCs/>
          <w:szCs w:val="24"/>
        </w:rPr>
        <w:t xml:space="preserve">adhan, </w:t>
      </w:r>
      <w:r w:rsidRPr="00570082">
        <w:rPr>
          <w:rFonts w:ascii="Georgia" w:hAnsi="Georgia" w:cs="CG Times"/>
          <w:szCs w:val="24"/>
        </w:rPr>
        <w:t xml:space="preserve">heard five times a day over the entire Islamic world. </w:t>
      </w:r>
    </w:p>
    <w:p w14:paraId="77D7CB98" w14:textId="77777777" w:rsidR="00CD3E2C" w:rsidRPr="00570082" w:rsidRDefault="00CD3E2C" w:rsidP="00CD3E2C">
      <w:pPr>
        <w:ind w:left="1620"/>
        <w:rPr>
          <w:rFonts w:ascii="Georgia" w:hAnsi="Georgia" w:cs="CG Times"/>
          <w:szCs w:val="24"/>
        </w:rPr>
      </w:pPr>
    </w:p>
    <w:p w14:paraId="2CAA8E84" w14:textId="77777777" w:rsidR="00CD3E2C" w:rsidRPr="00570082" w:rsidRDefault="00CD3E2C" w:rsidP="00CD3E2C">
      <w:pPr>
        <w:ind w:left="1620"/>
        <w:rPr>
          <w:rFonts w:ascii="Georgia" w:hAnsi="Georgia" w:cs="CG Times"/>
          <w:szCs w:val="24"/>
        </w:rPr>
      </w:pPr>
      <w:r w:rsidRPr="00570082">
        <w:rPr>
          <w:rFonts w:ascii="Georgia" w:hAnsi="Georgia" w:cs="CG Times"/>
          <w:szCs w:val="24"/>
        </w:rPr>
        <w:t xml:space="preserve">Islam embodies a theo-secular law, the Shari'a, which has control over the entire life of a Muslim.  The Shari'a includes the observances known as the "Five Pillars of the Faith" which are binding to all adult believers. The observances include the </w:t>
      </w:r>
      <w:r w:rsidRPr="00570082">
        <w:rPr>
          <w:rFonts w:ascii="Georgia" w:hAnsi="Georgia" w:cs="CG Times"/>
          <w:i/>
          <w:iCs/>
          <w:szCs w:val="24"/>
        </w:rPr>
        <w:t>shahada</w:t>
      </w:r>
      <w:r w:rsidRPr="00570082">
        <w:rPr>
          <w:rFonts w:ascii="Georgia" w:hAnsi="Georgia" w:cs="CG Times"/>
          <w:szCs w:val="24"/>
        </w:rPr>
        <w:t xml:space="preserve"> or profession of the faith; </w:t>
      </w:r>
      <w:r w:rsidRPr="00570082">
        <w:rPr>
          <w:rFonts w:ascii="Georgia" w:hAnsi="Georgia" w:cs="CG Times"/>
          <w:i/>
          <w:iCs/>
          <w:szCs w:val="24"/>
        </w:rPr>
        <w:fldChar w:fldCharType="begin"/>
      </w:r>
      <w:r w:rsidRPr="00570082">
        <w:rPr>
          <w:rFonts w:ascii="Georgia" w:hAnsi="Georgia" w:cs="CG Times"/>
          <w:i/>
          <w:iCs/>
          <w:szCs w:val="24"/>
        </w:rPr>
        <w:instrText>EQ \O(.,s)</w:instrText>
      </w:r>
      <w:r w:rsidRPr="00570082">
        <w:rPr>
          <w:rFonts w:ascii="Georgia" w:hAnsi="Georgia" w:cs="CG Times"/>
          <w:i/>
          <w:iCs/>
          <w:szCs w:val="24"/>
        </w:rPr>
        <w:fldChar w:fldCharType="end"/>
      </w:r>
      <w:r w:rsidRPr="00570082">
        <w:rPr>
          <w:rFonts w:ascii="Georgia" w:hAnsi="Georgia" w:cs="CG Times"/>
          <w:i/>
          <w:iCs/>
          <w:szCs w:val="24"/>
        </w:rPr>
        <w:t>alat</w:t>
      </w:r>
      <w:r w:rsidRPr="00570082">
        <w:rPr>
          <w:rFonts w:ascii="Georgia" w:hAnsi="Georgia" w:cs="CG Times"/>
          <w:szCs w:val="24"/>
        </w:rPr>
        <w:t xml:space="preserve"> or the practice of worship five times a day while facing towards the holy city of Makkah; </w:t>
      </w:r>
      <w:r w:rsidRPr="00570082">
        <w:rPr>
          <w:rFonts w:ascii="Georgia" w:hAnsi="Georgia" w:cs="CG Times"/>
          <w:i/>
          <w:iCs/>
          <w:szCs w:val="24"/>
        </w:rPr>
        <w:t>zakah</w:t>
      </w:r>
      <w:r w:rsidRPr="00570082">
        <w:rPr>
          <w:rFonts w:ascii="Georgia" w:hAnsi="Georgia" w:cs="CG Times"/>
          <w:szCs w:val="24"/>
        </w:rPr>
        <w:t xml:space="preserve"> or obligatory almsgiving; </w:t>
      </w:r>
      <w:r w:rsidRPr="00570082">
        <w:rPr>
          <w:rFonts w:ascii="Georgia" w:hAnsi="Georgia" w:cs="CG Times"/>
          <w:i/>
          <w:iCs/>
          <w:szCs w:val="24"/>
        </w:rPr>
        <w:fldChar w:fldCharType="begin"/>
      </w:r>
      <w:r w:rsidRPr="00570082">
        <w:rPr>
          <w:rFonts w:ascii="Georgia" w:hAnsi="Georgia" w:cs="CG Times"/>
          <w:i/>
          <w:iCs/>
          <w:szCs w:val="24"/>
        </w:rPr>
        <w:instrText>EQ \O(.,s)</w:instrText>
      </w:r>
      <w:r w:rsidRPr="00570082">
        <w:rPr>
          <w:rFonts w:ascii="Georgia" w:hAnsi="Georgia" w:cs="CG Times"/>
          <w:i/>
          <w:iCs/>
          <w:szCs w:val="24"/>
        </w:rPr>
        <w:fldChar w:fldCharType="end"/>
      </w:r>
      <w:r w:rsidRPr="00570082">
        <w:rPr>
          <w:rFonts w:ascii="Georgia" w:hAnsi="Georgia" w:cs="CG Times"/>
          <w:i/>
          <w:iCs/>
          <w:szCs w:val="24"/>
        </w:rPr>
        <w:t>awm</w:t>
      </w:r>
      <w:r w:rsidRPr="00570082">
        <w:rPr>
          <w:rFonts w:ascii="Georgia" w:hAnsi="Georgia" w:cs="CG Times"/>
          <w:szCs w:val="24"/>
        </w:rPr>
        <w:t xml:space="preserve"> or fasting from dawn to sunset throughout Ramadan (the ninth month of the year, which varies with the lunar calendar); and the </w:t>
      </w:r>
      <w:r w:rsidRPr="00570082">
        <w:rPr>
          <w:rFonts w:ascii="Georgia" w:hAnsi="Georgia" w:cs="CG Times"/>
          <w:i/>
          <w:iCs/>
          <w:szCs w:val="24"/>
        </w:rPr>
        <w:t>hajj</w:t>
      </w:r>
      <w:r w:rsidRPr="00570082">
        <w:rPr>
          <w:rFonts w:ascii="Georgia" w:hAnsi="Georgia" w:cs="CG Times"/>
          <w:szCs w:val="24"/>
        </w:rPr>
        <w:t xml:space="preserve"> or pilgrimage to Makkah at least once in a lifetime.</w:t>
      </w:r>
      <w:r w:rsidRPr="00570082">
        <w:rPr>
          <w:rStyle w:val="EndnoteReference"/>
          <w:rFonts w:ascii="Georgia" w:hAnsi="Georgia" w:cs="CG Times"/>
          <w:szCs w:val="24"/>
        </w:rPr>
        <w:endnoteReference w:id="1"/>
      </w:r>
    </w:p>
    <w:p w14:paraId="262A2104" w14:textId="77777777" w:rsidR="00CD3E2C" w:rsidRPr="00570082" w:rsidRDefault="00CD3E2C" w:rsidP="00CD3E2C">
      <w:pPr>
        <w:ind w:left="1080"/>
        <w:rPr>
          <w:rFonts w:ascii="Georgia" w:hAnsi="Georgia" w:cs="CG Times"/>
          <w:szCs w:val="24"/>
        </w:rPr>
      </w:pPr>
    </w:p>
    <w:p w14:paraId="39415FBC" w14:textId="77777777" w:rsidR="00CD3E2C" w:rsidRPr="00570082" w:rsidRDefault="00CD3E2C" w:rsidP="00CD3E2C">
      <w:pPr>
        <w:pStyle w:val="BodyText2"/>
        <w:ind w:left="1080"/>
        <w:rPr>
          <w:rFonts w:ascii="Georgia" w:hAnsi="Georgia"/>
          <w:sz w:val="24"/>
          <w:szCs w:val="24"/>
        </w:rPr>
      </w:pPr>
      <w:r w:rsidRPr="00570082">
        <w:rPr>
          <w:rFonts w:ascii="Georgia" w:hAnsi="Georgia"/>
          <w:sz w:val="24"/>
          <w:szCs w:val="24"/>
        </w:rPr>
        <w:t xml:space="preserve">To understand Islam it is essential to remember the nature of its early environment which was as Izzi Dien states </w:t>
      </w:r>
    </w:p>
    <w:p w14:paraId="1C027B80" w14:textId="77777777" w:rsidR="00CD3E2C" w:rsidRPr="00570082" w:rsidRDefault="00CD3E2C" w:rsidP="00CD3E2C">
      <w:pPr>
        <w:pStyle w:val="BodyText2"/>
        <w:ind w:left="1620"/>
        <w:rPr>
          <w:rFonts w:ascii="Georgia" w:hAnsi="Georgia"/>
          <w:sz w:val="24"/>
          <w:szCs w:val="24"/>
        </w:rPr>
      </w:pPr>
    </w:p>
    <w:p w14:paraId="2648ACED" w14:textId="77777777" w:rsidR="00CD3E2C" w:rsidRPr="00570082" w:rsidRDefault="00CD3E2C" w:rsidP="00CD3E2C">
      <w:pPr>
        <w:tabs>
          <w:tab w:val="left" w:pos="3780"/>
          <w:tab w:val="left" w:pos="4111"/>
        </w:tabs>
        <w:ind w:left="1620" w:right="-567"/>
        <w:rPr>
          <w:rFonts w:ascii="Georgia" w:hAnsi="Georgia" w:cs="Times Dot"/>
          <w:szCs w:val="24"/>
        </w:rPr>
      </w:pPr>
      <w:r w:rsidRPr="00570082">
        <w:rPr>
          <w:rFonts w:ascii="Georgia" w:hAnsi="Georgia" w:cs="Times Dot"/>
          <w:szCs w:val="24"/>
        </w:rPr>
        <w:t xml:space="preserve">“Islam was born at a time when society comprised simple, spontaneous nomadic peoples who provided the human element for the monotheistic creed. Consequently, as the legislative and ethical stipulations of Islam, the </w:t>
      </w:r>
      <w:r w:rsidRPr="00570082">
        <w:rPr>
          <w:rFonts w:ascii="Georgia" w:hAnsi="Georgia" w:cs="Times Dot"/>
          <w:i/>
          <w:iCs/>
          <w:szCs w:val="24"/>
        </w:rPr>
        <w:t xml:space="preserve">Shari‘a </w:t>
      </w:r>
      <w:r w:rsidRPr="00570082">
        <w:rPr>
          <w:rFonts w:ascii="Georgia" w:hAnsi="Georgia" w:cs="Times Dot"/>
          <w:szCs w:val="24"/>
        </w:rPr>
        <w:t xml:space="preserve">was trained like a vine to fit the needs and divergences of such social structures; the modest nature of this continued during all the periods from the Prophet's life up to the tragic end of the last orthodox Caliph, Ali (d. </w:t>
      </w:r>
      <w:r w:rsidRPr="00570082">
        <w:rPr>
          <w:rFonts w:ascii="Georgia" w:hAnsi="Georgia"/>
          <w:szCs w:val="24"/>
        </w:rPr>
        <w:t>40/660)</w:t>
      </w:r>
      <w:r w:rsidRPr="00570082">
        <w:rPr>
          <w:rFonts w:ascii="Georgia" w:hAnsi="Georgia" w:cs="Times Dot"/>
          <w:szCs w:val="24"/>
        </w:rPr>
        <w:t xml:space="preserve">. </w:t>
      </w:r>
    </w:p>
    <w:p w14:paraId="4D1EC841" w14:textId="77777777" w:rsidR="00CD3E2C" w:rsidRPr="00570082" w:rsidRDefault="00CD3E2C" w:rsidP="00CD3E2C">
      <w:pPr>
        <w:ind w:left="1620"/>
        <w:rPr>
          <w:rFonts w:ascii="Georgia" w:hAnsi="Georgia"/>
          <w:szCs w:val="24"/>
        </w:rPr>
      </w:pPr>
    </w:p>
    <w:p w14:paraId="30F53C62" w14:textId="77777777" w:rsidR="00CD3E2C" w:rsidRPr="00570082" w:rsidRDefault="00CD3E2C" w:rsidP="00CD3E2C">
      <w:pPr>
        <w:ind w:left="1620"/>
        <w:rPr>
          <w:rFonts w:ascii="Georgia" w:hAnsi="Georgia"/>
          <w:szCs w:val="24"/>
        </w:rPr>
      </w:pPr>
      <w:r w:rsidRPr="00570082">
        <w:rPr>
          <w:rFonts w:ascii="Georgia" w:hAnsi="Georgia"/>
          <w:szCs w:val="24"/>
        </w:rPr>
        <w:t xml:space="preserve">“The legal essence of Islam was embedded in the revelation, as represented by the Qur’an and the guidelines of the Prophet. The distinctive features of early Islamic law were inherent in the fresh legal instructions </w:t>
      </w:r>
      <w:r w:rsidRPr="00570082">
        <w:rPr>
          <w:rFonts w:ascii="Georgia" w:hAnsi="Georgia"/>
          <w:i/>
          <w:iCs/>
          <w:szCs w:val="24"/>
        </w:rPr>
        <w:t>forensis doctrina</w:t>
      </w:r>
      <w:r w:rsidRPr="00570082">
        <w:rPr>
          <w:rFonts w:ascii="Georgia" w:hAnsi="Georgia"/>
          <w:szCs w:val="24"/>
        </w:rPr>
        <w:t>,</w:t>
      </w:r>
      <w:r w:rsidRPr="00570082">
        <w:rPr>
          <w:rFonts w:ascii="Georgia" w:hAnsi="Georgia"/>
          <w:i/>
          <w:iCs/>
          <w:szCs w:val="24"/>
        </w:rPr>
        <w:t xml:space="preserve"> </w:t>
      </w:r>
      <w:r w:rsidRPr="00570082">
        <w:rPr>
          <w:rFonts w:ascii="Georgia" w:hAnsi="Georgia"/>
          <w:szCs w:val="24"/>
        </w:rPr>
        <w:t>which had been given directly by God.  Even the prophetic individual opinion was based on the revelation of God's words</w:t>
      </w:r>
      <w:r w:rsidRPr="00570082">
        <w:rPr>
          <w:rFonts w:ascii="Georgia" w:hAnsi="Georgia"/>
          <w:i/>
          <w:iCs/>
          <w:szCs w:val="24"/>
        </w:rPr>
        <w:t xml:space="preserve"> wahi</w:t>
      </w:r>
      <w:r w:rsidRPr="00570082">
        <w:rPr>
          <w:rFonts w:ascii="Georgia" w:hAnsi="Georgia"/>
          <w:szCs w:val="24"/>
        </w:rPr>
        <w:t xml:space="preserve">. The flavour of this divine revelation did in fact differ from one location to another, thus creating a variation in approach between the </w:t>
      </w:r>
      <w:r w:rsidRPr="00570082">
        <w:rPr>
          <w:rFonts w:ascii="Georgia" w:hAnsi="Georgia"/>
          <w:szCs w:val="24"/>
        </w:rPr>
        <w:lastRenderedPageBreak/>
        <w:t>towns of Mecca and Medina. This was due not only to diverse geographical factors, but also to the changing circumstances of the new faith. During the thirteen years that Muhammad spent in Mecca, the essence of the Qur’an and its instructions were focused on doctrine and ethics, with little reference to the practical element of human need. The duration of the Prophet’s life was undoubtedly the most central period in the history of Islamic jurisprudence, being the only time of divine revelation.”</w:t>
      </w:r>
      <w:r w:rsidRPr="00570082">
        <w:rPr>
          <w:rStyle w:val="EndnoteReference"/>
          <w:rFonts w:ascii="Georgia" w:hAnsi="Georgia"/>
          <w:szCs w:val="24"/>
        </w:rPr>
        <w:endnoteReference w:id="2"/>
      </w:r>
    </w:p>
    <w:p w14:paraId="4B1A3C1D" w14:textId="77777777" w:rsidR="00CD3E2C" w:rsidRPr="00570082" w:rsidRDefault="00CD3E2C" w:rsidP="00CD3E2C">
      <w:pPr>
        <w:ind w:left="1080"/>
        <w:rPr>
          <w:rFonts w:ascii="Georgia" w:hAnsi="Georgia"/>
          <w:szCs w:val="24"/>
        </w:rPr>
      </w:pPr>
    </w:p>
    <w:p w14:paraId="48810D6F" w14:textId="77777777" w:rsidR="00CD3E2C" w:rsidRPr="00570082" w:rsidRDefault="00CD3E2C" w:rsidP="00CD3E2C">
      <w:pPr>
        <w:pStyle w:val="BodyText2"/>
        <w:ind w:left="1080"/>
        <w:rPr>
          <w:rFonts w:ascii="Georgia" w:hAnsi="Georgia"/>
          <w:sz w:val="24"/>
          <w:szCs w:val="24"/>
        </w:rPr>
      </w:pPr>
      <w:r w:rsidRPr="00570082">
        <w:rPr>
          <w:rFonts w:ascii="Georgia" w:hAnsi="Georgia"/>
          <w:sz w:val="24"/>
          <w:szCs w:val="24"/>
        </w:rPr>
        <w:t>When the prophet of Islam died his companions had to resort to new methodologies to deal with the general rising question including those relavant to their new state and political affairs</w:t>
      </w:r>
    </w:p>
    <w:p w14:paraId="19ED408E" w14:textId="77777777" w:rsidR="00CD3E2C" w:rsidRPr="00570082" w:rsidRDefault="00CD3E2C" w:rsidP="00CD3E2C">
      <w:pPr>
        <w:ind w:left="1080"/>
        <w:rPr>
          <w:rFonts w:ascii="Georgia" w:hAnsi="Georgia"/>
          <w:szCs w:val="24"/>
        </w:rPr>
      </w:pPr>
    </w:p>
    <w:p w14:paraId="3DD24A46" w14:textId="77777777" w:rsidR="00CD3E2C" w:rsidRPr="00570082" w:rsidRDefault="00CD3E2C" w:rsidP="00CD3E2C">
      <w:pPr>
        <w:ind w:left="1080"/>
        <w:rPr>
          <w:rFonts w:ascii="Georgia" w:hAnsi="Georgia"/>
          <w:szCs w:val="24"/>
        </w:rPr>
      </w:pPr>
      <w:r w:rsidRPr="00570082">
        <w:rPr>
          <w:rFonts w:ascii="Georgia" w:hAnsi="Georgia"/>
          <w:szCs w:val="24"/>
        </w:rPr>
        <w:t xml:space="preserve">Izzi Dien states:  </w:t>
      </w:r>
    </w:p>
    <w:p w14:paraId="47782C3B" w14:textId="77777777" w:rsidR="00CD3E2C" w:rsidRPr="00570082" w:rsidRDefault="00CD3E2C" w:rsidP="00CD3E2C">
      <w:pPr>
        <w:ind w:left="1080"/>
        <w:rPr>
          <w:rFonts w:ascii="Georgia" w:hAnsi="Georgia"/>
          <w:szCs w:val="24"/>
        </w:rPr>
      </w:pPr>
    </w:p>
    <w:p w14:paraId="6845B43D" w14:textId="77777777" w:rsidR="00CD3E2C" w:rsidRPr="00570082" w:rsidRDefault="00CD3E2C" w:rsidP="00CD3E2C">
      <w:pPr>
        <w:pStyle w:val="BodyText3"/>
        <w:ind w:left="1620"/>
        <w:jc w:val="left"/>
        <w:rPr>
          <w:i w:val="0"/>
          <w:szCs w:val="24"/>
        </w:rPr>
      </w:pPr>
      <w:r w:rsidRPr="00570082">
        <w:rPr>
          <w:i w:val="0"/>
          <w:szCs w:val="24"/>
        </w:rPr>
        <w:t xml:space="preserve">“After the Prophet, his companions could only fall back on their own resources. They had to evaluate and deal with social, political, and economic dilemmas, the nature of which was quite removed from the more simplistic problems that manifest themselves in the days when Islam existed within the confines of Mecca and Medina.  It could be true that they never regarded him as divine or non-human, but he was the Prophet of God and as such he represented the only direct contact with God. His death created a vacuum of some magnitude for Muslims, who were used to being inspired by him as a role- model and the source of God’s legislation. The words of Abu Bakr were a motivating factor for the Muslim population; on hearing the news of the Prophet’s death he declared, ‘for those who worship Muhammad, Muhammad is dead, for those who worship Allah, He is ever living’. The method employed by the companions of the Prophet to achieve this adherence to the word of God were reliant on the Qur’an and the legacy of His Prophet. </w:t>
      </w:r>
    </w:p>
    <w:p w14:paraId="55207C13" w14:textId="77777777" w:rsidR="00CD3E2C" w:rsidRPr="00570082" w:rsidRDefault="00CD3E2C" w:rsidP="00CD3E2C">
      <w:pPr>
        <w:pStyle w:val="BodyText3"/>
        <w:ind w:left="1080"/>
        <w:jc w:val="left"/>
        <w:rPr>
          <w:szCs w:val="24"/>
        </w:rPr>
      </w:pPr>
    </w:p>
    <w:p w14:paraId="5A44BEAA" w14:textId="77777777" w:rsidR="00CD3E2C" w:rsidRPr="00570082" w:rsidRDefault="00CD3E2C" w:rsidP="00CD3E2C">
      <w:pPr>
        <w:pStyle w:val="BodyText"/>
        <w:ind w:left="1620"/>
        <w:rPr>
          <w:rFonts w:ascii="Georgia" w:hAnsi="Georgia"/>
          <w:szCs w:val="24"/>
        </w:rPr>
      </w:pPr>
      <w:r w:rsidRPr="00570082">
        <w:rPr>
          <w:rFonts w:ascii="Georgia" w:hAnsi="Georgia"/>
          <w:szCs w:val="24"/>
        </w:rPr>
        <w:t xml:space="preserve">“The Sunna or the tradition of Muhammad PBUH became the second reference for Muslims who sought answers for their enquiries.  Yet the Sunna was still insufficient in providing clarification of the increasingly more perplexing circumstances, which arose as society expanded and new lands were conquered. The need for a fresh legal mechanism was urgent and </w:t>
      </w:r>
      <w:r w:rsidRPr="00570082">
        <w:rPr>
          <w:rFonts w:ascii="Georgia" w:hAnsi="Georgia"/>
          <w:i/>
          <w:iCs/>
          <w:szCs w:val="24"/>
        </w:rPr>
        <w:t>ijtihad</w:t>
      </w:r>
      <w:r w:rsidRPr="00570082">
        <w:rPr>
          <w:rFonts w:ascii="Georgia" w:hAnsi="Georgia"/>
          <w:szCs w:val="24"/>
        </w:rPr>
        <w:t xml:space="preserve"> or individual opinion fitted the requirements. This methodology developed as a practical source based on the Qur’an, Sunna and a general awareness of Islam. As an independent source of legislation, it represented a new vehicle through which to reach legal solutions for a variety of cases. Such an instrument existed only in an embryonic form at the time of the Prophet and he himself acknowledged its value in circumstances where the text offered no solution. It was inevitable that, as the heart of </w:t>
      </w:r>
      <w:r w:rsidRPr="00570082">
        <w:rPr>
          <w:rFonts w:ascii="Georgia" w:hAnsi="Georgia"/>
          <w:i/>
          <w:iCs/>
          <w:szCs w:val="24"/>
        </w:rPr>
        <w:t>ijtihad</w:t>
      </w:r>
      <w:r w:rsidRPr="00570082">
        <w:rPr>
          <w:rFonts w:ascii="Georgia" w:hAnsi="Georgia"/>
          <w:szCs w:val="24"/>
        </w:rPr>
        <w:t xml:space="preserve"> lay within personal opinion, occasional disagreement </w:t>
      </w:r>
      <w:r w:rsidRPr="00570082">
        <w:rPr>
          <w:rFonts w:ascii="Georgia" w:hAnsi="Georgia"/>
          <w:i/>
          <w:iCs/>
          <w:szCs w:val="24"/>
        </w:rPr>
        <w:t>khilaf</w:t>
      </w:r>
      <w:r w:rsidRPr="00570082">
        <w:rPr>
          <w:rFonts w:ascii="Georgia" w:hAnsi="Georgia"/>
          <w:szCs w:val="24"/>
        </w:rPr>
        <w:t xml:space="preserve"> would occur, a </w:t>
      </w:r>
      <w:r w:rsidRPr="00570082">
        <w:rPr>
          <w:rFonts w:ascii="Georgia" w:hAnsi="Georgia"/>
          <w:szCs w:val="24"/>
        </w:rPr>
        <w:lastRenderedPageBreak/>
        <w:t xml:space="preserve">concept unknown during the Prophet’s lifetime. However, views that sometimes lead to conflict, more frequently lead to agreement. Consensus </w:t>
      </w:r>
      <w:r w:rsidRPr="00570082">
        <w:rPr>
          <w:rFonts w:ascii="Georgia" w:hAnsi="Georgia"/>
          <w:i/>
          <w:iCs/>
          <w:szCs w:val="24"/>
        </w:rPr>
        <w:t>ijma‘</w:t>
      </w:r>
      <w:r w:rsidRPr="00570082">
        <w:rPr>
          <w:rFonts w:ascii="Georgia" w:hAnsi="Georgia"/>
          <w:szCs w:val="24"/>
        </w:rPr>
        <w:t xml:space="preserve">  was another innovative and major legal development that took place at this juncture. The vast majority of legal injunctions were formed as consultative legislation; this was particularly so with regard to cases that were relevant to public matters during the era of Abu Bakr (</w:t>
      </w:r>
      <w:r w:rsidRPr="00570082">
        <w:rPr>
          <w:rFonts w:ascii="Georgia" w:hAnsi="Georgia"/>
          <w:i/>
          <w:iCs/>
          <w:szCs w:val="24"/>
        </w:rPr>
        <w:t>r</w:t>
      </w:r>
      <w:r w:rsidRPr="00570082">
        <w:rPr>
          <w:rFonts w:ascii="Georgia" w:hAnsi="Georgia"/>
          <w:szCs w:val="24"/>
        </w:rPr>
        <w:t xml:space="preserve"> 632-634) and ‘Umar </w:t>
      </w:r>
      <w:r w:rsidRPr="00570082">
        <w:rPr>
          <w:rFonts w:ascii="Georgia" w:hAnsi="Georgia"/>
          <w:color w:val="000000"/>
          <w:szCs w:val="24"/>
        </w:rPr>
        <w:t>(</w:t>
      </w:r>
      <w:r w:rsidRPr="00570082">
        <w:rPr>
          <w:rFonts w:ascii="Georgia" w:hAnsi="Georgia"/>
          <w:i/>
          <w:iCs/>
          <w:color w:val="000000"/>
          <w:szCs w:val="24"/>
        </w:rPr>
        <w:t>r.</w:t>
      </w:r>
      <w:r w:rsidRPr="00570082">
        <w:rPr>
          <w:rFonts w:ascii="Georgia" w:hAnsi="Georgia"/>
          <w:color w:val="000000"/>
          <w:szCs w:val="24"/>
        </w:rPr>
        <w:t xml:space="preserve"> 634-644)</w:t>
      </w:r>
      <w:r w:rsidRPr="00570082">
        <w:rPr>
          <w:rFonts w:ascii="Georgia" w:hAnsi="Georgia"/>
          <w:szCs w:val="24"/>
        </w:rPr>
        <w:t>. For example, when Iraq was conquered, ‘Umar looked for the advice of the Prophet’s companions regarding the distribution and use of its land. He was unsure whether to leave it in the hands of the original owners or distribute it amongst the conquerors. After consultation, the decision reached was that the land should remain with the owners since they possessed the necessary skills for its future cultivation, whereas the nomadic conquerors lacked such aptitude and experience. The methodology followed by the companions in order to resolve their problems entailed the discerning of the actual reason for an injunction in the light of public interest. Often, some textually prescribed injunctions were suspended on the grounds that they lacked the circumstances and spirit of legislation that the Qur’an and Prophetic instruction required for their application.”</w:t>
      </w:r>
      <w:r w:rsidRPr="00570082">
        <w:rPr>
          <w:rStyle w:val="EndnoteReference"/>
          <w:rFonts w:ascii="Georgia" w:hAnsi="Georgia"/>
          <w:szCs w:val="24"/>
        </w:rPr>
        <w:endnoteReference w:id="3"/>
      </w:r>
    </w:p>
    <w:p w14:paraId="1A5370D4" w14:textId="77777777" w:rsidR="00CD3E2C" w:rsidRPr="00570082" w:rsidRDefault="00CD3E2C" w:rsidP="00CD3E2C">
      <w:pPr>
        <w:pStyle w:val="BodyText"/>
        <w:ind w:left="1080" w:firstLine="360"/>
        <w:rPr>
          <w:rFonts w:ascii="Georgia" w:hAnsi="Georgia"/>
          <w:szCs w:val="24"/>
        </w:rPr>
      </w:pPr>
      <w:r w:rsidRPr="00570082">
        <w:rPr>
          <w:rFonts w:ascii="Georgia" w:hAnsi="Georgia"/>
          <w:szCs w:val="24"/>
        </w:rPr>
        <w:t>The life of Muslims following the death of Muhammad was not free from political experiences which included the wars of apostasy, the killing of the third rightly guided Caliph Uthman 35/655, and the assassination of Ali (40/660).</w:t>
      </w:r>
    </w:p>
    <w:p w14:paraId="0E1C2C2B" w14:textId="77777777" w:rsidR="00CD3E2C" w:rsidRPr="00570082" w:rsidRDefault="00CD3E2C" w:rsidP="00CD3E2C">
      <w:pPr>
        <w:pStyle w:val="BodyText"/>
        <w:ind w:left="1080" w:firstLine="360"/>
        <w:rPr>
          <w:rFonts w:ascii="Georgia" w:hAnsi="Georgia"/>
          <w:szCs w:val="24"/>
        </w:rPr>
      </w:pPr>
      <w:r w:rsidRPr="00570082">
        <w:rPr>
          <w:rFonts w:ascii="Georgia" w:hAnsi="Georgia"/>
          <w:szCs w:val="24"/>
        </w:rPr>
        <w:t>The early Islamic politics was very similar and indeed influenced by the development of the legal theology of Islam which is described by Izzi Den as follows:</w:t>
      </w:r>
    </w:p>
    <w:p w14:paraId="69D7151B" w14:textId="77777777" w:rsidR="00CD3E2C" w:rsidRPr="00570082" w:rsidRDefault="00CD3E2C" w:rsidP="00CD3E2C">
      <w:pPr>
        <w:tabs>
          <w:tab w:val="left" w:pos="4111"/>
        </w:tabs>
        <w:ind w:left="1080" w:right="-567"/>
        <w:rPr>
          <w:rFonts w:ascii="Georgia" w:hAnsi="Georgia" w:cs="Times Dot"/>
          <w:szCs w:val="24"/>
        </w:rPr>
      </w:pPr>
    </w:p>
    <w:p w14:paraId="7B51A271" w14:textId="77777777" w:rsidR="00CD3E2C" w:rsidRPr="00570082" w:rsidRDefault="00CD3E2C" w:rsidP="00CD3E2C">
      <w:pPr>
        <w:tabs>
          <w:tab w:val="left" w:pos="4111"/>
        </w:tabs>
        <w:ind w:left="1620" w:right="-567"/>
        <w:rPr>
          <w:rFonts w:ascii="Georgia" w:hAnsi="Georgia" w:cs="Times Dot"/>
          <w:szCs w:val="24"/>
        </w:rPr>
      </w:pPr>
      <w:r w:rsidRPr="00570082">
        <w:rPr>
          <w:rFonts w:ascii="Georgia" w:hAnsi="Georgia" w:cs="Times Dot"/>
          <w:szCs w:val="24"/>
        </w:rPr>
        <w:t>“When Mu‘awiya b. Abu Sufyan became Caliph (662AC),</w:t>
      </w:r>
      <w:r w:rsidRPr="00570082">
        <w:rPr>
          <w:rFonts w:ascii="Georgia" w:hAnsi="Georgia"/>
          <w:szCs w:val="24"/>
        </w:rPr>
        <w:t xml:space="preserve"> Islamic law witnessed a fundamental change in its establishment when the government system was forcefully altered from the system of selection to became hereditary.</w:t>
      </w:r>
      <w:r w:rsidRPr="00570082">
        <w:rPr>
          <w:rFonts w:ascii="Georgia" w:hAnsi="Georgia" w:cs="Times Dot"/>
          <w:szCs w:val="24"/>
        </w:rPr>
        <w:t xml:space="preserve"> In conjunction with this change of policy, the legal system had to adapt to the inevitable social transformation from a basic nomadic lifestyle to a settled and urban one, a movement that was accelerated by the accumulation of wealth and power. This increase of acquisitive values was accompanied by a subsequent plunge into the mundane and materialistic, far removed from the previous mystical, romantic desert way of life. Despite this, the prophetic tidal wave continued to carry with it the main substance of Arabic society, imbued with the theology of belief in one God, Allah. The discovery of new cultures and systems of life required the alteration of many common Arabic practices, but the old nomadic way basically remained a paradigm from which the Islamic vision of life was produced. The two cities of Mecca and Medina represented the cradle of an Islamic vision for the new way of life.</w:t>
      </w:r>
    </w:p>
    <w:p w14:paraId="05D1D000" w14:textId="77777777" w:rsidR="00CD3E2C" w:rsidRPr="00570082" w:rsidRDefault="00CD3E2C" w:rsidP="00CD3E2C">
      <w:pPr>
        <w:tabs>
          <w:tab w:val="left" w:pos="4111"/>
        </w:tabs>
        <w:ind w:left="1080" w:right="-567"/>
        <w:rPr>
          <w:rFonts w:ascii="Georgia" w:hAnsi="Georgia" w:cs="Times Dot"/>
          <w:szCs w:val="24"/>
        </w:rPr>
      </w:pPr>
    </w:p>
    <w:p w14:paraId="5D2548B8" w14:textId="77777777" w:rsidR="00CD3E2C" w:rsidRPr="00570082" w:rsidRDefault="00CD3E2C" w:rsidP="00CD3E2C">
      <w:pPr>
        <w:pStyle w:val="BodyText"/>
        <w:ind w:left="1620"/>
        <w:rPr>
          <w:rFonts w:ascii="Georgia" w:hAnsi="Georgia"/>
          <w:szCs w:val="24"/>
        </w:rPr>
      </w:pPr>
      <w:r w:rsidRPr="00570082">
        <w:rPr>
          <w:rFonts w:ascii="Georgia" w:hAnsi="Georgia"/>
          <w:szCs w:val="24"/>
        </w:rPr>
        <w:t>“How did the way of life in the Muslim society continue to develop over the next few generations? Was the newly developed legal system divorced from historical considerations as Coulson maintains?</w:t>
      </w:r>
      <w:r w:rsidRPr="00570082">
        <w:rPr>
          <w:rStyle w:val="EndnoteReference"/>
          <w:rFonts w:ascii="Georgia" w:hAnsi="Georgia"/>
          <w:szCs w:val="24"/>
        </w:rPr>
        <w:t xml:space="preserve"> </w:t>
      </w:r>
      <w:r w:rsidRPr="00570082">
        <w:rPr>
          <w:rFonts w:ascii="Georgia" w:hAnsi="Georgia"/>
          <w:szCs w:val="24"/>
        </w:rPr>
        <w:t>Or was it evolving as an historical phenomenon, closely linked to social progress? In essence, these questions are difficult to answer since the study of the caliphate, its institution and subsequent development, has never been attempted in its entirety until now. However, it can be observed that in principle there seem to be two main views in analysing the relationship between the prophetic period and the later development of Islamic Law. Traditional Muslim opinion perceives a continuous relationship between the periods of the Prophet, the Caliphs and the development of the law. Conversely, Western scholars, such as Goldziher and J. Schacht, maintain that the structure which emerged during later periods of Islamic law reflected local practice and the ongoing ideology of local scholars. Schacht maintains Islamic law to be “a unique phenomenon different from all other forms of law”. He also states, “the classical theory of Islam was influenced by foreign elements which were so thoroughly assimilated and Islamisized that they hardly seem to reveal a trace of their origimn.</w:t>
      </w:r>
      <w:r w:rsidRPr="00570082">
        <w:rPr>
          <w:rFonts w:ascii="Georgia" w:hAnsi="Georgia"/>
          <w:color w:val="000000"/>
          <w:szCs w:val="24"/>
        </w:rPr>
        <w:t xml:space="preserve"> Wansbrough</w:t>
      </w:r>
      <w:r w:rsidRPr="00570082">
        <w:rPr>
          <w:rFonts w:ascii="Georgia" w:hAnsi="Georgia"/>
          <w:szCs w:val="24"/>
        </w:rPr>
        <w:t xml:space="preserve"> argues that the Qur’an, like the hadith, must be recognised as the end product of two centuries of community experience. Coulson views Islamic law through the lens of an ongoing evolution that had begun in the time of Muhammad”. Hallaq, on the other hand, asserts that Islamic legal theory recognised a variety of sources and methods from which the law can be derived and, with the exception of the Qur’anic legal reform, the Prophet generally followed the existing pre-Islamic Arab practices. The diverse theories in interpreting the formation of Islamic law represent variant angles from which that formation was perceived. However, this legislative development was initiated by a Divine ‘big bang’, which fashioned a cultural wave that has maintained its impetus over the last fifteen centuries, creating a wide variety of legal cultures in its wake.”</w:t>
      </w:r>
      <w:r w:rsidRPr="00570082">
        <w:rPr>
          <w:rStyle w:val="EndnoteReference"/>
          <w:rFonts w:ascii="Georgia" w:hAnsi="Georgia"/>
          <w:szCs w:val="24"/>
        </w:rPr>
        <w:endnoteReference w:id="4"/>
      </w:r>
    </w:p>
    <w:p w14:paraId="7A63A7F0" w14:textId="77777777" w:rsidR="00CD3E2C" w:rsidRPr="00570082" w:rsidRDefault="00CD3E2C" w:rsidP="00CD3E2C">
      <w:pPr>
        <w:pStyle w:val="BodyText2"/>
        <w:ind w:left="1080"/>
        <w:rPr>
          <w:rFonts w:ascii="Georgia" w:hAnsi="Georgia"/>
          <w:sz w:val="24"/>
          <w:szCs w:val="24"/>
        </w:rPr>
      </w:pPr>
    </w:p>
    <w:p w14:paraId="5C2E8E02" w14:textId="77777777" w:rsidR="00CD3E2C" w:rsidRPr="00570082" w:rsidRDefault="00CD3E2C" w:rsidP="00CD3E2C">
      <w:pPr>
        <w:pStyle w:val="BodyText2"/>
        <w:ind w:left="1080" w:firstLine="360"/>
        <w:rPr>
          <w:rFonts w:ascii="Georgia" w:hAnsi="Georgia"/>
          <w:sz w:val="24"/>
          <w:szCs w:val="24"/>
        </w:rPr>
      </w:pPr>
      <w:r w:rsidRPr="00570082">
        <w:rPr>
          <w:rFonts w:ascii="Georgia" w:hAnsi="Georgia"/>
          <w:sz w:val="24"/>
          <w:szCs w:val="24"/>
        </w:rPr>
        <w:t>The Orthodox Caliphs or successors of the Prophet succeeded in pushing the Islamic boundaries further. By the eighth century CA Islam had expanded under the Umayyad and Abbasid dynasties to reach Spain, Sind and Constantinople. Damascus and Cairo had fallen to Islam. Having invaded southern France and Italy, there seemed nothing to prevent Islam from reaching the rest of the European world.</w:t>
      </w:r>
      <w:r w:rsidRPr="00570082">
        <w:rPr>
          <w:rStyle w:val="EndnoteReference"/>
          <w:rFonts w:ascii="Georgia" w:hAnsi="Georgia"/>
          <w:sz w:val="24"/>
          <w:szCs w:val="24"/>
          <w:lang w:val="en-US"/>
        </w:rPr>
        <w:t xml:space="preserve"> </w:t>
      </w:r>
      <w:r w:rsidRPr="00570082">
        <w:rPr>
          <w:rStyle w:val="EndnoteReference"/>
          <w:rFonts w:ascii="Georgia" w:hAnsi="Georgia"/>
          <w:sz w:val="24"/>
          <w:szCs w:val="24"/>
          <w:lang w:val="en-US"/>
        </w:rPr>
        <w:endnoteReference w:id="5"/>
      </w:r>
    </w:p>
    <w:p w14:paraId="010ACB41" w14:textId="77777777" w:rsidR="00CD3E2C" w:rsidRPr="00570082" w:rsidRDefault="00CD3E2C" w:rsidP="00CD3E2C">
      <w:pPr>
        <w:ind w:left="1080"/>
        <w:rPr>
          <w:rFonts w:ascii="Georgia" w:hAnsi="Georgia" w:cs="CG Times"/>
          <w:szCs w:val="24"/>
        </w:rPr>
      </w:pPr>
    </w:p>
    <w:p w14:paraId="16243F01" w14:textId="77777777" w:rsidR="00CD3E2C" w:rsidRPr="00570082" w:rsidRDefault="00CD3E2C" w:rsidP="00CD3E2C">
      <w:pPr>
        <w:ind w:left="1080" w:firstLine="360"/>
        <w:rPr>
          <w:rFonts w:ascii="Georgia" w:hAnsi="Georgia" w:cs="CG Times"/>
          <w:szCs w:val="24"/>
        </w:rPr>
      </w:pPr>
      <w:r w:rsidRPr="00570082">
        <w:rPr>
          <w:rFonts w:ascii="Georgia" w:hAnsi="Georgia" w:cs="CG Times"/>
          <w:szCs w:val="24"/>
        </w:rPr>
        <w:t>It is interesting to observe that during the Middle Ages, Islamic scholars preserved and developed ancient Greco</w:t>
      </w:r>
      <w:r w:rsidRPr="00570082">
        <w:rPr>
          <w:rFonts w:ascii="Georgia" w:hAnsi="Georgia" w:cs="CG Times"/>
          <w:szCs w:val="24"/>
        </w:rPr>
        <w:noBreakHyphen/>
        <w:t xml:space="preserve">Roman learning while the Dark Ages prevailed in Christian Europe. Islam was seen as an enemy of Christianity by European countries during the </w:t>
      </w:r>
      <w:r w:rsidRPr="00570082">
        <w:rPr>
          <w:rFonts w:ascii="Georgia" w:hAnsi="Georgia" w:cs="CG Times"/>
          <w:szCs w:val="24"/>
        </w:rPr>
        <w:lastRenderedPageBreak/>
        <w:t>Crusades, and Christian states united against a Muslim nation as late as the Battle of Lepanto in 1571.  Although driven from Europe, Islam remained established in North Africa and the Middle East.</w:t>
      </w:r>
    </w:p>
    <w:p w14:paraId="0791BA4C" w14:textId="77777777" w:rsidR="00CD3E2C" w:rsidRPr="00570082" w:rsidRDefault="00CD3E2C" w:rsidP="00CD3E2C">
      <w:pPr>
        <w:ind w:left="1080"/>
        <w:rPr>
          <w:rFonts w:ascii="Georgia" w:hAnsi="Georgia" w:cs="CG Times"/>
          <w:szCs w:val="24"/>
        </w:rPr>
      </w:pPr>
    </w:p>
    <w:p w14:paraId="7CA4A5AC" w14:textId="77777777" w:rsidR="00CD3E2C" w:rsidRPr="00570082" w:rsidRDefault="00CD3E2C" w:rsidP="00CD3E2C">
      <w:pPr>
        <w:ind w:left="1080" w:firstLine="360"/>
        <w:rPr>
          <w:rFonts w:ascii="Georgia" w:hAnsi="Georgia" w:cs="CG Times"/>
          <w:szCs w:val="24"/>
        </w:rPr>
      </w:pPr>
      <w:r w:rsidRPr="00570082">
        <w:rPr>
          <w:rFonts w:ascii="Georgia" w:hAnsi="Georgia" w:cs="CG Times"/>
          <w:szCs w:val="24"/>
        </w:rPr>
        <w:t>While military power stopped at the gates of Europe, Islamic civilization entered Europe through the keyholes of scientific knowledge, and continued an interchange with European culture and civilization until the eighteenth century.  There is extensive historical evidence of this interchange including medical treatises by Avicenna, al-Razi and other scholars whose work is still being acknowledged in European universities.</w:t>
      </w:r>
    </w:p>
    <w:p w14:paraId="5374B88C" w14:textId="77777777" w:rsidR="00CD3E2C" w:rsidRPr="00570082" w:rsidRDefault="00CD3E2C" w:rsidP="00CD3E2C">
      <w:pPr>
        <w:ind w:left="1080"/>
        <w:rPr>
          <w:rFonts w:ascii="Georgia" w:hAnsi="Georgia" w:cs="CG Times"/>
          <w:szCs w:val="24"/>
        </w:rPr>
      </w:pPr>
      <w:r w:rsidRPr="00570082">
        <w:rPr>
          <w:rFonts w:ascii="Georgia" w:hAnsi="Georgia" w:cs="CG Times"/>
          <w:szCs w:val="24"/>
        </w:rPr>
        <w:t xml:space="preserve"> </w:t>
      </w:r>
    </w:p>
    <w:p w14:paraId="3FD8BB3C" w14:textId="77777777" w:rsidR="00CD3E2C" w:rsidRPr="00570082" w:rsidRDefault="00CD3E2C" w:rsidP="00CD3E2C">
      <w:pPr>
        <w:ind w:left="1080" w:firstLine="360"/>
        <w:rPr>
          <w:rFonts w:ascii="Georgia" w:hAnsi="Georgia" w:cs="CG Times"/>
          <w:szCs w:val="24"/>
        </w:rPr>
      </w:pPr>
      <w:r w:rsidRPr="00570082">
        <w:rPr>
          <w:rFonts w:ascii="Georgia" w:hAnsi="Georgia" w:cs="CG Times"/>
          <w:szCs w:val="24"/>
        </w:rPr>
        <w:t xml:space="preserve">By the nineteenth century the historical pendulum was already moving in the opposite direction.  European powers took control of many territories that had previously come under Muslim rule. Britain took Indonesia in 1811, although it was restored to the Dutch in 1816.  Malaya became a preserve of the British after a treaty was concluded with the Dutch in 1824. Seven years later French forces occupied Algeria, ending 313 years of Turkish rule. In 1839 British forces occupied Aden and in 1857 the British captured Delhi, ending 1,000 years of Muslim rule.  In 1876, Britain purchased shares in the Suez canal, an involvement that culminated in the military occupation of Egypt in 1882. At almost the same time, Turkey handed Cyprus to Britain and shortly after, with the signing of the Treaty of Berlin, Turkey lost most of its European territory. </w:t>
      </w:r>
    </w:p>
    <w:p w14:paraId="7893C79B" w14:textId="77777777" w:rsidR="00CD3E2C" w:rsidRPr="00570082" w:rsidRDefault="00CD3E2C" w:rsidP="00CD3E2C">
      <w:pPr>
        <w:ind w:left="1080"/>
        <w:rPr>
          <w:rFonts w:ascii="Georgia" w:hAnsi="Georgia" w:cs="CG Times"/>
          <w:szCs w:val="24"/>
        </w:rPr>
      </w:pPr>
    </w:p>
    <w:p w14:paraId="585D8B34" w14:textId="77777777" w:rsidR="00CD3E2C" w:rsidRPr="00570082" w:rsidRDefault="00CD3E2C" w:rsidP="00CD3E2C">
      <w:pPr>
        <w:ind w:left="1080" w:firstLine="360"/>
        <w:rPr>
          <w:rFonts w:ascii="Georgia" w:hAnsi="Georgia" w:cs="CG Times"/>
          <w:szCs w:val="24"/>
        </w:rPr>
      </w:pPr>
      <w:r w:rsidRPr="00570082">
        <w:rPr>
          <w:rFonts w:ascii="Georgia" w:hAnsi="Georgia" w:cs="CG Times"/>
          <w:szCs w:val="24"/>
        </w:rPr>
        <w:t xml:space="preserve">During the twentieth century European expansion continued with French forces occupying Morocco. With the </w:t>
      </w:r>
      <w:r w:rsidRPr="00570082">
        <w:rPr>
          <w:rFonts w:ascii="Georgia" w:hAnsi="Georgia" w:cs="CG Times"/>
          <w:i/>
          <w:iCs/>
          <w:szCs w:val="24"/>
        </w:rPr>
        <w:t>de facto</w:t>
      </w:r>
      <w:r w:rsidRPr="00570082">
        <w:rPr>
          <w:rFonts w:ascii="Georgia" w:hAnsi="Georgia" w:cs="CG Times"/>
          <w:szCs w:val="24"/>
        </w:rPr>
        <w:t xml:space="preserve"> collapse of the Ottoman empire, Mustafa Kemal (Attaturk) abolished the Turkish Sultanate in 1922 and then the Caliphate in 1924. </w:t>
      </w:r>
    </w:p>
    <w:p w14:paraId="17B23A83" w14:textId="77777777" w:rsidR="00CD3E2C" w:rsidRPr="00570082" w:rsidRDefault="00CD3E2C" w:rsidP="00CD3E2C">
      <w:pPr>
        <w:ind w:left="1080"/>
        <w:rPr>
          <w:rFonts w:ascii="Georgia" w:hAnsi="Georgia" w:cs="CG Times"/>
          <w:szCs w:val="24"/>
        </w:rPr>
      </w:pPr>
    </w:p>
    <w:p w14:paraId="2B7B674B" w14:textId="77777777" w:rsidR="00CD3E2C" w:rsidRPr="00570082" w:rsidRDefault="00CD3E2C" w:rsidP="00CD3E2C">
      <w:pPr>
        <w:ind w:left="1080" w:firstLine="360"/>
        <w:rPr>
          <w:rFonts w:ascii="Georgia" w:hAnsi="Georgia" w:cs="CG Times"/>
          <w:szCs w:val="24"/>
        </w:rPr>
      </w:pPr>
      <w:r w:rsidRPr="00570082">
        <w:rPr>
          <w:rFonts w:ascii="Georgia" w:hAnsi="Georgia" w:cs="CG Times"/>
          <w:szCs w:val="24"/>
        </w:rPr>
        <w:t>In Persia, Reza Shah seized the government (1925), establishing the Pahlavi dynasty.  The state's name was changed to Iran in 1935. The dynasty lasted until 1979 when the Sha's son left Iran following the return from exile of Ayatollah Khomeini. After the end of British rule in India in 1947, Pakistan was created in areas of Muslim majority.</w:t>
      </w:r>
      <w:r w:rsidRPr="00570082">
        <w:rPr>
          <w:rStyle w:val="EndnoteReference"/>
          <w:rFonts w:ascii="Georgia" w:hAnsi="Georgia" w:cs="CG Times"/>
          <w:szCs w:val="24"/>
        </w:rPr>
        <w:endnoteReference w:id="6"/>
      </w:r>
      <w:r w:rsidRPr="00570082">
        <w:rPr>
          <w:rFonts w:ascii="Georgia" w:hAnsi="Georgia" w:cs="CG Times"/>
          <w:szCs w:val="24"/>
        </w:rPr>
        <w:t xml:space="preserve">  </w:t>
      </w:r>
    </w:p>
    <w:p w14:paraId="38366876" w14:textId="77777777" w:rsidR="00CD3E2C" w:rsidRPr="00570082" w:rsidRDefault="00CD3E2C" w:rsidP="00CD3E2C">
      <w:pPr>
        <w:ind w:left="1080"/>
        <w:rPr>
          <w:rFonts w:ascii="Georgia" w:hAnsi="Georgia" w:cs="CG Times"/>
          <w:szCs w:val="24"/>
        </w:rPr>
      </w:pPr>
    </w:p>
    <w:p w14:paraId="1A5243E5" w14:textId="77777777" w:rsidR="00CD3E2C" w:rsidRPr="00570082" w:rsidRDefault="00CD3E2C" w:rsidP="00CD3E2C">
      <w:pPr>
        <w:ind w:left="1080" w:firstLine="360"/>
        <w:rPr>
          <w:rFonts w:ascii="Georgia" w:hAnsi="Georgia" w:cs="CG Times"/>
          <w:szCs w:val="24"/>
        </w:rPr>
      </w:pPr>
      <w:r w:rsidRPr="00570082">
        <w:rPr>
          <w:rFonts w:ascii="Georgia" w:hAnsi="Georgia" w:cs="CG Times"/>
          <w:szCs w:val="24"/>
        </w:rPr>
        <w:t>In recent years Islamic regimes have been established in Iran, Afghanistan, and Sudan. Islam is a major force throughout the Arab world and it has been a focus for nationalism among the peoples of the Central Asian Republics. It is also a significant factor in Pakistan, Indonesia, and Malaysia.</w:t>
      </w:r>
    </w:p>
    <w:p w14:paraId="6103778A" w14:textId="77777777" w:rsidR="00CD3E2C" w:rsidRPr="00570082" w:rsidRDefault="00CD3E2C" w:rsidP="00CD3E2C">
      <w:pPr>
        <w:ind w:left="1080"/>
        <w:rPr>
          <w:rFonts w:ascii="Georgia" w:hAnsi="Georgia" w:cs="CG Times"/>
          <w:szCs w:val="24"/>
        </w:rPr>
      </w:pPr>
    </w:p>
    <w:p w14:paraId="5D0DD0AF" w14:textId="77777777" w:rsidR="00CD3E2C" w:rsidRPr="00570082" w:rsidRDefault="00CD3E2C" w:rsidP="00CD3E2C">
      <w:pPr>
        <w:ind w:left="1080" w:firstLine="360"/>
        <w:rPr>
          <w:rFonts w:ascii="Georgia" w:hAnsi="Georgia" w:cs="CG Times"/>
          <w:szCs w:val="24"/>
        </w:rPr>
      </w:pPr>
      <w:r w:rsidRPr="00570082">
        <w:rPr>
          <w:rFonts w:ascii="Georgia" w:hAnsi="Georgia" w:cs="CG Times"/>
          <w:szCs w:val="24"/>
        </w:rPr>
        <w:t>Islam represents one of the major cultural forces in the contemporary world.  On an issue such as Muslim politics it is important to understand the Islamic viewpoint in order to deliver an effective understanding for the study which is not detached from people's convictions and sentiments.</w:t>
      </w:r>
    </w:p>
    <w:p w14:paraId="760BA476" w14:textId="77777777" w:rsidR="001F2359" w:rsidRDefault="00CD3E2C" w:rsidP="00CD3E2C">
      <w:r w:rsidRPr="00570082">
        <w:rPr>
          <w:rFonts w:ascii="Georgia" w:hAnsi="Georgia"/>
        </w:rPr>
        <w:br w:type="page"/>
      </w:r>
      <w:bookmarkStart w:id="0" w:name="_GoBack"/>
      <w:bookmarkEnd w:id="0"/>
    </w:p>
    <w:sectPr w:rsidR="001F2359" w:rsidSect="00012EF9">
      <w:footerReference w:type="even" r:id="rId7"/>
      <w:foot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C7BED4" w14:textId="77777777" w:rsidR="00CD3E2C" w:rsidRDefault="00CD3E2C" w:rsidP="00CD3E2C">
      <w:r>
        <w:separator/>
      </w:r>
    </w:p>
  </w:endnote>
  <w:endnote w:type="continuationSeparator" w:id="0">
    <w:p w14:paraId="6A2DC006" w14:textId="77777777" w:rsidR="00CD3E2C" w:rsidRDefault="00CD3E2C" w:rsidP="00CD3E2C">
      <w:r>
        <w:continuationSeparator/>
      </w:r>
    </w:p>
  </w:endnote>
  <w:endnote w:id="1">
    <w:p w14:paraId="72F04A63" w14:textId="77777777" w:rsidR="00CD3E2C" w:rsidRPr="005A1597" w:rsidRDefault="00CD3E2C" w:rsidP="00CD3E2C">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rPr>
        <w:t xml:space="preserve"> </w:t>
      </w:r>
      <w:r>
        <w:rPr>
          <w:rFonts w:ascii="Georgia" w:hAnsi="Georgia"/>
        </w:rPr>
        <w:t xml:space="preserve">Mawil </w:t>
      </w:r>
      <w:r w:rsidRPr="00412776">
        <w:rPr>
          <w:rFonts w:ascii="Georgia" w:hAnsi="Georgia"/>
        </w:rPr>
        <w:t xml:space="preserve">Izzi Dien, </w:t>
      </w:r>
      <w:r w:rsidRPr="005A1597">
        <w:rPr>
          <w:rFonts w:ascii="Georgia" w:hAnsi="Georgia"/>
          <w:i/>
        </w:rPr>
        <w:t>Enviromental Dimensions of Islam</w:t>
      </w:r>
      <w:r w:rsidRPr="005A1597">
        <w:rPr>
          <w:rFonts w:ascii="Georgia" w:hAnsi="Georgia"/>
        </w:rPr>
        <w:t xml:space="preserve">, (Oxford: Lutterworth Press, 2000),6 </w:t>
      </w:r>
    </w:p>
    <w:p w14:paraId="0762A451" w14:textId="77777777" w:rsidR="00CD3E2C" w:rsidRPr="005A1597" w:rsidRDefault="00CD3E2C" w:rsidP="00CD3E2C">
      <w:pPr>
        <w:pStyle w:val="EndnoteText"/>
        <w:tabs>
          <w:tab w:val="left" w:pos="180"/>
          <w:tab w:val="left" w:pos="720"/>
          <w:tab w:val="left" w:pos="1080"/>
        </w:tabs>
        <w:ind w:left="720"/>
        <w:rPr>
          <w:rFonts w:ascii="Georgia" w:hAnsi="Georgia"/>
        </w:rPr>
      </w:pPr>
    </w:p>
  </w:endnote>
  <w:endnote w:id="2">
    <w:p w14:paraId="6E465DB6" w14:textId="77777777" w:rsidR="00CD3E2C" w:rsidRPr="005A1597" w:rsidRDefault="00CD3E2C" w:rsidP="00CD3E2C">
      <w:pPr>
        <w:pStyle w:val="EndnoteText"/>
        <w:tabs>
          <w:tab w:val="left" w:pos="180"/>
          <w:tab w:val="left" w:pos="720"/>
          <w:tab w:val="left" w:pos="1080"/>
        </w:tabs>
        <w:ind w:left="720"/>
        <w:rPr>
          <w:rFonts w:ascii="Georgia" w:hAnsi="Georgia"/>
        </w:rPr>
      </w:pPr>
      <w:r w:rsidRPr="005A1597">
        <w:rPr>
          <w:rStyle w:val="EndnoteReference"/>
          <w:rFonts w:ascii="Georgia" w:hAnsi="Georgia"/>
        </w:rPr>
        <w:endnoteRef/>
      </w:r>
      <w:r w:rsidRPr="005A1597">
        <w:rPr>
          <w:rFonts w:ascii="Georgia" w:hAnsi="Georgia"/>
        </w:rPr>
        <w:t xml:space="preserve"> Mawil Izzi Dien, Islamic </w:t>
      </w:r>
      <w:r w:rsidRPr="005A1597">
        <w:rPr>
          <w:rFonts w:ascii="Georgia" w:hAnsi="Georgia"/>
          <w:i/>
        </w:rPr>
        <w:t>Law: From Historical Foundations To Contemporary Practice</w:t>
      </w:r>
      <w:r w:rsidRPr="005A1597">
        <w:rPr>
          <w:rFonts w:ascii="Georgia" w:hAnsi="Georgia"/>
        </w:rPr>
        <w:t>,  (Edinburgh: Edinburgh University Press,  2004) 3</w:t>
      </w:r>
    </w:p>
    <w:p w14:paraId="1C86085B" w14:textId="77777777" w:rsidR="00CD3E2C" w:rsidRPr="005A1597" w:rsidRDefault="00CD3E2C" w:rsidP="00CD3E2C">
      <w:pPr>
        <w:pStyle w:val="EndnoteText"/>
        <w:tabs>
          <w:tab w:val="left" w:pos="180"/>
          <w:tab w:val="left" w:pos="720"/>
          <w:tab w:val="left" w:pos="1080"/>
        </w:tabs>
        <w:ind w:left="720"/>
        <w:rPr>
          <w:rFonts w:ascii="Georgia" w:hAnsi="Georgia"/>
        </w:rPr>
      </w:pPr>
    </w:p>
  </w:endnote>
  <w:endnote w:id="3">
    <w:p w14:paraId="5CFB3AA3" w14:textId="77777777" w:rsidR="00CD3E2C" w:rsidRPr="005A1597" w:rsidRDefault="00CD3E2C" w:rsidP="00CD3E2C">
      <w:pPr>
        <w:pStyle w:val="EndnoteText"/>
        <w:tabs>
          <w:tab w:val="left" w:pos="180"/>
          <w:tab w:val="left" w:pos="720"/>
          <w:tab w:val="left" w:pos="1080"/>
        </w:tabs>
        <w:ind w:left="720"/>
        <w:rPr>
          <w:rFonts w:ascii="Georgia" w:hAnsi="Georgia"/>
        </w:rPr>
      </w:pPr>
      <w:r w:rsidRPr="005A1597">
        <w:rPr>
          <w:rStyle w:val="EndnoteReference"/>
          <w:rFonts w:ascii="Georgia" w:hAnsi="Georgia"/>
        </w:rPr>
        <w:endnoteRef/>
      </w:r>
      <w:r w:rsidRPr="005A1597">
        <w:rPr>
          <w:rFonts w:ascii="Georgia" w:hAnsi="Georgia"/>
        </w:rPr>
        <w:t xml:space="preserve"> Izzi Dien , Islamic Law, 5-6</w:t>
      </w:r>
    </w:p>
    <w:p w14:paraId="2D05662B" w14:textId="77777777" w:rsidR="00CD3E2C" w:rsidRPr="005A1597" w:rsidRDefault="00CD3E2C" w:rsidP="00CD3E2C">
      <w:pPr>
        <w:pStyle w:val="EndnoteText"/>
        <w:tabs>
          <w:tab w:val="left" w:pos="180"/>
          <w:tab w:val="left" w:pos="720"/>
          <w:tab w:val="left" w:pos="1080"/>
        </w:tabs>
        <w:ind w:left="720"/>
        <w:rPr>
          <w:rFonts w:ascii="Georgia" w:hAnsi="Georgia"/>
        </w:rPr>
      </w:pPr>
    </w:p>
  </w:endnote>
  <w:endnote w:id="4">
    <w:p w14:paraId="432D4920" w14:textId="77777777" w:rsidR="00CD3E2C" w:rsidRPr="005A1597" w:rsidRDefault="00CD3E2C" w:rsidP="00CD3E2C">
      <w:pPr>
        <w:pStyle w:val="EndnoteText"/>
        <w:tabs>
          <w:tab w:val="left" w:pos="180"/>
          <w:tab w:val="left" w:pos="720"/>
          <w:tab w:val="left" w:pos="1080"/>
        </w:tabs>
        <w:ind w:left="720"/>
        <w:rPr>
          <w:rFonts w:ascii="Georgia" w:hAnsi="Georgia"/>
        </w:rPr>
      </w:pPr>
      <w:r w:rsidRPr="005A1597">
        <w:rPr>
          <w:rStyle w:val="EndnoteReference"/>
          <w:rFonts w:ascii="Georgia" w:hAnsi="Georgia"/>
        </w:rPr>
        <w:endnoteRef/>
      </w:r>
      <w:r w:rsidRPr="005A1597">
        <w:rPr>
          <w:rFonts w:ascii="Georgia" w:hAnsi="Georgia"/>
        </w:rPr>
        <w:t xml:space="preserve"> Izzi Dien, Ibid 7</w:t>
      </w:r>
    </w:p>
    <w:p w14:paraId="3B5B31BC" w14:textId="77777777" w:rsidR="00CD3E2C" w:rsidRPr="005A1597" w:rsidRDefault="00CD3E2C" w:rsidP="00CD3E2C">
      <w:pPr>
        <w:pStyle w:val="EndnoteText"/>
        <w:tabs>
          <w:tab w:val="left" w:pos="180"/>
          <w:tab w:val="left" w:pos="720"/>
          <w:tab w:val="left" w:pos="1080"/>
        </w:tabs>
        <w:ind w:left="720"/>
        <w:rPr>
          <w:rFonts w:ascii="Georgia" w:hAnsi="Georgia"/>
        </w:rPr>
      </w:pPr>
    </w:p>
  </w:endnote>
  <w:endnote w:id="5">
    <w:p w14:paraId="348FBC5C" w14:textId="77777777" w:rsidR="00CD3E2C" w:rsidRPr="005A1597" w:rsidRDefault="00CD3E2C" w:rsidP="00CD3E2C">
      <w:pPr>
        <w:pStyle w:val="EndnoteText"/>
        <w:tabs>
          <w:tab w:val="left" w:pos="180"/>
          <w:tab w:val="left" w:pos="720"/>
          <w:tab w:val="left" w:pos="1080"/>
        </w:tabs>
        <w:ind w:left="720"/>
        <w:rPr>
          <w:rFonts w:ascii="Georgia" w:hAnsi="Georgia"/>
        </w:rPr>
      </w:pPr>
      <w:r w:rsidRPr="005A1597">
        <w:rPr>
          <w:rStyle w:val="EndnoteReference"/>
          <w:rFonts w:ascii="Georgia" w:hAnsi="Georgia"/>
        </w:rPr>
        <w:endnoteRef/>
      </w:r>
      <w:r w:rsidRPr="005A1597">
        <w:rPr>
          <w:rFonts w:ascii="Georgia" w:hAnsi="Georgia"/>
        </w:rPr>
        <w:t xml:space="preserve"> Izzi Dien , </w:t>
      </w:r>
      <w:r w:rsidRPr="005A1597">
        <w:rPr>
          <w:rFonts w:ascii="Georgia" w:hAnsi="Georgia"/>
          <w:i/>
        </w:rPr>
        <w:t>The Enviromental Dimensions of Islam,</w:t>
      </w:r>
      <w:r w:rsidRPr="005A1597">
        <w:rPr>
          <w:rFonts w:ascii="Georgia" w:hAnsi="Georgia"/>
        </w:rPr>
        <w:t xml:space="preserve"> 6</w:t>
      </w:r>
    </w:p>
    <w:p w14:paraId="0939DEB5" w14:textId="77777777" w:rsidR="00CD3E2C" w:rsidRPr="005A1597" w:rsidRDefault="00CD3E2C" w:rsidP="00CD3E2C">
      <w:pPr>
        <w:pStyle w:val="EndnoteText"/>
        <w:tabs>
          <w:tab w:val="left" w:pos="180"/>
          <w:tab w:val="left" w:pos="720"/>
          <w:tab w:val="left" w:pos="1080"/>
        </w:tabs>
        <w:ind w:left="720"/>
        <w:rPr>
          <w:rFonts w:ascii="Georgia" w:hAnsi="Georgia"/>
        </w:rPr>
      </w:pPr>
    </w:p>
  </w:endnote>
  <w:endnote w:id="6">
    <w:p w14:paraId="0C216B99" w14:textId="77777777" w:rsidR="00CD3E2C" w:rsidRPr="005A1597" w:rsidRDefault="00CD3E2C" w:rsidP="00CD3E2C">
      <w:pPr>
        <w:pStyle w:val="EndnoteText"/>
        <w:tabs>
          <w:tab w:val="left" w:pos="180"/>
          <w:tab w:val="left" w:pos="720"/>
          <w:tab w:val="left" w:pos="1080"/>
        </w:tabs>
        <w:rPr>
          <w:rFonts w:ascii="Georgia" w:hAnsi="Georgia"/>
          <w:i/>
          <w:iCs/>
        </w:rPr>
      </w:pPr>
      <w:r w:rsidRPr="005A1597">
        <w:rPr>
          <w:rFonts w:ascii="Georgia" w:hAnsi="Georgia"/>
        </w:rPr>
        <w:tab/>
      </w:r>
      <w:r w:rsidRPr="005A1597">
        <w:rPr>
          <w:rFonts w:ascii="Georgia" w:hAnsi="Georgia"/>
        </w:rPr>
        <w:tab/>
      </w:r>
      <w:r w:rsidRPr="005A1597">
        <w:rPr>
          <w:rStyle w:val="EndnoteReference"/>
          <w:rFonts w:ascii="Georgia" w:hAnsi="Georgia"/>
        </w:rPr>
        <w:endnoteRef/>
      </w:r>
      <w:r w:rsidRPr="005A1597">
        <w:rPr>
          <w:rFonts w:ascii="Georgia" w:hAnsi="Georgia"/>
        </w:rPr>
        <w:t xml:space="preserve"> </w:t>
      </w:r>
      <w:r w:rsidRPr="005A1597">
        <w:rPr>
          <w:rFonts w:ascii="Georgia" w:hAnsi="Georgia"/>
          <w:iCs/>
        </w:rPr>
        <w:t>Ibid</w:t>
      </w:r>
    </w:p>
    <w:p w14:paraId="792975A4" w14:textId="77777777" w:rsidR="00CD3E2C" w:rsidRPr="005A1597" w:rsidRDefault="00CD3E2C" w:rsidP="00CD3E2C">
      <w:pPr>
        <w:pStyle w:val="EndnoteText"/>
        <w:tabs>
          <w:tab w:val="left" w:pos="180"/>
          <w:tab w:val="left" w:pos="720"/>
          <w:tab w:val="left" w:pos="1080"/>
        </w:tabs>
        <w:rPr>
          <w:rFonts w:ascii="Georgia" w:hAnsi="Georg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Times Dot">
    <w:altName w:val="Times New Roman"/>
    <w:charset w:val="00"/>
    <w:family w:val="roman"/>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73E16" w14:textId="77777777" w:rsidR="001B5C47" w:rsidRDefault="001B5C47" w:rsidP="00F655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545CD66" w14:textId="77777777" w:rsidR="001B5C47" w:rsidRDefault="001B5C47" w:rsidP="001B5C4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890722" w14:textId="77777777" w:rsidR="001B5C47" w:rsidRDefault="001B5C47" w:rsidP="00F655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0E3599B" w14:textId="77777777" w:rsidR="001B5C47" w:rsidRDefault="001B5C47" w:rsidP="001B5C4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B1295F" w14:textId="77777777" w:rsidR="00CD3E2C" w:rsidRDefault="00CD3E2C" w:rsidP="00CD3E2C">
      <w:r>
        <w:separator/>
      </w:r>
    </w:p>
  </w:footnote>
  <w:footnote w:type="continuationSeparator" w:id="0">
    <w:p w14:paraId="129C9F83" w14:textId="77777777" w:rsidR="00CD3E2C" w:rsidRDefault="00CD3E2C" w:rsidP="00CD3E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E2C"/>
    <w:rsid w:val="00012EF9"/>
    <w:rsid w:val="001B5C47"/>
    <w:rsid w:val="001F2359"/>
    <w:rsid w:val="00CD3E2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F8C79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3E2C"/>
    <w:rPr>
      <w:rFonts w:ascii="Times New Roman" w:eastAsia="Times New Roman" w:hAnsi="Times New Roman" w:cs="Times New Roman"/>
      <w:szCs w:val="20"/>
      <w:lang w:eastAsia="en-GB"/>
    </w:rPr>
  </w:style>
  <w:style w:type="paragraph" w:styleId="Heading1">
    <w:name w:val="heading 1"/>
    <w:basedOn w:val="Normal"/>
    <w:next w:val="Normal"/>
    <w:link w:val="Heading1Char"/>
    <w:qFormat/>
    <w:rsid w:val="00CD3E2C"/>
    <w:pPr>
      <w:keepNext/>
      <w:jc w:val="center"/>
      <w:outlineLvl w:val="0"/>
    </w:pPr>
    <w:rPr>
      <w:rFonts w:ascii="Tahoma" w:hAnsi="Tahoma"/>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D3E2C"/>
    <w:rPr>
      <w:rFonts w:ascii="Tahoma" w:eastAsia="Times New Roman" w:hAnsi="Tahoma" w:cs="Times New Roman"/>
      <w:b/>
      <w:i/>
      <w:szCs w:val="20"/>
      <w:lang w:eastAsia="en-GB"/>
    </w:rPr>
  </w:style>
  <w:style w:type="paragraph" w:styleId="BodyText2">
    <w:name w:val="Body Text 2"/>
    <w:basedOn w:val="Normal"/>
    <w:link w:val="BodyText2Char"/>
    <w:rsid w:val="00CD3E2C"/>
    <w:rPr>
      <w:rFonts w:ascii="Arial" w:hAnsi="Arial"/>
      <w:sz w:val="20"/>
    </w:rPr>
  </w:style>
  <w:style w:type="character" w:customStyle="1" w:styleId="BodyText2Char">
    <w:name w:val="Body Text 2 Char"/>
    <w:basedOn w:val="DefaultParagraphFont"/>
    <w:link w:val="BodyText2"/>
    <w:rsid w:val="00CD3E2C"/>
    <w:rPr>
      <w:rFonts w:ascii="Arial" w:eastAsia="Times New Roman" w:hAnsi="Arial" w:cs="Times New Roman"/>
      <w:sz w:val="20"/>
      <w:szCs w:val="20"/>
      <w:lang w:eastAsia="en-GB"/>
    </w:rPr>
  </w:style>
  <w:style w:type="paragraph" w:styleId="BodyText3">
    <w:name w:val="Body Text 3"/>
    <w:basedOn w:val="Normal"/>
    <w:link w:val="BodyText3Char"/>
    <w:rsid w:val="00CD3E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Georgia" w:hAnsi="Georgia"/>
      <w:i/>
    </w:rPr>
  </w:style>
  <w:style w:type="character" w:customStyle="1" w:styleId="BodyText3Char">
    <w:name w:val="Body Text 3 Char"/>
    <w:basedOn w:val="DefaultParagraphFont"/>
    <w:link w:val="BodyText3"/>
    <w:rsid w:val="00CD3E2C"/>
    <w:rPr>
      <w:rFonts w:ascii="Georgia" w:eastAsia="Times New Roman" w:hAnsi="Georgia" w:cs="Times New Roman"/>
      <w:i/>
      <w:szCs w:val="20"/>
      <w:lang w:eastAsia="en-GB"/>
    </w:rPr>
  </w:style>
  <w:style w:type="paragraph" w:styleId="BodyText">
    <w:name w:val="Body Text"/>
    <w:basedOn w:val="Normal"/>
    <w:link w:val="BodyTextChar"/>
    <w:rsid w:val="00CD3E2C"/>
    <w:pPr>
      <w:spacing w:after="120"/>
    </w:pPr>
  </w:style>
  <w:style w:type="character" w:customStyle="1" w:styleId="BodyTextChar">
    <w:name w:val="Body Text Char"/>
    <w:basedOn w:val="DefaultParagraphFont"/>
    <w:link w:val="BodyText"/>
    <w:rsid w:val="00CD3E2C"/>
    <w:rPr>
      <w:rFonts w:ascii="Times New Roman" w:eastAsia="Times New Roman" w:hAnsi="Times New Roman" w:cs="Times New Roman"/>
      <w:szCs w:val="20"/>
      <w:lang w:eastAsia="en-GB"/>
    </w:rPr>
  </w:style>
  <w:style w:type="character" w:styleId="EndnoteReference">
    <w:name w:val="endnote reference"/>
    <w:basedOn w:val="DefaultParagraphFont"/>
    <w:semiHidden/>
    <w:rsid w:val="00CD3E2C"/>
    <w:rPr>
      <w:vertAlign w:val="superscript"/>
    </w:rPr>
  </w:style>
  <w:style w:type="paragraph" w:styleId="EndnoteText">
    <w:name w:val="endnote text"/>
    <w:basedOn w:val="Normal"/>
    <w:link w:val="EndnoteTextChar"/>
    <w:semiHidden/>
    <w:rsid w:val="00CD3E2C"/>
    <w:pPr>
      <w:widowControl w:val="0"/>
    </w:pPr>
    <w:rPr>
      <w:snapToGrid w:val="0"/>
      <w:sz w:val="20"/>
      <w:lang w:val="en-US" w:eastAsia="en-US"/>
    </w:rPr>
  </w:style>
  <w:style w:type="character" w:customStyle="1" w:styleId="EndnoteTextChar">
    <w:name w:val="Endnote Text Char"/>
    <w:basedOn w:val="DefaultParagraphFont"/>
    <w:link w:val="EndnoteText"/>
    <w:semiHidden/>
    <w:rsid w:val="00CD3E2C"/>
    <w:rPr>
      <w:rFonts w:ascii="Times New Roman" w:eastAsia="Times New Roman" w:hAnsi="Times New Roman" w:cs="Times New Roman"/>
      <w:snapToGrid w:val="0"/>
      <w:sz w:val="20"/>
      <w:szCs w:val="20"/>
      <w:lang w:val="en-US"/>
    </w:rPr>
  </w:style>
  <w:style w:type="paragraph" w:styleId="Footer">
    <w:name w:val="footer"/>
    <w:basedOn w:val="Normal"/>
    <w:link w:val="FooterChar"/>
    <w:uiPriority w:val="99"/>
    <w:unhideWhenUsed/>
    <w:rsid w:val="001B5C47"/>
    <w:pPr>
      <w:tabs>
        <w:tab w:val="center" w:pos="4320"/>
        <w:tab w:val="right" w:pos="8640"/>
      </w:tabs>
    </w:pPr>
  </w:style>
  <w:style w:type="character" w:customStyle="1" w:styleId="FooterChar">
    <w:name w:val="Footer Char"/>
    <w:basedOn w:val="DefaultParagraphFont"/>
    <w:link w:val="Footer"/>
    <w:uiPriority w:val="99"/>
    <w:rsid w:val="001B5C47"/>
    <w:rPr>
      <w:rFonts w:ascii="Times New Roman" w:eastAsia="Times New Roman" w:hAnsi="Times New Roman" w:cs="Times New Roman"/>
      <w:szCs w:val="20"/>
      <w:lang w:eastAsia="en-GB"/>
    </w:rPr>
  </w:style>
  <w:style w:type="character" w:styleId="PageNumber">
    <w:name w:val="page number"/>
    <w:basedOn w:val="DefaultParagraphFont"/>
    <w:uiPriority w:val="99"/>
    <w:semiHidden/>
    <w:unhideWhenUsed/>
    <w:rsid w:val="001B5C4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3E2C"/>
    <w:rPr>
      <w:rFonts w:ascii="Times New Roman" w:eastAsia="Times New Roman" w:hAnsi="Times New Roman" w:cs="Times New Roman"/>
      <w:szCs w:val="20"/>
      <w:lang w:eastAsia="en-GB"/>
    </w:rPr>
  </w:style>
  <w:style w:type="paragraph" w:styleId="Heading1">
    <w:name w:val="heading 1"/>
    <w:basedOn w:val="Normal"/>
    <w:next w:val="Normal"/>
    <w:link w:val="Heading1Char"/>
    <w:qFormat/>
    <w:rsid w:val="00CD3E2C"/>
    <w:pPr>
      <w:keepNext/>
      <w:jc w:val="center"/>
      <w:outlineLvl w:val="0"/>
    </w:pPr>
    <w:rPr>
      <w:rFonts w:ascii="Tahoma" w:hAnsi="Tahoma"/>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D3E2C"/>
    <w:rPr>
      <w:rFonts w:ascii="Tahoma" w:eastAsia="Times New Roman" w:hAnsi="Tahoma" w:cs="Times New Roman"/>
      <w:b/>
      <w:i/>
      <w:szCs w:val="20"/>
      <w:lang w:eastAsia="en-GB"/>
    </w:rPr>
  </w:style>
  <w:style w:type="paragraph" w:styleId="BodyText2">
    <w:name w:val="Body Text 2"/>
    <w:basedOn w:val="Normal"/>
    <w:link w:val="BodyText2Char"/>
    <w:rsid w:val="00CD3E2C"/>
    <w:rPr>
      <w:rFonts w:ascii="Arial" w:hAnsi="Arial"/>
      <w:sz w:val="20"/>
    </w:rPr>
  </w:style>
  <w:style w:type="character" w:customStyle="1" w:styleId="BodyText2Char">
    <w:name w:val="Body Text 2 Char"/>
    <w:basedOn w:val="DefaultParagraphFont"/>
    <w:link w:val="BodyText2"/>
    <w:rsid w:val="00CD3E2C"/>
    <w:rPr>
      <w:rFonts w:ascii="Arial" w:eastAsia="Times New Roman" w:hAnsi="Arial" w:cs="Times New Roman"/>
      <w:sz w:val="20"/>
      <w:szCs w:val="20"/>
      <w:lang w:eastAsia="en-GB"/>
    </w:rPr>
  </w:style>
  <w:style w:type="paragraph" w:styleId="BodyText3">
    <w:name w:val="Body Text 3"/>
    <w:basedOn w:val="Normal"/>
    <w:link w:val="BodyText3Char"/>
    <w:rsid w:val="00CD3E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Georgia" w:hAnsi="Georgia"/>
      <w:i/>
    </w:rPr>
  </w:style>
  <w:style w:type="character" w:customStyle="1" w:styleId="BodyText3Char">
    <w:name w:val="Body Text 3 Char"/>
    <w:basedOn w:val="DefaultParagraphFont"/>
    <w:link w:val="BodyText3"/>
    <w:rsid w:val="00CD3E2C"/>
    <w:rPr>
      <w:rFonts w:ascii="Georgia" w:eastAsia="Times New Roman" w:hAnsi="Georgia" w:cs="Times New Roman"/>
      <w:i/>
      <w:szCs w:val="20"/>
      <w:lang w:eastAsia="en-GB"/>
    </w:rPr>
  </w:style>
  <w:style w:type="paragraph" w:styleId="BodyText">
    <w:name w:val="Body Text"/>
    <w:basedOn w:val="Normal"/>
    <w:link w:val="BodyTextChar"/>
    <w:rsid w:val="00CD3E2C"/>
    <w:pPr>
      <w:spacing w:after="120"/>
    </w:pPr>
  </w:style>
  <w:style w:type="character" w:customStyle="1" w:styleId="BodyTextChar">
    <w:name w:val="Body Text Char"/>
    <w:basedOn w:val="DefaultParagraphFont"/>
    <w:link w:val="BodyText"/>
    <w:rsid w:val="00CD3E2C"/>
    <w:rPr>
      <w:rFonts w:ascii="Times New Roman" w:eastAsia="Times New Roman" w:hAnsi="Times New Roman" w:cs="Times New Roman"/>
      <w:szCs w:val="20"/>
      <w:lang w:eastAsia="en-GB"/>
    </w:rPr>
  </w:style>
  <w:style w:type="character" w:styleId="EndnoteReference">
    <w:name w:val="endnote reference"/>
    <w:basedOn w:val="DefaultParagraphFont"/>
    <w:semiHidden/>
    <w:rsid w:val="00CD3E2C"/>
    <w:rPr>
      <w:vertAlign w:val="superscript"/>
    </w:rPr>
  </w:style>
  <w:style w:type="paragraph" w:styleId="EndnoteText">
    <w:name w:val="endnote text"/>
    <w:basedOn w:val="Normal"/>
    <w:link w:val="EndnoteTextChar"/>
    <w:semiHidden/>
    <w:rsid w:val="00CD3E2C"/>
    <w:pPr>
      <w:widowControl w:val="0"/>
    </w:pPr>
    <w:rPr>
      <w:snapToGrid w:val="0"/>
      <w:sz w:val="20"/>
      <w:lang w:val="en-US" w:eastAsia="en-US"/>
    </w:rPr>
  </w:style>
  <w:style w:type="character" w:customStyle="1" w:styleId="EndnoteTextChar">
    <w:name w:val="Endnote Text Char"/>
    <w:basedOn w:val="DefaultParagraphFont"/>
    <w:link w:val="EndnoteText"/>
    <w:semiHidden/>
    <w:rsid w:val="00CD3E2C"/>
    <w:rPr>
      <w:rFonts w:ascii="Times New Roman" w:eastAsia="Times New Roman" w:hAnsi="Times New Roman" w:cs="Times New Roman"/>
      <w:snapToGrid w:val="0"/>
      <w:sz w:val="20"/>
      <w:szCs w:val="20"/>
      <w:lang w:val="en-US"/>
    </w:rPr>
  </w:style>
  <w:style w:type="paragraph" w:styleId="Footer">
    <w:name w:val="footer"/>
    <w:basedOn w:val="Normal"/>
    <w:link w:val="FooterChar"/>
    <w:uiPriority w:val="99"/>
    <w:unhideWhenUsed/>
    <w:rsid w:val="001B5C47"/>
    <w:pPr>
      <w:tabs>
        <w:tab w:val="center" w:pos="4320"/>
        <w:tab w:val="right" w:pos="8640"/>
      </w:tabs>
    </w:pPr>
  </w:style>
  <w:style w:type="character" w:customStyle="1" w:styleId="FooterChar">
    <w:name w:val="Footer Char"/>
    <w:basedOn w:val="DefaultParagraphFont"/>
    <w:link w:val="Footer"/>
    <w:uiPriority w:val="99"/>
    <w:rsid w:val="001B5C47"/>
    <w:rPr>
      <w:rFonts w:ascii="Times New Roman" w:eastAsia="Times New Roman" w:hAnsi="Times New Roman" w:cs="Times New Roman"/>
      <w:szCs w:val="20"/>
      <w:lang w:eastAsia="en-GB"/>
    </w:rPr>
  </w:style>
  <w:style w:type="character" w:styleId="PageNumber">
    <w:name w:val="page number"/>
    <w:basedOn w:val="DefaultParagraphFont"/>
    <w:uiPriority w:val="99"/>
    <w:semiHidden/>
    <w:unhideWhenUsed/>
    <w:rsid w:val="001B5C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2035</Words>
  <Characters>11603</Characters>
  <Application>Microsoft Macintosh Word</Application>
  <DocSecurity>0</DocSecurity>
  <Lines>96</Lines>
  <Paragraphs>27</Paragraphs>
  <ScaleCrop>false</ScaleCrop>
  <Company>Dept. of Theology, Religious Studies &amp; Islamic Stud</Company>
  <LinksUpToDate>false</LinksUpToDate>
  <CharactersWithSpaces>13611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Bunt</dc:creator>
  <cp:keywords/>
  <dc:description/>
  <cp:lastModifiedBy>Gary  Bunt</cp:lastModifiedBy>
  <cp:revision>2</cp:revision>
  <dcterms:created xsi:type="dcterms:W3CDTF">2012-05-30T11:48:00Z</dcterms:created>
  <dcterms:modified xsi:type="dcterms:W3CDTF">2012-05-30T11:48:00Z</dcterms:modified>
</cp:coreProperties>
</file>