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What does Heraclitus mean in saying that we never step into the same river twice?</w:t>
      </w:r>
    </w:p>
    <w:p w:rsidR="00000000" w:rsidDel="00000000" w:rsidP="00000000" w:rsidRDefault="00000000" w:rsidRPr="00000000" w14:paraId="00000001">
      <w:pPr>
        <w:contextualSpacing w:val="0"/>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2">
      <w:pPr>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Heraclitus is often attributed to the phrase “It is not possible to step into the same river twice,” or something similar in wording, depending on the translation you may use. What this phrase means comes down to what is known as his doctrine of flux, or the idea that everything is changing in the world, to the point where theoretically, nothing is ever the same, as some factors have changed from one instant to the next. Jonathan Barnes writes about this in detail, explaining the concept of the doctrine of flux by writing </w:t>
      </w:r>
    </w:p>
    <w:p w:rsidR="00000000" w:rsidDel="00000000" w:rsidP="00000000" w:rsidRDefault="00000000" w:rsidRPr="00000000" w14:paraId="00000003">
      <w:pPr>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4">
      <w:pPr>
        <w:ind w:left="72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common core of the fragments is the observation, trite and true, that rivers, on which common parlance and the nomenclature of the geographers impose a permanence and stability, are all the while changing in at least one essential respect, the waters of which they are constituted are never the same from one to the other.</w:t>
      </w:r>
      <w:r w:rsidDel="00000000" w:rsidR="00000000" w:rsidRPr="00000000">
        <w:rPr>
          <w:rFonts w:ascii="Times New Roman" w:cs="Times New Roman" w:eastAsia="Times New Roman" w:hAnsi="Times New Roman"/>
          <w:sz w:val="26"/>
          <w:szCs w:val="26"/>
          <w:vertAlign w:val="superscript"/>
        </w:rPr>
        <w:footnoteReference w:customMarkFollows="0" w:id="0"/>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05">
      <w:pPr>
        <w:ind w:left="72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6">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explains quite clearly what Heraclitus meant with his metaphor. A person cannot step into the same river twice because that would imply that the waters of a river do not flow, and by natural design, it must be assumed that they indeed do flow. If the waters do flow, then the water changes in every instant, and seeing as you cannot step in the same part of the river at the same instant as you did before, you are stepping in different water and therefore a different river. This is the pinnacle of Heraclitus’s idea that the universe is in a state of constant flux. </w:t>
      </w:r>
    </w:p>
    <w:p w:rsidR="00000000" w:rsidDel="00000000" w:rsidP="00000000" w:rsidRDefault="00000000" w:rsidRPr="00000000" w14:paraId="00000007">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8">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logic has been expanded upon in other branches of philosophy, namely the idea of who or what the ‘self’ is. David Hume expresses a similar thought process when he writes: </w:t>
      </w:r>
    </w:p>
    <w:p w:rsidR="00000000" w:rsidDel="00000000" w:rsidP="00000000" w:rsidRDefault="00000000" w:rsidRPr="00000000" w14:paraId="00000009">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A">
      <w:pPr>
        <w:ind w:left="72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“Pain and pleasure, grief and joy, passions and sensations succeed each other and never all exist at the same time... It cannot be therefore be from any of these impressions, or any other, that the idea of self is derived; and consequently there is no such idea.”</w:t>
      </w:r>
      <w:r w:rsidDel="00000000" w:rsidR="00000000" w:rsidRPr="00000000">
        <w:rPr>
          <w:rFonts w:ascii="Times New Roman" w:cs="Times New Roman" w:eastAsia="Times New Roman" w:hAnsi="Times New Roman"/>
          <w:sz w:val="26"/>
          <w:szCs w:val="26"/>
          <w:vertAlign w:val="superscript"/>
        </w:rPr>
        <w:footnoteReference w:customMarkFollows="0" w:id="1"/>
      </w: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0B">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C">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ideology is an equivalent to that of Heraclitus, as it dictates that our thought processes and our physical steps (in terms of the metaphor of the river) are ever-changing. Hume possesses the view that we as people have no permanent self because we as people have no permanence about us, much like that of Heraclitus’s river. Therefore, they share the same viewpoint, showing how Heraclitus’s views can be manifested into more modern philosophy and giving it new meanings through the works of others. </w:t>
      </w:r>
    </w:p>
    <w:p w:rsidR="00000000" w:rsidDel="00000000" w:rsidP="00000000" w:rsidRDefault="00000000" w:rsidRPr="00000000" w14:paraId="0000000D">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E">
      <w:pPr>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 opponent of Heraclitus is Plato, who taught Heraclitus himself, but refuted him, saying that the idea that the universe is in a constant state of flux negates all possibility of knowledge. If everything is always changing, Plato argues that we can know nothing, due to the nature of Heraclitus’ argument. It is intrinsic in the knowledge that Heraclitus himself teaches that no knowledge can ever be known, showing that trying to use this logic to understand the core concepts of the universe is inherently flawed in his own words.</w:t>
      </w:r>
    </w:p>
    <w:p w:rsidR="00000000" w:rsidDel="00000000" w:rsidP="00000000" w:rsidRDefault="00000000" w:rsidRPr="00000000" w14:paraId="0000000F">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0">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potential counterclaim to Plato is what Heraclitus has said may also have this connotation that the concept of an object is permanent. What I mean by this, is that while the river in his metaphor is constantly changing to the point where a person may never step into the same river twice, we still recognise that it is a river, giving the same name and descriptions should we try to describe it to somebody else who is not aware of it. The universe may be in a state of constant flux, according to Heraclitus, but there must be something that remains the same, such as the concept itself, or everything would be unrecognisable to everyone, leaving there to be a world with no knowledge of anything. Perhaps this is what Heraclitus meant by the idea that everything was in a permanent state of flux.</w:t>
      </w:r>
    </w:p>
    <w:p w:rsidR="00000000" w:rsidDel="00000000" w:rsidP="00000000" w:rsidRDefault="00000000" w:rsidRPr="00000000" w14:paraId="00000011">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2">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Other fragments by Heraclitus let us understand what is meant by the doctrine of flux and the metaphor of the ever-changing river. One of them reads “The sea is most pure and most polluted water: for fish, drinkable and life-preserving; for men, undrinkable and death-dealing.”</w:t>
      </w:r>
      <w:r w:rsidDel="00000000" w:rsidR="00000000" w:rsidRPr="00000000">
        <w:rPr>
          <w:rFonts w:ascii="Times New Roman" w:cs="Times New Roman" w:eastAsia="Times New Roman" w:hAnsi="Times New Roman"/>
          <w:sz w:val="26"/>
          <w:szCs w:val="26"/>
          <w:vertAlign w:val="superscript"/>
        </w:rPr>
        <w:footnoteReference w:customMarkFollows="0" w:id="2"/>
      </w:r>
      <w:r w:rsidDel="00000000" w:rsidR="00000000" w:rsidRPr="00000000">
        <w:rPr>
          <w:rFonts w:ascii="Times New Roman" w:cs="Times New Roman" w:eastAsia="Times New Roman" w:hAnsi="Times New Roman"/>
          <w:sz w:val="26"/>
          <w:szCs w:val="26"/>
          <w:rtl w:val="0"/>
        </w:rPr>
        <w:t xml:space="preserve"> This infers that the changes that are intrinsic to the universe must have some kind of harmony, which in this case, the purity of seawater is different depending on your natural perspective, as it is toxic for humans to drink, and yet perfectly safe for ocean-dwellers to do the same. It is in flux because it changes from beast to beast, but it is still balanced. This is also known as Heraclitus’ </w:t>
      </w:r>
      <w:r w:rsidDel="00000000" w:rsidR="00000000" w:rsidRPr="00000000">
        <w:rPr>
          <w:rFonts w:ascii="Times New Roman" w:cs="Times New Roman" w:eastAsia="Times New Roman" w:hAnsi="Times New Roman"/>
          <w:sz w:val="26"/>
          <w:szCs w:val="26"/>
          <w:rtl w:val="0"/>
        </w:rPr>
        <w:t xml:space="preserve">Doctrine of Opposites</w:t>
      </w:r>
      <w:r w:rsidDel="00000000" w:rsidR="00000000" w:rsidRPr="00000000">
        <w:rPr>
          <w:rFonts w:ascii="Times New Roman" w:cs="Times New Roman" w:eastAsia="Times New Roman" w:hAnsi="Times New Roman"/>
          <w:sz w:val="26"/>
          <w:szCs w:val="26"/>
          <w:rtl w:val="0"/>
        </w:rPr>
        <w:t xml:space="preserve">. Another fragment reads “The path up and the path down is one and the same,</w:t>
      </w:r>
      <w:r w:rsidDel="00000000" w:rsidR="00000000" w:rsidRPr="00000000">
        <w:rPr>
          <w:rFonts w:ascii="Times New Roman" w:cs="Times New Roman" w:eastAsia="Times New Roman" w:hAnsi="Times New Roman"/>
          <w:sz w:val="26"/>
          <w:szCs w:val="26"/>
          <w:vertAlign w:val="superscript"/>
        </w:rPr>
        <w:footnoteReference w:customMarkFollows="0" w:id="3"/>
      </w:r>
      <w:r w:rsidDel="00000000" w:rsidR="00000000" w:rsidRPr="00000000">
        <w:rPr>
          <w:rFonts w:ascii="Times New Roman" w:cs="Times New Roman" w:eastAsia="Times New Roman" w:hAnsi="Times New Roman"/>
          <w:sz w:val="26"/>
          <w:szCs w:val="26"/>
          <w:rtl w:val="0"/>
        </w:rPr>
        <w:t xml:space="preserve">” which is a more complicated way of looking at this idea of a universe in flux, but it tells us how looking at two different things can have the same result, because ultimately everything remains the same in the sense that everything always changes. These fragments link back to that of the question because it helps us contextualise and further understand what Heraclitus meant with his metaphor of the river.</w:t>
      </w:r>
    </w:p>
    <w:p w:rsidR="00000000" w:rsidDel="00000000" w:rsidP="00000000" w:rsidRDefault="00000000" w:rsidRPr="00000000" w14:paraId="00000013">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4">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To summarise, what Heraclitus meant by the idea of never being able to step in the same river twice is that the universe is always changing and always will change. The mountains will erode, the river will carve new paths with its new water and we as people will always change, both mentally and physically, as David Hume pointed out using similar logic. Plato argues this removes all concept of knowledge because if everything must change, then so must the fact of the universe. Discovering what many Presocratic authors were discussing can be a difficult task, because it can be down to interpretation a lot of the time, which means we are imposing our thoughts onto them and making philosophy from it, but Heraclitus seems somewhat clear, meaning I am relatively confident in the fragments as I understand them.</w:t>
      </w:r>
    </w:p>
    <w:p w:rsidR="00000000" w:rsidDel="00000000" w:rsidP="00000000" w:rsidRDefault="00000000" w:rsidRPr="00000000" w14:paraId="00000015">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6">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7">
      <w:pPr>
        <w:ind w:left="0" w:firstLine="0"/>
        <w:contextualSpacing w:val="0"/>
        <w:jc w:val="both"/>
        <w:rPr>
          <w:rFonts w:ascii="Times New Roman" w:cs="Times New Roman" w:eastAsia="Times New Roman" w:hAnsi="Times New Roman"/>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18">
      <w:pPr>
        <w:ind w:left="0" w:firstLine="0"/>
        <w:contextualSpacing w:val="0"/>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Bibliography</w:t>
      </w:r>
    </w:p>
    <w:p w:rsidR="00000000" w:rsidDel="00000000" w:rsidP="00000000" w:rsidRDefault="00000000" w:rsidRPr="00000000" w14:paraId="00000019">
      <w:pPr>
        <w:ind w:left="0" w:firstLine="0"/>
        <w:contextualSpacing w:val="0"/>
        <w:jc w:val="both"/>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A">
      <w:pPr>
        <w:ind w:left="0" w:firstLine="0"/>
        <w:contextualSpacing w:val="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Barnes, J. (1988). </w:t>
      </w:r>
      <w:r w:rsidDel="00000000" w:rsidR="00000000" w:rsidRPr="00000000">
        <w:rPr>
          <w:rFonts w:ascii="Times New Roman" w:cs="Times New Roman" w:eastAsia="Times New Roman" w:hAnsi="Times New Roman"/>
          <w:i w:val="1"/>
          <w:sz w:val="26"/>
          <w:szCs w:val="26"/>
          <w:rtl w:val="0"/>
        </w:rPr>
        <w:t xml:space="preserve">Early Greek Philosophy</w:t>
      </w:r>
      <w:r w:rsidDel="00000000" w:rsidR="00000000" w:rsidRPr="00000000">
        <w:rPr>
          <w:rFonts w:ascii="Times New Roman" w:cs="Times New Roman" w:eastAsia="Times New Roman" w:hAnsi="Times New Roman"/>
          <w:sz w:val="26"/>
          <w:szCs w:val="26"/>
          <w:rtl w:val="0"/>
        </w:rPr>
        <w:t xml:space="preserve">. Harmondsworth: Penguin Books.</w:t>
      </w:r>
    </w:p>
    <w:p w:rsidR="00000000" w:rsidDel="00000000" w:rsidP="00000000" w:rsidRDefault="00000000" w:rsidRPr="00000000" w14:paraId="0000001B">
      <w:pPr>
        <w:ind w:left="0" w:firstLine="0"/>
        <w:contextualSpacing w:val="0"/>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C">
      <w:pPr>
        <w:ind w:left="0" w:firstLine="0"/>
        <w:contextualSpacing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Barnes, J. (2006). </w:t>
      </w:r>
      <w:r w:rsidDel="00000000" w:rsidR="00000000" w:rsidRPr="00000000">
        <w:rPr>
          <w:rFonts w:ascii="Times New Roman" w:cs="Times New Roman" w:eastAsia="Times New Roman" w:hAnsi="Times New Roman"/>
          <w:i w:val="1"/>
          <w:sz w:val="26"/>
          <w:szCs w:val="26"/>
          <w:rtl w:val="0"/>
        </w:rPr>
        <w:t xml:space="preserve">The Presocratic Philosophers. </w:t>
      </w:r>
      <w:r w:rsidDel="00000000" w:rsidR="00000000" w:rsidRPr="00000000">
        <w:rPr>
          <w:rFonts w:ascii="Times New Roman" w:cs="Times New Roman" w:eastAsia="Times New Roman" w:hAnsi="Times New Roman"/>
          <w:sz w:val="26"/>
          <w:szCs w:val="26"/>
          <w:rtl w:val="0"/>
        </w:rPr>
        <w:t xml:space="preserve">London: Routledge, pp.65-69.</w:t>
      </w:r>
    </w:p>
    <w:p w:rsidR="00000000" w:rsidDel="00000000" w:rsidP="00000000" w:rsidRDefault="00000000" w:rsidRPr="00000000" w14:paraId="0000001D">
      <w:pPr>
        <w:ind w:left="0" w:firstLine="0"/>
        <w:contextualSpacing w:val="0"/>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1E">
      <w:pPr>
        <w:ind w:left="0" w:firstLine="0"/>
        <w:contextualSpacing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Graham, D. (2018). </w:t>
      </w:r>
      <w:r w:rsidDel="00000000" w:rsidR="00000000" w:rsidRPr="00000000">
        <w:rPr>
          <w:rFonts w:ascii="Times New Roman" w:cs="Times New Roman" w:eastAsia="Times New Roman" w:hAnsi="Times New Roman"/>
          <w:i w:val="1"/>
          <w:sz w:val="26"/>
          <w:szCs w:val="26"/>
          <w:rtl w:val="0"/>
        </w:rPr>
        <w:t xml:space="preserve">Heraclitus. </w:t>
      </w:r>
      <w:r w:rsidDel="00000000" w:rsidR="00000000" w:rsidRPr="00000000">
        <w:rPr>
          <w:rFonts w:ascii="Times New Roman" w:cs="Times New Roman" w:eastAsia="Times New Roman" w:hAnsi="Times New Roman"/>
          <w:sz w:val="26"/>
          <w:szCs w:val="26"/>
          <w:rtl w:val="0"/>
        </w:rPr>
        <w:t xml:space="preserve">[online] Plato.stanford.edu. Available at: https://plato.stanford.edu/entries/heraclitus/#Kno [Accessed 20 Feb. 2018].</w:t>
      </w:r>
    </w:p>
    <w:p w:rsidR="00000000" w:rsidDel="00000000" w:rsidP="00000000" w:rsidRDefault="00000000" w:rsidRPr="00000000" w14:paraId="0000001F">
      <w:pPr>
        <w:ind w:left="0" w:firstLine="0"/>
        <w:contextualSpacing w:val="0"/>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20">
      <w:pPr>
        <w:ind w:left="0" w:firstLine="0"/>
        <w:contextualSpacing w:val="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Hume, D. (1982), </w:t>
      </w:r>
      <w:r w:rsidDel="00000000" w:rsidR="00000000" w:rsidRPr="00000000">
        <w:rPr>
          <w:rFonts w:ascii="Times New Roman" w:cs="Times New Roman" w:eastAsia="Times New Roman" w:hAnsi="Times New Roman"/>
          <w:i w:val="1"/>
          <w:sz w:val="26"/>
          <w:szCs w:val="26"/>
          <w:rtl w:val="0"/>
        </w:rPr>
        <w:t xml:space="preserve">A Treatise of Human Nature</w:t>
      </w:r>
      <w:r w:rsidDel="00000000" w:rsidR="00000000" w:rsidRPr="00000000">
        <w:rPr>
          <w:rFonts w:ascii="Times New Roman" w:cs="Times New Roman" w:eastAsia="Times New Roman" w:hAnsi="Times New Roman"/>
          <w:sz w:val="26"/>
          <w:szCs w:val="26"/>
          <w:rtl w:val="0"/>
        </w:rPr>
        <w:t xml:space="preserve">, Bk.I, pp. 300-301, Fontana, (London)</w:t>
      </w:r>
    </w:p>
    <w:p w:rsidR="00000000" w:rsidDel="00000000" w:rsidP="00000000" w:rsidRDefault="00000000" w:rsidRPr="00000000" w14:paraId="00000021">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2">
      <w:pPr>
        <w:ind w:left="0" w:firstLine="0"/>
        <w:contextualSpacing w:val="0"/>
        <w:jc w:val="both"/>
        <w:rPr>
          <w:rFonts w:ascii="Times New Roman" w:cs="Times New Roman" w:eastAsia="Times New Roman" w:hAnsi="Times New Roman"/>
          <w:sz w:val="26"/>
          <w:szCs w:val="26"/>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Barnes, (2006)</w:t>
      </w:r>
    </w:p>
  </w:footnote>
  <w:footnote w:id="1">
    <w:p w:rsidR="00000000" w:rsidDel="00000000" w:rsidP="00000000" w:rsidRDefault="00000000" w:rsidRPr="00000000" w14:paraId="0000002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Hume, (1982)</w:t>
      </w:r>
    </w:p>
  </w:footnote>
  <w:footnote w:id="2">
    <w:p w:rsidR="00000000" w:rsidDel="00000000" w:rsidP="00000000" w:rsidRDefault="00000000" w:rsidRPr="00000000" w14:paraId="0000002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Barnes, (1988)</w:t>
      </w:r>
    </w:p>
  </w:footnote>
  <w:footnote w:id="3">
    <w:p w:rsidR="00000000" w:rsidDel="00000000" w:rsidP="00000000" w:rsidRDefault="00000000" w:rsidRPr="00000000" w14:paraId="0000002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