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rPr>
          <w:rFonts w:ascii="Times New Roman" w:cs="Times New Roman" w:eastAsia="Times New Roman" w:hAnsi="Times New Roman"/>
        </w:rPr>
      </w:pPr>
      <w:bookmarkStart w:colFirst="0" w:colLast="0" w:name="_heading=h.gjdgxs" w:id="0"/>
      <w:bookmarkEnd w:id="0"/>
      <w:r w:rsidDel="00000000" w:rsidR="00000000" w:rsidRPr="00000000">
        <w:rPr>
          <w:rtl w:val="0"/>
        </w:rPr>
      </w:r>
    </w:p>
    <w:p w:rsidR="00000000" w:rsidDel="00000000" w:rsidP="00000000" w:rsidRDefault="00000000" w:rsidRPr="00000000" w14:paraId="00000002">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366091"/>
          <w:sz w:val="32"/>
          <w:szCs w:val="32"/>
          <w:u w:val="none"/>
          <w:shd w:fill="auto" w:val="clear"/>
          <w:vertAlign w:val="baseline"/>
        </w:rPr>
      </w:pPr>
      <w:r w:rsidDel="00000000" w:rsidR="00000000" w:rsidRPr="00000000">
        <w:rPr>
          <w:rFonts w:ascii="Calibri" w:cs="Calibri" w:eastAsia="Calibri" w:hAnsi="Calibri"/>
          <w:b w:val="0"/>
          <w:i w:val="0"/>
          <w:smallCaps w:val="0"/>
          <w:strike w:val="0"/>
          <w:color w:val="366091"/>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1fob9te">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Introduction</w:t>
            </w:r>
          </w:hyperlink>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Conclusion</w:t>
            </w:r>
          </w:hyperlink>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Reference</w:t>
            </w:r>
          </w:hyperlink>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pStyle w:val="Heading1"/>
        <w:rPr>
          <w:rFonts w:ascii="Times New Roman" w:cs="Times New Roman" w:eastAsia="Times New Roman" w:hAnsi="Times New Roman"/>
        </w:rPr>
      </w:pPr>
      <w:bookmarkStart w:colFirst="0" w:colLast="0" w:name="_heading=h.30j0zll" w:id="1"/>
      <w:bookmarkEnd w:id="1"/>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sz w:val="40"/>
          <w:szCs w:val="40"/>
        </w:rPr>
      </w:pPr>
      <w:bookmarkStart w:colFirst="0" w:colLast="0" w:name="_heading=h.1fob9te" w:id="2"/>
      <w:bookmarkEnd w:id="2"/>
      <w:r w:rsidDel="00000000" w:rsidR="00000000" w:rsidRPr="00000000">
        <w:br w:type="page"/>
      </w:r>
      <w:r w:rsidDel="00000000" w:rsidR="00000000" w:rsidRPr="00000000">
        <w:rPr>
          <w:rtl w:val="0"/>
        </w:rPr>
      </w:r>
    </w:p>
    <w:p w:rsidR="00000000" w:rsidDel="00000000" w:rsidP="00000000" w:rsidRDefault="00000000" w:rsidRPr="00000000" w14:paraId="0000000A">
      <w:pPr>
        <w:pStyle w:val="Heading1"/>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Introduction </w:t>
      </w:r>
    </w:p>
    <w:p w:rsidR="00000000" w:rsidDel="00000000" w:rsidP="00000000" w:rsidRDefault="00000000" w:rsidRPr="00000000" w14:paraId="0000000B">
      <w:pPr>
        <w:spacing w:after="200" w:line="360" w:lineRule="auto"/>
        <w:jc w:val="both"/>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rtl w:val="0"/>
        </w:rPr>
        <w:t xml:space="preserve">Childhood is defined as the period of time between birth and adolescence. According to Piaget's theory of cognitive development, childhood is divided into two phases: the pre-operational and concrete operational stages. In developmental psychology, infancy is split into the phases of childhood, early childhood, mid-age and adolescence of development. A variety of earlier events can influence a child’s attitude formation (</w:t>
      </w:r>
      <w:r w:rsidDel="00000000" w:rsidR="00000000" w:rsidRPr="00000000">
        <w:rPr>
          <w:rFonts w:ascii="Times New Roman" w:cs="Times New Roman" w:eastAsia="Times New Roman" w:hAnsi="Times New Roman"/>
          <w:color w:val="222222"/>
          <w:sz w:val="24"/>
          <w:szCs w:val="24"/>
          <w:highlight w:val="white"/>
          <w:rtl w:val="0"/>
        </w:rPr>
        <w:t xml:space="preserve">Masten and Barnes,2018</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highlight w:val="yellow"/>
          <w:rtl w:val="0"/>
        </w:rPr>
        <w:t xml:space="preserve"> According to </w:t>
      </w:r>
      <w:r w:rsidDel="00000000" w:rsidR="00000000" w:rsidRPr="00000000">
        <w:rPr>
          <w:rFonts w:ascii="Times New Roman" w:cs="Times New Roman" w:eastAsia="Times New Roman" w:hAnsi="Times New Roman"/>
          <w:color w:val="222222"/>
          <w:sz w:val="24"/>
          <w:szCs w:val="24"/>
          <w:highlight w:val="yellow"/>
          <w:rtl w:val="0"/>
        </w:rPr>
        <w:t xml:space="preserve">Chetty,(2018) </w:t>
      </w:r>
      <w:r w:rsidDel="00000000" w:rsidR="00000000" w:rsidRPr="00000000">
        <w:rPr>
          <w:rFonts w:ascii="Times New Roman" w:cs="Times New Roman" w:eastAsia="Times New Roman" w:hAnsi="Times New Roman"/>
          <w:sz w:val="24"/>
          <w:szCs w:val="24"/>
          <w:highlight w:val="yellow"/>
          <w:rtl w:val="0"/>
        </w:rPr>
        <w:t xml:space="preserve">the legal definition of childhood is that of a minority time from childhood to maturity. The maturity age depends on the location and function. Childhood is defined biologically as the stage of a human organism between birth and puberty. The development of childhood refers to bio-psychological and emotional changes in people from birth to the end of adolescence as people go from being dependent to gaining autonomy. Society plays an essential part in this growth, and what is deemed "normal" is very different from one culture to another. From developmental stages and family patterns to the type of hardness, one is most likely to confront, society and culture with which one grows up impact everything (</w:t>
      </w:r>
      <w:r w:rsidDel="00000000" w:rsidR="00000000" w:rsidRPr="00000000">
        <w:rPr>
          <w:rFonts w:ascii="Times New Roman" w:cs="Times New Roman" w:eastAsia="Times New Roman" w:hAnsi="Times New Roman"/>
          <w:color w:val="222222"/>
          <w:sz w:val="24"/>
          <w:szCs w:val="24"/>
          <w:highlight w:val="yellow"/>
          <w:rtl w:val="0"/>
        </w:rPr>
        <w:t xml:space="preserve">Bell,2020</w:t>
      </w:r>
      <w:r w:rsidDel="00000000" w:rsidR="00000000" w:rsidRPr="00000000">
        <w:rPr>
          <w:rFonts w:ascii="Times New Roman" w:cs="Times New Roman" w:eastAsia="Times New Roman" w:hAnsi="Times New Roman"/>
          <w:sz w:val="24"/>
          <w:szCs w:val="24"/>
          <w:highlight w:val="yellow"/>
          <w:rtl w:val="0"/>
        </w:rPr>
        <w:t xml:space="preserve">).</w:t>
      </w:r>
    </w:p>
    <w:p w:rsidR="00000000" w:rsidDel="00000000" w:rsidP="00000000" w:rsidRDefault="00000000" w:rsidRPr="00000000" w14:paraId="0000000C">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Humans rely significantly on children's development learning. Since we don't come to life knowing how to act in society, we have to learn a lot about the behaviours from our surroundings. This education starts with the family at home for most of us. There are numerous ways of learning. Sometimes children learn something immediately by being told. The most frequent approach for youngsters to remember, however, is via daily observation (</w:t>
      </w:r>
      <w:r w:rsidDel="00000000" w:rsidR="00000000" w:rsidRPr="00000000">
        <w:rPr>
          <w:rFonts w:ascii="Times New Roman" w:cs="Times New Roman" w:eastAsia="Times New Roman" w:hAnsi="Times New Roman"/>
          <w:color w:val="222222"/>
          <w:sz w:val="24"/>
          <w:szCs w:val="24"/>
          <w:highlight w:val="white"/>
          <w:rtl w:val="0"/>
        </w:rPr>
        <w:t xml:space="preserve">Tinanoff et al,2019</w:t>
      </w:r>
      <w:r w:rsidDel="00000000" w:rsidR="00000000" w:rsidRPr="00000000">
        <w:rPr>
          <w:rFonts w:ascii="Times New Roman" w:cs="Times New Roman" w:eastAsia="Times New Roman" w:hAnsi="Times New Roman"/>
          <w:sz w:val="24"/>
          <w:szCs w:val="24"/>
          <w:rtl w:val="0"/>
        </w:rPr>
        <w:t xml:space="preserve">). Their families mainly impact the learning and socialisation of children as the family is the primary social group of children. The physical, emotional, social and intellectual growth of the child unfolds during this period. To create an analogy, one must make sure that the structure has a strong foundation if they build a huge one so that for many years the remainder of the building may be enormous and intense (</w:t>
      </w:r>
      <w:r w:rsidDel="00000000" w:rsidR="00000000" w:rsidRPr="00000000">
        <w:rPr>
          <w:rFonts w:ascii="Times New Roman" w:cs="Times New Roman" w:eastAsia="Times New Roman" w:hAnsi="Times New Roman"/>
          <w:color w:val="222222"/>
          <w:sz w:val="24"/>
          <w:szCs w:val="24"/>
          <w:highlight w:val="white"/>
          <w:rtl w:val="0"/>
        </w:rPr>
        <w:t xml:space="preserve">García et al,2017</w:t>
      </w:r>
      <w:r w:rsidDel="00000000" w:rsidR="00000000" w:rsidRPr="00000000">
        <w:rPr>
          <w:rFonts w:ascii="Times New Roman" w:cs="Times New Roman" w:eastAsia="Times New Roman" w:hAnsi="Times New Roman"/>
          <w:sz w:val="24"/>
          <w:szCs w:val="24"/>
          <w:rtl w:val="0"/>
        </w:rPr>
        <w:t xml:space="preserve">). The building will have problems standing alone if the foundation isn't solid. Just as with individuals, it is harder to be successful in relationships, jobs, health and ourselves if the foundations are not strong. So, the importance of the family in a child's growth can not be emphasised enough. Throughout the end, the family will be responsible for moulding a child in such early development phases and will influence their beliefs, capabilities, socialisation and security.</w:t>
      </w:r>
    </w:p>
    <w:p w:rsidR="00000000" w:rsidDel="00000000" w:rsidP="00000000" w:rsidRDefault="00000000" w:rsidRPr="00000000" w14:paraId="0000000D">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Childhood is thought to be a recent phenomenon, according to certain historians of childhood. As a result, it is a contemporary invention that has given children a unique place in society (</w:t>
      </w:r>
      <w:r w:rsidDel="00000000" w:rsidR="00000000" w:rsidRPr="00000000">
        <w:rPr>
          <w:rFonts w:ascii="Times New Roman" w:cs="Times New Roman" w:eastAsia="Times New Roman" w:hAnsi="Times New Roman"/>
          <w:color w:val="222222"/>
          <w:sz w:val="24"/>
          <w:szCs w:val="24"/>
          <w:highlight w:val="white"/>
          <w:rtl w:val="0"/>
        </w:rPr>
        <w:t xml:space="preserve">Almond, Currie and Duque,2018</w:t>
      </w:r>
      <w:r w:rsidDel="00000000" w:rsidR="00000000" w:rsidRPr="00000000">
        <w:rPr>
          <w:rFonts w:ascii="Times New Roman" w:cs="Times New Roman" w:eastAsia="Times New Roman" w:hAnsi="Times New Roman"/>
          <w:sz w:val="24"/>
          <w:szCs w:val="24"/>
          <w:rtl w:val="0"/>
        </w:rPr>
        <w:t xml:space="preserve">). Indeed, some historians believe that the concept of childhood as a separate stage of life did not emerge until the 16th century. A child was regarded as an adult in mediaeval culture when they could survive without the constant supervision of a mother or caretaker. In the 1970s and 1980s, there was a movement in attitudes or a paradigm shift concerning children and childhood known as the "break with tradition (</w:t>
      </w:r>
      <w:r w:rsidDel="00000000" w:rsidR="00000000" w:rsidRPr="00000000">
        <w:rPr>
          <w:rFonts w:ascii="Times New Roman" w:cs="Times New Roman" w:eastAsia="Times New Roman" w:hAnsi="Times New Roman"/>
          <w:color w:val="222222"/>
          <w:sz w:val="24"/>
          <w:szCs w:val="24"/>
          <w:highlight w:val="white"/>
          <w:rtl w:val="0"/>
        </w:rPr>
        <w:t xml:space="preserve">Ogundele,2018</w:t>
      </w:r>
      <w:r w:rsidDel="00000000" w:rsidR="00000000" w:rsidRPr="00000000">
        <w:rPr>
          <w:rFonts w:ascii="Times New Roman" w:cs="Times New Roman" w:eastAsia="Times New Roman" w:hAnsi="Times New Roman"/>
          <w:sz w:val="24"/>
          <w:szCs w:val="24"/>
          <w:rtl w:val="0"/>
        </w:rPr>
        <w:t xml:space="preserve">)." Many initiatives centred on a child's place in society, such as the inauguration of the International Year of the Child in 1979, the creation of concepts such as "world's children," "child abuse," and "pleasant, safe, safeguarded, innocent childhood." Traditional conceptions of a kid and childhood have also begun to be challenged in academia who ventured to question Piaget's acclaimed child development study. Vygotsky, a Russian psychologist who lived about the same time as Jean Piaget, questioned and criticised the idea of development as a universal and natural process ( ). He proposed that social and cultural settings influence a child's growth, thinking, and social interactions. With the advent of the modern school and the bourgeoisie nuclear family, which assigned different responsibilities to children, a current perspective of children and childhood evolved. The present idea of “childhood” is the outcome of a massive educational and institutionalisation effort to ensure that children grow up to be helpful, well-behaved adults. The focus was on creating and executing legislation that emphasises the need for children to remain in school for a set amount of time to gain the necessary skills. The law was crafted with input from parents and teachers, believing that education is an essential investment in the country's future (</w:t>
      </w:r>
      <w:r w:rsidDel="00000000" w:rsidR="00000000" w:rsidRPr="00000000">
        <w:rPr>
          <w:rFonts w:ascii="Times New Roman" w:cs="Times New Roman" w:eastAsia="Times New Roman" w:hAnsi="Times New Roman"/>
          <w:color w:val="222222"/>
          <w:sz w:val="24"/>
          <w:szCs w:val="24"/>
          <w:highlight w:val="white"/>
          <w:rtl w:val="0"/>
        </w:rPr>
        <w:t xml:space="preserve">Quennerstedt, Robinson and I’Anson,2018</w:t>
      </w:r>
      <w:r w:rsidDel="00000000" w:rsidR="00000000" w:rsidRPr="00000000">
        <w:rPr>
          <w:rFonts w:ascii="Times New Roman" w:cs="Times New Roman" w:eastAsia="Times New Roman" w:hAnsi="Times New Roman"/>
          <w:sz w:val="24"/>
          <w:szCs w:val="24"/>
          <w:rtl w:val="0"/>
        </w:rPr>
        <w:t xml:space="preserve">). Children are expected to attend school after the industrial revolution. As a result, children are seen as financially reliant on their parents, and in most modern countries, this era of reliance moulds the concept of childhood.</w:t>
      </w:r>
    </w:p>
    <w:p w:rsidR="00000000" w:rsidDel="00000000" w:rsidP="00000000" w:rsidRDefault="00000000" w:rsidRPr="00000000" w14:paraId="0000000E">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modern industrialised nations, many laws have been enacted to support the concept of childhood. In particular, how ‘child labour' regulations were enforced. These developments resulted in a sentimentalised view of childhood, in which children should be cherished and safeguarded. Nonetheless, in particular modern countries, children are expected to work from an early age and are seen as economically responsible family and community members. As a result, implementing the United Nations Convention on the Rights of the Child in all nations with equal focus is difficult (</w:t>
      </w:r>
      <w:r w:rsidDel="00000000" w:rsidR="00000000" w:rsidRPr="00000000">
        <w:rPr>
          <w:rFonts w:ascii="Times New Roman" w:cs="Times New Roman" w:eastAsia="Times New Roman" w:hAnsi="Times New Roman"/>
          <w:color w:val="222222"/>
          <w:sz w:val="24"/>
          <w:szCs w:val="24"/>
          <w:highlight w:val="white"/>
          <w:rtl w:val="0"/>
        </w:rPr>
        <w:t xml:space="preserve">Quennerstedt, Robinson and I’Anson,2018</w:t>
      </w:r>
      <w:r w:rsidDel="00000000" w:rsidR="00000000" w:rsidRPr="00000000">
        <w:rPr>
          <w:rFonts w:ascii="Times New Roman" w:cs="Times New Roman" w:eastAsia="Times New Roman" w:hAnsi="Times New Roman"/>
          <w:sz w:val="24"/>
          <w:szCs w:val="24"/>
          <w:rtl w:val="0"/>
        </w:rPr>
        <w:t xml:space="preserve">). Childhood is seen as a very different notion in these civilisations than it is in our industrialised countries. Childhood is now seen as being influenced not just by the environment, culture, and time but also by circumstances. While the relevance of children's rights perspectives in emergencies is increasingly recognised, the integration of child development knowledge into the curriculum is significant (</w:t>
      </w:r>
      <w:r w:rsidDel="00000000" w:rsidR="00000000" w:rsidRPr="00000000">
        <w:rPr>
          <w:rFonts w:ascii="Times New Roman" w:cs="Times New Roman" w:eastAsia="Times New Roman" w:hAnsi="Times New Roman"/>
          <w:color w:val="222222"/>
          <w:sz w:val="24"/>
          <w:szCs w:val="24"/>
          <w:highlight w:val="white"/>
          <w:rtl w:val="0"/>
        </w:rPr>
        <w:t xml:space="preserve">Felfe and Lalive,2018</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F">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Individuals benefit from lifelong networks of supporting human relationships, both in families and communities and through affiliations with social, political, cultural, educational and religious organisations that are official and informal. Families contributing to and supporting such resources and networks in social capital are considered to be strong. In families of pre-school children, whose social capital levels are more significant, youngsters exhibit more substantial positive developments in emotions and conduct (</w:t>
      </w:r>
      <w:r w:rsidDel="00000000" w:rsidR="00000000" w:rsidRPr="00000000">
        <w:rPr>
          <w:rFonts w:ascii="Times New Roman" w:cs="Times New Roman" w:eastAsia="Times New Roman" w:hAnsi="Times New Roman"/>
          <w:color w:val="222222"/>
          <w:sz w:val="24"/>
          <w:szCs w:val="24"/>
          <w:highlight w:val="white"/>
          <w:rtl w:val="0"/>
        </w:rPr>
        <w:t xml:space="preserve">Masten and Barnes,2018</w:t>
      </w:r>
      <w:r w:rsidDel="00000000" w:rsidR="00000000" w:rsidRPr="00000000">
        <w:rPr>
          <w:rFonts w:ascii="Times New Roman" w:cs="Times New Roman" w:eastAsia="Times New Roman" w:hAnsi="Times New Roman"/>
          <w:sz w:val="24"/>
          <w:szCs w:val="24"/>
          <w:rtl w:val="0"/>
        </w:rPr>
        <w:t xml:space="preserve">). Mutual support and strong neighbourliness, especially under unfavourable situations, promote health. Where social status is abundant, the chance of children acquiring resilient qualities is considerably boosted in even negative settings. A child is more suited to manage everyday problems when protecting by supportive connections with adults. The support of a family member or from elsewhere in the community can demonstrate the essential difference between unpleasant children's experiences that push a person to a destructive track or discover ways to maintain one that delivers superior social and economic performance (</w:t>
      </w:r>
      <w:r w:rsidDel="00000000" w:rsidR="00000000" w:rsidRPr="00000000">
        <w:rPr>
          <w:rFonts w:ascii="Times New Roman" w:cs="Times New Roman" w:eastAsia="Times New Roman" w:hAnsi="Times New Roman"/>
          <w:color w:val="222222"/>
          <w:sz w:val="24"/>
          <w:szCs w:val="24"/>
          <w:highlight w:val="white"/>
          <w:rtl w:val="0"/>
        </w:rPr>
        <w:t xml:space="preserve">Parkes, Green and Mitchell,2019</w:t>
      </w:r>
      <w:r w:rsidDel="00000000" w:rsidR="00000000" w:rsidRPr="00000000">
        <w:rPr>
          <w:rFonts w:ascii="Times New Roman" w:cs="Times New Roman" w:eastAsia="Times New Roman" w:hAnsi="Times New Roman"/>
          <w:sz w:val="24"/>
          <w:szCs w:val="24"/>
          <w:rtl w:val="0"/>
        </w:rPr>
        <w:t xml:space="preserve">). As a result, children who are more at risk of adversity from less advantaged families can still thrive when protected from a supportive environment. </w:t>
      </w:r>
    </w:p>
    <w:p w:rsidR="00000000" w:rsidDel="00000000" w:rsidP="00000000" w:rsidRDefault="00000000" w:rsidRPr="00000000" w14:paraId="00000010">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unequal distribution of resilience and adversity among the populations and its link to wider socio-economic disparities must be considered. Risk factors are frequently interlinked. For example, children who live in an impoverished neighbourhood may be under-educated and harmful to their health, such as alcohol and drug abuse, leading to regional ambitions and possibilities for work. The risk factors existing in children's lives are exacerbated in this setting where poverty, prejudice and inadequate social capital are more substantial (</w:t>
      </w:r>
      <w:r w:rsidDel="00000000" w:rsidR="00000000" w:rsidRPr="00000000">
        <w:rPr>
          <w:rFonts w:ascii="Times New Roman" w:cs="Times New Roman" w:eastAsia="Times New Roman" w:hAnsi="Times New Roman"/>
          <w:color w:val="222222"/>
          <w:sz w:val="24"/>
          <w:szCs w:val="24"/>
          <w:highlight w:val="white"/>
          <w:rtl w:val="0"/>
        </w:rPr>
        <w:t xml:space="preserve">Straus,2017</w:t>
      </w:r>
      <w:r w:rsidDel="00000000" w:rsidR="00000000" w:rsidRPr="00000000">
        <w:rPr>
          <w:rFonts w:ascii="Times New Roman" w:cs="Times New Roman" w:eastAsia="Times New Roman" w:hAnsi="Times New Roman"/>
          <w:sz w:val="24"/>
          <w:szCs w:val="24"/>
          <w:rtl w:val="0"/>
        </w:rPr>
        <w:t xml:space="preserve">). Risk factors accumulation may also indicate children surmounting and even learning from single or modest threats when they increase their ability to thrive fast. The best start in life for every child is one of the strategic goals of Public Health England, recognising the essential bases for life in early years and the severe disparities experienced by different societal groups. A multiagency preventive strategy also targets several risk factors that impact a child's physical, social and emotional development and ensures that all children have the highest degree of health protection (</w:t>
      </w:r>
      <w:r w:rsidDel="00000000" w:rsidR="00000000" w:rsidRPr="00000000">
        <w:rPr>
          <w:rFonts w:ascii="Times New Roman" w:cs="Times New Roman" w:eastAsia="Times New Roman" w:hAnsi="Times New Roman"/>
          <w:color w:val="222222"/>
          <w:sz w:val="24"/>
          <w:szCs w:val="24"/>
          <w:highlight w:val="white"/>
          <w:rtl w:val="0"/>
        </w:rPr>
        <w:t xml:space="preserve">Mulder et al,2018</w:t>
      </w:r>
      <w:r w:rsidDel="00000000" w:rsidR="00000000" w:rsidRPr="00000000">
        <w:rPr>
          <w:rFonts w:ascii="Times New Roman" w:cs="Times New Roman" w:eastAsia="Times New Roman" w:hAnsi="Times New Roman"/>
          <w:sz w:val="24"/>
          <w:szCs w:val="24"/>
          <w:rtl w:val="0"/>
        </w:rPr>
        <w:t xml:space="preserve">). As health care providers, nurse practitioners are a leader in both services and design locally, collaborating with other healthcare experts and social service workers. Health visitors conduct a holistic evaluation, together with the family, based on the strengths of the family and the identification of any difficulty, including the ability of parents to meet the needs of their child and the impact and influence of broader family, community and environmental conditions. This promotes behavioural modification, encourages the preservation of health and helps children to be safe. Early years are an excellent chance for healthcare promotion, prevention and early intervention for incredible physical and mental health in families through health visiting services (</w:t>
      </w:r>
      <w:r w:rsidDel="00000000" w:rsidR="00000000" w:rsidRPr="00000000">
        <w:rPr>
          <w:rFonts w:ascii="Times New Roman" w:cs="Times New Roman" w:eastAsia="Times New Roman" w:hAnsi="Times New Roman"/>
          <w:color w:val="222222"/>
          <w:sz w:val="24"/>
          <w:szCs w:val="24"/>
          <w:highlight w:val="white"/>
          <w:rtl w:val="0"/>
        </w:rPr>
        <w:t xml:space="preserve">Felfe, C. and Lalive,2018</w:t>
      </w:r>
      <w:r w:rsidDel="00000000" w:rsidR="00000000" w:rsidRPr="00000000">
        <w:rPr>
          <w:rFonts w:ascii="Times New Roman" w:cs="Times New Roman" w:eastAsia="Times New Roman" w:hAnsi="Times New Roman"/>
          <w:sz w:val="24"/>
          <w:szCs w:val="24"/>
          <w:rtl w:val="0"/>
        </w:rPr>
        <w:t xml:space="preserve">). Early support and assistance is an essential aspect of a whole system strategy. School nurses play an indispensable role in providing a Universal Confidential Service, trusting children, young people, and family. School nurses The interaction between schools, families and specialised services may be linked, early identification can be provided, and reference systems and routes can be navigated. School conduct regulations that examine the conditions under which children live might also form part of the strategy for building a good school environment, tackling the underlying challenges to reduce harm and promote the general well-being of the student body (</w:t>
      </w:r>
      <w:r w:rsidDel="00000000" w:rsidR="00000000" w:rsidRPr="00000000">
        <w:rPr>
          <w:rFonts w:ascii="Times New Roman" w:cs="Times New Roman" w:eastAsia="Times New Roman" w:hAnsi="Times New Roman"/>
          <w:color w:val="222222"/>
          <w:sz w:val="24"/>
          <w:szCs w:val="24"/>
          <w:highlight w:val="white"/>
          <w:rtl w:val="0"/>
        </w:rPr>
        <w:t xml:space="preserve">Samuel, Acharya and Rao,2020</w:t>
      </w:r>
      <w:r w:rsidDel="00000000" w:rsidR="00000000" w:rsidRPr="00000000">
        <w:rPr>
          <w:rFonts w:ascii="Times New Roman" w:cs="Times New Roman" w:eastAsia="Times New Roman" w:hAnsi="Times New Roman"/>
          <w:sz w:val="24"/>
          <w:szCs w:val="24"/>
          <w:rtl w:val="0"/>
        </w:rPr>
        <w:t xml:space="preserve">). The immaturity of children and adults’ dependence on their care and protection might make them particularly vulnerable. However, it should also be remembered that the growing human organism is characterised by resilience and susceptibility. Many variables related to each child, the family, the current social environment, and a broader cultural background might put children at risk of threats to their welfare, development, and rights. For the successful protection of children, the ability to foresee, identify and evaluate such situations is crucial (</w:t>
      </w:r>
      <w:r w:rsidDel="00000000" w:rsidR="00000000" w:rsidRPr="00000000">
        <w:rPr>
          <w:rFonts w:ascii="Times New Roman" w:cs="Times New Roman" w:eastAsia="Times New Roman" w:hAnsi="Times New Roman"/>
          <w:color w:val="222222"/>
          <w:sz w:val="24"/>
          <w:szCs w:val="24"/>
          <w:highlight w:val="white"/>
          <w:rtl w:val="0"/>
        </w:rPr>
        <w:t xml:space="preserve">Mulder et al,2018</w:t>
      </w:r>
      <w:r w:rsidDel="00000000" w:rsidR="00000000" w:rsidRPr="00000000">
        <w:rPr>
          <w:rFonts w:ascii="Times New Roman" w:cs="Times New Roman" w:eastAsia="Times New Roman" w:hAnsi="Times New Roman"/>
          <w:sz w:val="24"/>
          <w:szCs w:val="24"/>
          <w:rtl w:val="0"/>
        </w:rPr>
        <w:t xml:space="preserve">). Intervention answers highlight elementary school children, often the most visible group of children, in several refugee settings. The relative obscurity of other groups of children, such as pre-school children and teenagers, occasionally leads to comparative programming negligence. The limited visibility of disabled children can lead to a small number of youngsters becoming disabled or shut off from sights and perhaps from human contact and stimulation in a given group. Risk factors may not always exist in isolation from others, and one may increase the vulnerability of specific children. There can be several examples. A mistreated kid might decide to leave their home and become exposed to exploitative employment or commercial sexual exploitation (</w:t>
      </w:r>
      <w:r w:rsidDel="00000000" w:rsidR="00000000" w:rsidRPr="00000000">
        <w:rPr>
          <w:rFonts w:ascii="Times New Roman" w:cs="Times New Roman" w:eastAsia="Times New Roman" w:hAnsi="Times New Roman"/>
          <w:color w:val="222222"/>
          <w:sz w:val="24"/>
          <w:szCs w:val="24"/>
          <w:highlight w:val="white"/>
          <w:rtl w:val="0"/>
        </w:rPr>
        <w:t xml:space="preserve">Whiting,2017</w:t>
      </w:r>
      <w:r w:rsidDel="00000000" w:rsidR="00000000" w:rsidRPr="00000000">
        <w:rPr>
          <w:rFonts w:ascii="Times New Roman" w:cs="Times New Roman" w:eastAsia="Times New Roman" w:hAnsi="Times New Roman"/>
          <w:sz w:val="24"/>
          <w:szCs w:val="24"/>
          <w:rtl w:val="0"/>
        </w:rPr>
        <w:t xml:space="preserve">). Combat forces might recruit separate children who lack adequate care and protection at increased risk. A kid with learning disabilities can both be more vulnerable and less capable of dealing with sexual exploitation than a youngster without this kind of impairment. Lastly, lack of education might expose children to increased hazards of the exploitation of children's work while at the same time limiting the learning possibilities they can use to protect themselves (</w:t>
      </w:r>
      <w:r w:rsidDel="00000000" w:rsidR="00000000" w:rsidRPr="00000000">
        <w:rPr>
          <w:rFonts w:ascii="Times New Roman" w:cs="Times New Roman" w:eastAsia="Times New Roman" w:hAnsi="Times New Roman"/>
          <w:color w:val="222222"/>
          <w:sz w:val="24"/>
          <w:szCs w:val="24"/>
          <w:highlight w:val="white"/>
          <w:rtl w:val="0"/>
        </w:rPr>
        <w:t xml:space="preserve">Samuel, Acharya and Rao,2020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11">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trust, objective and meaning that emerge out of continuous interaction with the same individuals, from the regular routines and the continuity of cultural traditions enable predictability for children and adolescents. Structured daily activities – including play and relaxation, informal and formal schools and, when suitable, children of all ages are particularly essential in their work (</w:t>
      </w:r>
      <w:r w:rsidDel="00000000" w:rsidR="00000000" w:rsidRPr="00000000">
        <w:rPr>
          <w:rFonts w:ascii="Times New Roman" w:cs="Times New Roman" w:eastAsia="Times New Roman" w:hAnsi="Times New Roman"/>
          <w:color w:val="222222"/>
          <w:sz w:val="24"/>
          <w:szCs w:val="24"/>
          <w:highlight w:val="white"/>
          <w:rtl w:val="0"/>
        </w:rPr>
        <w:t xml:space="preserve">Masten,2018</w:t>
      </w:r>
      <w:r w:rsidDel="00000000" w:rsidR="00000000" w:rsidRPr="00000000">
        <w:rPr>
          <w:rFonts w:ascii="Times New Roman" w:cs="Times New Roman" w:eastAsia="Times New Roman" w:hAnsi="Times New Roman"/>
          <w:sz w:val="24"/>
          <w:szCs w:val="24"/>
          <w:rtl w:val="0"/>
        </w:rPr>
        <w:t xml:space="preserve">). Structure in everyday life gives the whole community and its children a feeling of purpose and reliability that may be a relaxing and stabilising factor. It also contributes to a sense of duty and respect for others. Gender concerns must be recognised: in some instances, for example, it may be simpler for females to continue to perform conventional prescribed roles than for children – especially when children cannot do activities connected to farming and other labour sectors (</w:t>
      </w:r>
      <w:r w:rsidDel="00000000" w:rsidR="00000000" w:rsidRPr="00000000">
        <w:rPr>
          <w:rFonts w:ascii="Times New Roman" w:cs="Times New Roman" w:eastAsia="Times New Roman" w:hAnsi="Times New Roman"/>
          <w:color w:val="222222"/>
          <w:sz w:val="24"/>
          <w:szCs w:val="24"/>
          <w:highlight w:val="white"/>
          <w:rtl w:val="0"/>
        </w:rPr>
        <w:t xml:space="preserve">Whiting,2017</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2">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girls have far smaller chances of attending school or participating in other social activities in various situations. One of the main contributions to better the well-being of children is to enable adults in the family to re-establish their feelings of efficiency as parents. Parental skills are often influenced by parents' reactions to stressful situations – sadness, anxiety, and others, which can help to restrict their response to the child when combined with the additional obligations imposed on them, particularly in the setting of the refugee (</w:t>
      </w:r>
      <w:r w:rsidDel="00000000" w:rsidR="00000000" w:rsidRPr="00000000">
        <w:rPr>
          <w:rFonts w:ascii="Times New Roman" w:cs="Times New Roman" w:eastAsia="Times New Roman" w:hAnsi="Times New Roman"/>
          <w:color w:val="222222"/>
          <w:sz w:val="24"/>
          <w:szCs w:val="24"/>
          <w:highlight w:val="white"/>
          <w:rtl w:val="0"/>
        </w:rPr>
        <w:t xml:space="preserve">Lanier et al,2018</w:t>
      </w:r>
      <w:r w:rsidDel="00000000" w:rsidR="00000000" w:rsidRPr="00000000">
        <w:rPr>
          <w:rFonts w:ascii="Times New Roman" w:cs="Times New Roman" w:eastAsia="Times New Roman" w:hAnsi="Times New Roman"/>
          <w:sz w:val="24"/>
          <w:szCs w:val="24"/>
          <w:rtl w:val="0"/>
        </w:rPr>
        <w:t xml:space="preserve">). Various ways may affect parents’ welfare - particularly mothers: from adequate and accessible health care to business pursuits from educational possibilities to cultural and leisure activities. Some initiatives may explicitly seek to enhance parenting skills. Others may aim to improve the quality of life and development chances for both men and women in more general terms. A particular focus may be placed on empowering women. It is particularly crucial for children who have been separated from their parents or prior caregivers to encourage family care and Family track (</w:t>
      </w:r>
      <w:r w:rsidDel="00000000" w:rsidR="00000000" w:rsidRPr="00000000">
        <w:rPr>
          <w:rFonts w:ascii="Times New Roman" w:cs="Times New Roman" w:eastAsia="Times New Roman" w:hAnsi="Times New Roman"/>
          <w:color w:val="222222"/>
          <w:sz w:val="24"/>
          <w:szCs w:val="24"/>
          <w:highlight w:val="white"/>
          <w:rtl w:val="0"/>
        </w:rPr>
        <w:t xml:space="preserve">Masten,2018</w:t>
      </w:r>
      <w:r w:rsidDel="00000000" w:rsidR="00000000" w:rsidRPr="00000000">
        <w:rPr>
          <w:rFonts w:ascii="Times New Roman" w:cs="Times New Roman" w:eastAsia="Times New Roman" w:hAnsi="Times New Roman"/>
          <w:sz w:val="24"/>
          <w:szCs w:val="24"/>
          <w:rtl w:val="0"/>
        </w:rPr>
        <w:t xml:space="preserve">). Although children may indeed be vulnerable, they mustn’t ignore their potential to participate actively in their problems. To promote the development of children and young people, it is necessary to examine carefully how crucial child protection and child development are linked to critical legal and policy concerns. An approach to resilience may be viewed in two ways: first, a risk approach where intervention is based on determining certain actual or prospective risk factors (</w:t>
      </w:r>
      <w:r w:rsidDel="00000000" w:rsidR="00000000" w:rsidRPr="00000000">
        <w:rPr>
          <w:rFonts w:ascii="Times New Roman" w:cs="Times New Roman" w:eastAsia="Times New Roman" w:hAnsi="Times New Roman"/>
          <w:color w:val="222222"/>
          <w:sz w:val="24"/>
          <w:szCs w:val="24"/>
          <w:highlight w:val="white"/>
          <w:rtl w:val="0"/>
        </w:rPr>
        <w:t xml:space="preserve">Crawley et al,2020</w:t>
      </w:r>
      <w:r w:rsidDel="00000000" w:rsidR="00000000" w:rsidRPr="00000000">
        <w:rPr>
          <w:rFonts w:ascii="Times New Roman" w:cs="Times New Roman" w:eastAsia="Times New Roman" w:hAnsi="Times New Roman"/>
          <w:sz w:val="24"/>
          <w:szCs w:val="24"/>
          <w:rtl w:val="0"/>
        </w:rPr>
        <w:t xml:space="preserve">). The strategy includes: preventing or neglecting child abuse through parents' and community education; preventing the segregation campaign in mass movements; reducing drinking in adolescents, smoking or misusing drugs through community and youth-to-young initiatives; supplementary feeding initiatives’ food status is unsatisfactory. A second method may be defined as a resource-oriented approach to prevent and reduce risks to the general community by increasing its resources to help children and their families (</w:t>
      </w:r>
      <w:r w:rsidDel="00000000" w:rsidR="00000000" w:rsidRPr="00000000">
        <w:rPr>
          <w:rFonts w:ascii="Times New Roman" w:cs="Times New Roman" w:eastAsia="Times New Roman" w:hAnsi="Times New Roman"/>
          <w:color w:val="222222"/>
          <w:sz w:val="24"/>
          <w:szCs w:val="24"/>
          <w:highlight w:val="white"/>
          <w:rtl w:val="0"/>
        </w:rPr>
        <w:t xml:space="preserve">Weisz et al,2019</w:t>
      </w:r>
      <w:r w:rsidDel="00000000" w:rsidR="00000000" w:rsidRPr="00000000">
        <w:rPr>
          <w:rFonts w:ascii="Times New Roman" w:cs="Times New Roman" w:eastAsia="Times New Roman" w:hAnsi="Times New Roman"/>
          <w:sz w:val="24"/>
          <w:szCs w:val="24"/>
          <w:rtl w:val="0"/>
        </w:rPr>
        <w:t xml:space="preserve">). In other instances, additional resources such as kinder grounds or parent's facilities may be necessary to enhance existing community resources and perhaps to strengthen cultural standards and behaviours, which appear to make resilience easier.</w:t>
      </w:r>
    </w:p>
    <w:p w:rsidR="00000000" w:rsidDel="00000000" w:rsidP="00000000" w:rsidRDefault="00000000" w:rsidRPr="00000000" w14:paraId="00000013">
      <w:pPr>
        <w:rPr>
          <w:rFonts w:ascii="Times New Roman" w:cs="Times New Roman" w:eastAsia="Times New Roman" w:hAnsi="Times New Roman"/>
          <w:sz w:val="32"/>
          <w:szCs w:val="32"/>
        </w:rPr>
      </w:pPr>
      <w:bookmarkStart w:colFirst="0" w:colLast="0" w:name="_heading=h.3znysh7" w:id="3"/>
      <w:bookmarkEnd w:id="3"/>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2"/>
        <w:spacing w:after="20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Conclusion </w:t>
      </w:r>
    </w:p>
    <w:p w:rsidR="00000000" w:rsidDel="00000000" w:rsidP="00000000" w:rsidRDefault="00000000" w:rsidRPr="00000000" w14:paraId="00000015">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Adopting a public health-informed strategy to tackle vulnerability can significantly reduce disparities and enhance the health and well-being of the most disadvantaged children. Two fundamental ideas underpin this approach: intervention should be focused on location, and improving outcomes for poor children must involve tackling socioeconomic variables that cause health disparities. The strategy advocates for cross-organizational action to decrease vulnerability, based on work at many levels, including preventing such events, acting early when issues develop and establishing a life-course environment that mitigates the adverse effects (</w:t>
      </w:r>
      <w:r w:rsidDel="00000000" w:rsidR="00000000" w:rsidRPr="00000000">
        <w:rPr>
          <w:rFonts w:ascii="Times New Roman" w:cs="Times New Roman" w:eastAsia="Times New Roman" w:hAnsi="Times New Roman"/>
          <w:color w:val="222222"/>
          <w:sz w:val="24"/>
          <w:szCs w:val="24"/>
          <w:highlight w:val="white"/>
          <w:rtl w:val="0"/>
        </w:rPr>
        <w:t xml:space="preserve">Jones et al,2019</w:t>
      </w:r>
      <w:r w:rsidDel="00000000" w:rsidR="00000000" w:rsidRPr="00000000">
        <w:rPr>
          <w:rFonts w:ascii="Times New Roman" w:cs="Times New Roman" w:eastAsia="Times New Roman" w:hAnsi="Times New Roman"/>
          <w:sz w:val="24"/>
          <w:szCs w:val="24"/>
          <w:rtl w:val="0"/>
        </w:rPr>
        <w:t xml:space="preserve">). The concept emphasises that worse conditions and negative childhood experiences in the early years do not always result in inferior chances and results later on but make children more vulnerable. Family and other care facilities that provide a safe environment constitute an essential protective factor, which allows a child and young people to become more robust and therefore reduce the potential detrimental impact, even if circumstances lead to a more significant likelihood of inferior outcomes (</w:t>
      </w:r>
      <w:r w:rsidDel="00000000" w:rsidR="00000000" w:rsidRPr="00000000">
        <w:rPr>
          <w:rFonts w:ascii="Times New Roman" w:cs="Times New Roman" w:eastAsia="Times New Roman" w:hAnsi="Times New Roman"/>
          <w:color w:val="222222"/>
          <w:sz w:val="24"/>
          <w:szCs w:val="24"/>
          <w:highlight w:val="white"/>
          <w:rtl w:val="0"/>
        </w:rPr>
        <w:t xml:space="preserve">Almond, Currie and Duque,2018</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6">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preventive approach to public health emphasises the community's responsibility in establishing settings where there are the proper circumstances to promote children's prosperity. Public Health England plans to enhance actions with partner organisations across sectors to ensure that every child grows up healthy, safe, and capable of achieving their full potential, regardless of where they live or their family circumstances, by using a public health informed approach to primary prevention, early intervention, and mitigation. In addition to this essay, each upper-tier local authority's narrative report on improving health outcomes for vulnerable children and young people provides an overview of relevant local data on risk and protective variables for children and young people to influence local prioritisation (</w:t>
      </w:r>
      <w:r w:rsidDel="00000000" w:rsidR="00000000" w:rsidRPr="00000000">
        <w:rPr>
          <w:rFonts w:ascii="Times New Roman" w:cs="Times New Roman" w:eastAsia="Times New Roman" w:hAnsi="Times New Roman"/>
          <w:color w:val="222222"/>
          <w:sz w:val="24"/>
          <w:szCs w:val="24"/>
          <w:highlight w:val="white"/>
          <w:rtl w:val="0"/>
        </w:rPr>
        <w:t xml:space="preserve">Parkes, Green and Mitchell,2019</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7">
      <w:pPr>
        <w:rPr>
          <w:rFonts w:ascii="Times New Roman" w:cs="Times New Roman" w:eastAsia="Times New Roman" w:hAnsi="Times New Roman"/>
          <w:sz w:val="32"/>
          <w:szCs w:val="32"/>
        </w:rPr>
      </w:pPr>
      <w:bookmarkStart w:colFirst="0" w:colLast="0" w:name="_heading=h.2et92p0" w:id="4"/>
      <w:bookmarkEnd w:id="4"/>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Reference </w:t>
      </w:r>
    </w:p>
    <w:p w:rsidR="00000000" w:rsidDel="00000000" w:rsidP="00000000" w:rsidRDefault="00000000" w:rsidRPr="00000000" w14:paraId="00000019">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Masten, A.S. and Barnes, A.J., 2018. Resilience in children: Developmental perspectives. </w:t>
      </w:r>
      <w:r w:rsidDel="00000000" w:rsidR="00000000" w:rsidRPr="00000000">
        <w:rPr>
          <w:rFonts w:ascii="Times New Roman" w:cs="Times New Roman" w:eastAsia="Times New Roman" w:hAnsi="Times New Roman"/>
          <w:i w:val="1"/>
          <w:color w:val="222222"/>
          <w:sz w:val="24"/>
          <w:szCs w:val="24"/>
          <w:highlight w:val="white"/>
          <w:rtl w:val="0"/>
        </w:rPr>
        <w:t xml:space="preserve">Children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(7), p.98.</w:t>
      </w:r>
    </w:p>
    <w:p w:rsidR="00000000" w:rsidDel="00000000" w:rsidP="00000000" w:rsidRDefault="00000000" w:rsidRPr="00000000" w14:paraId="0000001A">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Chetty, R., Friedman, J.N., Hendren, N., Jones, M.R. and Porter, S.R., 2018. </w:t>
      </w:r>
      <w:r w:rsidDel="00000000" w:rsidR="00000000" w:rsidRPr="00000000">
        <w:rPr>
          <w:rFonts w:ascii="Times New Roman" w:cs="Times New Roman" w:eastAsia="Times New Roman" w:hAnsi="Times New Roman"/>
          <w:i w:val="1"/>
          <w:color w:val="222222"/>
          <w:sz w:val="24"/>
          <w:szCs w:val="24"/>
          <w:highlight w:val="white"/>
          <w:rtl w:val="0"/>
        </w:rPr>
        <w:t xml:space="preserve">The opportunity atlas: Mapping the childhood roots of social mobility</w:t>
      </w:r>
      <w:r w:rsidDel="00000000" w:rsidR="00000000" w:rsidRPr="00000000">
        <w:rPr>
          <w:rFonts w:ascii="Times New Roman" w:cs="Times New Roman" w:eastAsia="Times New Roman" w:hAnsi="Times New Roman"/>
          <w:color w:val="222222"/>
          <w:sz w:val="24"/>
          <w:szCs w:val="24"/>
          <w:highlight w:val="white"/>
          <w:rtl w:val="0"/>
        </w:rPr>
        <w:t xml:space="preserve"> (No. w25147). National Bureau of Economic Research.</w:t>
      </w:r>
    </w:p>
    <w:p w:rsidR="00000000" w:rsidDel="00000000" w:rsidP="00000000" w:rsidRDefault="00000000" w:rsidRPr="00000000" w14:paraId="0000001B">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Tinanoff, N., Baez, R.J., Diaz Guillory, C., Donly, K.J., Feldens, C.A., McGrath, C., Phantumvanit, P., Pitts, N.B., Seow, W.K., Sharkov, N. and Songpaisan, Y., 2019. Early childhood caries epidemiology, aetiology, risk assessment, societal burden, management, education, and policy: Global perspective.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paediatric dentistry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29</w:t>
      </w:r>
      <w:r w:rsidDel="00000000" w:rsidR="00000000" w:rsidRPr="00000000">
        <w:rPr>
          <w:rFonts w:ascii="Times New Roman" w:cs="Times New Roman" w:eastAsia="Times New Roman" w:hAnsi="Times New Roman"/>
          <w:color w:val="222222"/>
          <w:sz w:val="24"/>
          <w:szCs w:val="24"/>
          <w:highlight w:val="white"/>
          <w:rtl w:val="0"/>
        </w:rPr>
        <w:t xml:space="preserve">(3), pp.238-248.</w:t>
      </w:r>
    </w:p>
    <w:p w:rsidR="00000000" w:rsidDel="00000000" w:rsidP="00000000" w:rsidRDefault="00000000" w:rsidRPr="00000000" w14:paraId="0000001C">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Mulder, T.M., Kuiper, K.C., van der Put, C.E., Stams, G.J.J. and Assink, M., 2018. Risk factors for child neglect: A meta-analytic review. </w:t>
      </w:r>
      <w:r w:rsidDel="00000000" w:rsidR="00000000" w:rsidRPr="00000000">
        <w:rPr>
          <w:rFonts w:ascii="Times New Roman" w:cs="Times New Roman" w:eastAsia="Times New Roman" w:hAnsi="Times New Roman"/>
          <w:i w:val="1"/>
          <w:color w:val="222222"/>
          <w:sz w:val="24"/>
          <w:szCs w:val="24"/>
          <w:highlight w:val="white"/>
          <w:rtl w:val="0"/>
        </w:rPr>
        <w:t xml:space="preserve">Child abuse &amp; neglect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77</w:t>
      </w:r>
      <w:r w:rsidDel="00000000" w:rsidR="00000000" w:rsidRPr="00000000">
        <w:rPr>
          <w:rFonts w:ascii="Times New Roman" w:cs="Times New Roman" w:eastAsia="Times New Roman" w:hAnsi="Times New Roman"/>
          <w:color w:val="222222"/>
          <w:sz w:val="24"/>
          <w:szCs w:val="24"/>
          <w:highlight w:val="white"/>
          <w:rtl w:val="0"/>
        </w:rPr>
        <w:t xml:space="preserve">, pp.198-210.</w:t>
      </w:r>
    </w:p>
    <w:p w:rsidR="00000000" w:rsidDel="00000000" w:rsidP="00000000" w:rsidRDefault="00000000" w:rsidRPr="00000000" w14:paraId="0000001D">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Felfe, C. and Lalive, R., 2018. Does early child care affect children's development?. </w:t>
      </w:r>
      <w:r w:rsidDel="00000000" w:rsidR="00000000" w:rsidRPr="00000000">
        <w:rPr>
          <w:rFonts w:ascii="Times New Roman" w:cs="Times New Roman" w:eastAsia="Times New Roman" w:hAnsi="Times New Roman"/>
          <w:i w:val="1"/>
          <w:color w:val="222222"/>
          <w:sz w:val="24"/>
          <w:szCs w:val="24"/>
          <w:highlight w:val="white"/>
          <w:rtl w:val="0"/>
        </w:rPr>
        <w:t xml:space="preserve">Journal of Public Economics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159</w:t>
      </w:r>
      <w:r w:rsidDel="00000000" w:rsidR="00000000" w:rsidRPr="00000000">
        <w:rPr>
          <w:rFonts w:ascii="Times New Roman" w:cs="Times New Roman" w:eastAsia="Times New Roman" w:hAnsi="Times New Roman"/>
          <w:color w:val="222222"/>
          <w:sz w:val="24"/>
          <w:szCs w:val="24"/>
          <w:highlight w:val="white"/>
          <w:rtl w:val="0"/>
        </w:rPr>
        <w:t xml:space="preserve">, pp.33-53.</w:t>
      </w:r>
    </w:p>
    <w:p w:rsidR="00000000" w:rsidDel="00000000" w:rsidP="00000000" w:rsidRDefault="00000000" w:rsidRPr="00000000" w14:paraId="0000001E">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Straus, M.A., 2017. Ordinary violence, child abuse, and wife beating: What do they have in common?. In </w:t>
      </w:r>
      <w:r w:rsidDel="00000000" w:rsidR="00000000" w:rsidRPr="00000000">
        <w:rPr>
          <w:rFonts w:ascii="Times New Roman" w:cs="Times New Roman" w:eastAsia="Times New Roman" w:hAnsi="Times New Roman"/>
          <w:i w:val="1"/>
          <w:color w:val="222222"/>
          <w:sz w:val="24"/>
          <w:szCs w:val="24"/>
          <w:highlight w:val="white"/>
          <w:rtl w:val="0"/>
        </w:rPr>
        <w:t xml:space="preserve">Physical violence in American families</w:t>
      </w:r>
      <w:r w:rsidDel="00000000" w:rsidR="00000000" w:rsidRPr="00000000">
        <w:rPr>
          <w:rFonts w:ascii="Times New Roman" w:cs="Times New Roman" w:eastAsia="Times New Roman" w:hAnsi="Times New Roman"/>
          <w:color w:val="222222"/>
          <w:sz w:val="24"/>
          <w:szCs w:val="24"/>
          <w:highlight w:val="white"/>
          <w:rtl w:val="0"/>
        </w:rPr>
        <w:t xml:space="preserve"> (pp. 403-424). Routledge.</w:t>
      </w:r>
    </w:p>
    <w:p w:rsidR="00000000" w:rsidDel="00000000" w:rsidP="00000000" w:rsidRDefault="00000000" w:rsidRPr="00000000" w14:paraId="0000001F">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Masten, A.S., 2018. Resilience theory and research on children and families: Past, present, and promise. </w:t>
      </w:r>
      <w:r w:rsidDel="00000000" w:rsidR="00000000" w:rsidRPr="00000000">
        <w:rPr>
          <w:rFonts w:ascii="Times New Roman" w:cs="Times New Roman" w:eastAsia="Times New Roman" w:hAnsi="Times New Roman"/>
          <w:i w:val="1"/>
          <w:color w:val="222222"/>
          <w:sz w:val="24"/>
          <w:szCs w:val="24"/>
          <w:highlight w:val="white"/>
          <w:rtl w:val="0"/>
        </w:rPr>
        <w:t xml:space="preserve">Journal of Family Theory &amp; Review</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w:t>
      </w:r>
      <w:r w:rsidDel="00000000" w:rsidR="00000000" w:rsidRPr="00000000">
        <w:rPr>
          <w:rFonts w:ascii="Times New Roman" w:cs="Times New Roman" w:eastAsia="Times New Roman" w:hAnsi="Times New Roman"/>
          <w:color w:val="222222"/>
          <w:sz w:val="24"/>
          <w:szCs w:val="24"/>
          <w:highlight w:val="white"/>
          <w:rtl w:val="0"/>
        </w:rPr>
        <w:t xml:space="preserve">(1), pp.12-31.</w:t>
      </w:r>
    </w:p>
    <w:p w:rsidR="00000000" w:rsidDel="00000000" w:rsidP="00000000" w:rsidRDefault="00000000" w:rsidRPr="00000000" w14:paraId="00000020">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García, J.L., Heckman, J.J., Leaf, D.E. and Prados, M.J., 2017. </w:t>
      </w:r>
      <w:r w:rsidDel="00000000" w:rsidR="00000000" w:rsidRPr="00000000">
        <w:rPr>
          <w:rFonts w:ascii="Times New Roman" w:cs="Times New Roman" w:eastAsia="Times New Roman" w:hAnsi="Times New Roman"/>
          <w:i w:val="1"/>
          <w:color w:val="222222"/>
          <w:sz w:val="24"/>
          <w:szCs w:val="24"/>
          <w:highlight w:val="white"/>
          <w:rtl w:val="0"/>
        </w:rPr>
        <w:t xml:space="preserve">Quantifying the life-cycle benefits of a prototypical early childhood program</w:t>
      </w:r>
      <w:r w:rsidDel="00000000" w:rsidR="00000000" w:rsidRPr="00000000">
        <w:rPr>
          <w:rFonts w:ascii="Times New Roman" w:cs="Times New Roman" w:eastAsia="Times New Roman" w:hAnsi="Times New Roman"/>
          <w:color w:val="222222"/>
          <w:sz w:val="24"/>
          <w:szCs w:val="24"/>
          <w:highlight w:val="white"/>
          <w:rtl w:val="0"/>
        </w:rPr>
        <w:t xml:space="preserve"> (No. w23479). National bureau of economic research.</w:t>
      </w:r>
    </w:p>
    <w:p w:rsidR="00000000" w:rsidDel="00000000" w:rsidP="00000000" w:rsidRDefault="00000000" w:rsidRPr="00000000" w14:paraId="00000021">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Parkes, A., Green, M. and Mitchell, K., 2019. Coparenting and parenting pathways from the couple relationship to children’s behavior problems. </w:t>
      </w:r>
      <w:r w:rsidDel="00000000" w:rsidR="00000000" w:rsidRPr="00000000">
        <w:rPr>
          <w:rFonts w:ascii="Times New Roman" w:cs="Times New Roman" w:eastAsia="Times New Roman" w:hAnsi="Times New Roman"/>
          <w:i w:val="1"/>
          <w:color w:val="222222"/>
          <w:sz w:val="24"/>
          <w:szCs w:val="24"/>
          <w:highlight w:val="white"/>
          <w:rtl w:val="0"/>
        </w:rPr>
        <w:t xml:space="preserve">Journal of Family Psychology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33</w:t>
      </w:r>
      <w:r w:rsidDel="00000000" w:rsidR="00000000" w:rsidRPr="00000000">
        <w:rPr>
          <w:rFonts w:ascii="Times New Roman" w:cs="Times New Roman" w:eastAsia="Times New Roman" w:hAnsi="Times New Roman"/>
          <w:color w:val="222222"/>
          <w:sz w:val="24"/>
          <w:szCs w:val="24"/>
          <w:highlight w:val="white"/>
          <w:rtl w:val="0"/>
        </w:rPr>
        <w:t xml:space="preserve">(2), p.215.</w:t>
      </w:r>
    </w:p>
    <w:p w:rsidR="00000000" w:rsidDel="00000000" w:rsidP="00000000" w:rsidRDefault="00000000" w:rsidRPr="00000000" w14:paraId="00000022">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Bell, R.Q., 2020. Socialization findings reexamined. In </w:t>
      </w:r>
      <w:r w:rsidDel="00000000" w:rsidR="00000000" w:rsidRPr="00000000">
        <w:rPr>
          <w:rFonts w:ascii="Times New Roman" w:cs="Times New Roman" w:eastAsia="Times New Roman" w:hAnsi="Times New Roman"/>
          <w:i w:val="1"/>
          <w:color w:val="222222"/>
          <w:sz w:val="24"/>
          <w:szCs w:val="24"/>
          <w:highlight w:val="white"/>
          <w:rtl w:val="0"/>
        </w:rPr>
        <w:t xml:space="preserve">Child effects on adults</w:t>
      </w:r>
      <w:r w:rsidDel="00000000" w:rsidR="00000000" w:rsidRPr="00000000">
        <w:rPr>
          <w:rFonts w:ascii="Times New Roman" w:cs="Times New Roman" w:eastAsia="Times New Roman" w:hAnsi="Times New Roman"/>
          <w:color w:val="222222"/>
          <w:sz w:val="24"/>
          <w:szCs w:val="24"/>
          <w:highlight w:val="white"/>
          <w:rtl w:val="0"/>
        </w:rPr>
        <w:t xml:space="preserve"> (pp. 53-84). Routledge.</w:t>
      </w:r>
    </w:p>
    <w:p w:rsidR="00000000" w:rsidDel="00000000" w:rsidP="00000000" w:rsidRDefault="00000000" w:rsidRPr="00000000" w14:paraId="00000023">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Whiting, B., 2017. The problem of the packaged variable. In </w:t>
      </w:r>
      <w:r w:rsidDel="00000000" w:rsidR="00000000" w:rsidRPr="00000000">
        <w:rPr>
          <w:rFonts w:ascii="Times New Roman" w:cs="Times New Roman" w:eastAsia="Times New Roman" w:hAnsi="Times New Roman"/>
          <w:i w:val="1"/>
          <w:color w:val="222222"/>
          <w:sz w:val="24"/>
          <w:szCs w:val="24"/>
          <w:highlight w:val="white"/>
          <w:rtl w:val="0"/>
        </w:rPr>
        <w:t xml:space="preserve">The developing individual in a changing world</w:t>
      </w:r>
      <w:r w:rsidDel="00000000" w:rsidR="00000000" w:rsidRPr="00000000">
        <w:rPr>
          <w:rFonts w:ascii="Times New Roman" w:cs="Times New Roman" w:eastAsia="Times New Roman" w:hAnsi="Times New Roman"/>
          <w:color w:val="222222"/>
          <w:sz w:val="24"/>
          <w:szCs w:val="24"/>
          <w:highlight w:val="white"/>
          <w:rtl w:val="0"/>
        </w:rPr>
        <w:t xml:space="preserve"> (pp. 303-309). Routledge.</w:t>
      </w:r>
    </w:p>
    <w:p w:rsidR="00000000" w:rsidDel="00000000" w:rsidP="00000000" w:rsidRDefault="00000000" w:rsidRPr="00000000" w14:paraId="00000024">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Lanier, P., Maguire-Jack, K., Lombardi, B., Frey, J. and Rose, R.A., 2018. Adverse childhood experiences and child health outcomes: comparing cumulative risk and latent class approaches. </w:t>
      </w:r>
      <w:r w:rsidDel="00000000" w:rsidR="00000000" w:rsidRPr="00000000">
        <w:rPr>
          <w:rFonts w:ascii="Times New Roman" w:cs="Times New Roman" w:eastAsia="Times New Roman" w:hAnsi="Times New Roman"/>
          <w:i w:val="1"/>
          <w:color w:val="222222"/>
          <w:sz w:val="24"/>
          <w:szCs w:val="24"/>
          <w:highlight w:val="white"/>
          <w:rtl w:val="0"/>
        </w:rPr>
        <w:t xml:space="preserve">Maternal and child health journal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22</w:t>
      </w:r>
      <w:r w:rsidDel="00000000" w:rsidR="00000000" w:rsidRPr="00000000">
        <w:rPr>
          <w:rFonts w:ascii="Times New Roman" w:cs="Times New Roman" w:eastAsia="Times New Roman" w:hAnsi="Times New Roman"/>
          <w:color w:val="222222"/>
          <w:sz w:val="24"/>
          <w:szCs w:val="24"/>
          <w:highlight w:val="white"/>
          <w:rtl w:val="0"/>
        </w:rPr>
        <w:t xml:space="preserve">(3), pp.288-297.</w:t>
      </w:r>
    </w:p>
    <w:p w:rsidR="00000000" w:rsidDel="00000000" w:rsidP="00000000" w:rsidRDefault="00000000" w:rsidRPr="00000000" w14:paraId="00000025">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Almond, D., Currie, J. and Duque, V., 2018. Childhood circumstances and adult outcomes: Act II. </w:t>
      </w:r>
      <w:r w:rsidDel="00000000" w:rsidR="00000000" w:rsidRPr="00000000">
        <w:rPr>
          <w:rFonts w:ascii="Times New Roman" w:cs="Times New Roman" w:eastAsia="Times New Roman" w:hAnsi="Times New Roman"/>
          <w:i w:val="1"/>
          <w:color w:val="222222"/>
          <w:sz w:val="24"/>
          <w:szCs w:val="24"/>
          <w:highlight w:val="white"/>
          <w:rtl w:val="0"/>
        </w:rPr>
        <w:t xml:space="preserve">Journal of Economic Literature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56</w:t>
      </w:r>
      <w:r w:rsidDel="00000000" w:rsidR="00000000" w:rsidRPr="00000000">
        <w:rPr>
          <w:rFonts w:ascii="Times New Roman" w:cs="Times New Roman" w:eastAsia="Times New Roman" w:hAnsi="Times New Roman"/>
          <w:color w:val="222222"/>
          <w:sz w:val="24"/>
          <w:szCs w:val="24"/>
          <w:highlight w:val="white"/>
          <w:rtl w:val="0"/>
        </w:rPr>
        <w:t xml:space="preserve">(4), pp.1360-1446.</w:t>
      </w:r>
    </w:p>
    <w:p w:rsidR="00000000" w:rsidDel="00000000" w:rsidP="00000000" w:rsidRDefault="00000000" w:rsidRPr="00000000" w14:paraId="00000026">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Samuel, S.R., Acharya, S. and Rao, J.C., 2020. School Interventions–based Prevention of Early‐Childhood Caries among 3–5‐year‐old children from very low socioeconomic status: Two‐year randomized trial. </w:t>
      </w:r>
      <w:r w:rsidDel="00000000" w:rsidR="00000000" w:rsidRPr="00000000">
        <w:rPr>
          <w:rFonts w:ascii="Times New Roman" w:cs="Times New Roman" w:eastAsia="Times New Roman" w:hAnsi="Times New Roman"/>
          <w:i w:val="1"/>
          <w:color w:val="222222"/>
          <w:sz w:val="24"/>
          <w:szCs w:val="24"/>
          <w:highlight w:val="white"/>
          <w:rtl w:val="0"/>
        </w:rPr>
        <w:t xml:space="preserve">Journal of public health dentistry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80</w:t>
      </w:r>
      <w:r w:rsidDel="00000000" w:rsidR="00000000" w:rsidRPr="00000000">
        <w:rPr>
          <w:rFonts w:ascii="Times New Roman" w:cs="Times New Roman" w:eastAsia="Times New Roman" w:hAnsi="Times New Roman"/>
          <w:color w:val="222222"/>
          <w:sz w:val="24"/>
          <w:szCs w:val="24"/>
          <w:highlight w:val="white"/>
          <w:rtl w:val="0"/>
        </w:rPr>
        <w:t xml:space="preserve">(1), pp.51-60.</w:t>
      </w:r>
    </w:p>
    <w:p w:rsidR="00000000" w:rsidDel="00000000" w:rsidP="00000000" w:rsidRDefault="00000000" w:rsidRPr="00000000" w14:paraId="00000027">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Ogundele, M.O., 2018. Behavioural and emotional disorders in childhood: A brief overview for paediatricians. </w:t>
      </w:r>
      <w:r w:rsidDel="00000000" w:rsidR="00000000" w:rsidRPr="00000000">
        <w:rPr>
          <w:rFonts w:ascii="Times New Roman" w:cs="Times New Roman" w:eastAsia="Times New Roman" w:hAnsi="Times New Roman"/>
          <w:i w:val="1"/>
          <w:color w:val="222222"/>
          <w:sz w:val="24"/>
          <w:szCs w:val="24"/>
          <w:highlight w:val="white"/>
          <w:rtl w:val="0"/>
        </w:rPr>
        <w:t xml:space="preserve">World journal of clinical pediatrics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w:t>
      </w:r>
      <w:r w:rsidDel="00000000" w:rsidR="00000000" w:rsidRPr="00000000">
        <w:rPr>
          <w:rFonts w:ascii="Times New Roman" w:cs="Times New Roman" w:eastAsia="Times New Roman" w:hAnsi="Times New Roman"/>
          <w:color w:val="222222"/>
          <w:sz w:val="24"/>
          <w:szCs w:val="24"/>
          <w:highlight w:val="white"/>
          <w:rtl w:val="0"/>
        </w:rPr>
        <w:t xml:space="preserve">(1), p.9.</w:t>
      </w:r>
    </w:p>
    <w:p w:rsidR="00000000" w:rsidDel="00000000" w:rsidP="00000000" w:rsidRDefault="00000000" w:rsidRPr="00000000" w14:paraId="00000028">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Crawley, E., Loades, M., Feder, G., Logan, S., Redwood, S. and Macleod, J., 2020. Wider collateral damage to children in the UK because of the social distancing measures designed to reduce the impact of COVID-19 in adults. </w:t>
      </w:r>
      <w:r w:rsidDel="00000000" w:rsidR="00000000" w:rsidRPr="00000000">
        <w:rPr>
          <w:rFonts w:ascii="Times New Roman" w:cs="Times New Roman" w:eastAsia="Times New Roman" w:hAnsi="Times New Roman"/>
          <w:i w:val="1"/>
          <w:color w:val="222222"/>
          <w:sz w:val="24"/>
          <w:szCs w:val="24"/>
          <w:highlight w:val="white"/>
          <w:rtl w:val="0"/>
        </w:rPr>
        <w:t xml:space="preserve">BMJ Paediatrics Open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(1).</w:t>
      </w:r>
    </w:p>
    <w:p w:rsidR="00000000" w:rsidDel="00000000" w:rsidP="00000000" w:rsidRDefault="00000000" w:rsidRPr="00000000" w14:paraId="00000029">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Weisz, J.R., Kuppens, S., Ng, M.Y., Vaughn-Coaxum, R.A., Ugueto, A.M., Eckshtain, D. and Corteselli, K.A., 2019. Are psychotherapies for young people growing stronger? Tracking trends over time for youth anxiety, depression, attention-deficit/hyperactivity disorder, and conduct problems. </w:t>
      </w:r>
      <w:r w:rsidDel="00000000" w:rsidR="00000000" w:rsidRPr="00000000">
        <w:rPr>
          <w:rFonts w:ascii="Times New Roman" w:cs="Times New Roman" w:eastAsia="Times New Roman" w:hAnsi="Times New Roman"/>
          <w:i w:val="1"/>
          <w:color w:val="222222"/>
          <w:sz w:val="24"/>
          <w:szCs w:val="24"/>
          <w:highlight w:val="white"/>
          <w:rtl w:val="0"/>
        </w:rPr>
        <w:t xml:space="preserve">Perspectives on Psychological Science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14</w:t>
      </w:r>
      <w:r w:rsidDel="00000000" w:rsidR="00000000" w:rsidRPr="00000000">
        <w:rPr>
          <w:rFonts w:ascii="Times New Roman" w:cs="Times New Roman" w:eastAsia="Times New Roman" w:hAnsi="Times New Roman"/>
          <w:color w:val="222222"/>
          <w:sz w:val="24"/>
          <w:szCs w:val="24"/>
          <w:highlight w:val="white"/>
          <w:rtl w:val="0"/>
        </w:rPr>
        <w:t xml:space="preserve">(2), pp.216-237.</w:t>
      </w:r>
    </w:p>
    <w:p w:rsidR="00000000" w:rsidDel="00000000" w:rsidP="00000000" w:rsidRDefault="00000000" w:rsidRPr="00000000" w14:paraId="0000002A">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Jones, N.L., Gilman, S.E., Cheng, T.L., Drury, S.S., Hill, C.V. and Geronimus, A.T., 2019. Life course approaches to the causes of health disparities. </w:t>
      </w:r>
      <w:r w:rsidDel="00000000" w:rsidR="00000000" w:rsidRPr="00000000">
        <w:rPr>
          <w:rFonts w:ascii="Times New Roman" w:cs="Times New Roman" w:eastAsia="Times New Roman" w:hAnsi="Times New Roman"/>
          <w:i w:val="1"/>
          <w:color w:val="222222"/>
          <w:sz w:val="24"/>
          <w:szCs w:val="24"/>
          <w:highlight w:val="white"/>
          <w:rtl w:val="0"/>
        </w:rPr>
        <w:t xml:space="preserve">American journal of public health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109</w:t>
      </w:r>
      <w:r w:rsidDel="00000000" w:rsidR="00000000" w:rsidRPr="00000000">
        <w:rPr>
          <w:rFonts w:ascii="Times New Roman" w:cs="Times New Roman" w:eastAsia="Times New Roman" w:hAnsi="Times New Roman"/>
          <w:color w:val="222222"/>
          <w:sz w:val="24"/>
          <w:szCs w:val="24"/>
          <w:highlight w:val="white"/>
          <w:rtl w:val="0"/>
        </w:rPr>
        <w:t xml:space="preserve">(S1), pp.S48-S55.</w:t>
      </w:r>
    </w:p>
    <w:p w:rsidR="00000000" w:rsidDel="00000000" w:rsidP="00000000" w:rsidRDefault="00000000" w:rsidRPr="00000000" w14:paraId="0000002B">
      <w:pPr>
        <w:spacing w:after="20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Quennerstedt, A., Robinson, C. and I’Anson, J., 2018. The UNCRC: The voice of global consensus on children’s rights?. Nordic Journal of Human Rights, 36(1), pp.38-54.</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TOCHeading">
    <w:name w:val="TOC Heading"/>
    <w:basedOn w:val="Heading1"/>
    <w:next w:val="Normal"/>
    <w:uiPriority w:val="39"/>
    <w:unhideWhenUsed w:val="1"/>
    <w:qFormat w:val="1"/>
    <w:rsid w:val="00510C82"/>
    <w:pPr>
      <w:spacing w:after="0" w:before="240" w:line="259" w:lineRule="auto"/>
      <w:outlineLvl w:val="9"/>
    </w:pPr>
    <w:rPr>
      <w:rFonts w:asciiTheme="majorHAnsi" w:cstheme="majorBidi" w:eastAsiaTheme="majorEastAsia" w:hAnsiTheme="majorHAnsi"/>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510C82"/>
    <w:pPr>
      <w:spacing w:after="100"/>
    </w:pPr>
  </w:style>
  <w:style w:type="paragraph" w:styleId="TOC2">
    <w:name w:val="toc 2"/>
    <w:basedOn w:val="Normal"/>
    <w:next w:val="Normal"/>
    <w:autoRedefine w:val="1"/>
    <w:uiPriority w:val="39"/>
    <w:unhideWhenUsed w:val="1"/>
    <w:rsid w:val="00510C82"/>
    <w:pPr>
      <w:spacing w:after="100"/>
      <w:ind w:left="220"/>
    </w:pPr>
  </w:style>
  <w:style w:type="character" w:styleId="Hyperlink">
    <w:name w:val="Hyperlink"/>
    <w:basedOn w:val="DefaultParagraphFont"/>
    <w:uiPriority w:val="99"/>
    <w:unhideWhenUsed w:val="1"/>
    <w:rsid w:val="00510C82"/>
    <w:rPr>
      <w:color w:val="0000ff" w:themeColor="hyperlink"/>
      <w:u w:val="single"/>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QuBaQ9JQjvDQA84a58l92UbaSA==">AMUW2mVWYbhb3tRzS0dC45ZYf3snKGeAIEEBq5/RdYw00sLHxEb/MeHcxM6wgAnrIS5ExsQN6Tj1VTl1K2mrt0NMekDXMPcYtBCXpLKmfYOMBCuYJf11o2vsDjnWRz9g9gx8xPn+ahqnT9eKESkD0CFk3F6q4sbmQh0Maa0rK4xC56fuYRVkgoXq/M8WrcwzKJPN3rLsQc+Z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2021-07-26T10:28:00Z</dcterms:created>
</cp:coreProperties>
</file>