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100F9" w14:textId="77777777" w:rsidR="006044FC" w:rsidRPr="00656D19" w:rsidRDefault="006044FC" w:rsidP="00E73326">
      <w:pPr>
        <w:spacing w:line="360" w:lineRule="auto"/>
        <w:jc w:val="center"/>
        <w:rPr>
          <w:rFonts w:ascii="Arial" w:hAnsi="Arial" w:cs="Arial"/>
          <w:b/>
          <w:bCs/>
          <w:sz w:val="24"/>
          <w:szCs w:val="24"/>
        </w:rPr>
      </w:pPr>
      <w:bookmarkStart w:id="0" w:name="_Toc119000261"/>
      <w:r w:rsidRPr="00656D19">
        <w:rPr>
          <w:rFonts w:ascii="Arial" w:hAnsi="Arial" w:cs="Arial"/>
          <w:b/>
          <w:bCs/>
          <w:noProof/>
          <w:sz w:val="24"/>
          <w:szCs w:val="24"/>
        </w:rPr>
        <w:drawing>
          <wp:inline distT="0" distB="0" distL="0" distR="0" wp14:anchorId="6C5CE86E" wp14:editId="434DBAB9">
            <wp:extent cx="2095500" cy="2095500"/>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095500" cy="2095500"/>
                    </a:xfrm>
                    <a:prstGeom prst="rect">
                      <a:avLst/>
                    </a:prstGeom>
                  </pic:spPr>
                </pic:pic>
              </a:graphicData>
            </a:graphic>
          </wp:inline>
        </w:drawing>
      </w:r>
    </w:p>
    <w:p w14:paraId="0B8F328B" w14:textId="77777777" w:rsidR="006044FC" w:rsidRPr="00656D19" w:rsidRDefault="006044FC" w:rsidP="00E73326">
      <w:pPr>
        <w:spacing w:line="360" w:lineRule="auto"/>
        <w:jc w:val="center"/>
        <w:rPr>
          <w:rFonts w:ascii="Arial" w:hAnsi="Arial" w:cs="Arial"/>
          <w:b/>
          <w:bCs/>
          <w:sz w:val="24"/>
          <w:szCs w:val="24"/>
        </w:rPr>
      </w:pPr>
      <w:proofErr w:type="spellStart"/>
      <w:r w:rsidRPr="00656D19">
        <w:rPr>
          <w:rFonts w:ascii="Arial" w:hAnsi="Arial" w:cs="Arial"/>
          <w:b/>
          <w:bCs/>
          <w:sz w:val="24"/>
          <w:szCs w:val="24"/>
        </w:rPr>
        <w:t>Programme</w:t>
      </w:r>
      <w:proofErr w:type="spellEnd"/>
      <w:r w:rsidRPr="00656D19">
        <w:rPr>
          <w:rFonts w:ascii="Arial" w:hAnsi="Arial" w:cs="Arial"/>
          <w:b/>
          <w:bCs/>
          <w:sz w:val="24"/>
          <w:szCs w:val="24"/>
        </w:rPr>
        <w:t>: BA SOTAH – International Hotel Management</w:t>
      </w:r>
      <w:r w:rsidRPr="00656D19">
        <w:rPr>
          <w:rFonts w:ascii="Arial" w:hAnsi="Arial" w:cs="Arial"/>
          <w:b/>
          <w:bCs/>
          <w:sz w:val="24"/>
          <w:szCs w:val="24"/>
        </w:rPr>
        <w:br/>
        <w:t>Module: Financial Management for the Hotel Industry</w:t>
      </w:r>
      <w:r w:rsidRPr="00656D19">
        <w:rPr>
          <w:rFonts w:ascii="Arial" w:hAnsi="Arial" w:cs="Arial"/>
          <w:b/>
          <w:bCs/>
          <w:sz w:val="24"/>
          <w:szCs w:val="24"/>
        </w:rPr>
        <w:br/>
        <w:t>Module code: BMIH5007</w:t>
      </w:r>
      <w:r w:rsidRPr="00656D19">
        <w:rPr>
          <w:rFonts w:ascii="Arial" w:hAnsi="Arial" w:cs="Arial"/>
          <w:b/>
          <w:bCs/>
          <w:sz w:val="24"/>
          <w:szCs w:val="24"/>
        </w:rPr>
        <w:br/>
        <w:t>Lecturer: Dale Clarke</w:t>
      </w:r>
      <w:r w:rsidRPr="00656D19">
        <w:rPr>
          <w:rFonts w:ascii="Arial" w:hAnsi="Arial" w:cs="Arial"/>
          <w:b/>
          <w:bCs/>
          <w:sz w:val="24"/>
          <w:szCs w:val="24"/>
        </w:rPr>
        <w:br/>
        <w:t>Internal verifier: Christopher Wilkin</w:t>
      </w:r>
    </w:p>
    <w:p w14:paraId="0F92A90F" w14:textId="77777777" w:rsidR="006044FC" w:rsidRPr="00656D19" w:rsidRDefault="006044FC" w:rsidP="00E73326">
      <w:pPr>
        <w:spacing w:line="360" w:lineRule="auto"/>
        <w:jc w:val="center"/>
        <w:rPr>
          <w:rFonts w:ascii="Arial" w:hAnsi="Arial" w:cs="Arial"/>
          <w:b/>
          <w:bCs/>
          <w:sz w:val="24"/>
          <w:szCs w:val="24"/>
        </w:rPr>
      </w:pPr>
    </w:p>
    <w:p w14:paraId="086C5E86" w14:textId="77777777" w:rsidR="006044FC" w:rsidRPr="00656D19" w:rsidRDefault="006044FC" w:rsidP="00E73326">
      <w:pPr>
        <w:spacing w:line="360" w:lineRule="auto"/>
        <w:jc w:val="center"/>
        <w:rPr>
          <w:rFonts w:ascii="Arial" w:hAnsi="Arial" w:cs="Arial"/>
          <w:b/>
          <w:bCs/>
          <w:sz w:val="24"/>
          <w:szCs w:val="24"/>
        </w:rPr>
      </w:pPr>
      <w:r w:rsidRPr="00656D19">
        <w:rPr>
          <w:rFonts w:ascii="Arial" w:hAnsi="Arial" w:cs="Arial"/>
          <w:b/>
          <w:bCs/>
          <w:sz w:val="24"/>
          <w:szCs w:val="24"/>
        </w:rPr>
        <w:t>Assignment 2: Marriott International</w:t>
      </w:r>
    </w:p>
    <w:p w14:paraId="4072E564" w14:textId="77777777" w:rsidR="006044FC" w:rsidRPr="00656D19" w:rsidRDefault="006044FC" w:rsidP="00E73326">
      <w:pPr>
        <w:spacing w:line="360" w:lineRule="auto"/>
        <w:jc w:val="center"/>
        <w:rPr>
          <w:rFonts w:ascii="Arial" w:hAnsi="Arial" w:cs="Arial"/>
          <w:b/>
          <w:bCs/>
          <w:sz w:val="24"/>
          <w:szCs w:val="24"/>
        </w:rPr>
      </w:pPr>
    </w:p>
    <w:p w14:paraId="12D6F556" w14:textId="77777777" w:rsidR="006044FC" w:rsidRPr="00656D19" w:rsidRDefault="006044FC" w:rsidP="00E73326">
      <w:pPr>
        <w:spacing w:line="360" w:lineRule="auto"/>
        <w:jc w:val="center"/>
        <w:rPr>
          <w:rFonts w:ascii="Arial" w:hAnsi="Arial" w:cs="Arial"/>
          <w:b/>
          <w:bCs/>
          <w:sz w:val="32"/>
          <w:szCs w:val="32"/>
        </w:rPr>
      </w:pPr>
      <w:r w:rsidRPr="00656D19">
        <w:rPr>
          <w:rFonts w:ascii="Arial" w:hAnsi="Arial" w:cs="Arial"/>
          <w:b/>
          <w:bCs/>
          <w:sz w:val="32"/>
          <w:szCs w:val="32"/>
        </w:rPr>
        <w:t>Submitted by</w:t>
      </w:r>
    </w:p>
    <w:p w14:paraId="5B8EAD12" w14:textId="4E608499" w:rsidR="00605924" w:rsidRDefault="006044FC" w:rsidP="006233B7">
      <w:pPr>
        <w:spacing w:line="360" w:lineRule="auto"/>
        <w:rPr>
          <w:rFonts w:ascii="Arial" w:hAnsi="Arial" w:cs="Arial"/>
          <w:b/>
          <w:bCs/>
          <w:sz w:val="24"/>
          <w:szCs w:val="24"/>
        </w:rPr>
      </w:pPr>
      <w:r w:rsidRPr="00656D19">
        <w:rPr>
          <w:rFonts w:ascii="Arial" w:hAnsi="Arial" w:cs="Arial"/>
          <w:b/>
          <w:bCs/>
          <w:sz w:val="24"/>
          <w:szCs w:val="24"/>
        </w:rPr>
        <w:br/>
      </w:r>
      <w:r w:rsidRPr="00656D19">
        <w:rPr>
          <w:rFonts w:ascii="Arial" w:hAnsi="Arial" w:cs="Arial"/>
          <w:b/>
          <w:sz w:val="24"/>
          <w:szCs w:val="24"/>
        </w:rPr>
        <w:t xml:space="preserve">Student name: </w:t>
      </w:r>
      <w:r w:rsidRPr="00656D19">
        <w:rPr>
          <w:rFonts w:ascii="Arial" w:hAnsi="Arial" w:cs="Arial"/>
          <w:b/>
          <w:bCs/>
          <w:sz w:val="24"/>
          <w:szCs w:val="24"/>
        </w:rPr>
        <w:t>Vimalini</w:t>
      </w:r>
      <w:r w:rsidR="00C51DDC">
        <w:rPr>
          <w:rFonts w:ascii="Arial" w:hAnsi="Arial" w:cs="Arial"/>
          <w:b/>
          <w:bCs/>
          <w:sz w:val="24"/>
          <w:szCs w:val="24"/>
        </w:rPr>
        <w:t xml:space="preserve"> </w:t>
      </w:r>
      <w:r w:rsidRPr="00656D19">
        <w:rPr>
          <w:rFonts w:ascii="Arial" w:hAnsi="Arial" w:cs="Arial"/>
          <w:b/>
          <w:bCs/>
          <w:sz w:val="24"/>
          <w:szCs w:val="24"/>
        </w:rPr>
        <w:t>Vicnarajah</w:t>
      </w:r>
    </w:p>
    <w:p w14:paraId="67CBC430" w14:textId="6F2E5E62" w:rsidR="00C51DDC" w:rsidRDefault="00C51DDC" w:rsidP="006233B7">
      <w:pPr>
        <w:spacing w:line="360" w:lineRule="auto"/>
        <w:rPr>
          <w:rFonts w:ascii="Arial" w:hAnsi="Arial" w:cs="Arial"/>
          <w:b/>
          <w:bCs/>
          <w:sz w:val="24"/>
          <w:szCs w:val="24"/>
        </w:rPr>
      </w:pPr>
      <w:r>
        <w:rPr>
          <w:rFonts w:ascii="Arial" w:hAnsi="Arial" w:cs="Arial"/>
          <w:b/>
          <w:bCs/>
          <w:sz w:val="24"/>
          <w:szCs w:val="24"/>
        </w:rPr>
        <w:t xml:space="preserve">Student ID: </w:t>
      </w:r>
      <w:r w:rsidRPr="00C51DDC">
        <w:rPr>
          <w:rFonts w:ascii="Arial" w:hAnsi="Arial" w:cs="Arial"/>
          <w:b/>
          <w:bCs/>
          <w:sz w:val="24"/>
          <w:szCs w:val="24"/>
        </w:rPr>
        <w:t>2016411</w:t>
      </w:r>
    </w:p>
    <w:p w14:paraId="60E7CE4F" w14:textId="31953C6C" w:rsidR="00641F78" w:rsidRPr="00656D19" w:rsidRDefault="00641F78" w:rsidP="006233B7">
      <w:pPr>
        <w:spacing w:line="360" w:lineRule="auto"/>
        <w:rPr>
          <w:rFonts w:ascii="Arial" w:hAnsi="Arial" w:cs="Arial"/>
          <w:b/>
          <w:bCs/>
          <w:sz w:val="24"/>
          <w:szCs w:val="24"/>
        </w:rPr>
      </w:pPr>
      <w:r>
        <w:rPr>
          <w:rFonts w:ascii="Arial" w:hAnsi="Arial" w:cs="Arial"/>
          <w:b/>
          <w:bCs/>
          <w:sz w:val="24"/>
          <w:szCs w:val="24"/>
        </w:rPr>
        <w:t>Date: 07.12.2022</w:t>
      </w:r>
    </w:p>
    <w:p w14:paraId="0B927AA9" w14:textId="77777777" w:rsidR="006044FC" w:rsidRPr="00656D19" w:rsidRDefault="00605924" w:rsidP="00E73326">
      <w:pPr>
        <w:spacing w:line="360" w:lineRule="auto"/>
        <w:jc w:val="center"/>
        <w:rPr>
          <w:rStyle w:val="Heading1Char"/>
          <w:rFonts w:ascii="Arial" w:eastAsiaTheme="minorHAnsi" w:hAnsi="Arial" w:cs="Arial"/>
          <w:b/>
          <w:bCs/>
          <w:color w:val="auto"/>
          <w:sz w:val="24"/>
          <w:szCs w:val="24"/>
        </w:rPr>
      </w:pPr>
      <w:r w:rsidRPr="00656D19">
        <w:rPr>
          <w:rFonts w:ascii="Arial" w:hAnsi="Arial" w:cs="Arial"/>
          <w:b/>
          <w:bCs/>
          <w:sz w:val="24"/>
          <w:szCs w:val="24"/>
        </w:rPr>
        <w:br w:type="page"/>
      </w:r>
    </w:p>
    <w:p w14:paraId="1AC50092" w14:textId="199E1160" w:rsidR="006044FC" w:rsidRDefault="009F2E74" w:rsidP="001D35FA">
      <w:pPr>
        <w:spacing w:line="360" w:lineRule="auto"/>
        <w:jc w:val="both"/>
        <w:rPr>
          <w:rStyle w:val="Heading1Char"/>
          <w:rFonts w:ascii="Arial" w:hAnsi="Arial" w:cs="Arial"/>
        </w:rPr>
      </w:pPr>
      <w:bookmarkStart w:id="1" w:name="_Toc121339688"/>
      <w:r>
        <w:rPr>
          <w:rStyle w:val="Heading1Char"/>
          <w:rFonts w:ascii="Arial" w:hAnsi="Arial" w:cs="Arial"/>
        </w:rPr>
        <w:lastRenderedPageBreak/>
        <w:t>Executive Summary</w:t>
      </w:r>
      <w:bookmarkEnd w:id="1"/>
    </w:p>
    <w:p w14:paraId="2DD9EEDB" w14:textId="6E306D6C" w:rsidR="00E957C1" w:rsidRPr="00656D19" w:rsidRDefault="00E957C1" w:rsidP="001D35FA">
      <w:pPr>
        <w:spacing w:line="360" w:lineRule="auto"/>
        <w:jc w:val="both"/>
        <w:rPr>
          <w:rStyle w:val="Heading1Char"/>
          <w:rFonts w:ascii="Arial" w:hAnsi="Arial" w:cs="Arial"/>
        </w:rPr>
      </w:pPr>
      <w:r>
        <w:rPr>
          <w:rFonts w:ascii="Arial" w:hAnsi="Arial" w:cs="Arial"/>
          <w:color w:val="222222"/>
          <w:shd w:val="clear" w:color="auto" w:fill="FFFFFF"/>
        </w:rPr>
        <w:t>I would like to thank my lecturer Dale Clarke for his support on this assignment about the financial ratio analysis as he provided me with advice and suggestions on how to improve my assignment. The assignment was a financial statement which compiled information about the company's financial health and profitability to investors, creditors, and other stakeholders. I then described the importance of ratios specific to hotels and how ratio analysis should be a key part of the decision-making process. </w:t>
      </w:r>
    </w:p>
    <w:p w14:paraId="12B3AAFF" w14:textId="77777777" w:rsidR="006044FC" w:rsidRPr="00656D19" w:rsidRDefault="006044FC" w:rsidP="001D35FA">
      <w:pPr>
        <w:spacing w:line="360" w:lineRule="auto"/>
        <w:jc w:val="both"/>
        <w:rPr>
          <w:rStyle w:val="Heading1Char"/>
          <w:rFonts w:ascii="Arial" w:hAnsi="Arial" w:cs="Arial"/>
        </w:rPr>
      </w:pPr>
    </w:p>
    <w:p w14:paraId="11B3B6D5" w14:textId="77777777" w:rsidR="006044FC" w:rsidRPr="00656D19" w:rsidRDefault="006044FC" w:rsidP="001D35FA">
      <w:pPr>
        <w:spacing w:line="360" w:lineRule="auto"/>
        <w:jc w:val="both"/>
        <w:rPr>
          <w:rStyle w:val="Heading1Char"/>
          <w:rFonts w:ascii="Arial" w:hAnsi="Arial" w:cs="Arial"/>
        </w:rPr>
      </w:pPr>
    </w:p>
    <w:p w14:paraId="3679B3B7" w14:textId="77777777" w:rsidR="006044FC" w:rsidRPr="00656D19" w:rsidRDefault="006044FC" w:rsidP="001D35FA">
      <w:pPr>
        <w:spacing w:line="360" w:lineRule="auto"/>
        <w:jc w:val="both"/>
        <w:rPr>
          <w:rStyle w:val="Heading1Char"/>
          <w:rFonts w:ascii="Arial" w:hAnsi="Arial" w:cs="Arial"/>
        </w:rPr>
      </w:pPr>
    </w:p>
    <w:p w14:paraId="75F03F01" w14:textId="77777777" w:rsidR="006044FC" w:rsidRPr="00656D19" w:rsidRDefault="006044FC" w:rsidP="001D35FA">
      <w:pPr>
        <w:spacing w:line="360" w:lineRule="auto"/>
        <w:jc w:val="both"/>
        <w:rPr>
          <w:rStyle w:val="Heading1Char"/>
          <w:rFonts w:ascii="Arial" w:hAnsi="Arial" w:cs="Arial"/>
        </w:rPr>
      </w:pPr>
    </w:p>
    <w:p w14:paraId="1CAE0D2A" w14:textId="77777777" w:rsidR="006044FC" w:rsidRPr="00656D19" w:rsidRDefault="006044FC" w:rsidP="001D35FA">
      <w:pPr>
        <w:spacing w:line="360" w:lineRule="auto"/>
        <w:jc w:val="both"/>
        <w:rPr>
          <w:rStyle w:val="Heading1Char"/>
          <w:rFonts w:ascii="Arial" w:hAnsi="Arial" w:cs="Arial"/>
        </w:rPr>
      </w:pPr>
    </w:p>
    <w:p w14:paraId="5C3BCB37" w14:textId="77777777" w:rsidR="006044FC" w:rsidRPr="00656D19" w:rsidRDefault="006044FC" w:rsidP="001D35FA">
      <w:pPr>
        <w:spacing w:line="360" w:lineRule="auto"/>
        <w:jc w:val="both"/>
        <w:rPr>
          <w:rStyle w:val="Heading1Char"/>
          <w:rFonts w:ascii="Arial" w:hAnsi="Arial" w:cs="Arial"/>
        </w:rPr>
      </w:pPr>
    </w:p>
    <w:p w14:paraId="7CEFD757" w14:textId="77777777" w:rsidR="006044FC" w:rsidRPr="00656D19" w:rsidRDefault="006044FC" w:rsidP="001D35FA">
      <w:pPr>
        <w:spacing w:line="360" w:lineRule="auto"/>
        <w:jc w:val="both"/>
        <w:rPr>
          <w:rStyle w:val="Heading1Char"/>
          <w:rFonts w:ascii="Arial" w:hAnsi="Arial" w:cs="Arial"/>
        </w:rPr>
      </w:pPr>
    </w:p>
    <w:p w14:paraId="1825270F" w14:textId="77777777" w:rsidR="006044FC" w:rsidRPr="00656D19" w:rsidRDefault="006044FC" w:rsidP="001D35FA">
      <w:pPr>
        <w:spacing w:line="360" w:lineRule="auto"/>
        <w:jc w:val="both"/>
        <w:rPr>
          <w:rStyle w:val="Heading1Char"/>
          <w:rFonts w:ascii="Arial" w:hAnsi="Arial" w:cs="Arial"/>
        </w:rPr>
      </w:pPr>
    </w:p>
    <w:p w14:paraId="64582710" w14:textId="77777777" w:rsidR="006044FC" w:rsidRPr="00656D19" w:rsidRDefault="006044FC" w:rsidP="001D35FA">
      <w:pPr>
        <w:spacing w:line="360" w:lineRule="auto"/>
        <w:jc w:val="both"/>
        <w:rPr>
          <w:rStyle w:val="Heading1Char"/>
          <w:rFonts w:ascii="Arial" w:hAnsi="Arial" w:cs="Arial"/>
        </w:rPr>
      </w:pPr>
    </w:p>
    <w:p w14:paraId="24DF8EFE" w14:textId="77777777" w:rsidR="006044FC" w:rsidRPr="00656D19" w:rsidRDefault="006044FC" w:rsidP="001D35FA">
      <w:pPr>
        <w:spacing w:line="360" w:lineRule="auto"/>
        <w:jc w:val="both"/>
        <w:rPr>
          <w:rStyle w:val="Heading1Char"/>
          <w:rFonts w:ascii="Arial" w:hAnsi="Arial" w:cs="Arial"/>
        </w:rPr>
      </w:pPr>
    </w:p>
    <w:p w14:paraId="2F7D7B9E" w14:textId="77777777" w:rsidR="006044FC" w:rsidRPr="00656D19" w:rsidRDefault="006044FC" w:rsidP="001D35FA">
      <w:pPr>
        <w:spacing w:line="360" w:lineRule="auto"/>
        <w:jc w:val="both"/>
        <w:rPr>
          <w:rStyle w:val="Heading1Char"/>
          <w:rFonts w:ascii="Arial" w:hAnsi="Arial" w:cs="Arial"/>
        </w:rPr>
      </w:pPr>
    </w:p>
    <w:p w14:paraId="7BFC31F7" w14:textId="77777777" w:rsidR="006044FC" w:rsidRPr="00656D19" w:rsidRDefault="006044FC" w:rsidP="001D35FA">
      <w:pPr>
        <w:spacing w:line="360" w:lineRule="auto"/>
        <w:jc w:val="both"/>
        <w:rPr>
          <w:rStyle w:val="Heading1Char"/>
          <w:rFonts w:ascii="Arial" w:hAnsi="Arial" w:cs="Arial"/>
        </w:rPr>
      </w:pPr>
    </w:p>
    <w:p w14:paraId="6B1D9C1C" w14:textId="77777777" w:rsidR="009F2E74" w:rsidRDefault="009F2E74" w:rsidP="001D35FA">
      <w:pPr>
        <w:spacing w:line="360" w:lineRule="auto"/>
        <w:jc w:val="both"/>
        <w:rPr>
          <w:rStyle w:val="Heading1Char"/>
          <w:rFonts w:ascii="Arial" w:hAnsi="Arial" w:cs="Arial"/>
        </w:rPr>
      </w:pPr>
    </w:p>
    <w:p w14:paraId="539A2F97" w14:textId="77777777" w:rsidR="009F2E74" w:rsidRDefault="009F2E74" w:rsidP="001D35FA">
      <w:pPr>
        <w:spacing w:line="360" w:lineRule="auto"/>
        <w:jc w:val="both"/>
        <w:rPr>
          <w:rStyle w:val="Heading1Char"/>
          <w:rFonts w:ascii="Arial" w:hAnsi="Arial" w:cs="Arial"/>
        </w:rPr>
      </w:pPr>
    </w:p>
    <w:p w14:paraId="4B98E9B8" w14:textId="77777777" w:rsidR="009F2E74" w:rsidRDefault="009F2E74" w:rsidP="001D35FA">
      <w:pPr>
        <w:spacing w:line="360" w:lineRule="auto"/>
        <w:jc w:val="both"/>
        <w:rPr>
          <w:rStyle w:val="Heading1Char"/>
          <w:rFonts w:ascii="Arial" w:hAnsi="Arial" w:cs="Arial"/>
        </w:rPr>
      </w:pPr>
    </w:p>
    <w:p w14:paraId="0CFB2EE2" w14:textId="77777777" w:rsidR="009F2E74" w:rsidRDefault="009F2E74" w:rsidP="001D35FA">
      <w:pPr>
        <w:spacing w:line="360" w:lineRule="auto"/>
        <w:jc w:val="both"/>
        <w:rPr>
          <w:rStyle w:val="Heading1Char"/>
          <w:rFonts w:ascii="Arial" w:hAnsi="Arial" w:cs="Arial"/>
        </w:rPr>
      </w:pPr>
    </w:p>
    <w:sdt>
      <w:sdtPr>
        <w:rPr>
          <w:rFonts w:ascii="Arial" w:eastAsiaTheme="minorHAnsi" w:hAnsi="Arial" w:cs="Arial"/>
          <w:color w:val="auto"/>
          <w:sz w:val="22"/>
          <w:szCs w:val="22"/>
        </w:rPr>
        <w:id w:val="989222008"/>
        <w:docPartObj>
          <w:docPartGallery w:val="Table of Contents"/>
          <w:docPartUnique/>
        </w:docPartObj>
      </w:sdtPr>
      <w:sdtEndPr>
        <w:rPr>
          <w:b/>
          <w:bCs/>
          <w:noProof/>
          <w:sz w:val="24"/>
          <w:szCs w:val="24"/>
        </w:rPr>
      </w:sdtEndPr>
      <w:sdtContent>
        <w:p w14:paraId="5270F1DA" w14:textId="77777777" w:rsidR="009F2E74" w:rsidRPr="009F2E74" w:rsidRDefault="009F2E74" w:rsidP="009F2E74">
          <w:pPr>
            <w:pStyle w:val="TOCHeading"/>
            <w:spacing w:line="360" w:lineRule="auto"/>
            <w:jc w:val="both"/>
            <w:rPr>
              <w:rFonts w:ascii="Arial" w:eastAsiaTheme="minorHAnsi" w:hAnsi="Arial" w:cs="Arial"/>
              <w:color w:val="auto"/>
              <w:sz w:val="22"/>
              <w:szCs w:val="22"/>
            </w:rPr>
          </w:pPr>
          <w:r w:rsidRPr="00656D19">
            <w:rPr>
              <w:rFonts w:ascii="Arial" w:hAnsi="Arial" w:cs="Arial"/>
            </w:rPr>
            <w:t>Contents</w:t>
          </w:r>
        </w:p>
        <w:p w14:paraId="124D46D7" w14:textId="19C6E911" w:rsidR="009F2E74" w:rsidRDefault="009F2E74">
          <w:pPr>
            <w:pStyle w:val="TOC1"/>
            <w:tabs>
              <w:tab w:val="right" w:leader="dot" w:pos="9017"/>
            </w:tabs>
            <w:rPr>
              <w:rFonts w:eastAsiaTheme="minorEastAsia"/>
              <w:noProof/>
              <w:lang w:val="en-GB" w:eastAsia="en-GB"/>
            </w:rPr>
          </w:pPr>
          <w:r w:rsidRPr="00656D19">
            <w:rPr>
              <w:rFonts w:ascii="Arial" w:hAnsi="Arial" w:cs="Arial"/>
              <w:sz w:val="24"/>
              <w:szCs w:val="24"/>
            </w:rPr>
            <w:fldChar w:fldCharType="begin"/>
          </w:r>
          <w:r w:rsidRPr="00656D19">
            <w:rPr>
              <w:rFonts w:ascii="Arial" w:hAnsi="Arial" w:cs="Arial"/>
              <w:sz w:val="24"/>
              <w:szCs w:val="24"/>
            </w:rPr>
            <w:instrText xml:space="preserve"> TOC \o "1-3" \h \z \u </w:instrText>
          </w:r>
          <w:r w:rsidRPr="00656D19">
            <w:rPr>
              <w:rFonts w:ascii="Arial" w:hAnsi="Arial" w:cs="Arial"/>
              <w:sz w:val="24"/>
              <w:szCs w:val="24"/>
            </w:rPr>
            <w:fldChar w:fldCharType="separate"/>
          </w:r>
          <w:hyperlink w:anchor="_Toc121339688" w:history="1">
            <w:r w:rsidRPr="00EE33F8">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_Toc121339688 \h </w:instrText>
            </w:r>
            <w:r>
              <w:rPr>
                <w:noProof/>
                <w:webHidden/>
              </w:rPr>
            </w:r>
            <w:r>
              <w:rPr>
                <w:noProof/>
                <w:webHidden/>
              </w:rPr>
              <w:fldChar w:fldCharType="separate"/>
            </w:r>
            <w:r>
              <w:rPr>
                <w:noProof/>
                <w:webHidden/>
              </w:rPr>
              <w:t>1</w:t>
            </w:r>
            <w:r>
              <w:rPr>
                <w:noProof/>
                <w:webHidden/>
              </w:rPr>
              <w:fldChar w:fldCharType="end"/>
            </w:r>
          </w:hyperlink>
        </w:p>
        <w:p w14:paraId="39A34F2B" w14:textId="428823BD" w:rsidR="009F2E74" w:rsidRDefault="00000000">
          <w:pPr>
            <w:pStyle w:val="TOC1"/>
            <w:tabs>
              <w:tab w:val="right" w:leader="dot" w:pos="9017"/>
            </w:tabs>
            <w:rPr>
              <w:rFonts w:eastAsiaTheme="minorEastAsia"/>
              <w:noProof/>
              <w:lang w:val="en-GB" w:eastAsia="en-GB"/>
            </w:rPr>
          </w:pPr>
          <w:hyperlink w:anchor="_Toc121339689" w:history="1">
            <w:r w:rsidR="009F2E74" w:rsidRPr="00EE33F8">
              <w:rPr>
                <w:rStyle w:val="Hyperlink"/>
                <w:rFonts w:ascii="Arial" w:hAnsi="Arial" w:cs="Arial"/>
                <w:noProof/>
              </w:rPr>
              <w:t>Introduction</w:t>
            </w:r>
            <w:r w:rsidR="009F2E74">
              <w:rPr>
                <w:noProof/>
                <w:webHidden/>
              </w:rPr>
              <w:tab/>
            </w:r>
            <w:r w:rsidR="009F2E74">
              <w:rPr>
                <w:noProof/>
                <w:webHidden/>
              </w:rPr>
              <w:fldChar w:fldCharType="begin"/>
            </w:r>
            <w:r w:rsidR="009F2E74">
              <w:rPr>
                <w:noProof/>
                <w:webHidden/>
              </w:rPr>
              <w:instrText xml:space="preserve"> PAGEREF _Toc121339689 \h </w:instrText>
            </w:r>
            <w:r w:rsidR="009F2E74">
              <w:rPr>
                <w:noProof/>
                <w:webHidden/>
              </w:rPr>
            </w:r>
            <w:r w:rsidR="009F2E74">
              <w:rPr>
                <w:noProof/>
                <w:webHidden/>
              </w:rPr>
              <w:fldChar w:fldCharType="separate"/>
            </w:r>
            <w:r w:rsidR="009F2E74">
              <w:rPr>
                <w:noProof/>
                <w:webHidden/>
              </w:rPr>
              <w:t>3</w:t>
            </w:r>
            <w:r w:rsidR="009F2E74">
              <w:rPr>
                <w:noProof/>
                <w:webHidden/>
              </w:rPr>
              <w:fldChar w:fldCharType="end"/>
            </w:r>
          </w:hyperlink>
        </w:p>
        <w:p w14:paraId="4920ECC7" w14:textId="3965A698" w:rsidR="009F2E74" w:rsidRDefault="00000000">
          <w:pPr>
            <w:pStyle w:val="TOC1"/>
            <w:tabs>
              <w:tab w:val="right" w:leader="dot" w:pos="9017"/>
            </w:tabs>
            <w:rPr>
              <w:rFonts w:eastAsiaTheme="minorEastAsia"/>
              <w:noProof/>
              <w:lang w:val="en-GB" w:eastAsia="en-GB"/>
            </w:rPr>
          </w:pPr>
          <w:hyperlink w:anchor="_Toc121339690" w:history="1">
            <w:r w:rsidR="009F2E74" w:rsidRPr="00EE33F8">
              <w:rPr>
                <w:rStyle w:val="Hyperlink"/>
                <w:rFonts w:ascii="Arial" w:hAnsi="Arial" w:cs="Arial"/>
                <w:noProof/>
              </w:rPr>
              <w:t>Discussion</w:t>
            </w:r>
            <w:r w:rsidR="009F2E74">
              <w:rPr>
                <w:noProof/>
                <w:webHidden/>
              </w:rPr>
              <w:tab/>
            </w:r>
            <w:r w:rsidR="009F2E74">
              <w:rPr>
                <w:noProof/>
                <w:webHidden/>
              </w:rPr>
              <w:fldChar w:fldCharType="begin"/>
            </w:r>
            <w:r w:rsidR="009F2E74">
              <w:rPr>
                <w:noProof/>
                <w:webHidden/>
              </w:rPr>
              <w:instrText xml:space="preserve"> PAGEREF _Toc121339690 \h </w:instrText>
            </w:r>
            <w:r w:rsidR="009F2E74">
              <w:rPr>
                <w:noProof/>
                <w:webHidden/>
              </w:rPr>
            </w:r>
            <w:r w:rsidR="009F2E74">
              <w:rPr>
                <w:noProof/>
                <w:webHidden/>
              </w:rPr>
              <w:fldChar w:fldCharType="separate"/>
            </w:r>
            <w:r w:rsidR="009F2E74">
              <w:rPr>
                <w:noProof/>
                <w:webHidden/>
              </w:rPr>
              <w:t>4</w:t>
            </w:r>
            <w:r w:rsidR="009F2E74">
              <w:rPr>
                <w:noProof/>
                <w:webHidden/>
              </w:rPr>
              <w:fldChar w:fldCharType="end"/>
            </w:r>
          </w:hyperlink>
        </w:p>
        <w:p w14:paraId="0F286510" w14:textId="3C623208" w:rsidR="009F2E74" w:rsidRDefault="00000000">
          <w:pPr>
            <w:pStyle w:val="TOC1"/>
            <w:tabs>
              <w:tab w:val="right" w:leader="dot" w:pos="9017"/>
            </w:tabs>
            <w:rPr>
              <w:rFonts w:eastAsiaTheme="minorEastAsia"/>
              <w:noProof/>
              <w:lang w:val="en-GB" w:eastAsia="en-GB"/>
            </w:rPr>
          </w:pPr>
          <w:hyperlink w:anchor="_Toc121339691" w:history="1">
            <w:r w:rsidR="009F2E74" w:rsidRPr="00EE33F8">
              <w:rPr>
                <w:rStyle w:val="Hyperlink"/>
                <w:rFonts w:ascii="Arial" w:hAnsi="Arial" w:cs="Arial"/>
                <w:noProof/>
              </w:rPr>
              <w:t>A) Financial ratio analysis of the year 2020 and 2021</w:t>
            </w:r>
            <w:r w:rsidR="009F2E74">
              <w:rPr>
                <w:noProof/>
                <w:webHidden/>
              </w:rPr>
              <w:tab/>
            </w:r>
            <w:r w:rsidR="009F2E74">
              <w:rPr>
                <w:noProof/>
                <w:webHidden/>
              </w:rPr>
              <w:fldChar w:fldCharType="begin"/>
            </w:r>
            <w:r w:rsidR="009F2E74">
              <w:rPr>
                <w:noProof/>
                <w:webHidden/>
              </w:rPr>
              <w:instrText xml:space="preserve"> PAGEREF _Toc121339691 \h </w:instrText>
            </w:r>
            <w:r w:rsidR="009F2E74">
              <w:rPr>
                <w:noProof/>
                <w:webHidden/>
              </w:rPr>
            </w:r>
            <w:r w:rsidR="009F2E74">
              <w:rPr>
                <w:noProof/>
                <w:webHidden/>
              </w:rPr>
              <w:fldChar w:fldCharType="separate"/>
            </w:r>
            <w:r w:rsidR="009F2E74">
              <w:rPr>
                <w:noProof/>
                <w:webHidden/>
              </w:rPr>
              <w:t>4</w:t>
            </w:r>
            <w:r w:rsidR="009F2E74">
              <w:rPr>
                <w:noProof/>
                <w:webHidden/>
              </w:rPr>
              <w:fldChar w:fldCharType="end"/>
            </w:r>
          </w:hyperlink>
        </w:p>
        <w:p w14:paraId="1BB9D754" w14:textId="5B5603AB" w:rsidR="009F2E74" w:rsidRDefault="00000000" w:rsidP="009F2E74">
          <w:pPr>
            <w:pStyle w:val="TOC2"/>
            <w:tabs>
              <w:tab w:val="right" w:leader="dot" w:pos="9017"/>
            </w:tabs>
            <w:ind w:left="0"/>
            <w:rPr>
              <w:rFonts w:eastAsiaTheme="minorEastAsia"/>
              <w:noProof/>
              <w:lang w:val="en-GB" w:eastAsia="en-GB"/>
            </w:rPr>
          </w:pPr>
          <w:hyperlink w:anchor="_Toc121339692" w:history="1">
            <w:r w:rsidR="009F2E74" w:rsidRPr="00EE33F8">
              <w:rPr>
                <w:rStyle w:val="Hyperlink"/>
                <w:rFonts w:ascii="Arial" w:hAnsi="Arial" w:cs="Arial"/>
                <w:noProof/>
              </w:rPr>
              <w:t>B) Importance and limitations of ratio analysis</w:t>
            </w:r>
            <w:r w:rsidR="009F2E74">
              <w:rPr>
                <w:noProof/>
                <w:webHidden/>
              </w:rPr>
              <w:tab/>
            </w:r>
            <w:r w:rsidR="009F2E74">
              <w:rPr>
                <w:noProof/>
                <w:webHidden/>
              </w:rPr>
              <w:fldChar w:fldCharType="begin"/>
            </w:r>
            <w:r w:rsidR="009F2E74">
              <w:rPr>
                <w:noProof/>
                <w:webHidden/>
              </w:rPr>
              <w:instrText xml:space="preserve"> PAGEREF _Toc121339692 \h </w:instrText>
            </w:r>
            <w:r w:rsidR="009F2E74">
              <w:rPr>
                <w:noProof/>
                <w:webHidden/>
              </w:rPr>
            </w:r>
            <w:r w:rsidR="009F2E74">
              <w:rPr>
                <w:noProof/>
                <w:webHidden/>
              </w:rPr>
              <w:fldChar w:fldCharType="separate"/>
            </w:r>
            <w:r w:rsidR="009F2E74">
              <w:rPr>
                <w:noProof/>
                <w:webHidden/>
              </w:rPr>
              <w:t>14</w:t>
            </w:r>
            <w:r w:rsidR="009F2E74">
              <w:rPr>
                <w:noProof/>
                <w:webHidden/>
              </w:rPr>
              <w:fldChar w:fldCharType="end"/>
            </w:r>
          </w:hyperlink>
        </w:p>
        <w:p w14:paraId="4386740D" w14:textId="58E93620" w:rsidR="009F2E74" w:rsidRDefault="00000000" w:rsidP="009F2E74">
          <w:pPr>
            <w:pStyle w:val="TOC2"/>
            <w:tabs>
              <w:tab w:val="right" w:leader="dot" w:pos="9017"/>
            </w:tabs>
            <w:ind w:left="0"/>
            <w:rPr>
              <w:rFonts w:eastAsiaTheme="minorEastAsia"/>
              <w:noProof/>
              <w:lang w:val="en-GB" w:eastAsia="en-GB"/>
            </w:rPr>
          </w:pPr>
          <w:hyperlink w:anchor="_Toc121339693" w:history="1">
            <w:r w:rsidR="009F2E74" w:rsidRPr="00EE33F8">
              <w:rPr>
                <w:rStyle w:val="Hyperlink"/>
                <w:rFonts w:ascii="Arial" w:hAnsi="Arial" w:cs="Arial"/>
                <w:noProof/>
              </w:rPr>
              <w:t>C)Understanding of ratios and their importance for decision making</w:t>
            </w:r>
            <w:r w:rsidR="009F2E74">
              <w:rPr>
                <w:noProof/>
                <w:webHidden/>
              </w:rPr>
              <w:tab/>
            </w:r>
            <w:r w:rsidR="009F2E74">
              <w:rPr>
                <w:noProof/>
                <w:webHidden/>
              </w:rPr>
              <w:fldChar w:fldCharType="begin"/>
            </w:r>
            <w:r w:rsidR="009F2E74">
              <w:rPr>
                <w:noProof/>
                <w:webHidden/>
              </w:rPr>
              <w:instrText xml:space="preserve"> PAGEREF _Toc121339693 \h </w:instrText>
            </w:r>
            <w:r w:rsidR="009F2E74">
              <w:rPr>
                <w:noProof/>
                <w:webHidden/>
              </w:rPr>
            </w:r>
            <w:r w:rsidR="009F2E74">
              <w:rPr>
                <w:noProof/>
                <w:webHidden/>
              </w:rPr>
              <w:fldChar w:fldCharType="separate"/>
            </w:r>
            <w:r w:rsidR="009F2E74">
              <w:rPr>
                <w:noProof/>
                <w:webHidden/>
              </w:rPr>
              <w:t>14</w:t>
            </w:r>
            <w:r w:rsidR="009F2E74">
              <w:rPr>
                <w:noProof/>
                <w:webHidden/>
              </w:rPr>
              <w:fldChar w:fldCharType="end"/>
            </w:r>
          </w:hyperlink>
        </w:p>
        <w:p w14:paraId="181EFBF4" w14:textId="256AD5BF" w:rsidR="009F2E74" w:rsidRDefault="00000000">
          <w:pPr>
            <w:pStyle w:val="TOC1"/>
            <w:tabs>
              <w:tab w:val="right" w:leader="dot" w:pos="9017"/>
            </w:tabs>
            <w:rPr>
              <w:rFonts w:eastAsiaTheme="minorEastAsia"/>
              <w:noProof/>
              <w:lang w:val="en-GB" w:eastAsia="en-GB"/>
            </w:rPr>
          </w:pPr>
          <w:hyperlink w:anchor="_Toc121339694" w:history="1">
            <w:r w:rsidR="009F2E74" w:rsidRPr="00EE33F8">
              <w:rPr>
                <w:rStyle w:val="Hyperlink"/>
                <w:rFonts w:ascii="Arial" w:hAnsi="Arial" w:cs="Arial"/>
                <w:noProof/>
              </w:rPr>
              <w:t>Conclusion</w:t>
            </w:r>
            <w:r w:rsidR="009F2E74">
              <w:rPr>
                <w:noProof/>
                <w:webHidden/>
              </w:rPr>
              <w:tab/>
            </w:r>
            <w:r w:rsidR="009F2E74">
              <w:rPr>
                <w:noProof/>
                <w:webHidden/>
              </w:rPr>
              <w:fldChar w:fldCharType="begin"/>
            </w:r>
            <w:r w:rsidR="009F2E74">
              <w:rPr>
                <w:noProof/>
                <w:webHidden/>
              </w:rPr>
              <w:instrText xml:space="preserve"> PAGEREF _Toc121339694 \h </w:instrText>
            </w:r>
            <w:r w:rsidR="009F2E74">
              <w:rPr>
                <w:noProof/>
                <w:webHidden/>
              </w:rPr>
            </w:r>
            <w:r w:rsidR="009F2E74">
              <w:rPr>
                <w:noProof/>
                <w:webHidden/>
              </w:rPr>
              <w:fldChar w:fldCharType="separate"/>
            </w:r>
            <w:r w:rsidR="009F2E74">
              <w:rPr>
                <w:noProof/>
                <w:webHidden/>
              </w:rPr>
              <w:t>16</w:t>
            </w:r>
            <w:r w:rsidR="009F2E74">
              <w:rPr>
                <w:noProof/>
                <w:webHidden/>
              </w:rPr>
              <w:fldChar w:fldCharType="end"/>
            </w:r>
          </w:hyperlink>
        </w:p>
        <w:p w14:paraId="77B48253" w14:textId="34F0C477" w:rsidR="009F2E74" w:rsidRDefault="00000000">
          <w:pPr>
            <w:pStyle w:val="TOC1"/>
            <w:tabs>
              <w:tab w:val="right" w:leader="dot" w:pos="9017"/>
            </w:tabs>
            <w:rPr>
              <w:rFonts w:eastAsiaTheme="minorEastAsia"/>
              <w:noProof/>
              <w:lang w:val="en-GB" w:eastAsia="en-GB"/>
            </w:rPr>
          </w:pPr>
          <w:hyperlink w:anchor="_Toc121339695" w:history="1">
            <w:r w:rsidR="009F2E74" w:rsidRPr="00EE33F8">
              <w:rPr>
                <w:rStyle w:val="Hyperlink"/>
                <w:rFonts w:ascii="Arial" w:hAnsi="Arial" w:cs="Arial"/>
                <w:noProof/>
              </w:rPr>
              <w:t>References</w:t>
            </w:r>
            <w:r w:rsidR="009F2E74">
              <w:rPr>
                <w:noProof/>
                <w:webHidden/>
              </w:rPr>
              <w:tab/>
            </w:r>
            <w:r w:rsidR="009F2E74">
              <w:rPr>
                <w:noProof/>
                <w:webHidden/>
              </w:rPr>
              <w:fldChar w:fldCharType="begin"/>
            </w:r>
            <w:r w:rsidR="009F2E74">
              <w:rPr>
                <w:noProof/>
                <w:webHidden/>
              </w:rPr>
              <w:instrText xml:space="preserve"> PAGEREF _Toc121339695 \h </w:instrText>
            </w:r>
            <w:r w:rsidR="009F2E74">
              <w:rPr>
                <w:noProof/>
                <w:webHidden/>
              </w:rPr>
            </w:r>
            <w:r w:rsidR="009F2E74">
              <w:rPr>
                <w:noProof/>
                <w:webHidden/>
              </w:rPr>
              <w:fldChar w:fldCharType="separate"/>
            </w:r>
            <w:r w:rsidR="009F2E74">
              <w:rPr>
                <w:noProof/>
                <w:webHidden/>
              </w:rPr>
              <w:t>17</w:t>
            </w:r>
            <w:r w:rsidR="009F2E74">
              <w:rPr>
                <w:noProof/>
                <w:webHidden/>
              </w:rPr>
              <w:fldChar w:fldCharType="end"/>
            </w:r>
          </w:hyperlink>
        </w:p>
        <w:p w14:paraId="082C6550" w14:textId="62F89D51" w:rsidR="009F2E74" w:rsidRPr="00656D19" w:rsidRDefault="009F2E74" w:rsidP="009F2E74">
          <w:pPr>
            <w:spacing w:line="360" w:lineRule="auto"/>
            <w:jc w:val="both"/>
            <w:rPr>
              <w:rFonts w:ascii="Arial" w:hAnsi="Arial" w:cs="Arial"/>
              <w:sz w:val="24"/>
              <w:szCs w:val="24"/>
            </w:rPr>
          </w:pPr>
          <w:r w:rsidRPr="00656D19">
            <w:rPr>
              <w:rFonts w:ascii="Arial" w:hAnsi="Arial" w:cs="Arial"/>
              <w:b/>
              <w:bCs/>
              <w:noProof/>
              <w:sz w:val="24"/>
              <w:szCs w:val="24"/>
            </w:rPr>
            <w:fldChar w:fldCharType="end"/>
          </w:r>
        </w:p>
      </w:sdtContent>
    </w:sdt>
    <w:p w14:paraId="57877888" w14:textId="77777777" w:rsidR="009F2E74" w:rsidRDefault="009F2E74" w:rsidP="001D35FA">
      <w:pPr>
        <w:spacing w:line="360" w:lineRule="auto"/>
        <w:jc w:val="both"/>
        <w:rPr>
          <w:rStyle w:val="Heading1Char"/>
          <w:rFonts w:ascii="Arial" w:hAnsi="Arial" w:cs="Arial"/>
        </w:rPr>
      </w:pPr>
    </w:p>
    <w:p w14:paraId="05A8AA39" w14:textId="77777777" w:rsidR="009F2E74" w:rsidRDefault="009F2E74" w:rsidP="001D35FA">
      <w:pPr>
        <w:spacing w:line="360" w:lineRule="auto"/>
        <w:jc w:val="both"/>
        <w:rPr>
          <w:rStyle w:val="Heading1Char"/>
          <w:rFonts w:ascii="Arial" w:hAnsi="Arial" w:cs="Arial"/>
        </w:rPr>
      </w:pPr>
    </w:p>
    <w:p w14:paraId="63C9D572" w14:textId="77777777" w:rsidR="009F2E74" w:rsidRDefault="009F2E74" w:rsidP="001D35FA">
      <w:pPr>
        <w:spacing w:line="360" w:lineRule="auto"/>
        <w:jc w:val="both"/>
        <w:rPr>
          <w:rStyle w:val="Heading1Char"/>
          <w:rFonts w:ascii="Arial" w:hAnsi="Arial" w:cs="Arial"/>
        </w:rPr>
      </w:pPr>
    </w:p>
    <w:p w14:paraId="30121DCB" w14:textId="77777777" w:rsidR="009F2E74" w:rsidRDefault="009F2E74" w:rsidP="001D35FA">
      <w:pPr>
        <w:spacing w:line="360" w:lineRule="auto"/>
        <w:jc w:val="both"/>
        <w:rPr>
          <w:rStyle w:val="Heading1Char"/>
          <w:rFonts w:ascii="Arial" w:hAnsi="Arial" w:cs="Arial"/>
        </w:rPr>
      </w:pPr>
    </w:p>
    <w:p w14:paraId="21EFB963" w14:textId="77777777" w:rsidR="009F2E74" w:rsidRDefault="009F2E74" w:rsidP="001D35FA">
      <w:pPr>
        <w:spacing w:line="360" w:lineRule="auto"/>
        <w:jc w:val="both"/>
        <w:rPr>
          <w:rStyle w:val="Heading1Char"/>
          <w:rFonts w:ascii="Arial" w:hAnsi="Arial" w:cs="Arial"/>
        </w:rPr>
      </w:pPr>
    </w:p>
    <w:p w14:paraId="372FADF3" w14:textId="77777777" w:rsidR="009F2E74" w:rsidRDefault="009F2E74" w:rsidP="001D35FA">
      <w:pPr>
        <w:spacing w:line="360" w:lineRule="auto"/>
        <w:jc w:val="both"/>
        <w:rPr>
          <w:rStyle w:val="Heading1Char"/>
          <w:rFonts w:ascii="Arial" w:hAnsi="Arial" w:cs="Arial"/>
        </w:rPr>
      </w:pPr>
    </w:p>
    <w:p w14:paraId="653CC4D2" w14:textId="77777777" w:rsidR="009F2E74" w:rsidRDefault="009F2E74" w:rsidP="001D35FA">
      <w:pPr>
        <w:spacing w:line="360" w:lineRule="auto"/>
        <w:jc w:val="both"/>
        <w:rPr>
          <w:rStyle w:val="Heading1Char"/>
          <w:rFonts w:ascii="Arial" w:hAnsi="Arial" w:cs="Arial"/>
        </w:rPr>
      </w:pPr>
    </w:p>
    <w:p w14:paraId="25ACFB8C" w14:textId="77777777" w:rsidR="009F2E74" w:rsidRDefault="009F2E74" w:rsidP="001D35FA">
      <w:pPr>
        <w:spacing w:line="360" w:lineRule="auto"/>
        <w:jc w:val="both"/>
        <w:rPr>
          <w:rStyle w:val="Heading1Char"/>
          <w:rFonts w:ascii="Arial" w:hAnsi="Arial" w:cs="Arial"/>
        </w:rPr>
      </w:pPr>
    </w:p>
    <w:p w14:paraId="08D934EC" w14:textId="77777777" w:rsidR="009F2E74" w:rsidRDefault="009F2E74" w:rsidP="001D35FA">
      <w:pPr>
        <w:spacing w:line="360" w:lineRule="auto"/>
        <w:jc w:val="both"/>
        <w:rPr>
          <w:rStyle w:val="Heading1Char"/>
          <w:rFonts w:ascii="Arial" w:hAnsi="Arial" w:cs="Arial"/>
        </w:rPr>
      </w:pPr>
    </w:p>
    <w:p w14:paraId="37A2EE6E" w14:textId="77777777" w:rsidR="009F2E74" w:rsidRDefault="009F2E74" w:rsidP="001D35FA">
      <w:pPr>
        <w:spacing w:line="360" w:lineRule="auto"/>
        <w:jc w:val="both"/>
        <w:rPr>
          <w:rStyle w:val="Heading1Char"/>
          <w:rFonts w:ascii="Arial" w:hAnsi="Arial" w:cs="Arial"/>
        </w:rPr>
      </w:pPr>
    </w:p>
    <w:p w14:paraId="56C72F2A" w14:textId="77777777" w:rsidR="009F2E74" w:rsidRDefault="009F2E74" w:rsidP="001D35FA">
      <w:pPr>
        <w:spacing w:line="360" w:lineRule="auto"/>
        <w:jc w:val="both"/>
        <w:rPr>
          <w:rStyle w:val="Heading1Char"/>
          <w:rFonts w:ascii="Arial" w:hAnsi="Arial" w:cs="Arial"/>
        </w:rPr>
      </w:pPr>
    </w:p>
    <w:p w14:paraId="0CE14E75" w14:textId="77777777" w:rsidR="009F2E74" w:rsidRDefault="009F2E74" w:rsidP="001D35FA">
      <w:pPr>
        <w:spacing w:line="360" w:lineRule="auto"/>
        <w:jc w:val="both"/>
        <w:rPr>
          <w:rStyle w:val="Heading1Char"/>
          <w:rFonts w:ascii="Arial" w:hAnsi="Arial" w:cs="Arial"/>
        </w:rPr>
      </w:pPr>
    </w:p>
    <w:p w14:paraId="3158D620" w14:textId="77777777" w:rsidR="009F2E74" w:rsidRDefault="009F2E74" w:rsidP="001D35FA">
      <w:pPr>
        <w:spacing w:line="360" w:lineRule="auto"/>
        <w:jc w:val="both"/>
        <w:rPr>
          <w:rStyle w:val="Heading1Char"/>
          <w:rFonts w:ascii="Arial" w:hAnsi="Arial" w:cs="Arial"/>
        </w:rPr>
      </w:pPr>
    </w:p>
    <w:p w14:paraId="1515BB35" w14:textId="240D67EE" w:rsidR="00657618" w:rsidRPr="00656D19" w:rsidRDefault="004C13DE" w:rsidP="001D35FA">
      <w:pPr>
        <w:spacing w:line="360" w:lineRule="auto"/>
        <w:jc w:val="both"/>
        <w:rPr>
          <w:rFonts w:ascii="Arial" w:eastAsiaTheme="majorEastAsia" w:hAnsi="Arial" w:cs="Arial"/>
          <w:color w:val="2F5496" w:themeColor="accent1" w:themeShade="BF"/>
          <w:sz w:val="32"/>
          <w:szCs w:val="32"/>
        </w:rPr>
      </w:pPr>
      <w:bookmarkStart w:id="2" w:name="_Toc121339689"/>
      <w:r w:rsidRPr="00656D19">
        <w:rPr>
          <w:rStyle w:val="Heading1Char"/>
          <w:rFonts w:ascii="Arial" w:hAnsi="Arial" w:cs="Arial"/>
        </w:rPr>
        <w:lastRenderedPageBreak/>
        <w:t>I</w:t>
      </w:r>
      <w:r w:rsidR="0027756E" w:rsidRPr="00656D19">
        <w:rPr>
          <w:rStyle w:val="Heading1Char"/>
          <w:rFonts w:ascii="Arial" w:hAnsi="Arial" w:cs="Arial"/>
        </w:rPr>
        <w:t>ntroduction</w:t>
      </w:r>
      <w:bookmarkEnd w:id="0"/>
      <w:bookmarkEnd w:id="2"/>
    </w:p>
    <w:p w14:paraId="7DBB9812" w14:textId="77777777" w:rsidR="00CE451B" w:rsidRPr="00656D19" w:rsidRDefault="00C01C22" w:rsidP="001D35FA">
      <w:pPr>
        <w:spacing w:line="360" w:lineRule="auto"/>
        <w:jc w:val="both"/>
        <w:rPr>
          <w:rFonts w:ascii="Arial" w:hAnsi="Arial" w:cs="Arial"/>
          <w:sz w:val="24"/>
          <w:szCs w:val="24"/>
        </w:rPr>
      </w:pPr>
      <w:r w:rsidRPr="00656D19">
        <w:rPr>
          <w:rFonts w:ascii="Arial" w:hAnsi="Arial" w:cs="Arial"/>
          <w:sz w:val="24"/>
          <w:szCs w:val="24"/>
        </w:rPr>
        <w:t xml:space="preserve">Financial Statements are statements that serve as a means of communication between the organization and various users of financial statements. When a company's fiscal year ends, it compiles a set of documents called Financial Statements to provide information about the company's financial health and profitability </w:t>
      </w:r>
      <w:r w:rsidR="00227B9B" w:rsidRPr="00656D19">
        <w:rPr>
          <w:rFonts w:ascii="Arial" w:hAnsi="Arial" w:cs="Arial"/>
          <w:sz w:val="24"/>
          <w:szCs w:val="24"/>
        </w:rPr>
        <w:t>to</w:t>
      </w:r>
      <w:r w:rsidRPr="00656D19">
        <w:rPr>
          <w:rFonts w:ascii="Arial" w:hAnsi="Arial" w:cs="Arial"/>
          <w:sz w:val="24"/>
          <w:szCs w:val="24"/>
        </w:rPr>
        <w:t xml:space="preserve"> investors, creditors, and other stakeholders.</w:t>
      </w:r>
      <w:r w:rsidR="00227B9B" w:rsidRPr="00656D19">
        <w:rPr>
          <w:rFonts w:ascii="Arial" w:hAnsi="Arial" w:cs="Arial"/>
          <w:sz w:val="24"/>
          <w:szCs w:val="24"/>
        </w:rPr>
        <w:t xml:space="preserve"> </w:t>
      </w:r>
      <w:r w:rsidR="00B723C7" w:rsidRPr="00656D19">
        <w:rPr>
          <w:rFonts w:ascii="Arial" w:hAnsi="Arial" w:cs="Arial"/>
          <w:sz w:val="24"/>
          <w:szCs w:val="24"/>
        </w:rPr>
        <w:t>This</w:t>
      </w:r>
      <w:r w:rsidR="00227B9B" w:rsidRPr="00656D19">
        <w:rPr>
          <w:rFonts w:ascii="Arial" w:hAnsi="Arial" w:cs="Arial"/>
          <w:sz w:val="24"/>
          <w:szCs w:val="24"/>
        </w:rPr>
        <w:t xml:space="preserve"> </w:t>
      </w:r>
      <w:r w:rsidR="00B723C7" w:rsidRPr="00656D19">
        <w:rPr>
          <w:rFonts w:ascii="Arial" w:hAnsi="Arial" w:cs="Arial"/>
          <w:sz w:val="24"/>
          <w:szCs w:val="24"/>
        </w:rPr>
        <w:t>report's objective is to shed light on both the year of 2020</w:t>
      </w:r>
      <w:r w:rsidR="00227B9B" w:rsidRPr="00656D19">
        <w:rPr>
          <w:rFonts w:ascii="Arial" w:hAnsi="Arial" w:cs="Arial"/>
          <w:sz w:val="24"/>
          <w:szCs w:val="24"/>
        </w:rPr>
        <w:t xml:space="preserve"> </w:t>
      </w:r>
      <w:r w:rsidR="00B723C7" w:rsidRPr="00656D19">
        <w:rPr>
          <w:rFonts w:ascii="Arial" w:hAnsi="Arial" w:cs="Arial"/>
          <w:sz w:val="24"/>
          <w:szCs w:val="24"/>
        </w:rPr>
        <w:t>financial performance of Marriott International, Inc. as well as the performance of 2021</w:t>
      </w:r>
      <w:r w:rsidR="00FA166D" w:rsidRPr="00656D19">
        <w:rPr>
          <w:rFonts w:ascii="Arial" w:hAnsi="Arial" w:cs="Arial"/>
          <w:sz w:val="24"/>
          <w:szCs w:val="24"/>
        </w:rPr>
        <w:t xml:space="preserve"> (Trend,2016).</w:t>
      </w:r>
      <w:r w:rsidR="00227B9B" w:rsidRPr="00656D19">
        <w:rPr>
          <w:rFonts w:ascii="Arial" w:hAnsi="Arial" w:cs="Arial"/>
          <w:sz w:val="24"/>
          <w:szCs w:val="24"/>
        </w:rPr>
        <w:t xml:space="preserve"> </w:t>
      </w:r>
      <w:r w:rsidR="00B723C7" w:rsidRPr="00656D19">
        <w:rPr>
          <w:rFonts w:ascii="Arial" w:hAnsi="Arial" w:cs="Arial"/>
          <w:sz w:val="24"/>
          <w:szCs w:val="24"/>
        </w:rPr>
        <w:t>The key financial ratio of the two years will be compared in the first section of this report besides in this section how Marriott International, Inc. has performed in those two years will be compared in detail in this section.</w:t>
      </w:r>
      <w:r w:rsidR="000C52F3" w:rsidRPr="00656D19">
        <w:rPr>
          <w:rFonts w:ascii="Arial" w:hAnsi="Arial" w:cs="Arial"/>
          <w:sz w:val="24"/>
          <w:szCs w:val="24"/>
        </w:rPr>
        <w:t xml:space="preserve"> T</w:t>
      </w:r>
      <w:r w:rsidR="00B723C7" w:rsidRPr="00656D19">
        <w:rPr>
          <w:rFonts w:ascii="Arial" w:hAnsi="Arial" w:cs="Arial"/>
          <w:sz w:val="24"/>
          <w:szCs w:val="24"/>
        </w:rPr>
        <w:t xml:space="preserve">he second part </w:t>
      </w:r>
      <w:r w:rsidR="000C52F3" w:rsidRPr="00656D19">
        <w:rPr>
          <w:rFonts w:ascii="Arial" w:hAnsi="Arial" w:cs="Arial"/>
          <w:sz w:val="24"/>
          <w:szCs w:val="24"/>
        </w:rPr>
        <w:t xml:space="preserve">addresses the limitation of ratio analysis and the reasons why </w:t>
      </w:r>
      <w:r w:rsidR="00227B9B" w:rsidRPr="00656D19">
        <w:rPr>
          <w:rFonts w:ascii="Arial" w:hAnsi="Arial" w:cs="Arial"/>
          <w:sz w:val="24"/>
          <w:szCs w:val="24"/>
        </w:rPr>
        <w:t>hotel management needs</w:t>
      </w:r>
      <w:r w:rsidR="000C52F3" w:rsidRPr="00656D19">
        <w:rPr>
          <w:rFonts w:ascii="Arial" w:hAnsi="Arial" w:cs="Arial"/>
          <w:sz w:val="24"/>
          <w:szCs w:val="24"/>
        </w:rPr>
        <w:t xml:space="preserve"> to </w:t>
      </w:r>
      <w:proofErr w:type="gramStart"/>
      <w:r w:rsidR="000C52F3" w:rsidRPr="00656D19">
        <w:rPr>
          <w:rFonts w:ascii="Arial" w:hAnsi="Arial" w:cs="Arial"/>
          <w:sz w:val="24"/>
          <w:szCs w:val="24"/>
        </w:rPr>
        <w:t>have an understanding of</w:t>
      </w:r>
      <w:proofErr w:type="gramEnd"/>
      <w:r w:rsidR="000C52F3" w:rsidRPr="00656D19">
        <w:rPr>
          <w:rFonts w:ascii="Arial" w:hAnsi="Arial" w:cs="Arial"/>
          <w:sz w:val="24"/>
          <w:szCs w:val="24"/>
        </w:rPr>
        <w:t xml:space="preserve"> ratios and the variations in those ratios when analyzing the information in the hotel's financial statements. </w:t>
      </w:r>
      <w:r w:rsidR="00227B9B" w:rsidRPr="00656D19">
        <w:rPr>
          <w:rFonts w:ascii="Arial" w:hAnsi="Arial" w:cs="Arial"/>
          <w:sz w:val="24"/>
          <w:szCs w:val="24"/>
        </w:rPr>
        <w:t>T</w:t>
      </w:r>
      <w:r w:rsidR="000C52F3" w:rsidRPr="00656D19">
        <w:rPr>
          <w:rFonts w:ascii="Arial" w:hAnsi="Arial" w:cs="Arial"/>
          <w:sz w:val="24"/>
          <w:szCs w:val="24"/>
        </w:rPr>
        <w:t>he final part of this report explains the importance of decision</w:t>
      </w:r>
      <w:r w:rsidR="00227B9B" w:rsidRPr="00656D19">
        <w:rPr>
          <w:rFonts w:ascii="Arial" w:hAnsi="Arial" w:cs="Arial"/>
          <w:sz w:val="24"/>
          <w:szCs w:val="24"/>
        </w:rPr>
        <w:t>-</w:t>
      </w:r>
      <w:r w:rsidR="000C52F3" w:rsidRPr="00656D19">
        <w:rPr>
          <w:rFonts w:ascii="Arial" w:hAnsi="Arial" w:cs="Arial"/>
          <w:sz w:val="24"/>
          <w:szCs w:val="24"/>
        </w:rPr>
        <w:t xml:space="preserve">making by using ratio analysis. </w:t>
      </w:r>
    </w:p>
    <w:p w14:paraId="20C5F71B" w14:textId="77777777" w:rsidR="00CE451B" w:rsidRPr="00656D19" w:rsidRDefault="00CE451B" w:rsidP="001D35FA">
      <w:pPr>
        <w:spacing w:line="360" w:lineRule="auto"/>
        <w:jc w:val="both"/>
        <w:rPr>
          <w:rFonts w:ascii="Arial" w:hAnsi="Arial" w:cs="Arial"/>
          <w:sz w:val="24"/>
          <w:szCs w:val="24"/>
        </w:rPr>
      </w:pPr>
      <w:r w:rsidRPr="00656D19">
        <w:rPr>
          <w:rFonts w:ascii="Arial" w:hAnsi="Arial" w:cs="Arial"/>
          <w:sz w:val="24"/>
          <w:szCs w:val="24"/>
        </w:rPr>
        <w:br w:type="page"/>
      </w:r>
    </w:p>
    <w:p w14:paraId="65A5975B" w14:textId="77777777" w:rsidR="003C5655" w:rsidRPr="00656D19" w:rsidRDefault="003C5655" w:rsidP="001D35FA">
      <w:pPr>
        <w:pStyle w:val="Heading1"/>
        <w:spacing w:line="360" w:lineRule="auto"/>
        <w:jc w:val="both"/>
        <w:rPr>
          <w:rStyle w:val="Heading2Char"/>
          <w:rFonts w:ascii="Arial" w:hAnsi="Arial" w:cs="Arial"/>
          <w:sz w:val="32"/>
          <w:szCs w:val="28"/>
        </w:rPr>
      </w:pPr>
      <w:bookmarkStart w:id="3" w:name="_Toc121339690"/>
      <w:bookmarkStart w:id="4" w:name="_Toc119000262"/>
      <w:r w:rsidRPr="00656D19">
        <w:rPr>
          <w:rStyle w:val="Heading2Char"/>
          <w:rFonts w:ascii="Arial" w:hAnsi="Arial" w:cs="Arial"/>
          <w:sz w:val="32"/>
          <w:szCs w:val="28"/>
        </w:rPr>
        <w:lastRenderedPageBreak/>
        <w:t>Discussion</w:t>
      </w:r>
      <w:bookmarkEnd w:id="3"/>
    </w:p>
    <w:p w14:paraId="1CAC6204" w14:textId="77777777" w:rsidR="006420DE" w:rsidRPr="00656D19" w:rsidRDefault="002A6CFD" w:rsidP="001D35FA">
      <w:pPr>
        <w:pStyle w:val="Heading1"/>
        <w:spacing w:line="360" w:lineRule="auto"/>
        <w:jc w:val="both"/>
        <w:rPr>
          <w:rFonts w:ascii="Arial" w:hAnsi="Arial" w:cs="Arial"/>
          <w:b/>
          <w:bCs/>
          <w:sz w:val="24"/>
          <w:szCs w:val="24"/>
        </w:rPr>
      </w:pPr>
      <w:bookmarkStart w:id="5" w:name="_Toc121339691"/>
      <w:r w:rsidRPr="00656D19">
        <w:rPr>
          <w:rStyle w:val="Heading2Char"/>
          <w:rFonts w:ascii="Arial" w:hAnsi="Arial" w:cs="Arial"/>
          <w:sz w:val="28"/>
          <w:szCs w:val="28"/>
        </w:rPr>
        <w:t xml:space="preserve">A) </w:t>
      </w:r>
      <w:r w:rsidR="000C52F3" w:rsidRPr="00656D19">
        <w:rPr>
          <w:rStyle w:val="Heading2Char"/>
          <w:rFonts w:ascii="Arial" w:hAnsi="Arial" w:cs="Arial"/>
          <w:sz w:val="28"/>
          <w:szCs w:val="28"/>
        </w:rPr>
        <w:t>Financial ratio analysis of</w:t>
      </w:r>
      <w:r w:rsidR="00973FDF" w:rsidRPr="00656D19">
        <w:rPr>
          <w:rStyle w:val="Heading2Char"/>
          <w:rFonts w:ascii="Arial" w:hAnsi="Arial" w:cs="Arial"/>
          <w:sz w:val="28"/>
          <w:szCs w:val="28"/>
        </w:rPr>
        <w:t xml:space="preserve"> </w:t>
      </w:r>
      <w:r w:rsidR="00227B9B" w:rsidRPr="00656D19">
        <w:rPr>
          <w:rStyle w:val="Heading2Char"/>
          <w:rFonts w:ascii="Arial" w:hAnsi="Arial" w:cs="Arial"/>
          <w:sz w:val="28"/>
          <w:szCs w:val="28"/>
        </w:rPr>
        <w:t xml:space="preserve">the </w:t>
      </w:r>
      <w:r w:rsidR="00973FDF" w:rsidRPr="00656D19">
        <w:rPr>
          <w:rStyle w:val="Heading2Char"/>
          <w:rFonts w:ascii="Arial" w:hAnsi="Arial" w:cs="Arial"/>
          <w:sz w:val="28"/>
          <w:szCs w:val="28"/>
        </w:rPr>
        <w:t>year 2020 and 2021</w:t>
      </w:r>
      <w:bookmarkEnd w:id="4"/>
      <w:bookmarkEnd w:id="5"/>
    </w:p>
    <w:p w14:paraId="1C38F2C5" w14:textId="77777777" w:rsidR="00D65444" w:rsidRPr="00656D19" w:rsidRDefault="00D65444" w:rsidP="001D35FA">
      <w:pPr>
        <w:spacing w:line="360" w:lineRule="auto"/>
        <w:jc w:val="both"/>
        <w:rPr>
          <w:rFonts w:ascii="Arial" w:hAnsi="Arial" w:cs="Arial"/>
          <w:sz w:val="24"/>
          <w:szCs w:val="24"/>
        </w:rPr>
      </w:pPr>
    </w:p>
    <w:p w14:paraId="4FC635B3" w14:textId="77777777" w:rsidR="0005691A" w:rsidRPr="00656D19" w:rsidRDefault="0005691A" w:rsidP="001D35FA">
      <w:pPr>
        <w:spacing w:line="360" w:lineRule="auto"/>
        <w:jc w:val="both"/>
        <w:rPr>
          <w:rFonts w:ascii="Arial" w:hAnsi="Arial" w:cs="Arial"/>
          <w:b/>
          <w:bCs/>
          <w:sz w:val="24"/>
          <w:szCs w:val="24"/>
        </w:rPr>
      </w:pPr>
      <w:r w:rsidRPr="00656D19">
        <w:rPr>
          <w:rFonts w:ascii="Arial" w:hAnsi="Arial" w:cs="Arial"/>
          <w:b/>
          <w:bCs/>
          <w:sz w:val="24"/>
          <w:szCs w:val="24"/>
        </w:rPr>
        <w:t xml:space="preserve">2 years Key financial ratio table of Marriott International Inc.: </w:t>
      </w:r>
    </w:p>
    <w:tbl>
      <w:tblPr>
        <w:tblStyle w:val="PlainTable11"/>
        <w:tblW w:w="0" w:type="auto"/>
        <w:tblLook w:val="04A0" w:firstRow="1" w:lastRow="0" w:firstColumn="1" w:lastColumn="0" w:noHBand="0" w:noVBand="1"/>
      </w:tblPr>
      <w:tblGrid>
        <w:gridCol w:w="2931"/>
        <w:gridCol w:w="2932"/>
        <w:gridCol w:w="2932"/>
      </w:tblGrid>
      <w:tr w:rsidR="00B7659F" w:rsidRPr="00656D19" w14:paraId="5A81E98F" w14:textId="77777777" w:rsidTr="00B7659F">
        <w:trPr>
          <w:cnfStyle w:val="100000000000" w:firstRow="1" w:lastRow="0" w:firstColumn="0" w:lastColumn="0" w:oddVBand="0" w:evenVBand="0" w:oddHBand="0"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0206EE78"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Year</w:t>
            </w:r>
          </w:p>
        </w:tc>
        <w:tc>
          <w:tcPr>
            <w:tcW w:w="2932" w:type="dxa"/>
          </w:tcPr>
          <w:p w14:paraId="5EF72E49" w14:textId="77777777" w:rsidR="00B7659F" w:rsidRPr="00656D19" w:rsidRDefault="00B7659F" w:rsidP="001D35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2021</w:t>
            </w:r>
          </w:p>
        </w:tc>
        <w:tc>
          <w:tcPr>
            <w:tcW w:w="2932" w:type="dxa"/>
          </w:tcPr>
          <w:p w14:paraId="4BB7854E" w14:textId="77777777" w:rsidR="00B7659F" w:rsidRPr="00656D19" w:rsidRDefault="00B7659F" w:rsidP="001D35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2020</w:t>
            </w:r>
          </w:p>
        </w:tc>
      </w:tr>
      <w:tr w:rsidR="00B7659F" w:rsidRPr="00656D19" w14:paraId="7048E048"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44EA0630"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Current ratio</w:t>
            </w:r>
          </w:p>
        </w:tc>
        <w:tc>
          <w:tcPr>
            <w:tcW w:w="2932" w:type="dxa"/>
          </w:tcPr>
          <w:p w14:paraId="60FC4736"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.5659</w:t>
            </w:r>
          </w:p>
        </w:tc>
        <w:tc>
          <w:tcPr>
            <w:tcW w:w="2932" w:type="dxa"/>
          </w:tcPr>
          <w:p w14:paraId="4944D269"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.4911</w:t>
            </w:r>
          </w:p>
        </w:tc>
      </w:tr>
      <w:tr w:rsidR="00B7659F" w:rsidRPr="00656D19" w14:paraId="3281C0B1"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6D117B4" w14:textId="77777777" w:rsidR="00B7659F" w:rsidRPr="00656D19" w:rsidRDefault="00B7659F" w:rsidP="00227B9B">
            <w:pPr>
              <w:spacing w:line="360" w:lineRule="auto"/>
              <w:jc w:val="both"/>
              <w:rPr>
                <w:rFonts w:ascii="Arial" w:hAnsi="Arial" w:cs="Arial"/>
                <w:sz w:val="24"/>
                <w:szCs w:val="24"/>
              </w:rPr>
            </w:pPr>
            <w:r w:rsidRPr="00656D19">
              <w:rPr>
                <w:rFonts w:ascii="Arial" w:hAnsi="Arial" w:cs="Arial"/>
                <w:sz w:val="24"/>
                <w:szCs w:val="24"/>
              </w:rPr>
              <w:t>Long</w:t>
            </w:r>
            <w:r w:rsidR="00227B9B" w:rsidRPr="00656D19">
              <w:rPr>
                <w:rFonts w:ascii="Arial" w:hAnsi="Arial" w:cs="Arial"/>
                <w:sz w:val="24"/>
                <w:szCs w:val="24"/>
              </w:rPr>
              <w:t>-</w:t>
            </w:r>
            <w:r w:rsidRPr="00656D19">
              <w:rPr>
                <w:rFonts w:ascii="Arial" w:hAnsi="Arial" w:cs="Arial"/>
                <w:sz w:val="24"/>
                <w:szCs w:val="24"/>
              </w:rPr>
              <w:t>term Debt/ Capital</w:t>
            </w:r>
          </w:p>
        </w:tc>
        <w:tc>
          <w:tcPr>
            <w:tcW w:w="2932" w:type="dxa"/>
          </w:tcPr>
          <w:p w14:paraId="0E871D73"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.8684</w:t>
            </w:r>
          </w:p>
        </w:tc>
        <w:tc>
          <w:tcPr>
            <w:tcW w:w="2932" w:type="dxa"/>
          </w:tcPr>
          <w:p w14:paraId="70817C12"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.9554</w:t>
            </w:r>
          </w:p>
        </w:tc>
      </w:tr>
      <w:tr w:rsidR="00B7659F" w:rsidRPr="00656D19" w14:paraId="2BB4C158"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6CA0D69"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Debt/Equity ratio</w:t>
            </w:r>
          </w:p>
          <w:p w14:paraId="00713716" w14:textId="77777777" w:rsidR="00B7659F" w:rsidRPr="00656D19" w:rsidRDefault="00B7659F" w:rsidP="001D35FA">
            <w:pPr>
              <w:spacing w:line="360" w:lineRule="auto"/>
              <w:jc w:val="both"/>
              <w:rPr>
                <w:rFonts w:ascii="Arial" w:hAnsi="Arial" w:cs="Arial"/>
                <w:sz w:val="24"/>
                <w:szCs w:val="24"/>
              </w:rPr>
            </w:pPr>
          </w:p>
        </w:tc>
        <w:tc>
          <w:tcPr>
            <w:tcW w:w="2932" w:type="dxa"/>
          </w:tcPr>
          <w:p w14:paraId="125AF47A"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7.1697</w:t>
            </w:r>
          </w:p>
        </w:tc>
        <w:tc>
          <w:tcPr>
            <w:tcW w:w="2932" w:type="dxa"/>
          </w:tcPr>
          <w:p w14:paraId="4661A99D"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24.1302</w:t>
            </w:r>
          </w:p>
        </w:tc>
      </w:tr>
      <w:tr w:rsidR="00B7659F" w:rsidRPr="00656D19" w14:paraId="672A3CD9"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506A0BE8"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Gross margin</w:t>
            </w:r>
          </w:p>
        </w:tc>
        <w:tc>
          <w:tcPr>
            <w:tcW w:w="2932" w:type="dxa"/>
          </w:tcPr>
          <w:p w14:paraId="0F57B34D"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20.2136</w:t>
            </w:r>
          </w:p>
        </w:tc>
        <w:tc>
          <w:tcPr>
            <w:tcW w:w="2932" w:type="dxa"/>
          </w:tcPr>
          <w:p w14:paraId="328659A7"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13.8019</w:t>
            </w:r>
          </w:p>
        </w:tc>
      </w:tr>
      <w:tr w:rsidR="00B7659F" w:rsidRPr="00656D19" w14:paraId="0023BDFF"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5A6D4139"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Operating margin</w:t>
            </w:r>
          </w:p>
        </w:tc>
        <w:tc>
          <w:tcPr>
            <w:tcW w:w="2932" w:type="dxa"/>
          </w:tcPr>
          <w:p w14:paraId="2C6C133B"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12.629</w:t>
            </w:r>
          </w:p>
        </w:tc>
        <w:tc>
          <w:tcPr>
            <w:tcW w:w="2932" w:type="dxa"/>
          </w:tcPr>
          <w:p w14:paraId="492A8B03"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.7946</w:t>
            </w:r>
          </w:p>
        </w:tc>
      </w:tr>
      <w:tr w:rsidR="00B7659F" w:rsidRPr="00656D19" w14:paraId="1AA8DA69"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763C932F"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EBIT margin</w:t>
            </w:r>
          </w:p>
        </w:tc>
        <w:tc>
          <w:tcPr>
            <w:tcW w:w="2932" w:type="dxa"/>
          </w:tcPr>
          <w:p w14:paraId="0CE77115"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12.629</w:t>
            </w:r>
          </w:p>
        </w:tc>
        <w:tc>
          <w:tcPr>
            <w:tcW w:w="2932" w:type="dxa"/>
          </w:tcPr>
          <w:p w14:paraId="25E9EFFF"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.7946</w:t>
            </w:r>
          </w:p>
        </w:tc>
      </w:tr>
      <w:tr w:rsidR="00B7659F" w:rsidRPr="00656D19" w14:paraId="51F64FBA" w14:textId="77777777" w:rsidTr="00B7659F">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2931" w:type="dxa"/>
          </w:tcPr>
          <w:p w14:paraId="5ACFC0A4"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EBITDA margin</w:t>
            </w:r>
          </w:p>
        </w:tc>
        <w:tc>
          <w:tcPr>
            <w:tcW w:w="2932" w:type="dxa"/>
          </w:tcPr>
          <w:p w14:paraId="6F1E2CE4"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14.7579</w:t>
            </w:r>
          </w:p>
        </w:tc>
        <w:tc>
          <w:tcPr>
            <w:tcW w:w="2932" w:type="dxa"/>
          </w:tcPr>
          <w:p w14:paraId="73AD1472"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5.3164</w:t>
            </w:r>
          </w:p>
        </w:tc>
      </w:tr>
      <w:tr w:rsidR="00B7659F" w:rsidRPr="00656D19" w14:paraId="13A50DEE"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715D6537"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Pre-tax margin</w:t>
            </w:r>
          </w:p>
        </w:tc>
        <w:tc>
          <w:tcPr>
            <w:tcW w:w="2932" w:type="dxa"/>
          </w:tcPr>
          <w:p w14:paraId="2700D63C"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8.5156</w:t>
            </w:r>
          </w:p>
        </w:tc>
        <w:tc>
          <w:tcPr>
            <w:tcW w:w="2932" w:type="dxa"/>
          </w:tcPr>
          <w:p w14:paraId="66277AF6"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-4.4083</w:t>
            </w:r>
          </w:p>
        </w:tc>
      </w:tr>
      <w:tr w:rsidR="00B7659F" w:rsidRPr="00656D19" w14:paraId="6B7A2636"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E141FC7"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Net profit margin</w:t>
            </w:r>
          </w:p>
        </w:tc>
        <w:tc>
          <w:tcPr>
            <w:tcW w:w="2932" w:type="dxa"/>
          </w:tcPr>
          <w:p w14:paraId="2513F79A"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7.931</w:t>
            </w:r>
          </w:p>
        </w:tc>
        <w:tc>
          <w:tcPr>
            <w:tcW w:w="2932" w:type="dxa"/>
          </w:tcPr>
          <w:p w14:paraId="0A0E8E6A"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-2.5258</w:t>
            </w:r>
          </w:p>
        </w:tc>
      </w:tr>
      <w:tr w:rsidR="00B7659F" w:rsidRPr="00656D19" w14:paraId="142A3DEA"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4818DE2D"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Asset turnover</w:t>
            </w:r>
          </w:p>
        </w:tc>
        <w:tc>
          <w:tcPr>
            <w:tcW w:w="2932" w:type="dxa"/>
          </w:tcPr>
          <w:p w14:paraId="7D104839"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.5423</w:t>
            </w:r>
          </w:p>
        </w:tc>
        <w:tc>
          <w:tcPr>
            <w:tcW w:w="2932" w:type="dxa"/>
          </w:tcPr>
          <w:p w14:paraId="74AFB7C7"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.428</w:t>
            </w:r>
          </w:p>
        </w:tc>
      </w:tr>
      <w:tr w:rsidR="00B7659F" w:rsidRPr="00656D19" w14:paraId="1408FFD6"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395EDC9"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Inventory turnover ratio</w:t>
            </w:r>
          </w:p>
        </w:tc>
        <w:tc>
          <w:tcPr>
            <w:tcW w:w="2932" w:type="dxa"/>
          </w:tcPr>
          <w:p w14:paraId="19CFFF34"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w:t>
            </w:r>
          </w:p>
        </w:tc>
        <w:tc>
          <w:tcPr>
            <w:tcW w:w="2932" w:type="dxa"/>
          </w:tcPr>
          <w:p w14:paraId="5B7E36CB"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w:t>
            </w:r>
          </w:p>
        </w:tc>
      </w:tr>
      <w:tr w:rsidR="00B7659F" w:rsidRPr="00656D19" w14:paraId="1FC4A046"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84B7269"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Receivable Turnover</w:t>
            </w:r>
          </w:p>
        </w:tc>
        <w:tc>
          <w:tcPr>
            <w:tcW w:w="2932" w:type="dxa"/>
          </w:tcPr>
          <w:p w14:paraId="4170EC6D"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6.9914</w:t>
            </w:r>
          </w:p>
        </w:tc>
        <w:tc>
          <w:tcPr>
            <w:tcW w:w="2932" w:type="dxa"/>
          </w:tcPr>
          <w:p w14:paraId="242AF9FA"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5.9791</w:t>
            </w:r>
          </w:p>
        </w:tc>
      </w:tr>
      <w:tr w:rsidR="00B7659F" w:rsidRPr="00656D19" w14:paraId="6A38A425"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55455699"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Days sales in receivable</w:t>
            </w:r>
          </w:p>
          <w:p w14:paraId="60181C1F" w14:textId="77777777" w:rsidR="00B7659F" w:rsidRPr="00656D19" w:rsidRDefault="00B7659F" w:rsidP="001D35FA">
            <w:pPr>
              <w:spacing w:line="360" w:lineRule="auto"/>
              <w:jc w:val="both"/>
              <w:rPr>
                <w:rFonts w:ascii="Arial" w:hAnsi="Arial" w:cs="Arial"/>
                <w:sz w:val="24"/>
                <w:szCs w:val="24"/>
              </w:rPr>
            </w:pPr>
          </w:p>
        </w:tc>
        <w:tc>
          <w:tcPr>
            <w:tcW w:w="2932" w:type="dxa"/>
          </w:tcPr>
          <w:p w14:paraId="17FBCAB9"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52.2068</w:t>
            </w:r>
          </w:p>
        </w:tc>
        <w:tc>
          <w:tcPr>
            <w:tcW w:w="2932" w:type="dxa"/>
          </w:tcPr>
          <w:p w14:paraId="319CDF8B"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61.0463</w:t>
            </w:r>
          </w:p>
        </w:tc>
      </w:tr>
      <w:tr w:rsidR="00B7659F" w:rsidRPr="00656D19" w14:paraId="7F229EF6"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19FE18AE"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ROE - return on equity</w:t>
            </w:r>
          </w:p>
        </w:tc>
        <w:tc>
          <w:tcPr>
            <w:tcW w:w="2932" w:type="dxa"/>
          </w:tcPr>
          <w:p w14:paraId="44057AA4"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77.7228</w:t>
            </w:r>
          </w:p>
        </w:tc>
        <w:tc>
          <w:tcPr>
            <w:tcW w:w="2932" w:type="dxa"/>
          </w:tcPr>
          <w:p w14:paraId="213EBE98"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-62.093</w:t>
            </w:r>
          </w:p>
        </w:tc>
      </w:tr>
      <w:tr w:rsidR="00B7659F" w:rsidRPr="00656D19" w14:paraId="3EEA92BF"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6E394A16" w14:textId="77777777" w:rsidR="00B7659F" w:rsidRPr="00656D19" w:rsidRDefault="00B7659F" w:rsidP="001D35FA">
            <w:pPr>
              <w:spacing w:line="360" w:lineRule="auto"/>
              <w:jc w:val="both"/>
              <w:rPr>
                <w:rFonts w:ascii="Arial" w:hAnsi="Arial" w:cs="Arial"/>
                <w:sz w:val="24"/>
                <w:szCs w:val="24"/>
              </w:rPr>
            </w:pPr>
            <w:r w:rsidRPr="00656D19">
              <w:rPr>
                <w:rFonts w:ascii="Arial" w:hAnsi="Arial" w:cs="Arial"/>
                <w:sz w:val="24"/>
                <w:szCs w:val="24"/>
              </w:rPr>
              <w:t>Return on tangible equity</w:t>
            </w:r>
          </w:p>
        </w:tc>
        <w:tc>
          <w:tcPr>
            <w:tcW w:w="2932" w:type="dxa"/>
          </w:tcPr>
          <w:p w14:paraId="26DC1E9C"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-6.6265</w:t>
            </w:r>
          </w:p>
        </w:tc>
        <w:tc>
          <w:tcPr>
            <w:tcW w:w="2932" w:type="dxa"/>
          </w:tcPr>
          <w:p w14:paraId="658F20CF"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1.5056</w:t>
            </w:r>
          </w:p>
        </w:tc>
      </w:tr>
      <w:tr w:rsidR="00B7659F" w:rsidRPr="00656D19" w14:paraId="7C604DE8"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480C724B" w14:textId="77777777" w:rsidR="00B7659F" w:rsidRPr="00656D19" w:rsidRDefault="00C00F5A" w:rsidP="001D35FA">
            <w:pPr>
              <w:spacing w:line="360" w:lineRule="auto"/>
              <w:jc w:val="both"/>
              <w:rPr>
                <w:rFonts w:ascii="Arial" w:hAnsi="Arial" w:cs="Arial"/>
                <w:sz w:val="24"/>
                <w:szCs w:val="24"/>
              </w:rPr>
            </w:pPr>
            <w:r w:rsidRPr="00656D19">
              <w:rPr>
                <w:rFonts w:ascii="Arial" w:hAnsi="Arial" w:cs="Arial"/>
                <w:sz w:val="24"/>
                <w:szCs w:val="24"/>
              </w:rPr>
              <w:t>ROA – return on assets</w:t>
            </w:r>
          </w:p>
        </w:tc>
        <w:tc>
          <w:tcPr>
            <w:tcW w:w="2932" w:type="dxa"/>
          </w:tcPr>
          <w:p w14:paraId="208976F9"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4.3009</w:t>
            </w:r>
          </w:p>
        </w:tc>
        <w:tc>
          <w:tcPr>
            <w:tcW w:w="2932" w:type="dxa"/>
          </w:tcPr>
          <w:p w14:paraId="54A5EC1F"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-1.0809</w:t>
            </w:r>
          </w:p>
        </w:tc>
      </w:tr>
      <w:tr w:rsidR="00B7659F" w:rsidRPr="00656D19" w14:paraId="30E5986F"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1599A5A9" w14:textId="77777777" w:rsidR="00B7659F" w:rsidRPr="00656D19" w:rsidRDefault="00C00F5A" w:rsidP="001D35FA">
            <w:pPr>
              <w:spacing w:line="360" w:lineRule="auto"/>
              <w:jc w:val="both"/>
              <w:rPr>
                <w:rFonts w:ascii="Arial" w:hAnsi="Arial" w:cs="Arial"/>
                <w:sz w:val="24"/>
                <w:szCs w:val="24"/>
              </w:rPr>
            </w:pPr>
            <w:r w:rsidRPr="00656D19">
              <w:rPr>
                <w:rFonts w:ascii="Arial" w:hAnsi="Arial" w:cs="Arial"/>
                <w:sz w:val="24"/>
                <w:szCs w:val="24"/>
              </w:rPr>
              <w:lastRenderedPageBreak/>
              <w:t>ROI – return on investment</w:t>
            </w:r>
          </w:p>
        </w:tc>
        <w:tc>
          <w:tcPr>
            <w:tcW w:w="2932" w:type="dxa"/>
          </w:tcPr>
          <w:p w14:paraId="4274F8EB"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10.2261</w:t>
            </w:r>
          </w:p>
        </w:tc>
        <w:tc>
          <w:tcPr>
            <w:tcW w:w="2932" w:type="dxa"/>
          </w:tcPr>
          <w:p w14:paraId="1C7E35E0"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-2.7717</w:t>
            </w:r>
          </w:p>
        </w:tc>
      </w:tr>
      <w:tr w:rsidR="00B7659F" w:rsidRPr="00656D19" w14:paraId="68A4CF0E"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7315ADCB" w14:textId="77777777" w:rsidR="00B7659F" w:rsidRPr="00656D19" w:rsidRDefault="00C00F5A" w:rsidP="001D35FA">
            <w:pPr>
              <w:spacing w:line="360" w:lineRule="auto"/>
              <w:jc w:val="both"/>
              <w:rPr>
                <w:rFonts w:ascii="Arial" w:hAnsi="Arial" w:cs="Arial"/>
                <w:sz w:val="24"/>
                <w:szCs w:val="24"/>
              </w:rPr>
            </w:pPr>
            <w:r w:rsidRPr="00656D19">
              <w:rPr>
                <w:rFonts w:ascii="Arial" w:hAnsi="Arial" w:cs="Arial"/>
                <w:sz w:val="24"/>
                <w:szCs w:val="24"/>
              </w:rPr>
              <w:t>Book value per share</w:t>
            </w:r>
          </w:p>
        </w:tc>
        <w:tc>
          <w:tcPr>
            <w:tcW w:w="2932" w:type="dxa"/>
          </w:tcPr>
          <w:p w14:paraId="21B92BED"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4.3334</w:t>
            </w:r>
          </w:p>
        </w:tc>
        <w:tc>
          <w:tcPr>
            <w:tcW w:w="2932" w:type="dxa"/>
          </w:tcPr>
          <w:p w14:paraId="57D6DB38"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1.3255</w:t>
            </w:r>
          </w:p>
        </w:tc>
      </w:tr>
      <w:tr w:rsidR="00B7659F" w:rsidRPr="00656D19" w14:paraId="2882C35F" w14:textId="77777777" w:rsidTr="00B7659F">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931" w:type="dxa"/>
          </w:tcPr>
          <w:p w14:paraId="15A83284" w14:textId="77777777" w:rsidR="00B7659F" w:rsidRPr="00656D19" w:rsidRDefault="00C00F5A" w:rsidP="001D35FA">
            <w:pPr>
              <w:spacing w:line="360" w:lineRule="auto"/>
              <w:jc w:val="both"/>
              <w:rPr>
                <w:rFonts w:ascii="Arial" w:hAnsi="Arial" w:cs="Arial"/>
                <w:sz w:val="24"/>
                <w:szCs w:val="24"/>
              </w:rPr>
            </w:pPr>
            <w:r w:rsidRPr="00656D19">
              <w:rPr>
                <w:rFonts w:ascii="Arial" w:hAnsi="Arial" w:cs="Arial"/>
                <w:sz w:val="24"/>
                <w:szCs w:val="24"/>
              </w:rPr>
              <w:t>Operating cash flow per share</w:t>
            </w:r>
          </w:p>
        </w:tc>
        <w:tc>
          <w:tcPr>
            <w:tcW w:w="2932" w:type="dxa"/>
          </w:tcPr>
          <w:p w14:paraId="70A6B10A"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-1.4565</w:t>
            </w:r>
          </w:p>
        </w:tc>
        <w:tc>
          <w:tcPr>
            <w:tcW w:w="2932" w:type="dxa"/>
          </w:tcPr>
          <w:p w14:paraId="45E2CA96" w14:textId="77777777" w:rsidR="00B7659F" w:rsidRPr="00656D19" w:rsidRDefault="00C00F5A" w:rsidP="001D35F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6D19">
              <w:rPr>
                <w:rFonts w:ascii="Arial" w:hAnsi="Arial" w:cs="Arial"/>
                <w:sz w:val="24"/>
                <w:szCs w:val="24"/>
              </w:rPr>
              <w:t>.0083</w:t>
            </w:r>
          </w:p>
        </w:tc>
      </w:tr>
      <w:tr w:rsidR="00B7659F" w:rsidRPr="00656D19" w14:paraId="38D9BF4C" w14:textId="77777777" w:rsidTr="00B7659F">
        <w:trPr>
          <w:trHeight w:val="544"/>
        </w:trPr>
        <w:tc>
          <w:tcPr>
            <w:cnfStyle w:val="001000000000" w:firstRow="0" w:lastRow="0" w:firstColumn="1" w:lastColumn="0" w:oddVBand="0" w:evenVBand="0" w:oddHBand="0" w:evenHBand="0" w:firstRowFirstColumn="0" w:firstRowLastColumn="0" w:lastRowFirstColumn="0" w:lastRowLastColumn="0"/>
            <w:tcW w:w="2931" w:type="dxa"/>
          </w:tcPr>
          <w:p w14:paraId="3B8DD60C" w14:textId="77777777" w:rsidR="00B7659F" w:rsidRPr="00656D19" w:rsidRDefault="00C00F5A" w:rsidP="001D35FA">
            <w:pPr>
              <w:spacing w:line="360" w:lineRule="auto"/>
              <w:jc w:val="both"/>
              <w:rPr>
                <w:rFonts w:ascii="Arial" w:hAnsi="Arial" w:cs="Arial"/>
                <w:sz w:val="24"/>
                <w:szCs w:val="24"/>
              </w:rPr>
            </w:pPr>
            <w:r w:rsidRPr="00656D19">
              <w:rPr>
                <w:rFonts w:ascii="Arial" w:hAnsi="Arial" w:cs="Arial"/>
                <w:sz w:val="24"/>
                <w:szCs w:val="24"/>
              </w:rPr>
              <w:t>Free cash flow per share</w:t>
            </w:r>
          </w:p>
        </w:tc>
        <w:tc>
          <w:tcPr>
            <w:tcW w:w="2932" w:type="dxa"/>
          </w:tcPr>
          <w:p w14:paraId="4B596F96"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-2.3594</w:t>
            </w:r>
          </w:p>
        </w:tc>
        <w:tc>
          <w:tcPr>
            <w:tcW w:w="2932" w:type="dxa"/>
          </w:tcPr>
          <w:p w14:paraId="411AB68B" w14:textId="77777777" w:rsidR="00B7659F" w:rsidRPr="00656D19" w:rsidRDefault="00C00F5A" w:rsidP="001D35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6D19">
              <w:rPr>
                <w:rFonts w:ascii="Arial" w:hAnsi="Arial" w:cs="Arial"/>
                <w:sz w:val="24"/>
                <w:szCs w:val="24"/>
              </w:rPr>
              <w:t>1.161</w:t>
            </w:r>
          </w:p>
        </w:tc>
      </w:tr>
    </w:tbl>
    <w:p w14:paraId="148CA76B" w14:textId="77777777" w:rsidR="0005691A" w:rsidRPr="00656D19" w:rsidRDefault="0005691A" w:rsidP="001D35FA">
      <w:pPr>
        <w:spacing w:line="360" w:lineRule="auto"/>
        <w:jc w:val="both"/>
        <w:rPr>
          <w:rFonts w:ascii="Arial" w:hAnsi="Arial" w:cs="Arial"/>
          <w:b/>
          <w:bCs/>
          <w:sz w:val="24"/>
          <w:szCs w:val="24"/>
        </w:rPr>
      </w:pPr>
    </w:p>
    <w:p w14:paraId="72FF816B" w14:textId="77777777" w:rsidR="0005691A" w:rsidRPr="00656D19" w:rsidRDefault="000E7CFC" w:rsidP="00D65444">
      <w:pPr>
        <w:spacing w:line="360" w:lineRule="auto"/>
        <w:jc w:val="both"/>
        <w:rPr>
          <w:rFonts w:ascii="Arial" w:hAnsi="Arial" w:cs="Arial"/>
          <w:sz w:val="24"/>
          <w:szCs w:val="24"/>
        </w:rPr>
      </w:pPr>
      <w:r w:rsidRPr="00656D19">
        <w:rPr>
          <w:rFonts w:ascii="Arial" w:hAnsi="Arial" w:cs="Arial"/>
          <w:b/>
          <w:bCs/>
          <w:sz w:val="24"/>
          <w:szCs w:val="24"/>
        </w:rPr>
        <w:t xml:space="preserve">Current ratio: </w:t>
      </w:r>
      <w:r w:rsidRPr="00656D19">
        <w:rPr>
          <w:rFonts w:ascii="Arial" w:hAnsi="Arial" w:cs="Arial"/>
          <w:sz w:val="24"/>
          <w:szCs w:val="24"/>
        </w:rPr>
        <w:t>The measure of a company's capacity to pay short-term debts, particularly those that are due within the ne</w:t>
      </w:r>
      <w:r w:rsidR="00227B9B" w:rsidRPr="00656D19">
        <w:rPr>
          <w:rFonts w:ascii="Arial" w:hAnsi="Arial" w:cs="Arial"/>
          <w:sz w:val="24"/>
          <w:szCs w:val="24"/>
        </w:rPr>
        <w:t xml:space="preserve">xt year is called the current ratio </w:t>
      </w:r>
      <w:r w:rsidR="001325E0" w:rsidRPr="00656D19">
        <w:rPr>
          <w:rFonts w:ascii="Arial" w:hAnsi="Arial" w:cs="Arial"/>
          <w:sz w:val="24"/>
          <w:szCs w:val="24"/>
        </w:rPr>
        <w:t>(</w:t>
      </w:r>
      <w:proofErr w:type="spellStart"/>
      <w:r w:rsidR="001325E0" w:rsidRPr="00656D19">
        <w:rPr>
          <w:rFonts w:ascii="Arial" w:hAnsi="Arial" w:cs="Arial"/>
          <w:sz w:val="24"/>
          <w:szCs w:val="24"/>
        </w:rPr>
        <w:t>Besley</w:t>
      </w:r>
      <w:proofErr w:type="spellEnd"/>
      <w:r w:rsidR="001325E0" w:rsidRPr="00656D19">
        <w:rPr>
          <w:rFonts w:ascii="Arial" w:hAnsi="Arial" w:cs="Arial"/>
          <w:sz w:val="24"/>
          <w:szCs w:val="24"/>
        </w:rPr>
        <w:t>, 2013)</w:t>
      </w:r>
      <w:r w:rsidR="00227B9B" w:rsidRPr="00656D19">
        <w:rPr>
          <w:rFonts w:ascii="Arial" w:hAnsi="Arial" w:cs="Arial"/>
          <w:sz w:val="24"/>
          <w:szCs w:val="24"/>
        </w:rPr>
        <w:t>.</w:t>
      </w:r>
    </w:p>
    <w:p w14:paraId="4F14E5FF" w14:textId="77777777" w:rsidR="004A3C12" w:rsidRPr="00656D19" w:rsidRDefault="004A3C12" w:rsidP="001D35FA">
      <w:pPr>
        <w:spacing w:line="360" w:lineRule="auto"/>
        <w:jc w:val="both"/>
        <w:rPr>
          <w:rFonts w:ascii="Arial" w:hAnsi="Arial" w:cs="Arial"/>
          <w:sz w:val="24"/>
          <w:szCs w:val="24"/>
        </w:rPr>
      </w:pPr>
    </w:p>
    <w:p w14:paraId="6FC858DA" w14:textId="77777777" w:rsidR="00CD250D" w:rsidRPr="00656D19" w:rsidRDefault="004A3C12"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1801214D" wp14:editId="7E67557E">
            <wp:extent cx="4705350" cy="2352675"/>
            <wp:effectExtent l="0" t="0" r="0" b="9525"/>
            <wp:docPr id="1" name="Chart 1">
              <a:extLst xmlns:a="http://schemas.openxmlformats.org/drawingml/2006/main">
                <a:ext uri="{FF2B5EF4-FFF2-40B4-BE49-F238E27FC236}">
                  <a16:creationId xmlns:a16="http://schemas.microsoft.com/office/drawing/2014/main" id="{783E1C95-B76B-1C91-6EF4-B8D2B92432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4058EA4" w14:textId="77777777" w:rsidR="00CD250D" w:rsidRPr="00656D19" w:rsidRDefault="00CD250D" w:rsidP="001D35FA">
      <w:pPr>
        <w:spacing w:line="360" w:lineRule="auto"/>
        <w:jc w:val="both"/>
        <w:rPr>
          <w:rFonts w:ascii="Arial" w:hAnsi="Arial" w:cs="Arial"/>
          <w:sz w:val="24"/>
          <w:szCs w:val="24"/>
        </w:rPr>
      </w:pPr>
    </w:p>
    <w:p w14:paraId="143E15B4" w14:textId="77777777" w:rsidR="004A3C12"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C04DB1" w:rsidRPr="00656D19">
        <w:rPr>
          <w:rFonts w:ascii="Arial" w:hAnsi="Arial" w:cs="Arial"/>
          <w:b/>
          <w:bCs/>
          <w:sz w:val="24"/>
          <w:szCs w:val="24"/>
        </w:rPr>
        <w:t>:</w:t>
      </w:r>
      <w:r w:rsidR="00227B9B" w:rsidRPr="00656D19">
        <w:rPr>
          <w:rFonts w:ascii="Arial" w:hAnsi="Arial" w:cs="Arial"/>
          <w:b/>
          <w:bCs/>
          <w:sz w:val="24"/>
          <w:szCs w:val="24"/>
        </w:rPr>
        <w:t xml:space="preserve"> </w:t>
      </w:r>
      <w:r w:rsidR="00C04DB1" w:rsidRPr="00656D19">
        <w:rPr>
          <w:rFonts w:ascii="Arial" w:hAnsi="Arial" w:cs="Arial"/>
          <w:sz w:val="24"/>
          <w:szCs w:val="24"/>
        </w:rPr>
        <w:t xml:space="preserve">In 2020, Marriott International Inc. had $0.4911 current assets against its $1 current liabilities. The current ratio increased during </w:t>
      </w:r>
      <w:r w:rsidR="00227B9B" w:rsidRPr="00656D19">
        <w:rPr>
          <w:rFonts w:ascii="Arial" w:hAnsi="Arial" w:cs="Arial"/>
          <w:sz w:val="24"/>
          <w:szCs w:val="24"/>
        </w:rPr>
        <w:t xml:space="preserve">the </w:t>
      </w:r>
      <w:r w:rsidR="00C04DB1" w:rsidRPr="00656D19">
        <w:rPr>
          <w:rFonts w:ascii="Arial" w:hAnsi="Arial" w:cs="Arial"/>
          <w:sz w:val="24"/>
          <w:szCs w:val="24"/>
        </w:rPr>
        <w:t xml:space="preserve">year 2021. It decreased in </w:t>
      </w:r>
      <w:r w:rsidR="00227B9B" w:rsidRPr="00656D19">
        <w:rPr>
          <w:rFonts w:ascii="Arial" w:hAnsi="Arial" w:cs="Arial"/>
          <w:sz w:val="24"/>
          <w:szCs w:val="24"/>
        </w:rPr>
        <w:t xml:space="preserve">the </w:t>
      </w:r>
      <w:r w:rsidR="00C04DB1" w:rsidRPr="00656D19">
        <w:rPr>
          <w:rFonts w:ascii="Arial" w:hAnsi="Arial" w:cs="Arial"/>
          <w:sz w:val="24"/>
          <w:szCs w:val="24"/>
        </w:rPr>
        <w:t>year 2020because of the fact that the percentage change in current assets was greater than the percentage change in current liabilities.</w:t>
      </w:r>
    </w:p>
    <w:p w14:paraId="2CD35210" w14:textId="77777777" w:rsidR="00516B54" w:rsidRPr="00656D19" w:rsidRDefault="00516B54" w:rsidP="001D35FA">
      <w:pPr>
        <w:spacing w:line="360" w:lineRule="auto"/>
        <w:jc w:val="both"/>
        <w:rPr>
          <w:rFonts w:ascii="Arial" w:hAnsi="Arial" w:cs="Arial"/>
          <w:sz w:val="24"/>
          <w:szCs w:val="24"/>
        </w:rPr>
      </w:pPr>
      <w:r w:rsidRPr="00656D19">
        <w:rPr>
          <w:rFonts w:ascii="Arial" w:hAnsi="Arial" w:cs="Arial"/>
          <w:b/>
          <w:bCs/>
          <w:sz w:val="24"/>
          <w:szCs w:val="24"/>
        </w:rPr>
        <w:t>Long-term Debt/Capital:</w:t>
      </w:r>
      <w:r w:rsidR="00227B9B" w:rsidRPr="00656D19">
        <w:rPr>
          <w:rFonts w:ascii="Arial" w:hAnsi="Arial" w:cs="Arial"/>
          <w:b/>
          <w:bCs/>
          <w:sz w:val="24"/>
          <w:szCs w:val="24"/>
        </w:rPr>
        <w:t xml:space="preserve"> </w:t>
      </w:r>
      <w:r w:rsidR="00CD250D" w:rsidRPr="00656D19">
        <w:rPr>
          <w:rFonts w:ascii="Arial" w:hAnsi="Arial" w:cs="Arial"/>
          <w:sz w:val="24"/>
          <w:szCs w:val="24"/>
        </w:rPr>
        <w:t xml:space="preserve">This ratio determines how much long-term debt a company has </w:t>
      </w:r>
      <w:r w:rsidR="00227B9B" w:rsidRPr="00656D19">
        <w:rPr>
          <w:rFonts w:ascii="Arial" w:hAnsi="Arial" w:cs="Arial"/>
          <w:sz w:val="24"/>
          <w:szCs w:val="24"/>
        </w:rPr>
        <w:t>with</w:t>
      </w:r>
      <w:r w:rsidR="00CD250D" w:rsidRPr="00656D19">
        <w:rPr>
          <w:rFonts w:ascii="Arial" w:hAnsi="Arial" w:cs="Arial"/>
          <w:sz w:val="24"/>
          <w:szCs w:val="24"/>
        </w:rPr>
        <w:t xml:space="preserve"> how much equit</w:t>
      </w:r>
      <w:r w:rsidR="00227B9B" w:rsidRPr="00656D19">
        <w:rPr>
          <w:rFonts w:ascii="Arial" w:hAnsi="Arial" w:cs="Arial"/>
          <w:sz w:val="24"/>
          <w:szCs w:val="24"/>
        </w:rPr>
        <w:t xml:space="preserve">y is used to finance its assets </w:t>
      </w:r>
      <w:r w:rsidR="00FA166D" w:rsidRPr="00656D19">
        <w:rPr>
          <w:rFonts w:ascii="Arial" w:hAnsi="Arial" w:cs="Arial"/>
          <w:sz w:val="24"/>
          <w:szCs w:val="24"/>
        </w:rPr>
        <w:t>(Zutter,2022)</w:t>
      </w:r>
      <w:r w:rsidR="00227B9B" w:rsidRPr="00656D19">
        <w:rPr>
          <w:rFonts w:ascii="Arial" w:hAnsi="Arial" w:cs="Arial"/>
          <w:sz w:val="24"/>
          <w:szCs w:val="24"/>
        </w:rPr>
        <w:t>.</w:t>
      </w:r>
    </w:p>
    <w:p w14:paraId="42000814" w14:textId="77777777" w:rsidR="004A3C12" w:rsidRPr="00656D19" w:rsidRDefault="004A3C12" w:rsidP="001D35FA">
      <w:pPr>
        <w:spacing w:line="360" w:lineRule="auto"/>
        <w:jc w:val="both"/>
        <w:rPr>
          <w:rFonts w:ascii="Arial" w:hAnsi="Arial" w:cs="Arial"/>
          <w:sz w:val="24"/>
          <w:szCs w:val="24"/>
        </w:rPr>
      </w:pPr>
    </w:p>
    <w:p w14:paraId="1642C00F" w14:textId="77777777" w:rsidR="00CD250D" w:rsidRPr="00656D19" w:rsidRDefault="00CD250D" w:rsidP="001D35FA">
      <w:pPr>
        <w:spacing w:line="360" w:lineRule="auto"/>
        <w:jc w:val="both"/>
        <w:rPr>
          <w:rFonts w:ascii="Arial" w:hAnsi="Arial" w:cs="Arial"/>
          <w:sz w:val="24"/>
          <w:szCs w:val="24"/>
        </w:rPr>
      </w:pPr>
      <w:r w:rsidRPr="00656D19">
        <w:rPr>
          <w:rFonts w:ascii="Arial" w:hAnsi="Arial" w:cs="Arial"/>
          <w:noProof/>
        </w:rPr>
        <w:lastRenderedPageBreak/>
        <w:drawing>
          <wp:inline distT="0" distB="0" distL="0" distR="0" wp14:anchorId="5D47D0C3" wp14:editId="2720AAC6">
            <wp:extent cx="4572000" cy="2743200"/>
            <wp:effectExtent l="0" t="0" r="0" b="0"/>
            <wp:docPr id="2" name="Chart 2">
              <a:extLst xmlns:a="http://schemas.openxmlformats.org/drawingml/2006/main">
                <a:ext uri="{FF2B5EF4-FFF2-40B4-BE49-F238E27FC236}">
                  <a16:creationId xmlns:a16="http://schemas.microsoft.com/office/drawing/2014/main" id="{D82372CE-37AF-9C0D-A009-A55B6CA4A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9CEBC4B" w14:textId="77777777" w:rsidR="004A3C12" w:rsidRPr="00656D19" w:rsidRDefault="004A3C12" w:rsidP="001D35FA">
      <w:pPr>
        <w:spacing w:line="360" w:lineRule="auto"/>
        <w:jc w:val="both"/>
        <w:rPr>
          <w:rFonts w:ascii="Arial" w:hAnsi="Arial" w:cs="Arial"/>
          <w:sz w:val="24"/>
          <w:szCs w:val="24"/>
        </w:rPr>
      </w:pPr>
    </w:p>
    <w:p w14:paraId="2B1A4F9B" w14:textId="77777777" w:rsidR="00CD250D"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CD250D" w:rsidRPr="00656D19">
        <w:rPr>
          <w:rFonts w:ascii="Arial" w:hAnsi="Arial" w:cs="Arial"/>
          <w:b/>
          <w:bCs/>
          <w:sz w:val="24"/>
          <w:szCs w:val="24"/>
        </w:rPr>
        <w:t>:</w:t>
      </w:r>
      <w:r w:rsidR="00CD250D" w:rsidRPr="00656D19">
        <w:rPr>
          <w:rFonts w:ascii="Arial" w:hAnsi="Arial" w:cs="Arial"/>
          <w:sz w:val="24"/>
          <w:szCs w:val="24"/>
        </w:rPr>
        <w:t xml:space="preserve"> In 2020 and 2021, Marriott International Inc.</w:t>
      </w:r>
      <w:r w:rsidR="00227B9B" w:rsidRPr="00656D19">
        <w:rPr>
          <w:rFonts w:ascii="Arial" w:hAnsi="Arial" w:cs="Arial"/>
          <w:sz w:val="24"/>
          <w:szCs w:val="24"/>
        </w:rPr>
        <w:t>'s</w:t>
      </w:r>
      <w:r w:rsidR="00CD250D" w:rsidRPr="00656D19">
        <w:rPr>
          <w:rFonts w:ascii="Arial" w:hAnsi="Arial" w:cs="Arial"/>
          <w:sz w:val="24"/>
          <w:szCs w:val="24"/>
        </w:rPr>
        <w:t xml:space="preserve"> long</w:t>
      </w:r>
      <w:r w:rsidR="00227B9B" w:rsidRPr="00656D19">
        <w:rPr>
          <w:rFonts w:ascii="Arial" w:hAnsi="Arial" w:cs="Arial"/>
          <w:sz w:val="24"/>
          <w:szCs w:val="24"/>
        </w:rPr>
        <w:t>-</w:t>
      </w:r>
      <w:r w:rsidR="00CD250D" w:rsidRPr="00656D19">
        <w:rPr>
          <w:rFonts w:ascii="Arial" w:hAnsi="Arial" w:cs="Arial"/>
          <w:sz w:val="24"/>
          <w:szCs w:val="24"/>
        </w:rPr>
        <w:t>term debt</w:t>
      </w:r>
      <w:r w:rsidR="00227B9B" w:rsidRPr="00656D19">
        <w:rPr>
          <w:rFonts w:ascii="Arial" w:hAnsi="Arial" w:cs="Arial"/>
          <w:sz w:val="24"/>
          <w:szCs w:val="24"/>
        </w:rPr>
        <w:t>-to-</w:t>
      </w:r>
      <w:r w:rsidR="00CD250D" w:rsidRPr="00656D19">
        <w:rPr>
          <w:rFonts w:ascii="Arial" w:hAnsi="Arial" w:cs="Arial"/>
          <w:sz w:val="24"/>
          <w:szCs w:val="24"/>
        </w:rPr>
        <w:t xml:space="preserve">capitalization ratio was .9554 and .8684 respectively, which is less than 1. That means the company has </w:t>
      </w:r>
      <w:r w:rsidR="00227B9B" w:rsidRPr="00656D19">
        <w:rPr>
          <w:rFonts w:ascii="Arial" w:hAnsi="Arial" w:cs="Arial"/>
          <w:sz w:val="24"/>
          <w:szCs w:val="24"/>
        </w:rPr>
        <w:t>fewer</w:t>
      </w:r>
      <w:r w:rsidR="00CD250D" w:rsidRPr="00656D19">
        <w:rPr>
          <w:rFonts w:ascii="Arial" w:hAnsi="Arial" w:cs="Arial"/>
          <w:sz w:val="24"/>
          <w:szCs w:val="24"/>
        </w:rPr>
        <w:t xml:space="preserve"> debts than its capital in both years. But in 2021 the company has less debt than </w:t>
      </w:r>
      <w:r w:rsidR="00227B9B" w:rsidRPr="00656D19">
        <w:rPr>
          <w:rFonts w:ascii="Arial" w:hAnsi="Arial" w:cs="Arial"/>
          <w:sz w:val="24"/>
          <w:szCs w:val="24"/>
        </w:rPr>
        <w:t xml:space="preserve">in </w:t>
      </w:r>
      <w:r w:rsidR="00CD250D" w:rsidRPr="00656D19">
        <w:rPr>
          <w:rFonts w:ascii="Arial" w:hAnsi="Arial" w:cs="Arial"/>
          <w:sz w:val="24"/>
          <w:szCs w:val="24"/>
        </w:rPr>
        <w:t xml:space="preserve">2020. </w:t>
      </w:r>
    </w:p>
    <w:p w14:paraId="2B6CB64A" w14:textId="77777777" w:rsidR="000B2951" w:rsidRPr="00656D19" w:rsidRDefault="004744F3" w:rsidP="001D35FA">
      <w:pPr>
        <w:spacing w:line="360" w:lineRule="auto"/>
        <w:jc w:val="both"/>
        <w:rPr>
          <w:rFonts w:ascii="Arial" w:hAnsi="Arial" w:cs="Arial"/>
          <w:sz w:val="24"/>
          <w:szCs w:val="24"/>
        </w:rPr>
      </w:pPr>
      <w:r w:rsidRPr="00656D19">
        <w:rPr>
          <w:rFonts w:ascii="Arial" w:hAnsi="Arial" w:cs="Arial"/>
          <w:b/>
          <w:bCs/>
          <w:sz w:val="24"/>
          <w:szCs w:val="24"/>
        </w:rPr>
        <w:t>Debt/Equity ratio:</w:t>
      </w:r>
      <w:r w:rsidR="00227B9B" w:rsidRPr="00656D19">
        <w:rPr>
          <w:rFonts w:ascii="Arial" w:hAnsi="Arial" w:cs="Arial"/>
          <w:b/>
          <w:bCs/>
          <w:sz w:val="24"/>
          <w:szCs w:val="24"/>
        </w:rPr>
        <w:t xml:space="preserve"> </w:t>
      </w:r>
      <w:r w:rsidRPr="00656D19">
        <w:rPr>
          <w:rFonts w:ascii="Arial" w:hAnsi="Arial" w:cs="Arial"/>
          <w:sz w:val="24"/>
          <w:szCs w:val="24"/>
        </w:rPr>
        <w:t xml:space="preserve">The debt-to-equity ratio is a liquidity ratio that measures debt </w:t>
      </w:r>
      <w:r w:rsidR="00227B9B" w:rsidRPr="00656D19">
        <w:rPr>
          <w:rFonts w:ascii="Arial" w:hAnsi="Arial" w:cs="Arial"/>
          <w:sz w:val="24"/>
          <w:szCs w:val="24"/>
        </w:rPr>
        <w:t>with</w:t>
      </w:r>
      <w:r w:rsidRPr="00656D19">
        <w:rPr>
          <w:rFonts w:ascii="Arial" w:hAnsi="Arial" w:cs="Arial"/>
          <w:sz w:val="24"/>
          <w:szCs w:val="24"/>
        </w:rPr>
        <w:t xml:space="preserve"> equity. It measur</w:t>
      </w:r>
      <w:r w:rsidR="00227B9B" w:rsidRPr="00656D19">
        <w:rPr>
          <w:rFonts w:ascii="Arial" w:hAnsi="Arial" w:cs="Arial"/>
          <w:sz w:val="24"/>
          <w:szCs w:val="24"/>
        </w:rPr>
        <w:t xml:space="preserve">es a company’s financial leverage </w:t>
      </w:r>
      <w:r w:rsidR="00FA166D" w:rsidRPr="00656D19">
        <w:rPr>
          <w:rFonts w:ascii="Arial" w:hAnsi="Arial" w:cs="Arial"/>
          <w:sz w:val="24"/>
          <w:szCs w:val="24"/>
        </w:rPr>
        <w:t>(Laurence, 2014)</w:t>
      </w:r>
      <w:r w:rsidR="00227B9B" w:rsidRPr="00656D19">
        <w:rPr>
          <w:rFonts w:ascii="Arial" w:hAnsi="Arial" w:cs="Arial"/>
          <w:sz w:val="24"/>
          <w:szCs w:val="24"/>
        </w:rPr>
        <w:t>.</w:t>
      </w:r>
    </w:p>
    <w:p w14:paraId="049A0B94" w14:textId="77777777" w:rsidR="000B2951" w:rsidRPr="00656D19" w:rsidRDefault="004744F3"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2B4430EB" wp14:editId="721569AE">
            <wp:extent cx="4181475" cy="2238375"/>
            <wp:effectExtent l="0" t="0" r="9525" b="9525"/>
            <wp:docPr id="3" name="Chart 3">
              <a:extLst xmlns:a="http://schemas.openxmlformats.org/drawingml/2006/main">
                <a:ext uri="{FF2B5EF4-FFF2-40B4-BE49-F238E27FC236}">
                  <a16:creationId xmlns:a16="http://schemas.microsoft.com/office/drawing/2014/main" id="{DEF36E05-C4C0-3FED-7F31-72482A868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BAE650" w14:textId="77777777" w:rsidR="000B2951"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4A3C12" w:rsidRPr="00656D19">
        <w:rPr>
          <w:rFonts w:ascii="Arial" w:hAnsi="Arial" w:cs="Arial"/>
          <w:b/>
          <w:bCs/>
          <w:sz w:val="24"/>
          <w:szCs w:val="24"/>
        </w:rPr>
        <w:t>:</w:t>
      </w:r>
      <w:r w:rsidR="00227B9B" w:rsidRPr="00656D19">
        <w:rPr>
          <w:rFonts w:ascii="Arial" w:hAnsi="Arial" w:cs="Arial"/>
          <w:b/>
          <w:bCs/>
          <w:sz w:val="24"/>
          <w:szCs w:val="24"/>
        </w:rPr>
        <w:t xml:space="preserve"> </w:t>
      </w:r>
      <w:r w:rsidR="004A3C12" w:rsidRPr="00656D19">
        <w:rPr>
          <w:rFonts w:ascii="Arial" w:hAnsi="Arial" w:cs="Arial"/>
          <w:sz w:val="24"/>
          <w:szCs w:val="24"/>
        </w:rPr>
        <w:t>In 2020 and 2021, Marriott International Inc.</w:t>
      </w:r>
      <w:r w:rsidR="00227B9B" w:rsidRPr="00656D19">
        <w:rPr>
          <w:rFonts w:ascii="Arial" w:hAnsi="Arial" w:cs="Arial"/>
          <w:sz w:val="24"/>
          <w:szCs w:val="24"/>
        </w:rPr>
        <w:t>'s</w:t>
      </w:r>
      <w:r w:rsidR="004A3C12" w:rsidRPr="00656D19">
        <w:rPr>
          <w:rFonts w:ascii="Arial" w:hAnsi="Arial" w:cs="Arial"/>
          <w:sz w:val="24"/>
          <w:szCs w:val="24"/>
        </w:rPr>
        <w:t xml:space="preserve"> debt</w:t>
      </w:r>
      <w:r w:rsidR="00227B9B" w:rsidRPr="00656D19">
        <w:rPr>
          <w:rFonts w:ascii="Arial" w:hAnsi="Arial" w:cs="Arial"/>
          <w:sz w:val="24"/>
          <w:szCs w:val="24"/>
        </w:rPr>
        <w:t>-to-</w:t>
      </w:r>
      <w:r w:rsidR="004A3C12" w:rsidRPr="00656D19">
        <w:rPr>
          <w:rFonts w:ascii="Arial" w:hAnsi="Arial" w:cs="Arial"/>
          <w:sz w:val="24"/>
          <w:szCs w:val="24"/>
        </w:rPr>
        <w:t>equity ratio was 24.1302 and 7.1697 respectively. It means in 2020, $24.1302 was used in debt for every $1 of its equity</w:t>
      </w:r>
      <w:r w:rsidR="001325E0" w:rsidRPr="00656D19">
        <w:rPr>
          <w:rFonts w:ascii="Arial" w:hAnsi="Arial" w:cs="Arial"/>
          <w:sz w:val="24"/>
          <w:szCs w:val="24"/>
        </w:rPr>
        <w:t xml:space="preserve">. </w:t>
      </w:r>
      <w:r w:rsidR="004A3C12" w:rsidRPr="00656D19">
        <w:rPr>
          <w:rFonts w:ascii="Arial" w:hAnsi="Arial" w:cs="Arial"/>
          <w:sz w:val="24"/>
          <w:szCs w:val="24"/>
        </w:rPr>
        <w:t>On the other hand, in 2021, $7.1697 was used in debt for every $1 of its equity comparing both years</w:t>
      </w:r>
      <w:r w:rsidR="000B2951" w:rsidRPr="00656D19">
        <w:rPr>
          <w:rFonts w:ascii="Arial" w:hAnsi="Arial" w:cs="Arial"/>
          <w:sz w:val="24"/>
          <w:szCs w:val="24"/>
        </w:rPr>
        <w:t xml:space="preserve">, we can consider </w:t>
      </w:r>
      <w:r w:rsidR="00227B9B" w:rsidRPr="00656D19">
        <w:rPr>
          <w:rFonts w:ascii="Arial" w:hAnsi="Arial" w:cs="Arial"/>
          <w:sz w:val="24"/>
          <w:szCs w:val="24"/>
        </w:rPr>
        <w:t xml:space="preserve">the </w:t>
      </w:r>
      <w:r w:rsidR="000B2951" w:rsidRPr="00656D19">
        <w:rPr>
          <w:rFonts w:ascii="Arial" w:hAnsi="Arial" w:cs="Arial"/>
          <w:sz w:val="24"/>
          <w:szCs w:val="24"/>
        </w:rPr>
        <w:t xml:space="preserve">year 2021 was better than </w:t>
      </w:r>
      <w:r w:rsidR="00227B9B" w:rsidRPr="00656D19">
        <w:rPr>
          <w:rFonts w:ascii="Arial" w:hAnsi="Arial" w:cs="Arial"/>
          <w:sz w:val="24"/>
          <w:szCs w:val="24"/>
        </w:rPr>
        <w:t xml:space="preserve">the </w:t>
      </w:r>
      <w:r w:rsidR="000B2951" w:rsidRPr="00656D19">
        <w:rPr>
          <w:rFonts w:ascii="Arial" w:hAnsi="Arial" w:cs="Arial"/>
          <w:sz w:val="24"/>
          <w:szCs w:val="24"/>
        </w:rPr>
        <w:t>year 2020</w:t>
      </w:r>
      <w:r w:rsidR="001325E0" w:rsidRPr="00656D19">
        <w:rPr>
          <w:rFonts w:ascii="Arial" w:hAnsi="Arial" w:cs="Arial"/>
          <w:sz w:val="24"/>
          <w:szCs w:val="24"/>
        </w:rPr>
        <w:t>.</w:t>
      </w:r>
    </w:p>
    <w:p w14:paraId="312251B9" w14:textId="77777777" w:rsidR="001325E0" w:rsidRPr="00656D19" w:rsidRDefault="001325E0" w:rsidP="001325E0">
      <w:pPr>
        <w:spacing w:line="360" w:lineRule="auto"/>
        <w:jc w:val="both"/>
        <w:rPr>
          <w:rFonts w:ascii="Arial" w:hAnsi="Arial" w:cs="Arial"/>
          <w:b/>
          <w:bCs/>
          <w:sz w:val="24"/>
          <w:szCs w:val="24"/>
        </w:rPr>
      </w:pPr>
    </w:p>
    <w:p w14:paraId="5CC27834" w14:textId="1815E146" w:rsidR="0020125F" w:rsidRPr="00656D19" w:rsidRDefault="000B2951"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Gross margin:</w:t>
      </w:r>
    </w:p>
    <w:p w14:paraId="2B8A41D4" w14:textId="77777777" w:rsidR="0020125F" w:rsidRPr="00656D19" w:rsidRDefault="000B2951"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3A842EE6" wp14:editId="7C07FC9A">
            <wp:extent cx="4572000" cy="2743200"/>
            <wp:effectExtent l="0" t="0" r="0" b="0"/>
            <wp:docPr id="5" name="Chart 5">
              <a:extLst xmlns:a="http://schemas.openxmlformats.org/drawingml/2006/main">
                <a:ext uri="{FF2B5EF4-FFF2-40B4-BE49-F238E27FC236}">
                  <a16:creationId xmlns:a16="http://schemas.microsoft.com/office/drawing/2014/main" id="{5FF98B57-FA14-CF18-353B-D3C97C1D9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20C1ACF" w14:textId="77777777" w:rsidR="0020125F" w:rsidRPr="00656D19" w:rsidRDefault="0020125F" w:rsidP="001D35FA">
      <w:pPr>
        <w:spacing w:line="360" w:lineRule="auto"/>
        <w:jc w:val="both"/>
        <w:rPr>
          <w:rFonts w:ascii="Arial" w:hAnsi="Arial" w:cs="Arial"/>
          <w:sz w:val="24"/>
          <w:szCs w:val="24"/>
        </w:rPr>
      </w:pPr>
    </w:p>
    <w:p w14:paraId="556D6B43" w14:textId="77777777" w:rsidR="0020125F"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Interpretation</w:t>
      </w:r>
      <w:r w:rsidR="0020125F" w:rsidRPr="00656D19">
        <w:rPr>
          <w:rFonts w:ascii="Arial" w:hAnsi="Arial" w:cs="Arial"/>
          <w:b/>
          <w:bCs/>
          <w:sz w:val="24"/>
          <w:szCs w:val="24"/>
        </w:rPr>
        <w:t>:</w:t>
      </w:r>
      <w:r w:rsidR="00227B9B" w:rsidRPr="00656D19">
        <w:rPr>
          <w:rFonts w:ascii="Arial" w:hAnsi="Arial" w:cs="Arial"/>
          <w:b/>
          <w:bCs/>
          <w:sz w:val="24"/>
          <w:szCs w:val="24"/>
        </w:rPr>
        <w:t xml:space="preserve"> </w:t>
      </w:r>
      <w:r w:rsidR="0020125F" w:rsidRPr="00656D19">
        <w:rPr>
          <w:rFonts w:ascii="Arial" w:hAnsi="Arial" w:cs="Arial"/>
          <w:color w:val="0D0D0D" w:themeColor="text1" w:themeTint="F2"/>
          <w:sz w:val="24"/>
          <w:szCs w:val="24"/>
        </w:rPr>
        <w:t>In 2020, for every $100 worth of sale</w:t>
      </w:r>
      <w:r w:rsidR="00227B9B" w:rsidRPr="00656D19">
        <w:rPr>
          <w:rFonts w:ascii="Arial" w:hAnsi="Arial" w:cs="Arial"/>
          <w:color w:val="0D0D0D" w:themeColor="text1" w:themeTint="F2"/>
          <w:sz w:val="24"/>
          <w:szCs w:val="24"/>
        </w:rPr>
        <w:t>s</w:t>
      </w:r>
      <w:r w:rsidR="0020125F" w:rsidRPr="00656D19">
        <w:rPr>
          <w:rFonts w:ascii="Arial" w:hAnsi="Arial" w:cs="Arial"/>
          <w:color w:val="0D0D0D" w:themeColor="text1" w:themeTint="F2"/>
          <w:sz w:val="24"/>
          <w:szCs w:val="24"/>
        </w:rPr>
        <w:t xml:space="preserve"> Marriott International Inc generated $13.8019 gross profit. The gross margin fluctuated in the next years. The margin was $20.2136per $100 in 2021, which is higher than </w:t>
      </w:r>
      <w:r w:rsidR="00227B9B" w:rsidRPr="00656D19">
        <w:rPr>
          <w:rFonts w:ascii="Arial" w:hAnsi="Arial" w:cs="Arial"/>
          <w:color w:val="0D0D0D" w:themeColor="text1" w:themeTint="F2"/>
          <w:sz w:val="24"/>
          <w:szCs w:val="24"/>
        </w:rPr>
        <w:t xml:space="preserve">in </w:t>
      </w:r>
      <w:r w:rsidR="0020125F" w:rsidRPr="00656D19">
        <w:rPr>
          <w:rFonts w:ascii="Arial" w:hAnsi="Arial" w:cs="Arial"/>
          <w:color w:val="0D0D0D" w:themeColor="text1" w:themeTint="F2"/>
          <w:sz w:val="24"/>
          <w:szCs w:val="24"/>
        </w:rPr>
        <w:t xml:space="preserve">2020. </w:t>
      </w:r>
    </w:p>
    <w:p w14:paraId="61B8D11D" w14:textId="77777777" w:rsidR="0020125F" w:rsidRPr="00656D19" w:rsidRDefault="0020125F" w:rsidP="001D35FA">
      <w:pPr>
        <w:spacing w:line="360" w:lineRule="auto"/>
        <w:jc w:val="both"/>
        <w:rPr>
          <w:rFonts w:ascii="Arial" w:hAnsi="Arial" w:cs="Arial"/>
          <w:color w:val="0D0D0D" w:themeColor="text1" w:themeTint="F2"/>
          <w:sz w:val="24"/>
          <w:szCs w:val="24"/>
        </w:rPr>
      </w:pPr>
      <w:r w:rsidRPr="00656D19">
        <w:rPr>
          <w:rFonts w:ascii="Arial" w:hAnsi="Arial" w:cs="Arial"/>
          <w:b/>
          <w:bCs/>
          <w:color w:val="0D0D0D" w:themeColor="text1" w:themeTint="F2"/>
          <w:sz w:val="24"/>
          <w:szCs w:val="24"/>
        </w:rPr>
        <w:t>Operating margin</w:t>
      </w:r>
      <w:r w:rsidR="001325E0" w:rsidRPr="00656D19">
        <w:rPr>
          <w:rFonts w:ascii="Arial" w:hAnsi="Arial" w:cs="Arial"/>
          <w:b/>
          <w:bCs/>
          <w:color w:val="0D0D0D" w:themeColor="text1" w:themeTint="F2"/>
          <w:sz w:val="24"/>
          <w:szCs w:val="24"/>
        </w:rPr>
        <w:t>:</w:t>
      </w:r>
      <w:r w:rsidRPr="00656D19">
        <w:rPr>
          <w:rFonts w:ascii="Arial" w:hAnsi="Arial" w:cs="Arial"/>
          <w:color w:val="0D0D0D" w:themeColor="text1" w:themeTint="F2"/>
          <w:sz w:val="24"/>
          <w:szCs w:val="24"/>
        </w:rPr>
        <w:t xml:space="preserve"> It represents the pure profit earned on each sales dollar. </w:t>
      </w:r>
    </w:p>
    <w:p w14:paraId="0A3B3555" w14:textId="77777777" w:rsidR="0020125F" w:rsidRPr="00656D19" w:rsidRDefault="0020125F" w:rsidP="001D35FA">
      <w:pPr>
        <w:spacing w:line="360" w:lineRule="auto"/>
        <w:jc w:val="both"/>
        <w:rPr>
          <w:rFonts w:ascii="Arial" w:hAnsi="Arial" w:cs="Arial"/>
          <w:color w:val="0D0D0D" w:themeColor="text1" w:themeTint="F2"/>
          <w:sz w:val="24"/>
          <w:szCs w:val="24"/>
        </w:rPr>
      </w:pPr>
      <w:r w:rsidRPr="00656D19">
        <w:rPr>
          <w:rFonts w:ascii="Arial" w:hAnsi="Arial" w:cs="Arial"/>
          <w:noProof/>
        </w:rPr>
        <w:drawing>
          <wp:inline distT="0" distB="0" distL="0" distR="0" wp14:anchorId="597291FC" wp14:editId="1B575C12">
            <wp:extent cx="5057775" cy="2447925"/>
            <wp:effectExtent l="0" t="0" r="9525" b="9525"/>
            <wp:docPr id="6" name="Chart 6">
              <a:extLst xmlns:a="http://schemas.openxmlformats.org/drawingml/2006/main">
                <a:ext uri="{FF2B5EF4-FFF2-40B4-BE49-F238E27FC236}">
                  <a16:creationId xmlns:a16="http://schemas.microsoft.com/office/drawing/2014/main" id="{5E28EF5C-3B9B-EFAD-C606-D2F0FB0D63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79B1A8" w14:textId="77777777" w:rsidR="00B36CC7" w:rsidRPr="00656D19" w:rsidRDefault="00B36CC7" w:rsidP="001D35FA">
      <w:pPr>
        <w:spacing w:line="360" w:lineRule="auto"/>
        <w:jc w:val="both"/>
        <w:rPr>
          <w:rFonts w:ascii="Arial" w:hAnsi="Arial" w:cs="Arial"/>
          <w:b/>
          <w:bCs/>
          <w:color w:val="0D0D0D" w:themeColor="text1" w:themeTint="F2"/>
          <w:sz w:val="24"/>
          <w:szCs w:val="24"/>
        </w:rPr>
      </w:pPr>
    </w:p>
    <w:p w14:paraId="03A14138" w14:textId="77777777" w:rsidR="0020125F"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color w:val="0D0D0D" w:themeColor="text1" w:themeTint="F2"/>
          <w:sz w:val="24"/>
          <w:szCs w:val="24"/>
        </w:rPr>
        <w:t>Interpretation</w:t>
      </w:r>
      <w:r w:rsidR="00720A25" w:rsidRPr="00656D19">
        <w:rPr>
          <w:rFonts w:ascii="Arial" w:hAnsi="Arial" w:cs="Arial"/>
          <w:b/>
          <w:bCs/>
          <w:color w:val="0D0D0D" w:themeColor="text1" w:themeTint="F2"/>
          <w:sz w:val="24"/>
          <w:szCs w:val="24"/>
        </w:rPr>
        <w:t>:</w:t>
      </w:r>
      <w:r w:rsidR="00227B9B" w:rsidRPr="00656D19">
        <w:rPr>
          <w:rFonts w:ascii="Arial" w:hAnsi="Arial" w:cs="Arial"/>
          <w:b/>
          <w:bCs/>
          <w:color w:val="0D0D0D" w:themeColor="text1" w:themeTint="F2"/>
          <w:sz w:val="24"/>
          <w:szCs w:val="24"/>
        </w:rPr>
        <w:t xml:space="preserve"> </w:t>
      </w:r>
      <w:r w:rsidR="00720A25" w:rsidRPr="00656D19">
        <w:rPr>
          <w:rFonts w:ascii="Arial" w:hAnsi="Arial" w:cs="Arial"/>
          <w:color w:val="0D0D0D" w:themeColor="text1" w:themeTint="F2"/>
          <w:sz w:val="24"/>
          <w:szCs w:val="24"/>
        </w:rPr>
        <w:t xml:space="preserve">In 2021, Marriott International Inc. made an operating profit of $12.629 for every $100 sale the company generated. The operating profit margin </w:t>
      </w:r>
      <w:r w:rsidR="00720A25" w:rsidRPr="00656D19">
        <w:rPr>
          <w:rFonts w:ascii="Arial" w:hAnsi="Arial" w:cs="Arial"/>
          <w:color w:val="0D0D0D" w:themeColor="text1" w:themeTint="F2"/>
          <w:sz w:val="24"/>
          <w:szCs w:val="24"/>
        </w:rPr>
        <w:lastRenderedPageBreak/>
        <w:t xml:space="preserve">was quite low in 2020 when the margin was only 0.7946%. It indicates that in 2020 the company couldn’t manage their operating expenses properly to hold </w:t>
      </w:r>
      <w:r w:rsidR="00227B9B" w:rsidRPr="00656D19">
        <w:rPr>
          <w:rFonts w:ascii="Arial" w:hAnsi="Arial" w:cs="Arial"/>
          <w:color w:val="0D0D0D" w:themeColor="text1" w:themeTint="F2"/>
          <w:sz w:val="24"/>
          <w:szCs w:val="24"/>
        </w:rPr>
        <w:t>its</w:t>
      </w:r>
      <w:r w:rsidR="00720A25" w:rsidRPr="00656D19">
        <w:rPr>
          <w:rFonts w:ascii="Arial" w:hAnsi="Arial" w:cs="Arial"/>
          <w:color w:val="0D0D0D" w:themeColor="text1" w:themeTint="F2"/>
          <w:sz w:val="24"/>
          <w:szCs w:val="24"/>
        </w:rPr>
        <w:t xml:space="preserve"> initial operating profit margin.</w:t>
      </w:r>
    </w:p>
    <w:p w14:paraId="5C4FA3E2" w14:textId="77777777" w:rsidR="00F0009B" w:rsidRPr="00656D19" w:rsidRDefault="00720A25" w:rsidP="001D35FA">
      <w:pPr>
        <w:spacing w:line="360" w:lineRule="auto"/>
        <w:jc w:val="both"/>
        <w:rPr>
          <w:rFonts w:ascii="Arial" w:hAnsi="Arial" w:cs="Arial"/>
          <w:sz w:val="24"/>
          <w:szCs w:val="24"/>
        </w:rPr>
      </w:pPr>
      <w:r w:rsidRPr="00656D19">
        <w:rPr>
          <w:rFonts w:ascii="Arial" w:hAnsi="Arial" w:cs="Arial"/>
          <w:b/>
          <w:bCs/>
          <w:sz w:val="24"/>
          <w:szCs w:val="24"/>
        </w:rPr>
        <w:t>EBITDA margin:</w:t>
      </w:r>
      <w:r w:rsidRPr="00656D19">
        <w:rPr>
          <w:rFonts w:ascii="Arial" w:hAnsi="Arial" w:cs="Arial"/>
          <w:sz w:val="24"/>
          <w:szCs w:val="24"/>
        </w:rPr>
        <w:t xml:space="preserve"> EBITDA stands for earnings before interest, taxes, depreciation, and amortization.</w:t>
      </w:r>
    </w:p>
    <w:p w14:paraId="764F0B30" w14:textId="77777777" w:rsidR="00DD2D79" w:rsidRPr="00656D19" w:rsidRDefault="00DD2D79"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0173EB1F" wp14:editId="570FA9CD">
            <wp:extent cx="4572000" cy="2743200"/>
            <wp:effectExtent l="0" t="0" r="0" b="0"/>
            <wp:docPr id="7" name="Chart 7">
              <a:extLst xmlns:a="http://schemas.openxmlformats.org/drawingml/2006/main">
                <a:ext uri="{FF2B5EF4-FFF2-40B4-BE49-F238E27FC236}">
                  <a16:creationId xmlns:a16="http://schemas.microsoft.com/office/drawing/2014/main" id="{0E3187B8-DA85-D5AC-C1B1-D05F114B9F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6D1477" w14:textId="77777777" w:rsidR="00F0009B" w:rsidRPr="00656D19" w:rsidRDefault="00F0009B" w:rsidP="001D35FA">
      <w:pPr>
        <w:spacing w:line="360" w:lineRule="auto"/>
        <w:jc w:val="both"/>
        <w:rPr>
          <w:rFonts w:ascii="Arial" w:hAnsi="Arial" w:cs="Arial"/>
          <w:b/>
          <w:bCs/>
          <w:sz w:val="24"/>
          <w:szCs w:val="24"/>
        </w:rPr>
      </w:pPr>
    </w:p>
    <w:p w14:paraId="60B705F3" w14:textId="77777777" w:rsidR="0036364E"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DD2D79" w:rsidRPr="00656D19">
        <w:rPr>
          <w:rFonts w:ascii="Arial" w:hAnsi="Arial" w:cs="Arial"/>
          <w:b/>
          <w:bCs/>
          <w:sz w:val="24"/>
          <w:szCs w:val="24"/>
        </w:rPr>
        <w:t>:</w:t>
      </w:r>
      <w:r w:rsidR="00DD2D79" w:rsidRPr="00656D19">
        <w:rPr>
          <w:rFonts w:ascii="Arial" w:hAnsi="Arial" w:cs="Arial"/>
          <w:sz w:val="24"/>
          <w:szCs w:val="24"/>
        </w:rPr>
        <w:t xml:space="preserve"> In 2020, Marriott International Inc</w:t>
      </w:r>
      <w:r w:rsidR="00227B9B" w:rsidRPr="00656D19">
        <w:rPr>
          <w:rFonts w:ascii="Arial" w:hAnsi="Arial" w:cs="Arial"/>
          <w:sz w:val="24"/>
          <w:szCs w:val="24"/>
        </w:rPr>
        <w:t>'s</w:t>
      </w:r>
      <w:r w:rsidR="00DD2D79" w:rsidRPr="00656D19">
        <w:rPr>
          <w:rFonts w:ascii="Arial" w:hAnsi="Arial" w:cs="Arial"/>
          <w:sz w:val="24"/>
          <w:szCs w:val="24"/>
        </w:rPr>
        <w:t xml:space="preserve"> EB</w:t>
      </w:r>
      <w:r w:rsidR="00227B9B" w:rsidRPr="00656D19">
        <w:rPr>
          <w:rFonts w:ascii="Arial" w:hAnsi="Arial" w:cs="Arial"/>
          <w:sz w:val="24"/>
          <w:szCs w:val="24"/>
        </w:rPr>
        <w:t>I</w:t>
      </w:r>
      <w:r w:rsidR="00DD2D79" w:rsidRPr="00656D19">
        <w:rPr>
          <w:rFonts w:ascii="Arial" w:hAnsi="Arial" w:cs="Arial"/>
          <w:sz w:val="24"/>
          <w:szCs w:val="24"/>
        </w:rPr>
        <w:t>TDA margin was 5.3164% and in 2021 it was 14.7579%. It indicates that in 2021 the company’s earning</w:t>
      </w:r>
      <w:r w:rsidR="00227B9B" w:rsidRPr="00656D19">
        <w:rPr>
          <w:rFonts w:ascii="Arial" w:hAnsi="Arial" w:cs="Arial"/>
          <w:sz w:val="24"/>
          <w:szCs w:val="24"/>
        </w:rPr>
        <w:t>s</w:t>
      </w:r>
      <w:r w:rsidR="00DD2D79" w:rsidRPr="00656D19">
        <w:rPr>
          <w:rFonts w:ascii="Arial" w:hAnsi="Arial" w:cs="Arial"/>
          <w:sz w:val="24"/>
          <w:szCs w:val="24"/>
        </w:rPr>
        <w:t xml:space="preserve"> had increased compare</w:t>
      </w:r>
      <w:r w:rsidR="00227B9B" w:rsidRPr="00656D19">
        <w:rPr>
          <w:rFonts w:ascii="Arial" w:hAnsi="Arial" w:cs="Arial"/>
          <w:sz w:val="24"/>
          <w:szCs w:val="24"/>
        </w:rPr>
        <w:t>d</w:t>
      </w:r>
      <w:r w:rsidR="00DD2D79" w:rsidRPr="00656D19">
        <w:rPr>
          <w:rFonts w:ascii="Arial" w:hAnsi="Arial" w:cs="Arial"/>
          <w:sz w:val="24"/>
          <w:szCs w:val="24"/>
        </w:rPr>
        <w:t xml:space="preserve"> to 2020. The lower percentage of EB</w:t>
      </w:r>
      <w:r w:rsidR="00227B9B" w:rsidRPr="00656D19">
        <w:rPr>
          <w:rFonts w:ascii="Arial" w:hAnsi="Arial" w:cs="Arial"/>
          <w:sz w:val="24"/>
          <w:szCs w:val="24"/>
        </w:rPr>
        <w:t>I</w:t>
      </w:r>
      <w:r w:rsidR="00DD2D79" w:rsidRPr="00656D19">
        <w:rPr>
          <w:rFonts w:ascii="Arial" w:hAnsi="Arial" w:cs="Arial"/>
          <w:sz w:val="24"/>
          <w:szCs w:val="24"/>
        </w:rPr>
        <w:t>TDA margin in 2020 indicates that the company had profitability problem</w:t>
      </w:r>
      <w:r w:rsidR="00227B9B" w:rsidRPr="00656D19">
        <w:rPr>
          <w:rFonts w:ascii="Arial" w:hAnsi="Arial" w:cs="Arial"/>
          <w:sz w:val="24"/>
          <w:szCs w:val="24"/>
        </w:rPr>
        <w:t>s</w:t>
      </w:r>
      <w:r w:rsidR="00DD2D79" w:rsidRPr="00656D19">
        <w:rPr>
          <w:rFonts w:ascii="Arial" w:hAnsi="Arial" w:cs="Arial"/>
          <w:sz w:val="24"/>
          <w:szCs w:val="24"/>
        </w:rPr>
        <w:t xml:space="preserve"> including cash flow issues. </w:t>
      </w:r>
    </w:p>
    <w:p w14:paraId="686C2A9E" w14:textId="77777777" w:rsidR="00DD2D79" w:rsidRPr="00656D19" w:rsidRDefault="00DD2D79" w:rsidP="001D35FA">
      <w:pPr>
        <w:spacing w:line="360" w:lineRule="auto"/>
        <w:jc w:val="both"/>
        <w:rPr>
          <w:rFonts w:ascii="Arial" w:hAnsi="Arial" w:cs="Arial"/>
          <w:sz w:val="24"/>
          <w:szCs w:val="24"/>
        </w:rPr>
      </w:pPr>
      <w:r w:rsidRPr="00656D19">
        <w:rPr>
          <w:rFonts w:ascii="Arial" w:hAnsi="Arial" w:cs="Arial"/>
          <w:b/>
          <w:bCs/>
          <w:sz w:val="24"/>
          <w:szCs w:val="24"/>
        </w:rPr>
        <w:t xml:space="preserve">Pre-tax margin: </w:t>
      </w:r>
      <w:r w:rsidR="0036364E" w:rsidRPr="00656D19">
        <w:rPr>
          <w:rFonts w:ascii="Arial" w:hAnsi="Arial" w:cs="Arial"/>
          <w:sz w:val="24"/>
          <w:szCs w:val="24"/>
        </w:rPr>
        <w:t>After all operating and non-operating expenditures (before taxes) have been subtracted, the net profit is the amount used to calc</w:t>
      </w:r>
      <w:r w:rsidR="00227B9B" w:rsidRPr="00656D19">
        <w:rPr>
          <w:rFonts w:ascii="Arial" w:hAnsi="Arial" w:cs="Arial"/>
          <w:sz w:val="24"/>
          <w:szCs w:val="24"/>
        </w:rPr>
        <w:t xml:space="preserve">ulate the Pre-Tax Profit Margin </w:t>
      </w:r>
      <w:r w:rsidR="001325E0" w:rsidRPr="00656D19">
        <w:rPr>
          <w:rFonts w:ascii="Arial" w:hAnsi="Arial" w:cs="Arial"/>
          <w:sz w:val="24"/>
          <w:szCs w:val="24"/>
        </w:rPr>
        <w:t>(Rosa,2020)</w:t>
      </w:r>
      <w:r w:rsidR="00227B9B" w:rsidRPr="00656D19">
        <w:rPr>
          <w:rFonts w:ascii="Arial" w:hAnsi="Arial" w:cs="Arial"/>
          <w:sz w:val="24"/>
          <w:szCs w:val="24"/>
        </w:rPr>
        <w:t>.</w:t>
      </w:r>
    </w:p>
    <w:p w14:paraId="18ABEC75" w14:textId="77777777" w:rsidR="00F0009B" w:rsidRPr="00656D19" w:rsidRDefault="00F0009B" w:rsidP="001D35FA">
      <w:pPr>
        <w:spacing w:line="360" w:lineRule="auto"/>
        <w:jc w:val="both"/>
        <w:rPr>
          <w:rFonts w:ascii="Arial" w:hAnsi="Arial" w:cs="Arial"/>
          <w:sz w:val="24"/>
          <w:szCs w:val="24"/>
        </w:rPr>
      </w:pPr>
    </w:p>
    <w:p w14:paraId="169AFE0D" w14:textId="77777777" w:rsidR="00F0009B" w:rsidRPr="00656D19" w:rsidRDefault="0036364E" w:rsidP="001D35FA">
      <w:pPr>
        <w:spacing w:line="360" w:lineRule="auto"/>
        <w:jc w:val="both"/>
        <w:rPr>
          <w:rFonts w:ascii="Arial" w:hAnsi="Arial" w:cs="Arial"/>
          <w:sz w:val="24"/>
          <w:szCs w:val="24"/>
        </w:rPr>
      </w:pPr>
      <w:r w:rsidRPr="00656D19">
        <w:rPr>
          <w:rFonts w:ascii="Arial" w:hAnsi="Arial" w:cs="Arial"/>
          <w:noProof/>
        </w:rPr>
        <w:lastRenderedPageBreak/>
        <w:drawing>
          <wp:inline distT="0" distB="0" distL="0" distR="0" wp14:anchorId="0EF1F764" wp14:editId="73AC7511">
            <wp:extent cx="4572000" cy="2743200"/>
            <wp:effectExtent l="0" t="0" r="0" b="0"/>
            <wp:docPr id="8" name="Chart 8">
              <a:extLst xmlns:a="http://schemas.openxmlformats.org/drawingml/2006/main">
                <a:ext uri="{FF2B5EF4-FFF2-40B4-BE49-F238E27FC236}">
                  <a16:creationId xmlns:a16="http://schemas.microsoft.com/office/drawing/2014/main" id="{1A22064E-2563-2469-C7B1-BC77603DEB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10FF61" w14:textId="77777777" w:rsidR="00DD2D79"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36364E" w:rsidRPr="00656D19">
        <w:rPr>
          <w:rFonts w:ascii="Arial" w:hAnsi="Arial" w:cs="Arial"/>
          <w:b/>
          <w:bCs/>
          <w:sz w:val="24"/>
          <w:szCs w:val="24"/>
        </w:rPr>
        <w:t>:</w:t>
      </w:r>
      <w:r w:rsidR="0036364E" w:rsidRPr="00656D19">
        <w:rPr>
          <w:rFonts w:ascii="Arial" w:hAnsi="Arial" w:cs="Arial"/>
          <w:sz w:val="24"/>
          <w:szCs w:val="24"/>
        </w:rPr>
        <w:t xml:space="preserve"> In 2021, Marriott International Inc. Pre-tax margin was 8.5156% and in 2020 it was -4.4083%. </w:t>
      </w:r>
      <w:r w:rsidR="00227B9B" w:rsidRPr="00656D19">
        <w:rPr>
          <w:rFonts w:ascii="Arial" w:hAnsi="Arial" w:cs="Arial"/>
          <w:sz w:val="24"/>
          <w:szCs w:val="24"/>
        </w:rPr>
        <w:t>This</w:t>
      </w:r>
      <w:r w:rsidR="0036364E" w:rsidRPr="00656D19">
        <w:rPr>
          <w:rFonts w:ascii="Arial" w:hAnsi="Arial" w:cs="Arial"/>
          <w:sz w:val="24"/>
          <w:szCs w:val="24"/>
        </w:rPr>
        <w:t xml:space="preserve"> indicates </w:t>
      </w:r>
      <w:r w:rsidR="006313BC" w:rsidRPr="00656D19">
        <w:rPr>
          <w:rFonts w:ascii="Arial" w:hAnsi="Arial" w:cs="Arial"/>
          <w:sz w:val="24"/>
          <w:szCs w:val="24"/>
        </w:rPr>
        <w:t xml:space="preserve">that in 2021 the </w:t>
      </w:r>
      <w:r w:rsidR="0036364E" w:rsidRPr="00656D19">
        <w:rPr>
          <w:rFonts w:ascii="Arial" w:hAnsi="Arial" w:cs="Arial"/>
          <w:sz w:val="24"/>
          <w:szCs w:val="24"/>
        </w:rPr>
        <w:t xml:space="preserve">company had </w:t>
      </w:r>
      <w:r w:rsidR="006313BC" w:rsidRPr="00656D19">
        <w:rPr>
          <w:rFonts w:ascii="Arial" w:hAnsi="Arial" w:cs="Arial"/>
          <w:sz w:val="24"/>
          <w:szCs w:val="24"/>
        </w:rPr>
        <w:t xml:space="preserve">an effective business model, and it’s </w:t>
      </w:r>
      <w:r w:rsidR="00227B9B" w:rsidRPr="00656D19">
        <w:rPr>
          <w:rFonts w:ascii="Arial" w:hAnsi="Arial" w:cs="Arial"/>
          <w:sz w:val="24"/>
          <w:szCs w:val="24"/>
        </w:rPr>
        <w:t xml:space="preserve">a </w:t>
      </w:r>
      <w:r w:rsidR="006313BC" w:rsidRPr="00656D19">
        <w:rPr>
          <w:rFonts w:ascii="Arial" w:hAnsi="Arial" w:cs="Arial"/>
          <w:sz w:val="24"/>
          <w:szCs w:val="24"/>
        </w:rPr>
        <w:t>financially healthy company compare</w:t>
      </w:r>
      <w:r w:rsidR="00227B9B" w:rsidRPr="00656D19">
        <w:rPr>
          <w:rFonts w:ascii="Arial" w:hAnsi="Arial" w:cs="Arial"/>
          <w:sz w:val="24"/>
          <w:szCs w:val="24"/>
        </w:rPr>
        <w:t>d</w:t>
      </w:r>
      <w:r w:rsidR="006313BC" w:rsidRPr="00656D19">
        <w:rPr>
          <w:rFonts w:ascii="Arial" w:hAnsi="Arial" w:cs="Arial"/>
          <w:sz w:val="24"/>
          <w:szCs w:val="24"/>
        </w:rPr>
        <w:t xml:space="preserve"> to 2020. In 2020 </w:t>
      </w:r>
      <w:r w:rsidR="00FA166D" w:rsidRPr="00656D19">
        <w:rPr>
          <w:rFonts w:ascii="Arial" w:hAnsi="Arial" w:cs="Arial"/>
          <w:sz w:val="24"/>
          <w:szCs w:val="24"/>
        </w:rPr>
        <w:t>its</w:t>
      </w:r>
      <w:r w:rsidR="006313BC" w:rsidRPr="00656D19">
        <w:rPr>
          <w:rFonts w:ascii="Arial" w:hAnsi="Arial" w:cs="Arial"/>
          <w:sz w:val="24"/>
          <w:szCs w:val="24"/>
        </w:rPr>
        <w:t xml:space="preserve"> pre</w:t>
      </w:r>
      <w:r w:rsidR="00FA166D" w:rsidRPr="00656D19">
        <w:rPr>
          <w:rFonts w:ascii="Arial" w:hAnsi="Arial" w:cs="Arial"/>
          <w:sz w:val="24"/>
          <w:szCs w:val="24"/>
        </w:rPr>
        <w:t>-</w:t>
      </w:r>
      <w:r w:rsidR="006313BC" w:rsidRPr="00656D19">
        <w:rPr>
          <w:rFonts w:ascii="Arial" w:hAnsi="Arial" w:cs="Arial"/>
          <w:sz w:val="24"/>
          <w:szCs w:val="24"/>
        </w:rPr>
        <w:t>tax margin was drastically low.</w:t>
      </w:r>
    </w:p>
    <w:p w14:paraId="4E221117" w14:textId="77777777" w:rsidR="006313BC" w:rsidRPr="00656D19" w:rsidRDefault="006313BC"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Net profit margin:</w:t>
      </w:r>
      <w:r w:rsidR="00227B9B" w:rsidRPr="00656D19">
        <w:rPr>
          <w:rFonts w:ascii="Arial" w:hAnsi="Arial" w:cs="Arial"/>
          <w:b/>
          <w:bCs/>
          <w:sz w:val="24"/>
          <w:szCs w:val="24"/>
        </w:rPr>
        <w:t xml:space="preserve"> </w:t>
      </w:r>
      <w:r w:rsidR="0008705D" w:rsidRPr="00656D19">
        <w:rPr>
          <w:rFonts w:ascii="Arial" w:hAnsi="Arial" w:cs="Arial"/>
          <w:sz w:val="24"/>
          <w:szCs w:val="24"/>
        </w:rPr>
        <w:t xml:space="preserve">When all costs, both operational and non-operating, have been subtracted from revenue, the leftover </w:t>
      </w:r>
      <w:r w:rsidR="00227B9B" w:rsidRPr="00656D19">
        <w:rPr>
          <w:rFonts w:ascii="Arial" w:hAnsi="Arial" w:cs="Arial"/>
          <w:sz w:val="24"/>
          <w:szCs w:val="24"/>
        </w:rPr>
        <w:t xml:space="preserve">amount is the Net Profit Margin </w:t>
      </w:r>
      <w:r w:rsidR="00FA166D" w:rsidRPr="00656D19">
        <w:rPr>
          <w:rFonts w:ascii="Arial" w:hAnsi="Arial" w:cs="Arial"/>
          <w:sz w:val="24"/>
          <w:szCs w:val="24"/>
        </w:rPr>
        <w:t>(</w:t>
      </w:r>
      <w:r w:rsidR="001325E0" w:rsidRPr="00656D19">
        <w:rPr>
          <w:rFonts w:ascii="Arial" w:hAnsi="Arial" w:cs="Arial"/>
          <w:sz w:val="24"/>
          <w:szCs w:val="24"/>
        </w:rPr>
        <w:t>Bierman</w:t>
      </w:r>
      <w:r w:rsidR="00FA166D" w:rsidRPr="00656D19">
        <w:rPr>
          <w:rFonts w:ascii="Arial" w:hAnsi="Arial" w:cs="Arial"/>
          <w:sz w:val="24"/>
          <w:szCs w:val="24"/>
        </w:rPr>
        <w:t>,2020)</w:t>
      </w:r>
      <w:r w:rsidR="00227B9B" w:rsidRPr="00656D19">
        <w:rPr>
          <w:rFonts w:ascii="Arial" w:hAnsi="Arial" w:cs="Arial"/>
          <w:sz w:val="24"/>
          <w:szCs w:val="24"/>
        </w:rPr>
        <w:t>.</w:t>
      </w:r>
    </w:p>
    <w:p w14:paraId="0BF68BEE" w14:textId="77777777" w:rsidR="0008705D" w:rsidRPr="00656D19" w:rsidRDefault="0008705D" w:rsidP="001D35FA">
      <w:pPr>
        <w:spacing w:line="360" w:lineRule="auto"/>
        <w:jc w:val="both"/>
        <w:rPr>
          <w:rFonts w:ascii="Arial" w:hAnsi="Arial" w:cs="Arial"/>
          <w:color w:val="0D0D0D" w:themeColor="text1" w:themeTint="F2"/>
          <w:sz w:val="24"/>
          <w:szCs w:val="24"/>
        </w:rPr>
      </w:pPr>
    </w:p>
    <w:p w14:paraId="0C62E482" w14:textId="77777777" w:rsidR="006313BC" w:rsidRPr="00656D19" w:rsidRDefault="006313BC" w:rsidP="001D35FA">
      <w:pPr>
        <w:spacing w:line="360" w:lineRule="auto"/>
        <w:jc w:val="both"/>
        <w:rPr>
          <w:rFonts w:ascii="Arial" w:hAnsi="Arial" w:cs="Arial"/>
          <w:color w:val="0D0D0D" w:themeColor="text1" w:themeTint="F2"/>
          <w:sz w:val="24"/>
          <w:szCs w:val="24"/>
        </w:rPr>
      </w:pPr>
      <w:r w:rsidRPr="00656D19">
        <w:rPr>
          <w:rFonts w:ascii="Arial" w:hAnsi="Arial" w:cs="Arial"/>
          <w:noProof/>
        </w:rPr>
        <w:drawing>
          <wp:inline distT="0" distB="0" distL="0" distR="0" wp14:anchorId="3A1400CA" wp14:editId="2C6F29B7">
            <wp:extent cx="4572000" cy="2743200"/>
            <wp:effectExtent l="0" t="0" r="0" b="0"/>
            <wp:docPr id="9" name="Chart 9">
              <a:extLst xmlns:a="http://schemas.openxmlformats.org/drawingml/2006/main">
                <a:ext uri="{FF2B5EF4-FFF2-40B4-BE49-F238E27FC236}">
                  <a16:creationId xmlns:a16="http://schemas.microsoft.com/office/drawing/2014/main" id="{C9BB97A7-1B20-C659-F47A-EA55D36A22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8E507CC" w14:textId="77777777" w:rsidR="0008705D" w:rsidRPr="00656D19" w:rsidRDefault="0008705D" w:rsidP="001D35FA">
      <w:pPr>
        <w:spacing w:line="360" w:lineRule="auto"/>
        <w:jc w:val="both"/>
        <w:rPr>
          <w:rFonts w:ascii="Arial" w:hAnsi="Arial" w:cs="Arial"/>
          <w:color w:val="0D0D0D" w:themeColor="text1" w:themeTint="F2"/>
          <w:sz w:val="24"/>
          <w:szCs w:val="24"/>
        </w:rPr>
      </w:pPr>
    </w:p>
    <w:p w14:paraId="1568FC45" w14:textId="77777777" w:rsidR="0008705D"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lastRenderedPageBreak/>
        <w:t>Interpretation</w:t>
      </w:r>
      <w:r w:rsidR="006313BC" w:rsidRPr="00656D19">
        <w:rPr>
          <w:rFonts w:ascii="Arial" w:hAnsi="Arial" w:cs="Arial"/>
          <w:b/>
          <w:bCs/>
          <w:sz w:val="24"/>
          <w:szCs w:val="24"/>
        </w:rPr>
        <w:t>:</w:t>
      </w:r>
      <w:r w:rsidR="00227B9B" w:rsidRPr="00656D19">
        <w:rPr>
          <w:rFonts w:ascii="Arial" w:hAnsi="Arial" w:cs="Arial"/>
          <w:b/>
          <w:bCs/>
          <w:sz w:val="24"/>
          <w:szCs w:val="24"/>
        </w:rPr>
        <w:t xml:space="preserve"> </w:t>
      </w:r>
      <w:r w:rsidR="006313BC" w:rsidRPr="00656D19">
        <w:rPr>
          <w:rFonts w:ascii="Arial" w:hAnsi="Arial" w:cs="Arial"/>
          <w:color w:val="0D0D0D" w:themeColor="text1" w:themeTint="F2"/>
          <w:sz w:val="24"/>
          <w:szCs w:val="24"/>
        </w:rPr>
        <w:t xml:space="preserve">In 2021, Marriott International Inc. generated </w:t>
      </w:r>
      <w:r w:rsidR="0008705D" w:rsidRPr="00656D19">
        <w:rPr>
          <w:rFonts w:ascii="Arial" w:hAnsi="Arial" w:cs="Arial"/>
          <w:color w:val="0D0D0D" w:themeColor="text1" w:themeTint="F2"/>
          <w:sz w:val="24"/>
          <w:szCs w:val="24"/>
        </w:rPr>
        <w:t>$7.931</w:t>
      </w:r>
      <w:r w:rsidR="006313BC" w:rsidRPr="00656D19">
        <w:rPr>
          <w:rFonts w:ascii="Arial" w:hAnsi="Arial" w:cs="Arial"/>
          <w:color w:val="0D0D0D" w:themeColor="text1" w:themeTint="F2"/>
          <w:sz w:val="24"/>
          <w:szCs w:val="24"/>
        </w:rPr>
        <w:t xml:space="preserve"> net profit for every</w:t>
      </w:r>
      <w:r w:rsidR="0008705D" w:rsidRPr="00656D19">
        <w:rPr>
          <w:rFonts w:ascii="Arial" w:hAnsi="Arial" w:cs="Arial"/>
          <w:color w:val="0D0D0D" w:themeColor="text1" w:themeTint="F2"/>
          <w:sz w:val="24"/>
          <w:szCs w:val="24"/>
        </w:rPr>
        <w:t xml:space="preserve"> $</w:t>
      </w:r>
      <w:r w:rsidR="006313BC" w:rsidRPr="00656D19">
        <w:rPr>
          <w:rFonts w:ascii="Arial" w:hAnsi="Arial" w:cs="Arial"/>
          <w:color w:val="0D0D0D" w:themeColor="text1" w:themeTint="F2"/>
          <w:sz w:val="24"/>
          <w:szCs w:val="24"/>
        </w:rPr>
        <w:t xml:space="preserve">100 worth of sales. </w:t>
      </w:r>
      <w:r w:rsidR="0008705D" w:rsidRPr="00656D19">
        <w:rPr>
          <w:rFonts w:ascii="Arial" w:hAnsi="Arial" w:cs="Arial"/>
          <w:color w:val="0D0D0D" w:themeColor="text1" w:themeTint="F2"/>
          <w:sz w:val="24"/>
          <w:szCs w:val="24"/>
        </w:rPr>
        <w:t xml:space="preserve">But in 2020 the net profit margin was </w:t>
      </w:r>
      <w:r w:rsidR="00227B9B" w:rsidRPr="00656D19">
        <w:rPr>
          <w:rFonts w:ascii="Arial" w:hAnsi="Arial" w:cs="Arial"/>
          <w:color w:val="0D0D0D" w:themeColor="text1" w:themeTint="F2"/>
          <w:sz w:val="24"/>
          <w:szCs w:val="24"/>
        </w:rPr>
        <w:t xml:space="preserve">a </w:t>
      </w:r>
      <w:r w:rsidR="0008705D" w:rsidRPr="00656D19">
        <w:rPr>
          <w:rFonts w:ascii="Arial" w:hAnsi="Arial" w:cs="Arial"/>
          <w:color w:val="0D0D0D" w:themeColor="text1" w:themeTint="F2"/>
          <w:sz w:val="24"/>
          <w:szCs w:val="24"/>
        </w:rPr>
        <w:t xml:space="preserve">negative percentage which is -2.5258. It indicates the company didn’t make </w:t>
      </w:r>
      <w:r w:rsidR="00227B9B" w:rsidRPr="00656D19">
        <w:rPr>
          <w:rFonts w:ascii="Arial" w:hAnsi="Arial" w:cs="Arial"/>
          <w:color w:val="0D0D0D" w:themeColor="text1" w:themeTint="F2"/>
          <w:sz w:val="24"/>
          <w:szCs w:val="24"/>
        </w:rPr>
        <w:t xml:space="preserve">a </w:t>
      </w:r>
      <w:r w:rsidR="0008705D" w:rsidRPr="00656D19">
        <w:rPr>
          <w:rFonts w:ascii="Arial" w:hAnsi="Arial" w:cs="Arial"/>
          <w:color w:val="0D0D0D" w:themeColor="text1" w:themeTint="F2"/>
          <w:sz w:val="24"/>
          <w:szCs w:val="24"/>
        </w:rPr>
        <w:t>profit</w:t>
      </w:r>
      <w:r w:rsidR="009A54FE" w:rsidRPr="00656D19">
        <w:rPr>
          <w:rFonts w:ascii="Arial" w:hAnsi="Arial" w:cs="Arial"/>
          <w:color w:val="0D0D0D" w:themeColor="text1" w:themeTint="F2"/>
          <w:sz w:val="24"/>
          <w:szCs w:val="24"/>
        </w:rPr>
        <w:t xml:space="preserve"> in 2020, rather it lost money.</w:t>
      </w:r>
    </w:p>
    <w:p w14:paraId="77A2B0C4" w14:textId="77777777" w:rsidR="0008705D" w:rsidRPr="00656D19" w:rsidRDefault="0008705D" w:rsidP="001D35FA">
      <w:pPr>
        <w:spacing w:line="360" w:lineRule="auto"/>
        <w:jc w:val="both"/>
        <w:rPr>
          <w:rFonts w:ascii="Arial" w:hAnsi="Arial" w:cs="Arial"/>
          <w:sz w:val="24"/>
          <w:szCs w:val="24"/>
        </w:rPr>
      </w:pPr>
      <w:r w:rsidRPr="00656D19">
        <w:rPr>
          <w:rFonts w:ascii="Arial" w:hAnsi="Arial" w:cs="Arial"/>
          <w:b/>
          <w:bCs/>
          <w:sz w:val="24"/>
          <w:szCs w:val="24"/>
        </w:rPr>
        <w:t xml:space="preserve">Asset turnover: </w:t>
      </w:r>
      <w:r w:rsidRPr="00656D19">
        <w:rPr>
          <w:rFonts w:ascii="Arial" w:hAnsi="Arial" w:cs="Arial"/>
          <w:sz w:val="24"/>
          <w:szCs w:val="24"/>
        </w:rPr>
        <w:t>How quickly and effectively a company can recoup the cost of its assets is measured by look</w:t>
      </w:r>
      <w:r w:rsidR="00227B9B" w:rsidRPr="00656D19">
        <w:rPr>
          <w:rFonts w:ascii="Arial" w:hAnsi="Arial" w:cs="Arial"/>
          <w:sz w:val="24"/>
          <w:szCs w:val="24"/>
        </w:rPr>
        <w:t xml:space="preserve">ing at its total asset turnover </w:t>
      </w:r>
      <w:r w:rsidR="00FA166D" w:rsidRPr="00656D19">
        <w:rPr>
          <w:rFonts w:ascii="Arial" w:hAnsi="Arial" w:cs="Arial"/>
          <w:sz w:val="24"/>
          <w:szCs w:val="24"/>
        </w:rPr>
        <w:t>(Pickford, 2016)</w:t>
      </w:r>
      <w:r w:rsidR="00227B9B" w:rsidRPr="00656D19">
        <w:rPr>
          <w:rFonts w:ascii="Arial" w:hAnsi="Arial" w:cs="Arial"/>
          <w:sz w:val="24"/>
          <w:szCs w:val="24"/>
        </w:rPr>
        <w:t>.</w:t>
      </w:r>
    </w:p>
    <w:p w14:paraId="376436E8" w14:textId="77777777" w:rsidR="00F0009B" w:rsidRPr="00656D19" w:rsidRDefault="0008705D"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3FA00D46" wp14:editId="7A2A0E51">
            <wp:extent cx="4572000" cy="2743200"/>
            <wp:effectExtent l="0" t="0" r="0" b="0"/>
            <wp:docPr id="10" name="Chart 10">
              <a:extLst xmlns:a="http://schemas.openxmlformats.org/drawingml/2006/main">
                <a:ext uri="{FF2B5EF4-FFF2-40B4-BE49-F238E27FC236}">
                  <a16:creationId xmlns:a16="http://schemas.microsoft.com/office/drawing/2014/main" id="{705BA747-1B5C-E107-19A2-D6C8126DC6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A9B24BF" w14:textId="77777777" w:rsidR="0008705D"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08705D" w:rsidRPr="00656D19">
        <w:rPr>
          <w:rFonts w:ascii="Arial" w:hAnsi="Arial" w:cs="Arial"/>
          <w:b/>
          <w:bCs/>
          <w:sz w:val="24"/>
          <w:szCs w:val="24"/>
        </w:rPr>
        <w:t>:</w:t>
      </w:r>
      <w:r w:rsidR="00227B9B" w:rsidRPr="00656D19">
        <w:rPr>
          <w:rFonts w:ascii="Arial" w:hAnsi="Arial" w:cs="Arial"/>
          <w:b/>
          <w:bCs/>
          <w:sz w:val="24"/>
          <w:szCs w:val="24"/>
        </w:rPr>
        <w:t xml:space="preserve"> </w:t>
      </w:r>
      <w:r w:rsidR="0008705D" w:rsidRPr="00656D19">
        <w:rPr>
          <w:rFonts w:ascii="Arial" w:hAnsi="Arial" w:cs="Arial"/>
          <w:sz w:val="24"/>
          <w:szCs w:val="24"/>
        </w:rPr>
        <w:t>In 2021, Marriott International Inc. generated $0.5423 worth of sales against its every $1 total asset. It means the company was having low sale</w:t>
      </w:r>
      <w:r w:rsidR="00227B9B" w:rsidRPr="00656D19">
        <w:rPr>
          <w:rFonts w:ascii="Arial" w:hAnsi="Arial" w:cs="Arial"/>
          <w:sz w:val="24"/>
          <w:szCs w:val="24"/>
        </w:rPr>
        <w:t>s</w:t>
      </w:r>
      <w:r w:rsidR="0008705D" w:rsidRPr="00656D19">
        <w:rPr>
          <w:rFonts w:ascii="Arial" w:hAnsi="Arial" w:cs="Arial"/>
          <w:sz w:val="24"/>
          <w:szCs w:val="24"/>
        </w:rPr>
        <w:t xml:space="preserve">. On the other </w:t>
      </w:r>
      <w:r w:rsidR="00BC0A41" w:rsidRPr="00656D19">
        <w:rPr>
          <w:rFonts w:ascii="Arial" w:hAnsi="Arial" w:cs="Arial"/>
          <w:sz w:val="24"/>
          <w:szCs w:val="24"/>
        </w:rPr>
        <w:t>hand,</w:t>
      </w:r>
      <w:r w:rsidR="0008705D" w:rsidRPr="00656D19">
        <w:rPr>
          <w:rFonts w:ascii="Arial" w:hAnsi="Arial" w:cs="Arial"/>
          <w:sz w:val="24"/>
          <w:szCs w:val="24"/>
        </w:rPr>
        <w:t xml:space="preserve"> in 2020 </w:t>
      </w:r>
      <w:r w:rsidR="00BC0A41" w:rsidRPr="00656D19">
        <w:rPr>
          <w:rFonts w:ascii="Arial" w:hAnsi="Arial" w:cs="Arial"/>
          <w:sz w:val="24"/>
          <w:szCs w:val="24"/>
        </w:rPr>
        <w:t xml:space="preserve">the ratio was .428 which is lower than </w:t>
      </w:r>
      <w:r w:rsidR="00227B9B" w:rsidRPr="00656D19">
        <w:rPr>
          <w:rFonts w:ascii="Arial" w:hAnsi="Arial" w:cs="Arial"/>
          <w:sz w:val="24"/>
          <w:szCs w:val="24"/>
        </w:rPr>
        <w:t xml:space="preserve">in </w:t>
      </w:r>
      <w:r w:rsidR="00BC0A41" w:rsidRPr="00656D19">
        <w:rPr>
          <w:rFonts w:ascii="Arial" w:hAnsi="Arial" w:cs="Arial"/>
          <w:sz w:val="24"/>
          <w:szCs w:val="24"/>
        </w:rPr>
        <w:t>2021. It indicates in 2020 sale was very low compare</w:t>
      </w:r>
      <w:r w:rsidR="00227B9B" w:rsidRPr="00656D19">
        <w:rPr>
          <w:rFonts w:ascii="Arial" w:hAnsi="Arial" w:cs="Arial"/>
          <w:sz w:val="24"/>
          <w:szCs w:val="24"/>
        </w:rPr>
        <w:t>d</w:t>
      </w:r>
      <w:r w:rsidR="00BC0A41" w:rsidRPr="00656D19">
        <w:rPr>
          <w:rFonts w:ascii="Arial" w:hAnsi="Arial" w:cs="Arial"/>
          <w:sz w:val="24"/>
          <w:szCs w:val="24"/>
        </w:rPr>
        <w:t xml:space="preserve"> to 2021.</w:t>
      </w:r>
    </w:p>
    <w:p w14:paraId="4CDD6B48" w14:textId="77777777" w:rsidR="00D43776" w:rsidRPr="00656D19" w:rsidRDefault="00BC0A41" w:rsidP="001D35FA">
      <w:pPr>
        <w:spacing w:line="360" w:lineRule="auto"/>
        <w:jc w:val="both"/>
        <w:rPr>
          <w:rFonts w:ascii="Arial" w:hAnsi="Arial" w:cs="Arial"/>
          <w:sz w:val="24"/>
          <w:szCs w:val="24"/>
        </w:rPr>
      </w:pPr>
      <w:r w:rsidRPr="00656D19">
        <w:rPr>
          <w:rFonts w:ascii="Arial" w:hAnsi="Arial" w:cs="Arial"/>
          <w:b/>
          <w:bCs/>
          <w:sz w:val="24"/>
          <w:szCs w:val="24"/>
        </w:rPr>
        <w:t>Receivable Turnover:</w:t>
      </w:r>
    </w:p>
    <w:p w14:paraId="65699653" w14:textId="77777777" w:rsidR="00BC0A41" w:rsidRPr="00656D19" w:rsidRDefault="008E26EA"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3A743C1A" wp14:editId="4BC6E1B1">
            <wp:extent cx="3505200" cy="2065020"/>
            <wp:effectExtent l="0" t="0" r="0" b="0"/>
            <wp:docPr id="11" name="Chart 11">
              <a:extLst xmlns:a="http://schemas.openxmlformats.org/drawingml/2006/main">
                <a:ext uri="{FF2B5EF4-FFF2-40B4-BE49-F238E27FC236}">
                  <a16:creationId xmlns:a16="http://schemas.microsoft.com/office/drawing/2014/main" id="{598C02F6-3876-E23F-EC5E-9F46F06B5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EB8E0F2" w14:textId="77777777" w:rsidR="009A54FE"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lastRenderedPageBreak/>
        <w:t>Interpretation</w:t>
      </w:r>
      <w:r w:rsidR="008E26EA" w:rsidRPr="00656D19">
        <w:rPr>
          <w:rFonts w:ascii="Arial" w:hAnsi="Arial" w:cs="Arial"/>
          <w:b/>
          <w:bCs/>
          <w:sz w:val="24"/>
          <w:szCs w:val="24"/>
        </w:rPr>
        <w:t>:</w:t>
      </w:r>
      <w:r w:rsidR="00227B9B" w:rsidRPr="00656D19">
        <w:rPr>
          <w:rFonts w:ascii="Arial" w:hAnsi="Arial" w:cs="Arial"/>
          <w:b/>
          <w:bCs/>
          <w:sz w:val="24"/>
          <w:szCs w:val="24"/>
        </w:rPr>
        <w:t xml:space="preserve"> </w:t>
      </w:r>
      <w:r w:rsidR="008E26EA" w:rsidRPr="00656D19">
        <w:rPr>
          <w:rFonts w:ascii="Arial" w:hAnsi="Arial" w:cs="Arial"/>
          <w:sz w:val="24"/>
          <w:szCs w:val="24"/>
        </w:rPr>
        <w:t xml:space="preserve">In 2020, Marriott International Inc. needed an average of </w:t>
      </w:r>
      <w:r w:rsidR="00D43776" w:rsidRPr="00656D19">
        <w:rPr>
          <w:rFonts w:ascii="Arial" w:hAnsi="Arial" w:cs="Arial"/>
          <w:sz w:val="24"/>
          <w:szCs w:val="24"/>
        </w:rPr>
        <w:t>6</w:t>
      </w:r>
      <w:r w:rsidR="008E26EA" w:rsidRPr="00656D19">
        <w:rPr>
          <w:rFonts w:ascii="Arial" w:hAnsi="Arial" w:cs="Arial"/>
          <w:sz w:val="24"/>
          <w:szCs w:val="24"/>
        </w:rPr>
        <w:t xml:space="preserve"> days to collect account receivables from its customers. In 2021, the average collection was higher than that of 2020 suggesting that they were able to collect receivables from their debtors slower than the previous year. </w:t>
      </w:r>
    </w:p>
    <w:p w14:paraId="359A61E1" w14:textId="77777777" w:rsidR="008E26EA" w:rsidRPr="00656D19" w:rsidRDefault="008E26EA" w:rsidP="001D35FA">
      <w:pPr>
        <w:spacing w:line="360" w:lineRule="auto"/>
        <w:jc w:val="both"/>
        <w:rPr>
          <w:rFonts w:ascii="Arial" w:hAnsi="Arial" w:cs="Arial"/>
          <w:sz w:val="24"/>
          <w:szCs w:val="24"/>
        </w:rPr>
      </w:pPr>
      <w:r w:rsidRPr="00656D19">
        <w:rPr>
          <w:rFonts w:ascii="Arial" w:hAnsi="Arial" w:cs="Arial"/>
          <w:b/>
          <w:bCs/>
          <w:sz w:val="24"/>
          <w:szCs w:val="24"/>
        </w:rPr>
        <w:t xml:space="preserve">Days sales in receivable: </w:t>
      </w:r>
      <w:r w:rsidRPr="00656D19">
        <w:rPr>
          <w:rFonts w:ascii="Arial" w:hAnsi="Arial" w:cs="Arial"/>
          <w:sz w:val="24"/>
          <w:szCs w:val="24"/>
        </w:rPr>
        <w:t>The average time it takes a business to receive money from customers after making a sale is called "days sales in receivable</w:t>
      </w:r>
      <w:r w:rsidR="00227B9B" w:rsidRPr="00656D19">
        <w:rPr>
          <w:rFonts w:ascii="Arial" w:hAnsi="Arial" w:cs="Arial"/>
          <w:sz w:val="24"/>
          <w:szCs w:val="24"/>
        </w:rPr>
        <w:t xml:space="preserve"> </w:t>
      </w:r>
      <w:r w:rsidR="00FA166D" w:rsidRPr="00656D19">
        <w:rPr>
          <w:rFonts w:ascii="Arial" w:hAnsi="Arial" w:cs="Arial"/>
          <w:sz w:val="24"/>
          <w:szCs w:val="24"/>
        </w:rPr>
        <w:t>(Parkinson, 2017)</w:t>
      </w:r>
      <w:r w:rsidR="00227B9B" w:rsidRPr="00656D19">
        <w:rPr>
          <w:rFonts w:ascii="Arial" w:hAnsi="Arial" w:cs="Arial"/>
          <w:sz w:val="24"/>
          <w:szCs w:val="24"/>
        </w:rPr>
        <w:t>.</w:t>
      </w:r>
    </w:p>
    <w:p w14:paraId="7EA9D6E4" w14:textId="77777777" w:rsidR="00D43776" w:rsidRPr="00656D19" w:rsidRDefault="00D43776" w:rsidP="001D35FA">
      <w:pPr>
        <w:spacing w:line="360" w:lineRule="auto"/>
        <w:jc w:val="both"/>
        <w:rPr>
          <w:rFonts w:ascii="Arial" w:hAnsi="Arial" w:cs="Arial"/>
          <w:sz w:val="24"/>
          <w:szCs w:val="24"/>
        </w:rPr>
      </w:pPr>
    </w:p>
    <w:p w14:paraId="54A5E715" w14:textId="77777777" w:rsidR="00D43776" w:rsidRPr="00656D19" w:rsidRDefault="008E26EA"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64D44FAD" wp14:editId="29BD7725">
            <wp:extent cx="3497580" cy="2049780"/>
            <wp:effectExtent l="0" t="0" r="0" b="0"/>
            <wp:docPr id="12" name="Chart 12">
              <a:extLst xmlns:a="http://schemas.openxmlformats.org/drawingml/2006/main">
                <a:ext uri="{FF2B5EF4-FFF2-40B4-BE49-F238E27FC236}">
                  <a16:creationId xmlns:a16="http://schemas.microsoft.com/office/drawing/2014/main" id="{6CF4D5EE-3842-7303-AADE-B484886C80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B9EED03" w14:textId="77777777" w:rsidR="008E26EA"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8E26EA" w:rsidRPr="00656D19">
        <w:rPr>
          <w:rFonts w:ascii="Arial" w:hAnsi="Arial" w:cs="Arial"/>
          <w:b/>
          <w:bCs/>
          <w:sz w:val="24"/>
          <w:szCs w:val="24"/>
        </w:rPr>
        <w:t>:</w:t>
      </w:r>
      <w:r w:rsidR="00227B9B" w:rsidRPr="00656D19">
        <w:rPr>
          <w:rFonts w:ascii="Arial" w:hAnsi="Arial" w:cs="Arial"/>
          <w:b/>
          <w:bCs/>
          <w:sz w:val="24"/>
          <w:szCs w:val="24"/>
        </w:rPr>
        <w:t xml:space="preserve"> </w:t>
      </w:r>
      <w:r w:rsidR="00D43776" w:rsidRPr="00656D19">
        <w:rPr>
          <w:rFonts w:ascii="Arial" w:hAnsi="Arial" w:cs="Arial"/>
          <w:sz w:val="24"/>
          <w:szCs w:val="24"/>
        </w:rPr>
        <w:t>In 2021, Marriott International company receives money from its customer earlier than in 2020. In 2021 it took 52 days and in 2020 it took 61 days to receive money.</w:t>
      </w:r>
    </w:p>
    <w:p w14:paraId="1AF78ADF" w14:textId="77777777" w:rsidR="004B7917" w:rsidRPr="00656D19" w:rsidRDefault="00D43776" w:rsidP="001D35FA">
      <w:pPr>
        <w:spacing w:line="360" w:lineRule="auto"/>
        <w:jc w:val="both"/>
        <w:rPr>
          <w:rFonts w:ascii="Arial" w:hAnsi="Arial" w:cs="Arial"/>
          <w:sz w:val="24"/>
          <w:szCs w:val="24"/>
        </w:rPr>
      </w:pPr>
      <w:r w:rsidRPr="00656D19">
        <w:rPr>
          <w:rFonts w:ascii="Arial" w:hAnsi="Arial" w:cs="Arial"/>
          <w:b/>
          <w:bCs/>
          <w:sz w:val="24"/>
          <w:szCs w:val="24"/>
        </w:rPr>
        <w:t xml:space="preserve">ROE – return on equity: </w:t>
      </w:r>
    </w:p>
    <w:p w14:paraId="25974D61" w14:textId="77777777" w:rsidR="004B7917" w:rsidRPr="00656D19" w:rsidRDefault="00D43776"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13C2E552" wp14:editId="36733DE6">
            <wp:extent cx="3246120" cy="1630680"/>
            <wp:effectExtent l="0" t="0" r="0" b="0"/>
            <wp:docPr id="13" name="Chart 13">
              <a:extLst xmlns:a="http://schemas.openxmlformats.org/drawingml/2006/main">
                <a:ext uri="{FF2B5EF4-FFF2-40B4-BE49-F238E27FC236}">
                  <a16:creationId xmlns:a16="http://schemas.microsoft.com/office/drawing/2014/main" id="{B58028A5-EEF5-368C-004F-097A3E142A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88036D7" w14:textId="77777777" w:rsidR="00D43776"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Interpretation</w:t>
      </w:r>
      <w:r w:rsidR="00D43776" w:rsidRPr="00656D19">
        <w:rPr>
          <w:rFonts w:ascii="Arial" w:hAnsi="Arial" w:cs="Arial"/>
          <w:b/>
          <w:bCs/>
          <w:sz w:val="24"/>
          <w:szCs w:val="24"/>
        </w:rPr>
        <w:t>:</w:t>
      </w:r>
      <w:r w:rsidR="00227B9B" w:rsidRPr="00656D19">
        <w:rPr>
          <w:rFonts w:ascii="Arial" w:hAnsi="Arial" w:cs="Arial"/>
          <w:b/>
          <w:bCs/>
          <w:sz w:val="24"/>
          <w:szCs w:val="24"/>
        </w:rPr>
        <w:t xml:space="preserve"> </w:t>
      </w:r>
      <w:r w:rsidR="00D43776" w:rsidRPr="00656D19">
        <w:rPr>
          <w:rFonts w:ascii="Arial" w:hAnsi="Arial" w:cs="Arial"/>
          <w:color w:val="0D0D0D" w:themeColor="text1" w:themeTint="F2"/>
          <w:sz w:val="24"/>
          <w:szCs w:val="24"/>
        </w:rPr>
        <w:t>In 2021, Marriott International generated $77.72 for every $100 invested by the shareholders.</w:t>
      </w:r>
      <w:r w:rsidR="004B7917" w:rsidRPr="00656D19">
        <w:rPr>
          <w:rFonts w:ascii="Arial" w:hAnsi="Arial" w:cs="Arial"/>
          <w:color w:val="0D0D0D" w:themeColor="text1" w:themeTint="F2"/>
          <w:sz w:val="24"/>
          <w:szCs w:val="24"/>
        </w:rPr>
        <w:t xml:space="preserve"> But in 2020 it was -62.093%, </w:t>
      </w:r>
      <w:r w:rsidR="00D43776" w:rsidRPr="00656D19">
        <w:rPr>
          <w:rFonts w:ascii="Arial" w:hAnsi="Arial" w:cs="Arial"/>
          <w:color w:val="0D0D0D" w:themeColor="text1" w:themeTint="F2"/>
          <w:sz w:val="24"/>
          <w:szCs w:val="24"/>
        </w:rPr>
        <w:t>Return on equity had fallen in 20</w:t>
      </w:r>
      <w:r w:rsidR="004B7917" w:rsidRPr="00656D19">
        <w:rPr>
          <w:rFonts w:ascii="Arial" w:hAnsi="Arial" w:cs="Arial"/>
          <w:color w:val="0D0D0D" w:themeColor="text1" w:themeTint="F2"/>
          <w:sz w:val="24"/>
          <w:szCs w:val="24"/>
        </w:rPr>
        <w:t xml:space="preserve">20drastically </w:t>
      </w:r>
      <w:r w:rsidR="00D43776" w:rsidRPr="00656D19">
        <w:rPr>
          <w:rFonts w:ascii="Arial" w:hAnsi="Arial" w:cs="Arial"/>
          <w:color w:val="0D0D0D" w:themeColor="text1" w:themeTint="F2"/>
          <w:sz w:val="24"/>
          <w:szCs w:val="24"/>
        </w:rPr>
        <w:t xml:space="preserve">because of their </w:t>
      </w:r>
      <w:r w:rsidR="004B7917" w:rsidRPr="00656D19">
        <w:rPr>
          <w:rFonts w:ascii="Arial" w:hAnsi="Arial" w:cs="Arial"/>
          <w:color w:val="0D0D0D" w:themeColor="text1" w:themeTint="F2"/>
          <w:sz w:val="24"/>
          <w:szCs w:val="24"/>
        </w:rPr>
        <w:t>lower</w:t>
      </w:r>
      <w:r w:rsidR="00D43776" w:rsidRPr="00656D19">
        <w:rPr>
          <w:rFonts w:ascii="Arial" w:hAnsi="Arial" w:cs="Arial"/>
          <w:color w:val="0D0D0D" w:themeColor="text1" w:themeTint="F2"/>
          <w:sz w:val="24"/>
          <w:szCs w:val="24"/>
        </w:rPr>
        <w:t xml:space="preserve"> net income in th</w:t>
      </w:r>
      <w:r w:rsidR="004B7917" w:rsidRPr="00656D19">
        <w:rPr>
          <w:rFonts w:ascii="Arial" w:hAnsi="Arial" w:cs="Arial"/>
          <w:color w:val="0D0D0D" w:themeColor="text1" w:themeTint="F2"/>
          <w:sz w:val="24"/>
          <w:szCs w:val="24"/>
        </w:rPr>
        <w:t xml:space="preserve">at year. </w:t>
      </w:r>
    </w:p>
    <w:p w14:paraId="29C49D37" w14:textId="77777777" w:rsidR="004B7917" w:rsidRPr="00656D19" w:rsidRDefault="004B7917" w:rsidP="001D35FA">
      <w:pPr>
        <w:spacing w:line="360" w:lineRule="auto"/>
        <w:jc w:val="both"/>
        <w:rPr>
          <w:rFonts w:ascii="Arial" w:hAnsi="Arial" w:cs="Arial"/>
          <w:sz w:val="24"/>
          <w:szCs w:val="24"/>
        </w:rPr>
      </w:pPr>
      <w:r w:rsidRPr="00656D19">
        <w:rPr>
          <w:rFonts w:ascii="Arial" w:hAnsi="Arial" w:cs="Arial"/>
          <w:b/>
          <w:bCs/>
          <w:sz w:val="24"/>
          <w:szCs w:val="24"/>
        </w:rPr>
        <w:lastRenderedPageBreak/>
        <w:t xml:space="preserve">Return on tangible equity: </w:t>
      </w:r>
      <w:r w:rsidRPr="00656D19">
        <w:rPr>
          <w:rFonts w:ascii="Arial" w:hAnsi="Arial" w:cs="Arial"/>
          <w:sz w:val="24"/>
          <w:szCs w:val="24"/>
        </w:rPr>
        <w:t>Return on tangible equity measures the rate of return on the tangible common equity.</w:t>
      </w:r>
    </w:p>
    <w:p w14:paraId="76D008EA" w14:textId="77777777" w:rsidR="004B7917" w:rsidRPr="00656D19" w:rsidRDefault="004B7917"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6A513E10" wp14:editId="5E8FD782">
            <wp:extent cx="3208020" cy="2255520"/>
            <wp:effectExtent l="0" t="0" r="0" b="0"/>
            <wp:docPr id="14" name="Chart 14">
              <a:extLst xmlns:a="http://schemas.openxmlformats.org/drawingml/2006/main">
                <a:ext uri="{FF2B5EF4-FFF2-40B4-BE49-F238E27FC236}">
                  <a16:creationId xmlns:a16="http://schemas.microsoft.com/office/drawing/2014/main" id="{DB54502B-396F-8913-D319-2A69371DDF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5F2F338" w14:textId="77777777" w:rsidR="00AB505B"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4B7917" w:rsidRPr="00656D19">
        <w:rPr>
          <w:rFonts w:ascii="Arial" w:hAnsi="Arial" w:cs="Arial"/>
          <w:b/>
          <w:bCs/>
          <w:sz w:val="24"/>
          <w:szCs w:val="24"/>
        </w:rPr>
        <w:t xml:space="preserve">: </w:t>
      </w:r>
      <w:r w:rsidR="004B7917" w:rsidRPr="00656D19">
        <w:rPr>
          <w:rFonts w:ascii="Arial" w:hAnsi="Arial" w:cs="Arial"/>
          <w:sz w:val="24"/>
          <w:szCs w:val="24"/>
        </w:rPr>
        <w:t xml:space="preserve">Both </w:t>
      </w:r>
      <w:r w:rsidR="00227B9B" w:rsidRPr="00656D19">
        <w:rPr>
          <w:rFonts w:ascii="Arial" w:hAnsi="Arial" w:cs="Arial"/>
          <w:sz w:val="24"/>
          <w:szCs w:val="24"/>
        </w:rPr>
        <w:t xml:space="preserve">the </w:t>
      </w:r>
      <w:r w:rsidR="004B7917" w:rsidRPr="00656D19">
        <w:rPr>
          <w:rFonts w:ascii="Arial" w:hAnsi="Arial" w:cs="Arial"/>
          <w:sz w:val="24"/>
          <w:szCs w:val="24"/>
        </w:rPr>
        <w:t>2020 and 2021 years ha</w:t>
      </w:r>
      <w:r w:rsidR="00227B9B" w:rsidRPr="00656D19">
        <w:rPr>
          <w:rFonts w:ascii="Arial" w:hAnsi="Arial" w:cs="Arial"/>
          <w:sz w:val="24"/>
          <w:szCs w:val="24"/>
        </w:rPr>
        <w:t>ve</w:t>
      </w:r>
      <w:r w:rsidR="004B7917" w:rsidRPr="00656D19">
        <w:rPr>
          <w:rFonts w:ascii="Arial" w:hAnsi="Arial" w:cs="Arial"/>
          <w:sz w:val="24"/>
          <w:szCs w:val="24"/>
        </w:rPr>
        <w:t xml:space="preserve"> </w:t>
      </w:r>
      <w:r w:rsidR="00227B9B" w:rsidRPr="00656D19">
        <w:rPr>
          <w:rFonts w:ascii="Arial" w:hAnsi="Arial" w:cs="Arial"/>
          <w:sz w:val="24"/>
          <w:szCs w:val="24"/>
        </w:rPr>
        <w:t xml:space="preserve">a </w:t>
      </w:r>
      <w:r w:rsidR="004B7917" w:rsidRPr="00656D19">
        <w:rPr>
          <w:rFonts w:ascii="Arial" w:hAnsi="Arial" w:cs="Arial"/>
          <w:sz w:val="24"/>
          <w:szCs w:val="24"/>
        </w:rPr>
        <w:t xml:space="preserve">low percentage of tangible equity. Where in 2020 it was in </w:t>
      </w:r>
      <w:r w:rsidR="00227B9B" w:rsidRPr="00656D19">
        <w:rPr>
          <w:rFonts w:ascii="Arial" w:hAnsi="Arial" w:cs="Arial"/>
          <w:sz w:val="24"/>
          <w:szCs w:val="24"/>
        </w:rPr>
        <w:t xml:space="preserve">a </w:t>
      </w:r>
      <w:r w:rsidR="004B7917" w:rsidRPr="00656D19">
        <w:rPr>
          <w:rFonts w:ascii="Arial" w:hAnsi="Arial" w:cs="Arial"/>
          <w:sz w:val="24"/>
          <w:szCs w:val="24"/>
        </w:rPr>
        <w:t>minus figure which is -6.6265%, and in 2021 it was 1.5056%.</w:t>
      </w:r>
    </w:p>
    <w:p w14:paraId="0AE2DEE5" w14:textId="7C406C6F" w:rsidR="00E124BA" w:rsidRPr="00656D19" w:rsidRDefault="00AB505B" w:rsidP="001D35FA">
      <w:pPr>
        <w:spacing w:line="360" w:lineRule="auto"/>
        <w:jc w:val="both"/>
        <w:rPr>
          <w:rFonts w:ascii="Arial" w:hAnsi="Arial" w:cs="Arial"/>
          <w:sz w:val="28"/>
          <w:szCs w:val="28"/>
        </w:rPr>
      </w:pPr>
      <w:r w:rsidRPr="00656D19">
        <w:rPr>
          <w:rFonts w:ascii="Arial" w:hAnsi="Arial" w:cs="Arial"/>
          <w:b/>
          <w:bCs/>
          <w:sz w:val="24"/>
          <w:szCs w:val="24"/>
        </w:rPr>
        <w:t>ROA – return on assets:</w:t>
      </w:r>
      <w:r w:rsidR="00227B9B" w:rsidRPr="00656D19">
        <w:rPr>
          <w:rFonts w:ascii="Arial" w:hAnsi="Arial" w:cs="Arial"/>
          <w:b/>
          <w:bCs/>
          <w:sz w:val="24"/>
          <w:szCs w:val="24"/>
        </w:rPr>
        <w:t xml:space="preserve"> </w:t>
      </w:r>
      <w:r w:rsidRPr="00656D19">
        <w:rPr>
          <w:rFonts w:ascii="Arial" w:hAnsi="Arial" w:cs="Arial"/>
          <w:sz w:val="24"/>
          <w:szCs w:val="24"/>
        </w:rPr>
        <w:t>Companies perform better when their return on total assets is higher.</w:t>
      </w:r>
      <w:r w:rsidR="00FA166D" w:rsidRPr="00656D19">
        <w:rPr>
          <w:rFonts w:ascii="Arial" w:hAnsi="Arial" w:cs="Arial"/>
          <w:sz w:val="24"/>
          <w:szCs w:val="24"/>
        </w:rPr>
        <w:t xml:space="preserve"> (Smart,2012)</w:t>
      </w:r>
    </w:p>
    <w:p w14:paraId="3C8DA379" w14:textId="77777777" w:rsidR="00E124BA" w:rsidRPr="00656D19" w:rsidRDefault="00AB505B"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6DB57A01" wp14:editId="3EA93419">
            <wp:extent cx="3345180" cy="2042160"/>
            <wp:effectExtent l="0" t="0" r="0" b="0"/>
            <wp:docPr id="15" name="Chart 15">
              <a:extLst xmlns:a="http://schemas.openxmlformats.org/drawingml/2006/main">
                <a:ext uri="{FF2B5EF4-FFF2-40B4-BE49-F238E27FC236}">
                  <a16:creationId xmlns:a16="http://schemas.microsoft.com/office/drawing/2014/main" id="{BDABC57D-1B3C-E151-B16B-7B301690C6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0C54036" w14:textId="77777777" w:rsidR="00E124BA"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Interpretation</w:t>
      </w:r>
      <w:r w:rsidR="00AB505B" w:rsidRPr="00656D19">
        <w:rPr>
          <w:rFonts w:ascii="Arial" w:hAnsi="Arial" w:cs="Arial"/>
          <w:b/>
          <w:bCs/>
          <w:sz w:val="24"/>
          <w:szCs w:val="24"/>
        </w:rPr>
        <w:t>:</w:t>
      </w:r>
      <w:r w:rsidR="00227B9B" w:rsidRPr="00656D19">
        <w:rPr>
          <w:rFonts w:ascii="Arial" w:hAnsi="Arial" w:cs="Arial"/>
          <w:b/>
          <w:bCs/>
          <w:sz w:val="24"/>
          <w:szCs w:val="24"/>
        </w:rPr>
        <w:t xml:space="preserve"> </w:t>
      </w:r>
      <w:r w:rsidR="00AB505B" w:rsidRPr="00656D19">
        <w:rPr>
          <w:rFonts w:ascii="Arial" w:hAnsi="Arial" w:cs="Arial"/>
          <w:color w:val="0D0D0D" w:themeColor="text1" w:themeTint="F2"/>
          <w:sz w:val="24"/>
          <w:szCs w:val="24"/>
        </w:rPr>
        <w:t xml:space="preserve">In 2021, Marriott International Inc. generated $4.3009 net profit for every $100 investment in total assets. Return on total assets was down in 2020 which was -1.0809% </w:t>
      </w:r>
      <w:r w:rsidR="00227B9B" w:rsidRPr="00656D19">
        <w:rPr>
          <w:rFonts w:ascii="Arial" w:hAnsi="Arial" w:cs="Arial"/>
          <w:color w:val="0D0D0D" w:themeColor="text1" w:themeTint="F2"/>
          <w:sz w:val="24"/>
          <w:szCs w:val="24"/>
        </w:rPr>
        <w:t>which</w:t>
      </w:r>
      <w:r w:rsidR="00AB505B" w:rsidRPr="00656D19">
        <w:rPr>
          <w:rFonts w:ascii="Arial" w:hAnsi="Arial" w:cs="Arial"/>
          <w:color w:val="0D0D0D" w:themeColor="text1" w:themeTint="F2"/>
          <w:sz w:val="24"/>
          <w:szCs w:val="24"/>
        </w:rPr>
        <w:t xml:space="preserve"> means in that year there was no profit in </w:t>
      </w:r>
      <w:r w:rsidR="00227B9B" w:rsidRPr="00656D19">
        <w:rPr>
          <w:rFonts w:ascii="Arial" w:hAnsi="Arial" w:cs="Arial"/>
          <w:color w:val="0D0D0D" w:themeColor="text1" w:themeTint="F2"/>
          <w:sz w:val="24"/>
          <w:szCs w:val="24"/>
        </w:rPr>
        <w:t xml:space="preserve">the </w:t>
      </w:r>
      <w:r w:rsidR="00AB505B" w:rsidRPr="00656D19">
        <w:rPr>
          <w:rFonts w:ascii="Arial" w:hAnsi="Arial" w:cs="Arial"/>
          <w:color w:val="0D0D0D" w:themeColor="text1" w:themeTint="F2"/>
          <w:sz w:val="24"/>
          <w:szCs w:val="24"/>
        </w:rPr>
        <w:t>investment of total asset</w:t>
      </w:r>
      <w:r w:rsidR="00227B9B" w:rsidRPr="00656D19">
        <w:rPr>
          <w:rFonts w:ascii="Arial" w:hAnsi="Arial" w:cs="Arial"/>
          <w:color w:val="0D0D0D" w:themeColor="text1" w:themeTint="F2"/>
          <w:sz w:val="24"/>
          <w:szCs w:val="24"/>
        </w:rPr>
        <w:t>s</w:t>
      </w:r>
      <w:r w:rsidR="00AB505B" w:rsidRPr="00656D19">
        <w:rPr>
          <w:rFonts w:ascii="Arial" w:hAnsi="Arial" w:cs="Arial"/>
          <w:color w:val="0D0D0D" w:themeColor="text1" w:themeTint="F2"/>
          <w:sz w:val="24"/>
          <w:szCs w:val="24"/>
        </w:rPr>
        <w:t xml:space="preserve">. </w:t>
      </w:r>
    </w:p>
    <w:p w14:paraId="4A3D16A2" w14:textId="77777777" w:rsidR="00E124BA" w:rsidRPr="00656D19" w:rsidRDefault="00AB505B" w:rsidP="001D35FA">
      <w:pPr>
        <w:spacing w:line="360" w:lineRule="auto"/>
        <w:jc w:val="both"/>
        <w:rPr>
          <w:rFonts w:ascii="Arial" w:hAnsi="Arial" w:cs="Arial"/>
          <w:sz w:val="24"/>
          <w:szCs w:val="24"/>
        </w:rPr>
      </w:pPr>
      <w:r w:rsidRPr="00656D19">
        <w:rPr>
          <w:rFonts w:ascii="Arial" w:hAnsi="Arial" w:cs="Arial"/>
          <w:b/>
          <w:bCs/>
          <w:sz w:val="24"/>
          <w:szCs w:val="24"/>
        </w:rPr>
        <w:t>Book value per share:</w:t>
      </w:r>
      <w:r w:rsidR="00227B9B" w:rsidRPr="00656D19">
        <w:rPr>
          <w:rFonts w:ascii="Arial" w:hAnsi="Arial" w:cs="Arial"/>
          <w:b/>
          <w:bCs/>
          <w:sz w:val="24"/>
          <w:szCs w:val="24"/>
        </w:rPr>
        <w:t xml:space="preserve"> </w:t>
      </w:r>
      <w:r w:rsidR="00E124BA" w:rsidRPr="00656D19">
        <w:rPr>
          <w:rFonts w:ascii="Arial" w:hAnsi="Arial" w:cs="Arial"/>
          <w:sz w:val="24"/>
          <w:szCs w:val="24"/>
        </w:rPr>
        <w:t>It compares the firm's market value to its book value.</w:t>
      </w:r>
      <w:r w:rsidR="00FA166D" w:rsidRPr="00656D19">
        <w:rPr>
          <w:rFonts w:ascii="Arial" w:hAnsi="Arial" w:cs="Arial"/>
          <w:sz w:val="24"/>
          <w:szCs w:val="24"/>
        </w:rPr>
        <w:t xml:space="preserve"> (Tickle,2016)</w:t>
      </w:r>
    </w:p>
    <w:p w14:paraId="4636ADE1" w14:textId="1A42FD05" w:rsidR="00F0009B" w:rsidRPr="00656D19" w:rsidRDefault="00E124BA" w:rsidP="001D35FA">
      <w:pPr>
        <w:spacing w:line="360" w:lineRule="auto"/>
        <w:jc w:val="both"/>
        <w:rPr>
          <w:rFonts w:ascii="Arial" w:hAnsi="Arial" w:cs="Arial"/>
          <w:sz w:val="24"/>
          <w:szCs w:val="24"/>
        </w:rPr>
      </w:pPr>
      <w:r w:rsidRPr="00656D19">
        <w:rPr>
          <w:rFonts w:ascii="Arial" w:hAnsi="Arial" w:cs="Arial"/>
          <w:noProof/>
        </w:rPr>
        <w:lastRenderedPageBreak/>
        <w:drawing>
          <wp:inline distT="0" distB="0" distL="0" distR="0" wp14:anchorId="05393A27" wp14:editId="46F0ADA9">
            <wp:extent cx="3162300" cy="1988820"/>
            <wp:effectExtent l="0" t="0" r="0" b="0"/>
            <wp:docPr id="16" name="Chart 16">
              <a:extLst xmlns:a="http://schemas.openxmlformats.org/drawingml/2006/main">
                <a:ext uri="{FF2B5EF4-FFF2-40B4-BE49-F238E27FC236}">
                  <a16:creationId xmlns:a16="http://schemas.microsoft.com/office/drawing/2014/main" id="{C537B437-128E-BF10-5FEF-2A9CF8351B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AB9724C" w14:textId="77777777" w:rsidR="00204BB5" w:rsidRPr="00656D19" w:rsidRDefault="00F0009B" w:rsidP="001D35FA">
      <w:pPr>
        <w:spacing w:line="360" w:lineRule="auto"/>
        <w:jc w:val="both"/>
        <w:rPr>
          <w:rFonts w:ascii="Arial" w:hAnsi="Arial" w:cs="Arial"/>
          <w:color w:val="0D0D0D" w:themeColor="text1" w:themeTint="F2"/>
          <w:sz w:val="24"/>
          <w:szCs w:val="24"/>
        </w:rPr>
      </w:pPr>
      <w:r w:rsidRPr="00656D19">
        <w:rPr>
          <w:rFonts w:ascii="Arial" w:hAnsi="Arial" w:cs="Arial"/>
          <w:b/>
          <w:bCs/>
          <w:sz w:val="24"/>
          <w:szCs w:val="24"/>
        </w:rPr>
        <w:t>Interpretation</w:t>
      </w:r>
      <w:r w:rsidR="00E124BA" w:rsidRPr="00656D19">
        <w:rPr>
          <w:rFonts w:ascii="Arial" w:hAnsi="Arial" w:cs="Arial"/>
          <w:b/>
          <w:bCs/>
          <w:sz w:val="24"/>
          <w:szCs w:val="24"/>
        </w:rPr>
        <w:t>:</w:t>
      </w:r>
      <w:r w:rsidR="00227B9B" w:rsidRPr="00656D19">
        <w:rPr>
          <w:rFonts w:ascii="Arial" w:hAnsi="Arial" w:cs="Arial"/>
          <w:b/>
          <w:bCs/>
          <w:sz w:val="24"/>
          <w:szCs w:val="24"/>
        </w:rPr>
        <w:t xml:space="preserve"> </w:t>
      </w:r>
      <w:r w:rsidR="00E124BA" w:rsidRPr="00656D19">
        <w:rPr>
          <w:rFonts w:ascii="Arial" w:hAnsi="Arial" w:cs="Arial"/>
          <w:color w:val="0D0D0D" w:themeColor="text1" w:themeTint="F2"/>
          <w:sz w:val="24"/>
          <w:szCs w:val="24"/>
        </w:rPr>
        <w:t xml:space="preserve">Marriott’s </w:t>
      </w:r>
      <w:r w:rsidR="00227B9B" w:rsidRPr="00656D19">
        <w:rPr>
          <w:rFonts w:ascii="Arial" w:hAnsi="Arial" w:cs="Arial"/>
          <w:color w:val="0D0D0D" w:themeColor="text1" w:themeTint="F2"/>
          <w:sz w:val="24"/>
          <w:szCs w:val="24"/>
        </w:rPr>
        <w:t>Inc B</w:t>
      </w:r>
      <w:r w:rsidR="00E124BA" w:rsidRPr="00656D19">
        <w:rPr>
          <w:rFonts w:ascii="Arial" w:hAnsi="Arial" w:cs="Arial"/>
          <w:color w:val="0D0D0D" w:themeColor="text1" w:themeTint="F2"/>
          <w:sz w:val="24"/>
          <w:szCs w:val="24"/>
        </w:rPr>
        <w:t>ook value per share ratio was 1.325 in 2020. It increased in 2021 by $3.009. It indicates that the market price of the shares is also increasing gradually.</w:t>
      </w:r>
    </w:p>
    <w:p w14:paraId="7762941D" w14:textId="77777777" w:rsidR="00204BB5" w:rsidRPr="00656D19" w:rsidRDefault="00E124BA" w:rsidP="001D35FA">
      <w:pPr>
        <w:spacing w:line="360" w:lineRule="auto"/>
        <w:jc w:val="both"/>
        <w:rPr>
          <w:rFonts w:ascii="Arial" w:hAnsi="Arial" w:cs="Arial"/>
          <w:sz w:val="24"/>
          <w:szCs w:val="24"/>
        </w:rPr>
      </w:pPr>
      <w:r w:rsidRPr="00656D19">
        <w:rPr>
          <w:rFonts w:ascii="Arial" w:hAnsi="Arial" w:cs="Arial"/>
          <w:b/>
          <w:bCs/>
          <w:sz w:val="24"/>
          <w:szCs w:val="24"/>
        </w:rPr>
        <w:t xml:space="preserve">Operating cash flow per share: </w:t>
      </w:r>
      <w:r w:rsidR="00204BB5" w:rsidRPr="00656D19">
        <w:rPr>
          <w:rFonts w:ascii="Arial" w:hAnsi="Arial" w:cs="Arial"/>
          <w:sz w:val="24"/>
          <w:szCs w:val="24"/>
        </w:rPr>
        <w:t>Operating Cash Flow Per Share refers to the amount of cash a company generates from the revenues it brings in, excluding costs associated wi</w:t>
      </w:r>
      <w:r w:rsidR="00227B9B" w:rsidRPr="00656D19">
        <w:rPr>
          <w:rFonts w:ascii="Arial" w:hAnsi="Arial" w:cs="Arial"/>
          <w:sz w:val="24"/>
          <w:szCs w:val="24"/>
        </w:rPr>
        <w:t xml:space="preserve">th the long-term capital investment </w:t>
      </w:r>
      <w:r w:rsidR="00B14C86" w:rsidRPr="00656D19">
        <w:rPr>
          <w:rFonts w:ascii="Arial" w:hAnsi="Arial" w:cs="Arial"/>
          <w:sz w:val="24"/>
          <w:szCs w:val="24"/>
        </w:rPr>
        <w:t>(Stockopedia,2022)</w:t>
      </w:r>
      <w:r w:rsidR="00227B9B" w:rsidRPr="00656D19">
        <w:rPr>
          <w:rFonts w:ascii="Arial" w:hAnsi="Arial" w:cs="Arial"/>
          <w:sz w:val="24"/>
          <w:szCs w:val="24"/>
        </w:rPr>
        <w:t>.</w:t>
      </w:r>
    </w:p>
    <w:p w14:paraId="1BD919D1" w14:textId="77777777" w:rsidR="00204BB5" w:rsidRPr="00656D19" w:rsidRDefault="00204BB5" w:rsidP="001D35FA">
      <w:pPr>
        <w:spacing w:line="360" w:lineRule="auto"/>
        <w:jc w:val="both"/>
        <w:rPr>
          <w:rFonts w:ascii="Arial" w:hAnsi="Arial" w:cs="Arial"/>
          <w:sz w:val="24"/>
          <w:szCs w:val="24"/>
        </w:rPr>
      </w:pPr>
    </w:p>
    <w:p w14:paraId="72C0355F" w14:textId="77777777" w:rsidR="00204BB5" w:rsidRPr="00656D19" w:rsidRDefault="00204BB5" w:rsidP="001D35FA">
      <w:pPr>
        <w:spacing w:line="360" w:lineRule="auto"/>
        <w:jc w:val="both"/>
        <w:rPr>
          <w:rFonts w:ascii="Arial" w:hAnsi="Arial" w:cs="Arial"/>
          <w:sz w:val="24"/>
          <w:szCs w:val="24"/>
        </w:rPr>
      </w:pPr>
      <w:r w:rsidRPr="00656D19">
        <w:rPr>
          <w:rFonts w:ascii="Arial" w:hAnsi="Arial" w:cs="Arial"/>
          <w:noProof/>
        </w:rPr>
        <w:drawing>
          <wp:inline distT="0" distB="0" distL="0" distR="0" wp14:anchorId="5283A642" wp14:editId="5159CF50">
            <wp:extent cx="3223260" cy="1927860"/>
            <wp:effectExtent l="0" t="0" r="0" b="0"/>
            <wp:docPr id="17" name="Chart 17">
              <a:extLst xmlns:a="http://schemas.openxmlformats.org/drawingml/2006/main">
                <a:ext uri="{FF2B5EF4-FFF2-40B4-BE49-F238E27FC236}">
                  <a16:creationId xmlns:a16="http://schemas.microsoft.com/office/drawing/2014/main" id="{1C06A098-7211-A726-0C9E-A4D6A62A65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2CC8488" w14:textId="77777777" w:rsidR="00204BB5"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204BB5" w:rsidRPr="00656D19">
        <w:rPr>
          <w:rFonts w:ascii="Arial" w:hAnsi="Arial" w:cs="Arial"/>
          <w:b/>
          <w:bCs/>
          <w:sz w:val="24"/>
          <w:szCs w:val="24"/>
        </w:rPr>
        <w:t>:</w:t>
      </w:r>
      <w:r w:rsidR="00204BB5" w:rsidRPr="00656D19">
        <w:rPr>
          <w:rFonts w:ascii="Arial" w:hAnsi="Arial" w:cs="Arial"/>
          <w:sz w:val="24"/>
          <w:szCs w:val="24"/>
        </w:rPr>
        <w:t xml:space="preserve"> In 2020, Marriott International Inc made positive cash flow which indicates cash was incoming in the company but in 2021 the cash flow was negative which was a bad indication for the company.  </w:t>
      </w:r>
    </w:p>
    <w:p w14:paraId="0B053B89" w14:textId="77777777" w:rsidR="00204BB5" w:rsidRPr="00656D19" w:rsidRDefault="00204BB5" w:rsidP="001D35FA">
      <w:pPr>
        <w:spacing w:line="360" w:lineRule="auto"/>
        <w:jc w:val="both"/>
        <w:rPr>
          <w:rFonts w:ascii="Arial" w:hAnsi="Arial" w:cs="Arial"/>
          <w:sz w:val="24"/>
          <w:szCs w:val="24"/>
        </w:rPr>
      </w:pPr>
      <w:r w:rsidRPr="00656D19">
        <w:rPr>
          <w:rFonts w:ascii="Arial" w:hAnsi="Arial" w:cs="Arial"/>
          <w:b/>
          <w:bCs/>
          <w:sz w:val="24"/>
          <w:szCs w:val="24"/>
        </w:rPr>
        <w:t xml:space="preserve">Free cash flow per share: </w:t>
      </w:r>
      <w:r w:rsidRPr="00656D19">
        <w:rPr>
          <w:rFonts w:ascii="Arial" w:hAnsi="Arial" w:cs="Arial"/>
          <w:sz w:val="24"/>
          <w:szCs w:val="24"/>
        </w:rPr>
        <w:t>Free cash flow measures a company's financial flexibility by dividing free cash flow by t</w:t>
      </w:r>
      <w:r w:rsidR="00227B9B" w:rsidRPr="00656D19">
        <w:rPr>
          <w:rFonts w:ascii="Arial" w:hAnsi="Arial" w:cs="Arial"/>
          <w:sz w:val="24"/>
          <w:szCs w:val="24"/>
        </w:rPr>
        <w:t xml:space="preserve">he number of outstanding shares </w:t>
      </w:r>
      <w:r w:rsidR="00FA166D" w:rsidRPr="00656D19">
        <w:rPr>
          <w:rFonts w:ascii="Arial" w:hAnsi="Arial" w:cs="Arial"/>
          <w:sz w:val="24"/>
          <w:szCs w:val="24"/>
        </w:rPr>
        <w:t>(Kelly,2013)</w:t>
      </w:r>
      <w:r w:rsidR="00227B9B" w:rsidRPr="00656D19">
        <w:rPr>
          <w:rFonts w:ascii="Arial" w:hAnsi="Arial" w:cs="Arial"/>
          <w:sz w:val="24"/>
          <w:szCs w:val="24"/>
        </w:rPr>
        <w:t>.</w:t>
      </w:r>
    </w:p>
    <w:p w14:paraId="62C9C059" w14:textId="77777777" w:rsidR="00F0009B" w:rsidRPr="00656D19" w:rsidRDefault="00F0009B" w:rsidP="001D35FA">
      <w:pPr>
        <w:spacing w:line="360" w:lineRule="auto"/>
        <w:jc w:val="both"/>
        <w:rPr>
          <w:rFonts w:ascii="Arial" w:hAnsi="Arial" w:cs="Arial"/>
          <w:sz w:val="24"/>
          <w:szCs w:val="24"/>
        </w:rPr>
      </w:pPr>
    </w:p>
    <w:p w14:paraId="1C00C116" w14:textId="23F4D5BB" w:rsidR="00F0009B" w:rsidRPr="00656D19" w:rsidRDefault="00204BB5" w:rsidP="001D35FA">
      <w:pPr>
        <w:spacing w:line="360" w:lineRule="auto"/>
        <w:jc w:val="both"/>
        <w:rPr>
          <w:rFonts w:ascii="Arial" w:hAnsi="Arial" w:cs="Arial"/>
          <w:b/>
          <w:bCs/>
          <w:sz w:val="24"/>
          <w:szCs w:val="24"/>
        </w:rPr>
      </w:pPr>
      <w:r w:rsidRPr="00656D19">
        <w:rPr>
          <w:rFonts w:ascii="Arial" w:hAnsi="Arial" w:cs="Arial"/>
          <w:noProof/>
        </w:rPr>
        <w:lastRenderedPageBreak/>
        <w:drawing>
          <wp:inline distT="0" distB="0" distL="0" distR="0" wp14:anchorId="27C9DE34" wp14:editId="6343327D">
            <wp:extent cx="3543300" cy="2156460"/>
            <wp:effectExtent l="0" t="0" r="0" b="0"/>
            <wp:docPr id="18" name="Chart 18">
              <a:extLst xmlns:a="http://schemas.openxmlformats.org/drawingml/2006/main">
                <a:ext uri="{FF2B5EF4-FFF2-40B4-BE49-F238E27FC236}">
                  <a16:creationId xmlns:a16="http://schemas.microsoft.com/office/drawing/2014/main" id="{E44226FA-9F2D-2483-C839-DD3FFC8C11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3FC32A5" w14:textId="77777777" w:rsidR="00204BB5" w:rsidRPr="00656D19" w:rsidRDefault="00F0009B" w:rsidP="001D35FA">
      <w:pPr>
        <w:spacing w:line="360" w:lineRule="auto"/>
        <w:jc w:val="both"/>
        <w:rPr>
          <w:rFonts w:ascii="Arial" w:hAnsi="Arial" w:cs="Arial"/>
          <w:sz w:val="24"/>
          <w:szCs w:val="24"/>
        </w:rPr>
      </w:pPr>
      <w:r w:rsidRPr="00656D19">
        <w:rPr>
          <w:rFonts w:ascii="Arial" w:hAnsi="Arial" w:cs="Arial"/>
          <w:b/>
          <w:bCs/>
          <w:sz w:val="24"/>
          <w:szCs w:val="24"/>
        </w:rPr>
        <w:t>Interpretation</w:t>
      </w:r>
      <w:r w:rsidR="00204BB5" w:rsidRPr="00656D19">
        <w:rPr>
          <w:rFonts w:ascii="Arial" w:hAnsi="Arial" w:cs="Arial"/>
          <w:b/>
          <w:bCs/>
          <w:sz w:val="24"/>
          <w:szCs w:val="24"/>
        </w:rPr>
        <w:t xml:space="preserve">: </w:t>
      </w:r>
      <w:r w:rsidR="00204BB5" w:rsidRPr="00656D19">
        <w:rPr>
          <w:rFonts w:ascii="Arial" w:hAnsi="Arial" w:cs="Arial"/>
          <w:sz w:val="24"/>
          <w:szCs w:val="24"/>
        </w:rPr>
        <w:t xml:space="preserve">In 2020, Marriott International </w:t>
      </w:r>
      <w:r w:rsidRPr="00656D19">
        <w:rPr>
          <w:rFonts w:ascii="Arial" w:hAnsi="Arial" w:cs="Arial"/>
          <w:sz w:val="24"/>
          <w:szCs w:val="24"/>
        </w:rPr>
        <w:t xml:space="preserve">Inc. had 1.161 free cash flow per share which indicates good financial health but in 2021 it was -2.3594 which was less than 1 and it’s unhealthy for </w:t>
      </w:r>
      <w:r w:rsidR="00227B9B" w:rsidRPr="00656D19">
        <w:rPr>
          <w:rFonts w:ascii="Arial" w:hAnsi="Arial" w:cs="Arial"/>
          <w:sz w:val="24"/>
          <w:szCs w:val="24"/>
        </w:rPr>
        <w:t xml:space="preserve">the </w:t>
      </w:r>
      <w:r w:rsidRPr="00656D19">
        <w:rPr>
          <w:rFonts w:ascii="Arial" w:hAnsi="Arial" w:cs="Arial"/>
          <w:sz w:val="24"/>
          <w:szCs w:val="24"/>
        </w:rPr>
        <w:t xml:space="preserve">company. </w:t>
      </w:r>
    </w:p>
    <w:p w14:paraId="5D2FD2FC" w14:textId="77777777" w:rsidR="006420DE" w:rsidRPr="00656D19" w:rsidRDefault="00F0009B" w:rsidP="001D35FA">
      <w:pPr>
        <w:pStyle w:val="Heading2"/>
        <w:spacing w:line="360" w:lineRule="auto"/>
        <w:jc w:val="both"/>
        <w:rPr>
          <w:rFonts w:ascii="Arial" w:hAnsi="Arial" w:cs="Arial"/>
          <w:sz w:val="28"/>
          <w:szCs w:val="28"/>
        </w:rPr>
      </w:pPr>
      <w:bookmarkStart w:id="6" w:name="_Toc119000263"/>
      <w:bookmarkStart w:id="7" w:name="_Toc121339692"/>
      <w:r w:rsidRPr="00656D19">
        <w:rPr>
          <w:rFonts w:ascii="Arial" w:hAnsi="Arial" w:cs="Arial"/>
          <w:sz w:val="28"/>
          <w:szCs w:val="28"/>
        </w:rPr>
        <w:t>B) Importance and limitations of ratio analysis</w:t>
      </w:r>
      <w:bookmarkEnd w:id="6"/>
      <w:bookmarkEnd w:id="7"/>
    </w:p>
    <w:p w14:paraId="0EBDEEBB" w14:textId="77777777" w:rsidR="00F0009B" w:rsidRPr="00656D19" w:rsidRDefault="00272870" w:rsidP="001D35FA">
      <w:pPr>
        <w:spacing w:line="360" w:lineRule="auto"/>
        <w:jc w:val="both"/>
        <w:rPr>
          <w:rFonts w:ascii="Arial" w:hAnsi="Arial" w:cs="Arial"/>
          <w:sz w:val="24"/>
          <w:szCs w:val="24"/>
        </w:rPr>
      </w:pPr>
      <w:r w:rsidRPr="00656D19">
        <w:rPr>
          <w:rFonts w:ascii="Arial" w:hAnsi="Arial" w:cs="Arial"/>
          <w:sz w:val="24"/>
          <w:szCs w:val="24"/>
        </w:rPr>
        <w:t xml:space="preserve">Every method has its limitations, pros and cons. Ratio analysis is </w:t>
      </w:r>
      <w:r w:rsidR="00BE14C8" w:rsidRPr="00656D19">
        <w:rPr>
          <w:rFonts w:ascii="Arial" w:hAnsi="Arial" w:cs="Arial"/>
          <w:sz w:val="24"/>
          <w:szCs w:val="24"/>
        </w:rPr>
        <w:t xml:space="preserve">a </w:t>
      </w:r>
      <w:r w:rsidRPr="00656D19">
        <w:rPr>
          <w:rFonts w:ascii="Arial" w:hAnsi="Arial" w:cs="Arial"/>
          <w:sz w:val="24"/>
          <w:szCs w:val="24"/>
        </w:rPr>
        <w:t>widely used tool to analyze the financial condition of a company. By analyzing Marriott International Inc.</w:t>
      </w:r>
      <w:r w:rsidR="00227B9B" w:rsidRPr="00656D19">
        <w:rPr>
          <w:rFonts w:ascii="Arial" w:hAnsi="Arial" w:cs="Arial"/>
          <w:sz w:val="24"/>
          <w:szCs w:val="24"/>
        </w:rPr>
        <w:t>'s</w:t>
      </w:r>
      <w:r w:rsidRPr="00656D19">
        <w:rPr>
          <w:rFonts w:ascii="Arial" w:hAnsi="Arial" w:cs="Arial"/>
          <w:sz w:val="24"/>
          <w:szCs w:val="24"/>
        </w:rPr>
        <w:t xml:space="preserve"> financial data </w:t>
      </w:r>
      <w:r w:rsidR="00227B9B" w:rsidRPr="00656D19">
        <w:rPr>
          <w:rFonts w:ascii="Arial" w:hAnsi="Arial" w:cs="Arial"/>
          <w:sz w:val="24"/>
          <w:szCs w:val="24"/>
        </w:rPr>
        <w:t>for</w:t>
      </w:r>
      <w:r w:rsidRPr="00656D19">
        <w:rPr>
          <w:rFonts w:ascii="Arial" w:hAnsi="Arial" w:cs="Arial"/>
          <w:sz w:val="24"/>
          <w:szCs w:val="24"/>
        </w:rPr>
        <w:t xml:space="preserve"> </w:t>
      </w:r>
      <w:r w:rsidR="00227B9B" w:rsidRPr="00656D19">
        <w:rPr>
          <w:rFonts w:ascii="Arial" w:hAnsi="Arial" w:cs="Arial"/>
          <w:sz w:val="24"/>
          <w:szCs w:val="24"/>
        </w:rPr>
        <w:t xml:space="preserve">the </w:t>
      </w:r>
      <w:r w:rsidRPr="00656D19">
        <w:rPr>
          <w:rFonts w:ascii="Arial" w:hAnsi="Arial" w:cs="Arial"/>
          <w:sz w:val="24"/>
          <w:szCs w:val="24"/>
        </w:rPr>
        <w:t>fiscal year</w:t>
      </w:r>
      <w:r w:rsidR="00227B9B" w:rsidRPr="00656D19">
        <w:rPr>
          <w:rFonts w:ascii="Arial" w:hAnsi="Arial" w:cs="Arial"/>
          <w:sz w:val="24"/>
          <w:szCs w:val="24"/>
        </w:rPr>
        <w:t>s</w:t>
      </w:r>
      <w:r w:rsidRPr="00656D19">
        <w:rPr>
          <w:rFonts w:ascii="Arial" w:hAnsi="Arial" w:cs="Arial"/>
          <w:sz w:val="24"/>
          <w:szCs w:val="24"/>
        </w:rPr>
        <w:t xml:space="preserve"> 2020 and 2021,</w:t>
      </w:r>
      <w:r w:rsidR="00BE14C8" w:rsidRPr="00656D19">
        <w:rPr>
          <w:rFonts w:ascii="Arial" w:hAnsi="Arial" w:cs="Arial"/>
          <w:sz w:val="24"/>
          <w:szCs w:val="24"/>
        </w:rPr>
        <w:t xml:space="preserve"> now</w:t>
      </w:r>
      <w:r w:rsidRPr="00656D19">
        <w:rPr>
          <w:rFonts w:ascii="Arial" w:hAnsi="Arial" w:cs="Arial"/>
          <w:sz w:val="24"/>
          <w:szCs w:val="24"/>
        </w:rPr>
        <w:t xml:space="preserve"> we can conclude the </w:t>
      </w:r>
      <w:r w:rsidR="00BE14C8" w:rsidRPr="00656D19">
        <w:rPr>
          <w:rFonts w:ascii="Arial" w:hAnsi="Arial" w:cs="Arial"/>
          <w:sz w:val="24"/>
          <w:szCs w:val="24"/>
        </w:rPr>
        <w:t xml:space="preserve">financial </w:t>
      </w:r>
      <w:r w:rsidRPr="00656D19">
        <w:rPr>
          <w:rFonts w:ascii="Arial" w:hAnsi="Arial" w:cs="Arial"/>
          <w:sz w:val="24"/>
          <w:szCs w:val="24"/>
        </w:rPr>
        <w:t>condition of the company. But ratio analysis has some limitation</w:t>
      </w:r>
      <w:r w:rsidR="00227B9B" w:rsidRPr="00656D19">
        <w:rPr>
          <w:rFonts w:ascii="Arial" w:hAnsi="Arial" w:cs="Arial"/>
          <w:sz w:val="24"/>
          <w:szCs w:val="24"/>
        </w:rPr>
        <w:t>s</w:t>
      </w:r>
      <w:r w:rsidRPr="00656D19">
        <w:rPr>
          <w:rFonts w:ascii="Arial" w:hAnsi="Arial" w:cs="Arial"/>
          <w:sz w:val="24"/>
          <w:szCs w:val="24"/>
        </w:rPr>
        <w:t>, as</w:t>
      </w:r>
      <w:r w:rsidR="00BE14C8" w:rsidRPr="00656D19">
        <w:rPr>
          <w:rFonts w:ascii="Arial" w:hAnsi="Arial" w:cs="Arial"/>
          <w:sz w:val="24"/>
          <w:szCs w:val="24"/>
        </w:rPr>
        <w:t xml:space="preserve"> mention</w:t>
      </w:r>
      <w:r w:rsidR="00227B9B" w:rsidRPr="00656D19">
        <w:rPr>
          <w:rFonts w:ascii="Arial" w:hAnsi="Arial" w:cs="Arial"/>
          <w:sz w:val="24"/>
          <w:szCs w:val="24"/>
        </w:rPr>
        <w:t>ed</w:t>
      </w:r>
      <w:r w:rsidRPr="00656D19">
        <w:rPr>
          <w:rFonts w:ascii="Arial" w:hAnsi="Arial" w:cs="Arial"/>
          <w:sz w:val="24"/>
          <w:szCs w:val="24"/>
        </w:rPr>
        <w:t xml:space="preserve"> above graphs we can see in 2020 Marriott International Inc.</w:t>
      </w:r>
      <w:r w:rsidR="00227B9B" w:rsidRPr="00656D19">
        <w:rPr>
          <w:rFonts w:ascii="Arial" w:hAnsi="Arial" w:cs="Arial"/>
          <w:sz w:val="24"/>
          <w:szCs w:val="24"/>
        </w:rPr>
        <w:t>'s</w:t>
      </w:r>
      <w:r w:rsidRPr="00656D19">
        <w:rPr>
          <w:rFonts w:ascii="Arial" w:hAnsi="Arial" w:cs="Arial"/>
          <w:sz w:val="24"/>
          <w:szCs w:val="24"/>
        </w:rPr>
        <w:t xml:space="preserve"> financial condition was so poor compare</w:t>
      </w:r>
      <w:r w:rsidR="00227B9B" w:rsidRPr="00656D19">
        <w:rPr>
          <w:rFonts w:ascii="Arial" w:hAnsi="Arial" w:cs="Arial"/>
          <w:sz w:val="24"/>
          <w:szCs w:val="24"/>
        </w:rPr>
        <w:t>d</w:t>
      </w:r>
      <w:r w:rsidRPr="00656D19">
        <w:rPr>
          <w:rFonts w:ascii="Arial" w:hAnsi="Arial" w:cs="Arial"/>
          <w:sz w:val="24"/>
          <w:szCs w:val="24"/>
        </w:rPr>
        <w:t xml:space="preserve"> to 2021. We can assume for the COVID-19 pandemic company didn’t profit much in that year. Therefore, </w:t>
      </w:r>
      <w:r w:rsidR="00227B9B" w:rsidRPr="00656D19">
        <w:rPr>
          <w:rFonts w:ascii="Arial" w:hAnsi="Arial" w:cs="Arial"/>
          <w:sz w:val="24"/>
          <w:szCs w:val="24"/>
        </w:rPr>
        <w:t xml:space="preserve">an </w:t>
      </w:r>
      <w:r w:rsidRPr="00656D19">
        <w:rPr>
          <w:rFonts w:ascii="Arial" w:hAnsi="Arial" w:cs="Arial"/>
          <w:sz w:val="24"/>
          <w:szCs w:val="24"/>
        </w:rPr>
        <w:t xml:space="preserve">external natural factor is involved </w:t>
      </w:r>
      <w:r w:rsidR="00227B9B" w:rsidRPr="00656D19">
        <w:rPr>
          <w:rFonts w:ascii="Arial" w:hAnsi="Arial" w:cs="Arial"/>
          <w:sz w:val="24"/>
          <w:szCs w:val="24"/>
        </w:rPr>
        <w:t>in</w:t>
      </w:r>
      <w:r w:rsidRPr="00656D19">
        <w:rPr>
          <w:rFonts w:ascii="Arial" w:hAnsi="Arial" w:cs="Arial"/>
          <w:sz w:val="24"/>
          <w:szCs w:val="24"/>
        </w:rPr>
        <w:t xml:space="preserve"> the poor condition of the company</w:t>
      </w:r>
      <w:r w:rsidR="00BE14C8" w:rsidRPr="00656D19">
        <w:rPr>
          <w:rFonts w:ascii="Arial" w:hAnsi="Arial" w:cs="Arial"/>
          <w:sz w:val="24"/>
          <w:szCs w:val="24"/>
        </w:rPr>
        <w:t>’s financial health</w:t>
      </w:r>
      <w:r w:rsidRPr="00656D19">
        <w:rPr>
          <w:rFonts w:ascii="Arial" w:hAnsi="Arial" w:cs="Arial"/>
          <w:sz w:val="24"/>
          <w:szCs w:val="24"/>
        </w:rPr>
        <w:t xml:space="preserve"> </w:t>
      </w:r>
      <w:r w:rsidR="000F2321" w:rsidRPr="00656D19">
        <w:rPr>
          <w:rFonts w:ascii="Arial" w:hAnsi="Arial" w:cs="Arial"/>
          <w:sz w:val="24"/>
          <w:szCs w:val="24"/>
        </w:rPr>
        <w:t>(Kelly, 2013)</w:t>
      </w:r>
      <w:r w:rsidR="00227B9B" w:rsidRPr="00656D19">
        <w:rPr>
          <w:rFonts w:ascii="Arial" w:hAnsi="Arial" w:cs="Arial"/>
          <w:sz w:val="24"/>
          <w:szCs w:val="24"/>
        </w:rPr>
        <w:t>.</w:t>
      </w:r>
    </w:p>
    <w:p w14:paraId="277C45F7" w14:textId="77777777" w:rsidR="00B36CC7" w:rsidRPr="00656D19" w:rsidRDefault="00272870" w:rsidP="001D35FA">
      <w:pPr>
        <w:spacing w:line="360" w:lineRule="auto"/>
        <w:jc w:val="both"/>
        <w:rPr>
          <w:rFonts w:ascii="Arial" w:hAnsi="Arial" w:cs="Arial"/>
          <w:sz w:val="24"/>
          <w:szCs w:val="24"/>
        </w:rPr>
      </w:pPr>
      <w:r w:rsidRPr="00656D19">
        <w:rPr>
          <w:rFonts w:ascii="Arial" w:hAnsi="Arial" w:cs="Arial"/>
          <w:sz w:val="24"/>
          <w:szCs w:val="24"/>
        </w:rPr>
        <w:t xml:space="preserve">In contrast, if we see things </w:t>
      </w:r>
      <w:r w:rsidR="00227B9B" w:rsidRPr="00656D19">
        <w:rPr>
          <w:rFonts w:ascii="Arial" w:hAnsi="Arial" w:cs="Arial"/>
          <w:sz w:val="24"/>
          <w:szCs w:val="24"/>
        </w:rPr>
        <w:t>from</w:t>
      </w:r>
      <w:r w:rsidR="00BE14C8" w:rsidRPr="00656D19">
        <w:rPr>
          <w:rFonts w:ascii="Arial" w:hAnsi="Arial" w:cs="Arial"/>
          <w:sz w:val="24"/>
          <w:szCs w:val="24"/>
        </w:rPr>
        <w:t xml:space="preserve"> other perspective</w:t>
      </w:r>
      <w:r w:rsidR="00227B9B" w:rsidRPr="00656D19">
        <w:rPr>
          <w:rFonts w:ascii="Arial" w:hAnsi="Arial" w:cs="Arial"/>
          <w:sz w:val="24"/>
          <w:szCs w:val="24"/>
        </w:rPr>
        <w:t>s</w:t>
      </w:r>
      <w:r w:rsidR="00BE14C8" w:rsidRPr="00656D19">
        <w:rPr>
          <w:rFonts w:ascii="Arial" w:hAnsi="Arial" w:cs="Arial"/>
          <w:sz w:val="24"/>
          <w:szCs w:val="24"/>
        </w:rPr>
        <w:t xml:space="preserve"> then we can use ratio analysis in various ways to understand the condition of any company</w:t>
      </w:r>
      <w:r w:rsidR="00227B9B" w:rsidRPr="00656D19">
        <w:rPr>
          <w:rFonts w:ascii="Arial" w:hAnsi="Arial" w:cs="Arial"/>
          <w:sz w:val="24"/>
          <w:szCs w:val="24"/>
        </w:rPr>
        <w:t xml:space="preserve"> </w:t>
      </w:r>
      <w:r w:rsidR="006420DE" w:rsidRPr="00656D19">
        <w:rPr>
          <w:rFonts w:ascii="Arial" w:hAnsi="Arial" w:cs="Arial"/>
        </w:rPr>
        <w:t>(</w:t>
      </w:r>
      <w:r w:rsidR="006420DE" w:rsidRPr="00656D19">
        <w:rPr>
          <w:rFonts w:ascii="Arial" w:hAnsi="Arial" w:cs="Arial"/>
          <w:sz w:val="24"/>
          <w:szCs w:val="24"/>
        </w:rPr>
        <w:t>Brenda, 2022).</w:t>
      </w:r>
      <w:r w:rsidR="00BE14C8" w:rsidRPr="00656D19">
        <w:rPr>
          <w:rFonts w:ascii="Arial" w:hAnsi="Arial" w:cs="Arial"/>
          <w:sz w:val="24"/>
          <w:szCs w:val="24"/>
        </w:rPr>
        <w:t xml:space="preserve"> So, depending on that the company can forecast the future, what to do and how to do</w:t>
      </w:r>
      <w:r w:rsidR="00227B9B" w:rsidRPr="00656D19">
        <w:rPr>
          <w:rFonts w:ascii="Arial" w:hAnsi="Arial" w:cs="Arial"/>
          <w:sz w:val="24"/>
          <w:szCs w:val="24"/>
        </w:rPr>
        <w:t xml:space="preserve"> it</w:t>
      </w:r>
      <w:r w:rsidR="00BE14C8" w:rsidRPr="00656D19">
        <w:rPr>
          <w:rFonts w:ascii="Arial" w:hAnsi="Arial" w:cs="Arial"/>
          <w:sz w:val="24"/>
          <w:szCs w:val="24"/>
        </w:rPr>
        <w:t xml:space="preserve">. Though it’s </w:t>
      </w:r>
      <w:r w:rsidR="00CE4285" w:rsidRPr="00656D19">
        <w:rPr>
          <w:rFonts w:ascii="Arial" w:hAnsi="Arial" w:cs="Arial"/>
          <w:sz w:val="24"/>
          <w:szCs w:val="24"/>
        </w:rPr>
        <w:t>having</w:t>
      </w:r>
      <w:r w:rsidR="00BE14C8" w:rsidRPr="00656D19">
        <w:rPr>
          <w:rFonts w:ascii="Arial" w:hAnsi="Arial" w:cs="Arial"/>
          <w:sz w:val="24"/>
          <w:szCs w:val="24"/>
        </w:rPr>
        <w:t xml:space="preserve"> some limitations, ratio analysis is much </w:t>
      </w:r>
      <w:r w:rsidR="00227B9B" w:rsidRPr="00656D19">
        <w:rPr>
          <w:rFonts w:ascii="Arial" w:hAnsi="Arial" w:cs="Arial"/>
          <w:sz w:val="24"/>
          <w:szCs w:val="24"/>
        </w:rPr>
        <w:t xml:space="preserve">more </w:t>
      </w:r>
      <w:r w:rsidR="00BE14C8" w:rsidRPr="00656D19">
        <w:rPr>
          <w:rFonts w:ascii="Arial" w:hAnsi="Arial" w:cs="Arial"/>
          <w:sz w:val="24"/>
          <w:szCs w:val="24"/>
        </w:rPr>
        <w:t xml:space="preserve">important for any company to check </w:t>
      </w:r>
      <w:r w:rsidR="00227B9B" w:rsidRPr="00656D19">
        <w:rPr>
          <w:rFonts w:ascii="Arial" w:hAnsi="Arial" w:cs="Arial"/>
          <w:sz w:val="24"/>
          <w:szCs w:val="24"/>
        </w:rPr>
        <w:t>its</w:t>
      </w:r>
      <w:r w:rsidR="00BE14C8" w:rsidRPr="00656D19">
        <w:rPr>
          <w:rFonts w:ascii="Arial" w:hAnsi="Arial" w:cs="Arial"/>
          <w:sz w:val="24"/>
          <w:szCs w:val="24"/>
        </w:rPr>
        <w:t xml:space="preserve"> financial health of the company.  </w:t>
      </w:r>
    </w:p>
    <w:p w14:paraId="6594D9E3" w14:textId="77777777" w:rsidR="006420DE" w:rsidRPr="00656D19" w:rsidRDefault="00BE14C8" w:rsidP="001D35FA">
      <w:pPr>
        <w:pStyle w:val="Heading2"/>
        <w:spacing w:line="360" w:lineRule="auto"/>
        <w:jc w:val="both"/>
        <w:rPr>
          <w:rFonts w:ascii="Arial" w:hAnsi="Arial" w:cs="Arial"/>
        </w:rPr>
      </w:pPr>
      <w:bookmarkStart w:id="8" w:name="_Toc119000264"/>
      <w:bookmarkStart w:id="9" w:name="_Toc121339693"/>
      <w:r w:rsidRPr="00656D19">
        <w:rPr>
          <w:rFonts w:ascii="Arial" w:hAnsi="Arial" w:cs="Arial"/>
          <w:sz w:val="28"/>
          <w:szCs w:val="28"/>
        </w:rPr>
        <w:t>C)</w:t>
      </w:r>
      <w:r w:rsidR="00CE4285" w:rsidRPr="00656D19">
        <w:rPr>
          <w:rFonts w:ascii="Arial" w:hAnsi="Arial" w:cs="Arial"/>
          <w:sz w:val="28"/>
          <w:szCs w:val="28"/>
        </w:rPr>
        <w:t>Understanding</w:t>
      </w:r>
      <w:r w:rsidR="007E348F" w:rsidRPr="00656D19">
        <w:rPr>
          <w:rFonts w:ascii="Arial" w:hAnsi="Arial" w:cs="Arial"/>
          <w:sz w:val="28"/>
          <w:szCs w:val="28"/>
        </w:rPr>
        <w:t xml:space="preserve"> of ratios and </w:t>
      </w:r>
      <w:r w:rsidR="00227B9B" w:rsidRPr="00656D19">
        <w:rPr>
          <w:rFonts w:ascii="Arial" w:hAnsi="Arial" w:cs="Arial"/>
          <w:sz w:val="28"/>
          <w:szCs w:val="28"/>
        </w:rPr>
        <w:t>their</w:t>
      </w:r>
      <w:r w:rsidR="007E348F" w:rsidRPr="00656D19">
        <w:rPr>
          <w:rFonts w:ascii="Arial" w:hAnsi="Arial" w:cs="Arial"/>
          <w:sz w:val="28"/>
          <w:szCs w:val="28"/>
        </w:rPr>
        <w:t xml:space="preserve"> importance </w:t>
      </w:r>
      <w:r w:rsidR="00CE4285" w:rsidRPr="00656D19">
        <w:rPr>
          <w:rFonts w:ascii="Arial" w:hAnsi="Arial" w:cs="Arial"/>
          <w:sz w:val="28"/>
          <w:szCs w:val="28"/>
        </w:rPr>
        <w:t>for</w:t>
      </w:r>
      <w:r w:rsidR="007E348F" w:rsidRPr="00656D19">
        <w:rPr>
          <w:rFonts w:ascii="Arial" w:hAnsi="Arial" w:cs="Arial"/>
          <w:sz w:val="28"/>
          <w:szCs w:val="28"/>
        </w:rPr>
        <w:t xml:space="preserve"> decision</w:t>
      </w:r>
      <w:r w:rsidR="00CE4285" w:rsidRPr="00656D19">
        <w:rPr>
          <w:rFonts w:ascii="Arial" w:hAnsi="Arial" w:cs="Arial"/>
          <w:sz w:val="28"/>
          <w:szCs w:val="28"/>
        </w:rPr>
        <w:t xml:space="preserve"> making</w:t>
      </w:r>
      <w:bookmarkEnd w:id="8"/>
      <w:bookmarkEnd w:id="9"/>
    </w:p>
    <w:p w14:paraId="1A77CC68" w14:textId="77777777" w:rsidR="009A54FE" w:rsidRPr="00656D19" w:rsidRDefault="00CE4285" w:rsidP="001D35FA">
      <w:pPr>
        <w:spacing w:line="360" w:lineRule="auto"/>
        <w:jc w:val="both"/>
        <w:rPr>
          <w:rFonts w:ascii="Arial" w:hAnsi="Arial" w:cs="Arial"/>
          <w:sz w:val="24"/>
          <w:szCs w:val="24"/>
        </w:rPr>
      </w:pPr>
      <w:r w:rsidRPr="00656D19">
        <w:rPr>
          <w:rFonts w:ascii="Arial" w:hAnsi="Arial" w:cs="Arial"/>
          <w:sz w:val="24"/>
          <w:szCs w:val="24"/>
        </w:rPr>
        <w:t xml:space="preserve">Like symptoms, ratios don't reveal the root cause of an issue, but they might point the company's attention to potential trouble spots. They make it easier to compare large datasets, different parts of a business, and companies in the same industry. When tracked over time, these figures can serve as an early warning system for </w:t>
      </w:r>
      <w:r w:rsidRPr="00656D19">
        <w:rPr>
          <w:rFonts w:ascii="Arial" w:hAnsi="Arial" w:cs="Arial"/>
          <w:sz w:val="24"/>
          <w:szCs w:val="24"/>
        </w:rPr>
        <w:lastRenderedPageBreak/>
        <w:t>spotting changes in the company's financial health</w:t>
      </w:r>
      <w:r w:rsidR="006420DE" w:rsidRPr="00656D19">
        <w:rPr>
          <w:rFonts w:ascii="Arial" w:hAnsi="Arial" w:cs="Arial"/>
          <w:sz w:val="24"/>
          <w:szCs w:val="24"/>
        </w:rPr>
        <w:t xml:space="preserve"> (Bierman, 2014).</w:t>
      </w:r>
      <w:r w:rsidR="00227B9B" w:rsidRPr="00656D19">
        <w:rPr>
          <w:rFonts w:ascii="Arial" w:hAnsi="Arial" w:cs="Arial"/>
          <w:sz w:val="24"/>
          <w:szCs w:val="24"/>
        </w:rPr>
        <w:t xml:space="preserve"> Managerial decision-</w:t>
      </w:r>
      <w:r w:rsidRPr="00656D19">
        <w:rPr>
          <w:rFonts w:ascii="Arial" w:hAnsi="Arial" w:cs="Arial"/>
          <w:sz w:val="24"/>
          <w:szCs w:val="24"/>
        </w:rPr>
        <w:t>making that makes good use of financial ratios requires an appreciation of the inner workings of the organization from a monetary perspective. Consider the ratios over time as a system of symptom markers rather than a single number. Furthermore, it is highly beneficial to have a standard against which progress can be measured. Managerial analysis can benefit from benchmarking to industry standards for businesses of a similar si</w:t>
      </w:r>
      <w:r w:rsidR="00227B9B" w:rsidRPr="00656D19">
        <w:rPr>
          <w:rFonts w:ascii="Arial" w:hAnsi="Arial" w:cs="Arial"/>
          <w:sz w:val="24"/>
          <w:szCs w:val="24"/>
        </w:rPr>
        <w:t xml:space="preserve">ze, broken down by profit level </w:t>
      </w:r>
      <w:r w:rsidR="000F2321" w:rsidRPr="00656D19">
        <w:rPr>
          <w:rFonts w:ascii="Arial" w:hAnsi="Arial" w:cs="Arial"/>
          <w:sz w:val="24"/>
          <w:szCs w:val="24"/>
        </w:rPr>
        <w:t>(Alhabeeb,2012)</w:t>
      </w:r>
      <w:r w:rsidR="00227B9B" w:rsidRPr="00656D19">
        <w:rPr>
          <w:rFonts w:ascii="Arial" w:hAnsi="Arial" w:cs="Arial"/>
          <w:sz w:val="24"/>
          <w:szCs w:val="24"/>
        </w:rPr>
        <w:t>.</w:t>
      </w:r>
    </w:p>
    <w:p w14:paraId="00E97DB0" w14:textId="77777777" w:rsidR="00B36CC7" w:rsidRPr="00656D19" w:rsidRDefault="009A54FE" w:rsidP="001D35FA">
      <w:pPr>
        <w:jc w:val="both"/>
        <w:rPr>
          <w:rFonts w:ascii="Arial" w:hAnsi="Arial" w:cs="Arial"/>
          <w:sz w:val="24"/>
          <w:szCs w:val="24"/>
        </w:rPr>
      </w:pPr>
      <w:r w:rsidRPr="00656D19">
        <w:rPr>
          <w:rFonts w:ascii="Arial" w:hAnsi="Arial" w:cs="Arial"/>
          <w:sz w:val="24"/>
          <w:szCs w:val="24"/>
        </w:rPr>
        <w:br w:type="page"/>
      </w:r>
    </w:p>
    <w:p w14:paraId="18877C7E" w14:textId="77777777" w:rsidR="006420DE" w:rsidRPr="00656D19" w:rsidRDefault="00CE4285" w:rsidP="001D35FA">
      <w:pPr>
        <w:pStyle w:val="Heading1"/>
        <w:spacing w:line="360" w:lineRule="auto"/>
        <w:jc w:val="both"/>
        <w:rPr>
          <w:rFonts w:ascii="Arial" w:hAnsi="Arial" w:cs="Arial"/>
        </w:rPr>
      </w:pPr>
      <w:bookmarkStart w:id="10" w:name="_Toc119000265"/>
      <w:bookmarkStart w:id="11" w:name="_Toc121339694"/>
      <w:r w:rsidRPr="00656D19">
        <w:rPr>
          <w:rFonts w:ascii="Arial" w:hAnsi="Arial" w:cs="Arial"/>
        </w:rPr>
        <w:lastRenderedPageBreak/>
        <w:t>Conclusion</w:t>
      </w:r>
      <w:bookmarkEnd w:id="10"/>
      <w:bookmarkEnd w:id="11"/>
    </w:p>
    <w:p w14:paraId="20BFA00E" w14:textId="77777777" w:rsidR="009A54FE" w:rsidRPr="00656D19" w:rsidRDefault="00CE4285" w:rsidP="001D35FA">
      <w:pPr>
        <w:spacing w:line="360" w:lineRule="auto"/>
        <w:jc w:val="both"/>
        <w:rPr>
          <w:rFonts w:ascii="Arial" w:hAnsi="Arial" w:cs="Arial"/>
          <w:sz w:val="24"/>
          <w:szCs w:val="24"/>
        </w:rPr>
      </w:pPr>
      <w:r w:rsidRPr="00656D19">
        <w:rPr>
          <w:rFonts w:ascii="Arial" w:hAnsi="Arial" w:cs="Arial"/>
          <w:sz w:val="24"/>
          <w:szCs w:val="24"/>
        </w:rPr>
        <w:t xml:space="preserve">Data and information that may be used by a company to make choices are normally available in great quantity but can be challenging to sort through. A business may put </w:t>
      </w:r>
      <w:r w:rsidR="00227B9B" w:rsidRPr="00656D19">
        <w:rPr>
          <w:rFonts w:ascii="Arial" w:hAnsi="Arial" w:cs="Arial"/>
          <w:sz w:val="24"/>
          <w:szCs w:val="24"/>
        </w:rPr>
        <w:t>its</w:t>
      </w:r>
      <w:r w:rsidRPr="00656D19">
        <w:rPr>
          <w:rFonts w:ascii="Arial" w:hAnsi="Arial" w:cs="Arial"/>
          <w:sz w:val="24"/>
          <w:szCs w:val="24"/>
        </w:rPr>
        <w:t xml:space="preserve"> data to greater use by drawing comparisons between different sets of figures. Here in this report, we did a financial analysis of Marriott International Inc. We have shown the figure in graphs </w:t>
      </w:r>
      <w:proofErr w:type="gramStart"/>
      <w:r w:rsidRPr="00656D19">
        <w:rPr>
          <w:rFonts w:ascii="Arial" w:hAnsi="Arial" w:cs="Arial"/>
          <w:sz w:val="24"/>
          <w:szCs w:val="24"/>
        </w:rPr>
        <w:t>and also</w:t>
      </w:r>
      <w:proofErr w:type="gramEnd"/>
      <w:r w:rsidRPr="00656D19">
        <w:rPr>
          <w:rFonts w:ascii="Arial" w:hAnsi="Arial" w:cs="Arial"/>
          <w:sz w:val="24"/>
          <w:szCs w:val="24"/>
        </w:rPr>
        <w:t xml:space="preserve"> interpreted the graph to understand in what condition the company was in 2020 and 2021.</w:t>
      </w:r>
      <w:r w:rsidR="00227B9B" w:rsidRPr="00656D19">
        <w:rPr>
          <w:rFonts w:ascii="Arial" w:hAnsi="Arial" w:cs="Arial"/>
          <w:sz w:val="24"/>
          <w:szCs w:val="24"/>
        </w:rPr>
        <w:t xml:space="preserve"> </w:t>
      </w:r>
      <w:r w:rsidRPr="00656D19">
        <w:rPr>
          <w:rFonts w:ascii="Arial" w:hAnsi="Arial" w:cs="Arial"/>
          <w:sz w:val="24"/>
          <w:szCs w:val="24"/>
        </w:rPr>
        <w:t xml:space="preserve">Hereby, A business may learn more about its performance over time, in comparison to the market, and </w:t>
      </w:r>
      <w:proofErr w:type="gramStart"/>
      <w:r w:rsidRPr="00656D19">
        <w:rPr>
          <w:rFonts w:ascii="Arial" w:hAnsi="Arial" w:cs="Arial"/>
          <w:sz w:val="24"/>
          <w:szCs w:val="24"/>
        </w:rPr>
        <w:t>in light of</w:t>
      </w:r>
      <w:proofErr w:type="gramEnd"/>
      <w:r w:rsidRPr="00656D19">
        <w:rPr>
          <w:rFonts w:ascii="Arial" w:hAnsi="Arial" w:cs="Arial"/>
          <w:sz w:val="24"/>
          <w:szCs w:val="24"/>
        </w:rPr>
        <w:t xml:space="preserve"> internal goals using a technique called ratio analysis. Although ratio analysis is </w:t>
      </w:r>
      <w:proofErr w:type="gramStart"/>
      <w:r w:rsidRPr="00656D19">
        <w:rPr>
          <w:rFonts w:ascii="Arial" w:hAnsi="Arial" w:cs="Arial"/>
          <w:sz w:val="24"/>
          <w:szCs w:val="24"/>
        </w:rPr>
        <w:t>most commonly applied</w:t>
      </w:r>
      <w:proofErr w:type="gramEnd"/>
      <w:r w:rsidRPr="00656D19">
        <w:rPr>
          <w:rFonts w:ascii="Arial" w:hAnsi="Arial" w:cs="Arial"/>
          <w:sz w:val="24"/>
          <w:szCs w:val="24"/>
        </w:rPr>
        <w:t xml:space="preserve"> to financial measures, it may be conducted on other types of data as well.</w:t>
      </w:r>
    </w:p>
    <w:p w14:paraId="726BF37D" w14:textId="77777777" w:rsidR="002A6CFD" w:rsidRPr="00656D19" w:rsidRDefault="009A54FE" w:rsidP="001D35FA">
      <w:pPr>
        <w:jc w:val="both"/>
        <w:rPr>
          <w:rFonts w:ascii="Arial" w:hAnsi="Arial" w:cs="Arial"/>
          <w:sz w:val="24"/>
          <w:szCs w:val="24"/>
        </w:rPr>
      </w:pPr>
      <w:r w:rsidRPr="00656D19">
        <w:rPr>
          <w:rFonts w:ascii="Arial" w:hAnsi="Arial" w:cs="Arial"/>
          <w:sz w:val="24"/>
          <w:szCs w:val="24"/>
        </w:rPr>
        <w:br w:type="page"/>
      </w:r>
    </w:p>
    <w:p w14:paraId="32690606" w14:textId="77777777" w:rsidR="009A54FE" w:rsidRPr="00656D19" w:rsidRDefault="00B36CC7" w:rsidP="001D35FA">
      <w:pPr>
        <w:pStyle w:val="Heading1"/>
        <w:spacing w:line="360" w:lineRule="auto"/>
        <w:jc w:val="both"/>
        <w:rPr>
          <w:rFonts w:ascii="Arial" w:hAnsi="Arial" w:cs="Arial"/>
        </w:rPr>
      </w:pPr>
      <w:bookmarkStart w:id="12" w:name="_Toc119000266"/>
      <w:bookmarkStart w:id="13" w:name="_Toc121339695"/>
      <w:r w:rsidRPr="00656D19">
        <w:rPr>
          <w:rFonts w:ascii="Arial" w:hAnsi="Arial" w:cs="Arial"/>
        </w:rPr>
        <w:lastRenderedPageBreak/>
        <w:t>References</w:t>
      </w:r>
      <w:bookmarkEnd w:id="12"/>
      <w:bookmarkEnd w:id="13"/>
    </w:p>
    <w:p w14:paraId="0218DCF0" w14:textId="77777777" w:rsidR="00227B9B" w:rsidRPr="00656D19" w:rsidRDefault="00227B9B" w:rsidP="00227B9B">
      <w:pPr>
        <w:pStyle w:val="NormalWeb"/>
        <w:numPr>
          <w:ilvl w:val="0"/>
          <w:numId w:val="5"/>
        </w:numPr>
        <w:spacing w:line="360" w:lineRule="auto"/>
        <w:rPr>
          <w:rFonts w:ascii="Arial" w:hAnsi="Arial" w:cs="Arial"/>
        </w:rPr>
      </w:pPr>
      <w:proofErr w:type="spellStart"/>
      <w:r w:rsidRPr="00656D19">
        <w:rPr>
          <w:rFonts w:ascii="Arial" w:hAnsi="Arial" w:cs="Arial"/>
        </w:rPr>
        <w:t>Alhabeeb</w:t>
      </w:r>
      <w:proofErr w:type="spellEnd"/>
      <w:r w:rsidRPr="00656D19">
        <w:rPr>
          <w:rFonts w:ascii="Arial" w:hAnsi="Arial" w:cs="Arial"/>
        </w:rPr>
        <w:t xml:space="preserve">, M.J. (2012) </w:t>
      </w:r>
      <w:r w:rsidRPr="00656D19">
        <w:rPr>
          <w:rFonts w:ascii="Arial" w:hAnsi="Arial" w:cs="Arial"/>
          <w:i/>
          <w:iCs/>
        </w:rPr>
        <w:t>Mathematical finance</w:t>
      </w:r>
      <w:r w:rsidRPr="00656D19">
        <w:rPr>
          <w:rFonts w:ascii="Arial" w:hAnsi="Arial" w:cs="Arial"/>
        </w:rPr>
        <w:t xml:space="preserve">. Hoboken, NJ, Rile: Wiley. </w:t>
      </w:r>
    </w:p>
    <w:p w14:paraId="0EE0A4FA" w14:textId="77777777" w:rsidR="00227B9B" w:rsidRPr="00656D19" w:rsidRDefault="00227B9B" w:rsidP="00227B9B">
      <w:pPr>
        <w:pStyle w:val="NormalWeb"/>
        <w:numPr>
          <w:ilvl w:val="0"/>
          <w:numId w:val="5"/>
        </w:numPr>
        <w:spacing w:line="360" w:lineRule="auto"/>
        <w:jc w:val="both"/>
        <w:rPr>
          <w:rFonts w:ascii="Arial" w:hAnsi="Arial" w:cs="Arial"/>
        </w:rPr>
      </w:pPr>
      <w:proofErr w:type="spellStart"/>
      <w:r w:rsidRPr="00656D19">
        <w:rPr>
          <w:rFonts w:ascii="Arial" w:hAnsi="Arial" w:cs="Arial"/>
        </w:rPr>
        <w:t>Besley</w:t>
      </w:r>
      <w:proofErr w:type="spellEnd"/>
      <w:r w:rsidRPr="00656D19">
        <w:rPr>
          <w:rFonts w:ascii="Arial" w:hAnsi="Arial" w:cs="Arial"/>
        </w:rPr>
        <w:t xml:space="preserve">, S. and Brigham, E.F. (2013) </w:t>
      </w:r>
      <w:r w:rsidRPr="00656D19">
        <w:rPr>
          <w:rFonts w:ascii="Arial" w:hAnsi="Arial" w:cs="Arial"/>
          <w:i/>
          <w:iCs/>
        </w:rPr>
        <w:t>Essentials of managerial finance</w:t>
      </w:r>
      <w:r w:rsidRPr="00656D19">
        <w:rPr>
          <w:rFonts w:ascii="Arial" w:hAnsi="Arial" w:cs="Arial"/>
        </w:rPr>
        <w:t xml:space="preserve">. Mason, Iowa: Thomson/South-Western. </w:t>
      </w:r>
    </w:p>
    <w:p w14:paraId="5B25D0BB" w14:textId="77777777" w:rsidR="00227B9B" w:rsidRPr="00656D19" w:rsidRDefault="00227B9B" w:rsidP="00227B9B">
      <w:pPr>
        <w:pStyle w:val="NormalWeb"/>
        <w:numPr>
          <w:ilvl w:val="0"/>
          <w:numId w:val="5"/>
        </w:numPr>
        <w:spacing w:line="360" w:lineRule="auto"/>
        <w:jc w:val="both"/>
        <w:rPr>
          <w:rFonts w:ascii="Arial" w:hAnsi="Arial" w:cs="Arial"/>
        </w:rPr>
      </w:pPr>
      <w:bookmarkStart w:id="14" w:name="_Hlk118999732"/>
      <w:r w:rsidRPr="00656D19">
        <w:rPr>
          <w:rFonts w:ascii="Arial" w:hAnsi="Arial" w:cs="Arial"/>
        </w:rPr>
        <w:t xml:space="preserve">Bierman, H. (2014) </w:t>
      </w:r>
      <w:bookmarkEnd w:id="14"/>
      <w:r w:rsidRPr="00656D19">
        <w:rPr>
          <w:rFonts w:ascii="Arial" w:hAnsi="Arial" w:cs="Arial"/>
          <w:i/>
          <w:iCs/>
        </w:rPr>
        <w:t>An introduction to accounting and Managerial Finance: A merger of equals</w:t>
      </w:r>
      <w:r w:rsidRPr="00656D19">
        <w:rPr>
          <w:rFonts w:ascii="Arial" w:hAnsi="Arial" w:cs="Arial"/>
        </w:rPr>
        <w:t xml:space="preserve">. Singapore, Woodland: World Scientific. </w:t>
      </w:r>
    </w:p>
    <w:p w14:paraId="54C57278" w14:textId="77777777" w:rsidR="00227B9B" w:rsidRPr="00656D19" w:rsidRDefault="00227B9B" w:rsidP="00227B9B">
      <w:pPr>
        <w:pStyle w:val="NormalWeb"/>
        <w:numPr>
          <w:ilvl w:val="0"/>
          <w:numId w:val="5"/>
        </w:numPr>
        <w:spacing w:line="360" w:lineRule="auto"/>
        <w:jc w:val="both"/>
        <w:rPr>
          <w:rFonts w:ascii="Arial" w:hAnsi="Arial" w:cs="Arial"/>
        </w:rPr>
      </w:pPr>
      <w:proofErr w:type="spellStart"/>
      <w:r w:rsidRPr="00656D19">
        <w:rPr>
          <w:rFonts w:ascii="Arial" w:hAnsi="Arial" w:cs="Arial"/>
        </w:rPr>
        <w:t>Bloomenthal</w:t>
      </w:r>
      <w:proofErr w:type="spellEnd"/>
      <w:r w:rsidRPr="00656D19">
        <w:rPr>
          <w:rFonts w:ascii="Arial" w:hAnsi="Arial" w:cs="Arial"/>
        </w:rPr>
        <w:t xml:space="preserve">, A. (2022) </w:t>
      </w:r>
      <w:r w:rsidRPr="00656D19">
        <w:rPr>
          <w:rFonts w:ascii="Arial" w:hAnsi="Arial" w:cs="Arial"/>
          <w:i/>
          <w:iCs/>
        </w:rPr>
        <w:t>Financial Ratio Analysis: Definition, types, examples, and how to use</w:t>
      </w:r>
      <w:r w:rsidRPr="00656D19">
        <w:rPr>
          <w:rFonts w:ascii="Arial" w:hAnsi="Arial" w:cs="Arial"/>
        </w:rPr>
        <w:t xml:space="preserve">, </w:t>
      </w:r>
      <w:r w:rsidRPr="00656D19">
        <w:rPr>
          <w:rFonts w:ascii="Arial" w:hAnsi="Arial" w:cs="Arial"/>
          <w:i/>
          <w:iCs/>
        </w:rPr>
        <w:t>Investopedia</w:t>
      </w:r>
      <w:r w:rsidRPr="00656D19">
        <w:rPr>
          <w:rFonts w:ascii="Arial" w:hAnsi="Arial" w:cs="Arial"/>
        </w:rPr>
        <w:t xml:space="preserve">. Investopedia. Available at: https://www.investopedia.com/terms/r/ratioanalysis.asp#:~:text=Ratio%20analysis%20is%20a%20quantitative,cornerstone%20of%20fundamental%20equity%20analysis. (Accessed: November 10, 2022). </w:t>
      </w:r>
    </w:p>
    <w:p w14:paraId="35C54BF2" w14:textId="77777777" w:rsidR="00227B9B" w:rsidRPr="00656D19" w:rsidRDefault="00227B9B" w:rsidP="00227B9B">
      <w:pPr>
        <w:pStyle w:val="NormalWeb"/>
        <w:numPr>
          <w:ilvl w:val="0"/>
          <w:numId w:val="5"/>
        </w:numPr>
        <w:spacing w:line="360" w:lineRule="auto"/>
        <w:jc w:val="both"/>
        <w:rPr>
          <w:rFonts w:ascii="Arial" w:hAnsi="Arial" w:cs="Arial"/>
        </w:rPr>
      </w:pPr>
      <w:bookmarkStart w:id="15" w:name="_Hlk118999792"/>
      <w:r w:rsidRPr="00656D19">
        <w:rPr>
          <w:rFonts w:ascii="Arial" w:hAnsi="Arial" w:cs="Arial"/>
        </w:rPr>
        <w:t xml:space="preserve">Brenda, M. (2022) </w:t>
      </w:r>
      <w:bookmarkEnd w:id="15"/>
      <w:r w:rsidRPr="00656D19">
        <w:rPr>
          <w:rFonts w:ascii="Arial" w:hAnsi="Arial" w:cs="Arial"/>
          <w:i/>
          <w:iCs/>
        </w:rPr>
        <w:t>Marriott International, inc..</w:t>
      </w:r>
      <w:r w:rsidRPr="00656D19">
        <w:rPr>
          <w:rFonts w:ascii="Arial" w:hAnsi="Arial" w:cs="Arial"/>
        </w:rPr>
        <w:t xml:space="preserve">, </w:t>
      </w:r>
      <w:r w:rsidRPr="00656D19">
        <w:rPr>
          <w:rFonts w:ascii="Arial" w:hAnsi="Arial" w:cs="Arial"/>
          <w:i/>
          <w:iCs/>
        </w:rPr>
        <w:t>Marriott International</w:t>
      </w:r>
      <w:r w:rsidRPr="00656D19">
        <w:rPr>
          <w:rFonts w:ascii="Arial" w:hAnsi="Arial" w:cs="Arial"/>
        </w:rPr>
        <w:t xml:space="preserve">. Available at: https://www.marriott.com/about/culture-and-values/history.mi (Accessed: November 10, 2022). </w:t>
      </w:r>
    </w:p>
    <w:p w14:paraId="6CFF6165" w14:textId="77777777" w:rsidR="00227B9B" w:rsidRPr="00656D19" w:rsidRDefault="00227B9B" w:rsidP="00227B9B">
      <w:pPr>
        <w:pStyle w:val="NormalWeb"/>
        <w:numPr>
          <w:ilvl w:val="0"/>
          <w:numId w:val="5"/>
        </w:numPr>
        <w:spacing w:line="360" w:lineRule="auto"/>
        <w:jc w:val="both"/>
        <w:rPr>
          <w:rFonts w:ascii="Arial" w:hAnsi="Arial" w:cs="Arial"/>
        </w:rPr>
      </w:pPr>
      <w:r w:rsidRPr="00656D19">
        <w:rPr>
          <w:rFonts w:ascii="Arial" w:hAnsi="Arial" w:cs="Arial"/>
        </w:rPr>
        <w:t xml:space="preserve">C., B.F.J. </w:t>
      </w:r>
      <w:r w:rsidRPr="00656D19">
        <w:rPr>
          <w:rFonts w:ascii="Arial" w:hAnsi="Arial" w:cs="Arial"/>
          <w:i/>
          <w:iCs/>
        </w:rPr>
        <w:t>et al.</w:t>
      </w:r>
      <w:r w:rsidRPr="00656D19">
        <w:rPr>
          <w:rFonts w:ascii="Arial" w:hAnsi="Arial" w:cs="Arial"/>
        </w:rPr>
        <w:t xml:space="preserve"> (2017) </w:t>
      </w:r>
      <w:r w:rsidRPr="00656D19">
        <w:rPr>
          <w:rFonts w:ascii="Arial" w:hAnsi="Arial" w:cs="Arial"/>
          <w:i/>
          <w:iCs/>
        </w:rPr>
        <w:t>Managerial finance</w:t>
      </w:r>
      <w:r w:rsidRPr="00656D19">
        <w:rPr>
          <w:rFonts w:ascii="Arial" w:hAnsi="Arial" w:cs="Arial"/>
        </w:rPr>
        <w:t xml:space="preserve">. Durban, KwaZulu Natal: LexisNexis. </w:t>
      </w:r>
    </w:p>
    <w:p w14:paraId="1C4861C5"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Correia, C. </w:t>
      </w:r>
      <w:r w:rsidRPr="00656D19">
        <w:rPr>
          <w:rFonts w:ascii="Arial" w:hAnsi="Arial" w:cs="Arial"/>
          <w:i/>
          <w:iCs/>
        </w:rPr>
        <w:t>et al.</w:t>
      </w:r>
      <w:r w:rsidRPr="00656D19">
        <w:rPr>
          <w:rFonts w:ascii="Arial" w:hAnsi="Arial" w:cs="Arial"/>
        </w:rPr>
        <w:t xml:space="preserve"> (2019) </w:t>
      </w:r>
      <w:r w:rsidRPr="00656D19">
        <w:rPr>
          <w:rFonts w:ascii="Arial" w:hAnsi="Arial" w:cs="Arial"/>
          <w:i/>
          <w:iCs/>
        </w:rPr>
        <w:t>Financial management</w:t>
      </w:r>
      <w:r w:rsidRPr="00656D19">
        <w:rPr>
          <w:rFonts w:ascii="Arial" w:hAnsi="Arial" w:cs="Arial"/>
        </w:rPr>
        <w:t xml:space="preserve">. Lansdowne, </w:t>
      </w:r>
      <w:proofErr w:type="spellStart"/>
      <w:r w:rsidRPr="00656D19">
        <w:rPr>
          <w:rFonts w:ascii="Arial" w:hAnsi="Arial" w:cs="Arial"/>
        </w:rPr>
        <w:t>Pauri</w:t>
      </w:r>
      <w:proofErr w:type="spellEnd"/>
      <w:r w:rsidRPr="00656D19">
        <w:rPr>
          <w:rFonts w:ascii="Arial" w:hAnsi="Arial" w:cs="Arial"/>
        </w:rPr>
        <w:t xml:space="preserve">: Juta. </w:t>
      </w:r>
    </w:p>
    <w:p w14:paraId="1FDB82A2"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Joe, A. (2022) </w:t>
      </w:r>
      <w:r w:rsidRPr="00656D19">
        <w:rPr>
          <w:rFonts w:ascii="Arial" w:hAnsi="Arial" w:cs="Arial"/>
          <w:i/>
          <w:iCs/>
        </w:rPr>
        <w:t>Price to earnings ratio meaning</w:t>
      </w:r>
      <w:r w:rsidRPr="00656D19">
        <w:rPr>
          <w:rFonts w:ascii="Arial" w:hAnsi="Arial" w:cs="Arial"/>
        </w:rPr>
        <w:t xml:space="preserve">, </w:t>
      </w:r>
      <w:proofErr w:type="spellStart"/>
      <w:r w:rsidRPr="00656D19">
        <w:rPr>
          <w:rFonts w:ascii="Arial" w:hAnsi="Arial" w:cs="Arial"/>
          <w:i/>
          <w:iCs/>
        </w:rPr>
        <w:t>Stockopedia</w:t>
      </w:r>
      <w:proofErr w:type="spellEnd"/>
      <w:r w:rsidRPr="00656D19">
        <w:rPr>
          <w:rFonts w:ascii="Arial" w:hAnsi="Arial" w:cs="Arial"/>
        </w:rPr>
        <w:t xml:space="preserve">. Available at: https://www.stockopedia.com/ratios/price-to-earnings-ratio-723/ (Accessed: November 10, 2022). </w:t>
      </w:r>
    </w:p>
    <w:p w14:paraId="432F3FF1"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Kelly, P. and Ashwin, A. (2013) </w:t>
      </w:r>
      <w:r w:rsidRPr="00656D19">
        <w:rPr>
          <w:rFonts w:ascii="Arial" w:hAnsi="Arial" w:cs="Arial"/>
          <w:i/>
          <w:iCs/>
        </w:rPr>
        <w:t>The Business Environment</w:t>
      </w:r>
      <w:r w:rsidRPr="00656D19">
        <w:rPr>
          <w:rFonts w:ascii="Arial" w:hAnsi="Arial" w:cs="Arial"/>
        </w:rPr>
        <w:t xml:space="preserve">. Andover, Lure: Cengage Learning. </w:t>
      </w:r>
    </w:p>
    <w:p w14:paraId="06B4D825"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KISHOR, N.A.M.B.U.R.U.R.A.T.N.A. (2014) </w:t>
      </w:r>
      <w:r w:rsidRPr="00656D19">
        <w:rPr>
          <w:rFonts w:ascii="Arial" w:hAnsi="Arial" w:cs="Arial"/>
          <w:i/>
          <w:iCs/>
        </w:rPr>
        <w:t>Ratio analysis</w:t>
      </w:r>
      <w:r w:rsidRPr="00656D19">
        <w:rPr>
          <w:rFonts w:ascii="Arial" w:hAnsi="Arial" w:cs="Arial"/>
        </w:rPr>
        <w:t xml:space="preserve">. Mumbai, </w:t>
      </w:r>
      <w:proofErr w:type="spellStart"/>
      <w:r w:rsidRPr="00656D19">
        <w:rPr>
          <w:rFonts w:ascii="Arial" w:hAnsi="Arial" w:cs="Arial"/>
        </w:rPr>
        <w:t>Raula</w:t>
      </w:r>
      <w:proofErr w:type="spellEnd"/>
      <w:r w:rsidRPr="00656D19">
        <w:rPr>
          <w:rFonts w:ascii="Arial" w:hAnsi="Arial" w:cs="Arial"/>
        </w:rPr>
        <w:t xml:space="preserve">: LAP LAMBERT ACADEMIC PUBL. </w:t>
      </w:r>
    </w:p>
    <w:p w14:paraId="62D4C3E1"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Laurence, H. (2014) </w:t>
      </w:r>
      <w:r w:rsidRPr="00656D19">
        <w:rPr>
          <w:rFonts w:ascii="Arial" w:hAnsi="Arial" w:cs="Arial"/>
          <w:i/>
          <w:iCs/>
        </w:rPr>
        <w:t>Financial management</w:t>
      </w:r>
      <w:r w:rsidRPr="00656D19">
        <w:rPr>
          <w:rFonts w:ascii="Arial" w:hAnsi="Arial" w:cs="Arial"/>
        </w:rPr>
        <w:t xml:space="preserve">. London, Sussex: BPP Learning Media Ltd. </w:t>
      </w:r>
    </w:p>
    <w:p w14:paraId="176B70AC" w14:textId="77777777" w:rsidR="00227B9B" w:rsidRPr="00656D19" w:rsidRDefault="00227B9B" w:rsidP="00227B9B">
      <w:pPr>
        <w:pStyle w:val="NormalWeb"/>
        <w:numPr>
          <w:ilvl w:val="0"/>
          <w:numId w:val="5"/>
        </w:numPr>
        <w:spacing w:line="360" w:lineRule="auto"/>
        <w:jc w:val="both"/>
        <w:rPr>
          <w:rFonts w:ascii="Arial" w:hAnsi="Arial" w:cs="Arial"/>
        </w:rPr>
      </w:pPr>
      <w:proofErr w:type="spellStart"/>
      <w:r w:rsidRPr="00656D19">
        <w:rPr>
          <w:rFonts w:ascii="Arial" w:hAnsi="Arial" w:cs="Arial"/>
        </w:rPr>
        <w:t>Luckham</w:t>
      </w:r>
      <w:proofErr w:type="spellEnd"/>
      <w:r w:rsidRPr="00656D19">
        <w:rPr>
          <w:rFonts w:ascii="Arial" w:hAnsi="Arial" w:cs="Arial"/>
        </w:rPr>
        <w:t xml:space="preserve">, W.R. (2016) “Financial Ratio Analysis for decision-making,” </w:t>
      </w:r>
      <w:r w:rsidRPr="00656D19">
        <w:rPr>
          <w:rFonts w:ascii="Arial" w:hAnsi="Arial" w:cs="Arial"/>
          <w:i/>
          <w:iCs/>
        </w:rPr>
        <w:t>Arboriculture &amp; Urban Forestry</w:t>
      </w:r>
      <w:r w:rsidRPr="00656D19">
        <w:rPr>
          <w:rFonts w:ascii="Arial" w:hAnsi="Arial" w:cs="Arial"/>
        </w:rPr>
        <w:t xml:space="preserve">, 8(11), pp. 296–301. Available at: https://doi.org/10.48044/jauf.1982.068. </w:t>
      </w:r>
    </w:p>
    <w:p w14:paraId="0FCE3979" w14:textId="77777777" w:rsidR="00227B9B" w:rsidRPr="00656D19" w:rsidRDefault="00227B9B" w:rsidP="00227B9B">
      <w:pPr>
        <w:pStyle w:val="NormalWeb"/>
        <w:numPr>
          <w:ilvl w:val="0"/>
          <w:numId w:val="5"/>
        </w:numPr>
        <w:spacing w:line="360" w:lineRule="auto"/>
        <w:jc w:val="both"/>
        <w:rPr>
          <w:rFonts w:ascii="Arial" w:hAnsi="Arial" w:cs="Arial"/>
        </w:rPr>
      </w:pPr>
      <w:bookmarkStart w:id="16" w:name="_Hlk119010061"/>
      <w:r w:rsidRPr="00656D19">
        <w:rPr>
          <w:rFonts w:ascii="Arial" w:hAnsi="Arial" w:cs="Arial"/>
        </w:rPr>
        <w:t xml:space="preserve">PARKINSON, A.L.A.N. (2017) </w:t>
      </w:r>
      <w:bookmarkEnd w:id="16"/>
      <w:r w:rsidRPr="00656D19">
        <w:rPr>
          <w:rFonts w:ascii="Arial" w:hAnsi="Arial" w:cs="Arial"/>
          <w:i/>
          <w:iCs/>
        </w:rPr>
        <w:t>Managerial finance</w:t>
      </w:r>
      <w:r w:rsidRPr="00656D19">
        <w:rPr>
          <w:rFonts w:ascii="Arial" w:hAnsi="Arial" w:cs="Arial"/>
        </w:rPr>
        <w:t xml:space="preserve">. London, Essex: ROUTLEDGE. </w:t>
      </w:r>
    </w:p>
    <w:p w14:paraId="757F9944" w14:textId="77777777" w:rsidR="00227B9B" w:rsidRPr="00656D19" w:rsidRDefault="00227B9B" w:rsidP="00227B9B">
      <w:pPr>
        <w:pStyle w:val="NormalWeb"/>
        <w:numPr>
          <w:ilvl w:val="0"/>
          <w:numId w:val="5"/>
        </w:numPr>
        <w:spacing w:line="360" w:lineRule="auto"/>
        <w:jc w:val="both"/>
        <w:rPr>
          <w:rFonts w:ascii="Arial" w:hAnsi="Arial" w:cs="Arial"/>
        </w:rPr>
      </w:pPr>
      <w:r w:rsidRPr="00656D19">
        <w:rPr>
          <w:rFonts w:ascii="Arial" w:hAnsi="Arial" w:cs="Arial"/>
        </w:rPr>
        <w:lastRenderedPageBreak/>
        <w:t xml:space="preserve">Pickford, M. (2016) “International Journal of Managerial Finance,” </w:t>
      </w:r>
      <w:r w:rsidRPr="00656D19">
        <w:rPr>
          <w:rFonts w:ascii="Arial" w:hAnsi="Arial" w:cs="Arial"/>
          <w:i/>
          <w:iCs/>
        </w:rPr>
        <w:t>Managerial Finance</w:t>
      </w:r>
      <w:r w:rsidRPr="00656D19">
        <w:rPr>
          <w:rFonts w:ascii="Arial" w:hAnsi="Arial" w:cs="Arial"/>
        </w:rPr>
        <w:t xml:space="preserve">, 32(4). Available at: https://doi.org/10.1108/mf.2006.00932daa.001. </w:t>
      </w:r>
    </w:p>
    <w:p w14:paraId="3B27BC64" w14:textId="77777777" w:rsidR="00227B9B" w:rsidRPr="00656D19" w:rsidRDefault="00227B9B" w:rsidP="00227B9B">
      <w:pPr>
        <w:pStyle w:val="NormalWeb"/>
        <w:numPr>
          <w:ilvl w:val="0"/>
          <w:numId w:val="5"/>
        </w:numPr>
        <w:spacing w:line="360" w:lineRule="auto"/>
        <w:jc w:val="both"/>
        <w:rPr>
          <w:rFonts w:ascii="Arial" w:hAnsi="Arial" w:cs="Arial"/>
        </w:rPr>
      </w:pPr>
      <w:r w:rsidRPr="00656D19">
        <w:rPr>
          <w:rFonts w:ascii="Arial" w:hAnsi="Arial" w:cs="Arial"/>
        </w:rPr>
        <w:t xml:space="preserve">Rosa, N.L. (2020) “Integrated Ratio Analysis,” </w:t>
      </w:r>
      <w:proofErr w:type="spellStart"/>
      <w:r w:rsidRPr="00656D19">
        <w:rPr>
          <w:rFonts w:ascii="Arial" w:hAnsi="Arial" w:cs="Arial"/>
          <w:i/>
          <w:iCs/>
        </w:rPr>
        <w:t>Analysing</w:t>
      </w:r>
      <w:proofErr w:type="spellEnd"/>
      <w:r w:rsidRPr="00656D19">
        <w:rPr>
          <w:rFonts w:ascii="Arial" w:hAnsi="Arial" w:cs="Arial"/>
          <w:i/>
          <w:iCs/>
        </w:rPr>
        <w:t xml:space="preserve"> Financial Performance</w:t>
      </w:r>
      <w:r w:rsidRPr="00656D19">
        <w:rPr>
          <w:rFonts w:ascii="Arial" w:hAnsi="Arial" w:cs="Arial"/>
        </w:rPr>
        <w:t xml:space="preserve">, pp. 112–135. Available at: https://doi.org/10.4324/9781003092575-6. </w:t>
      </w:r>
    </w:p>
    <w:p w14:paraId="7E731760" w14:textId="77777777" w:rsidR="00227B9B" w:rsidRPr="00656D19" w:rsidRDefault="00227B9B" w:rsidP="00227B9B">
      <w:pPr>
        <w:pStyle w:val="NormalWeb"/>
        <w:numPr>
          <w:ilvl w:val="0"/>
          <w:numId w:val="5"/>
        </w:numPr>
        <w:spacing w:line="360" w:lineRule="auto"/>
        <w:rPr>
          <w:rFonts w:ascii="Arial" w:hAnsi="Arial" w:cs="Arial"/>
        </w:rPr>
      </w:pPr>
      <w:r w:rsidRPr="00656D19">
        <w:rPr>
          <w:rFonts w:ascii="Arial" w:hAnsi="Arial" w:cs="Arial"/>
        </w:rPr>
        <w:t xml:space="preserve">Smart, S.B. and Graham, J. (2012) </w:t>
      </w:r>
      <w:r w:rsidRPr="00656D19">
        <w:rPr>
          <w:rFonts w:ascii="Arial" w:hAnsi="Arial" w:cs="Arial"/>
          <w:i/>
          <w:iCs/>
        </w:rPr>
        <w:t>Financial management</w:t>
      </w:r>
      <w:r w:rsidRPr="00656D19">
        <w:rPr>
          <w:rFonts w:ascii="Arial" w:hAnsi="Arial" w:cs="Arial"/>
        </w:rPr>
        <w:t xml:space="preserve">. Mason, OH, Ohio: South-Western. </w:t>
      </w:r>
    </w:p>
    <w:p w14:paraId="2054AFEB" w14:textId="77777777" w:rsidR="00227B9B" w:rsidRPr="00656D19" w:rsidRDefault="00227B9B" w:rsidP="00227B9B">
      <w:pPr>
        <w:pStyle w:val="NormalWeb"/>
        <w:numPr>
          <w:ilvl w:val="0"/>
          <w:numId w:val="5"/>
        </w:numPr>
        <w:spacing w:line="360" w:lineRule="auto"/>
        <w:jc w:val="both"/>
        <w:rPr>
          <w:rFonts w:ascii="Arial" w:hAnsi="Arial" w:cs="Arial"/>
        </w:rPr>
      </w:pPr>
      <w:r w:rsidRPr="00656D19">
        <w:rPr>
          <w:rFonts w:ascii="Arial" w:hAnsi="Arial" w:cs="Arial"/>
        </w:rPr>
        <w:t xml:space="preserve">Tickle, W. (2016) “Dynamic Financial Ratio Analysis,” </w:t>
      </w:r>
      <w:proofErr w:type="spellStart"/>
      <w:r w:rsidRPr="00656D19">
        <w:rPr>
          <w:rFonts w:ascii="Arial" w:hAnsi="Arial" w:cs="Arial"/>
          <w:i/>
          <w:iCs/>
        </w:rPr>
        <w:t>SpringerReference</w:t>
      </w:r>
      <w:proofErr w:type="spellEnd"/>
      <w:r w:rsidRPr="00656D19">
        <w:rPr>
          <w:rFonts w:ascii="Arial" w:hAnsi="Arial" w:cs="Arial"/>
        </w:rPr>
        <w:t xml:space="preserve">, 3(1), pp. 35–55. Available at: https://doi.org/10.1007/springerreference_1338. </w:t>
      </w:r>
    </w:p>
    <w:p w14:paraId="6BED8F87" w14:textId="77777777" w:rsidR="00227B9B" w:rsidRPr="00656D19" w:rsidRDefault="00227B9B" w:rsidP="00227B9B">
      <w:pPr>
        <w:pStyle w:val="NormalWeb"/>
        <w:numPr>
          <w:ilvl w:val="0"/>
          <w:numId w:val="5"/>
        </w:numPr>
        <w:spacing w:line="360" w:lineRule="auto"/>
        <w:jc w:val="both"/>
        <w:rPr>
          <w:rFonts w:ascii="Arial" w:hAnsi="Arial" w:cs="Arial"/>
        </w:rPr>
      </w:pPr>
      <w:r w:rsidRPr="00656D19">
        <w:rPr>
          <w:rFonts w:ascii="Arial" w:hAnsi="Arial" w:cs="Arial"/>
        </w:rPr>
        <w:t xml:space="preserve">Trend, M. (2016) </w:t>
      </w:r>
      <w:r w:rsidRPr="00656D19">
        <w:rPr>
          <w:rFonts w:ascii="Arial" w:hAnsi="Arial" w:cs="Arial"/>
          <w:i/>
          <w:iCs/>
        </w:rPr>
        <w:t>Marriott financial ratios for analysis 2009-2022: Mar</w:t>
      </w:r>
      <w:r w:rsidRPr="00656D19">
        <w:rPr>
          <w:rFonts w:ascii="Arial" w:hAnsi="Arial" w:cs="Arial"/>
        </w:rPr>
        <w:t xml:space="preserve">, </w:t>
      </w:r>
      <w:r w:rsidRPr="00656D19">
        <w:rPr>
          <w:rFonts w:ascii="Arial" w:hAnsi="Arial" w:cs="Arial"/>
          <w:i/>
          <w:iCs/>
        </w:rPr>
        <w:t>Macrotrends</w:t>
      </w:r>
      <w:r w:rsidRPr="00656D19">
        <w:rPr>
          <w:rFonts w:ascii="Arial" w:hAnsi="Arial" w:cs="Arial"/>
        </w:rPr>
        <w:t xml:space="preserve">. Available at: https://www.macrotrends.net/stocks/charts/MAR/marriott/financial-ratios (Accessed: November 10, 2022). </w:t>
      </w:r>
    </w:p>
    <w:p w14:paraId="13A820FC" w14:textId="77777777" w:rsidR="00227B9B" w:rsidRPr="00656D19" w:rsidRDefault="00227B9B" w:rsidP="00227B9B">
      <w:pPr>
        <w:pStyle w:val="NormalWeb"/>
        <w:numPr>
          <w:ilvl w:val="0"/>
          <w:numId w:val="5"/>
        </w:numPr>
        <w:spacing w:line="360" w:lineRule="auto"/>
        <w:jc w:val="both"/>
        <w:rPr>
          <w:rFonts w:ascii="Arial" w:hAnsi="Arial" w:cs="Arial"/>
        </w:rPr>
      </w:pPr>
      <w:proofErr w:type="spellStart"/>
      <w:r w:rsidRPr="00656D19">
        <w:rPr>
          <w:rFonts w:ascii="Arial" w:hAnsi="Arial" w:cs="Arial"/>
        </w:rPr>
        <w:t>Zutter</w:t>
      </w:r>
      <w:proofErr w:type="spellEnd"/>
      <w:r w:rsidRPr="00656D19">
        <w:rPr>
          <w:rFonts w:ascii="Arial" w:hAnsi="Arial" w:cs="Arial"/>
        </w:rPr>
        <w:t xml:space="preserve">, C.J. and Smart, S.B. (2022) </w:t>
      </w:r>
      <w:r w:rsidRPr="00656D19">
        <w:rPr>
          <w:rFonts w:ascii="Arial" w:hAnsi="Arial" w:cs="Arial"/>
          <w:i/>
          <w:iCs/>
        </w:rPr>
        <w:t>Principles of Managerial Finance</w:t>
      </w:r>
      <w:r w:rsidRPr="00656D19">
        <w:rPr>
          <w:rFonts w:ascii="Arial" w:hAnsi="Arial" w:cs="Arial"/>
        </w:rPr>
        <w:t xml:space="preserve">. Harlow, Essex, London: Pearson Education Limited. </w:t>
      </w:r>
    </w:p>
    <w:p w14:paraId="34062F9A" w14:textId="77777777" w:rsidR="00B14C86" w:rsidRPr="00656D19" w:rsidRDefault="00B14C86" w:rsidP="00FA166D">
      <w:pPr>
        <w:pStyle w:val="NormalWeb"/>
        <w:spacing w:line="360" w:lineRule="auto"/>
        <w:ind w:left="720"/>
        <w:jc w:val="both"/>
        <w:rPr>
          <w:rFonts w:ascii="Arial" w:hAnsi="Arial" w:cs="Arial"/>
        </w:rPr>
      </w:pPr>
    </w:p>
    <w:sectPr w:rsidR="00B14C86" w:rsidRPr="00656D19" w:rsidSect="00376D56">
      <w:footerReference w:type="default" r:id="rId26"/>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FB2A6" w14:textId="77777777" w:rsidR="00106187" w:rsidRDefault="00106187" w:rsidP="002A6CFD">
      <w:pPr>
        <w:spacing w:after="0" w:line="240" w:lineRule="auto"/>
      </w:pPr>
      <w:r>
        <w:separator/>
      </w:r>
    </w:p>
  </w:endnote>
  <w:endnote w:type="continuationSeparator" w:id="0">
    <w:p w14:paraId="1743A4B3" w14:textId="77777777" w:rsidR="00106187" w:rsidRDefault="00106187" w:rsidP="002A6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467145"/>
      <w:docPartObj>
        <w:docPartGallery w:val="Page Numbers (Bottom of Page)"/>
        <w:docPartUnique/>
      </w:docPartObj>
    </w:sdtPr>
    <w:sdtEndPr>
      <w:rPr>
        <w:noProof/>
      </w:rPr>
    </w:sdtEndPr>
    <w:sdtContent>
      <w:p w14:paraId="0BE54859" w14:textId="77777777" w:rsidR="002A6CFD" w:rsidRDefault="000E7CFF">
        <w:pPr>
          <w:pStyle w:val="Footer"/>
          <w:jc w:val="right"/>
        </w:pPr>
        <w:r>
          <w:fldChar w:fldCharType="begin"/>
        </w:r>
        <w:r w:rsidR="002A6CFD">
          <w:instrText xml:space="preserve"> PAGE   \* MERGEFORMAT </w:instrText>
        </w:r>
        <w:r>
          <w:fldChar w:fldCharType="separate"/>
        </w:r>
        <w:r w:rsidR="00A52057">
          <w:rPr>
            <w:noProof/>
          </w:rPr>
          <w:t>1</w:t>
        </w:r>
        <w:r>
          <w:rPr>
            <w:noProof/>
          </w:rPr>
          <w:fldChar w:fldCharType="end"/>
        </w:r>
      </w:p>
    </w:sdtContent>
  </w:sdt>
  <w:p w14:paraId="76153C72" w14:textId="77777777" w:rsidR="002A6CFD" w:rsidRDefault="002A6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C91C" w14:textId="77777777" w:rsidR="00106187" w:rsidRDefault="00106187" w:rsidP="002A6CFD">
      <w:pPr>
        <w:spacing w:after="0" w:line="240" w:lineRule="auto"/>
      </w:pPr>
      <w:r>
        <w:separator/>
      </w:r>
    </w:p>
  </w:footnote>
  <w:footnote w:type="continuationSeparator" w:id="0">
    <w:p w14:paraId="0D8F1584" w14:textId="77777777" w:rsidR="00106187" w:rsidRDefault="00106187" w:rsidP="002A6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11AD0"/>
    <w:multiLevelType w:val="hybridMultilevel"/>
    <w:tmpl w:val="D5E8BA3C"/>
    <w:lvl w:ilvl="0" w:tplc="490EF796">
      <w:start w:val="1"/>
      <w:numFmt w:val="upperLetter"/>
      <w:lvlText w:val="%1)"/>
      <w:lvlJc w:val="left"/>
      <w:pPr>
        <w:ind w:left="720" w:hanging="360"/>
      </w:pPr>
      <w:rPr>
        <w:rFonts w:eastAsiaTheme="majorEastAsia" w:hint="default"/>
        <w:b w:val="0"/>
        <w:color w:val="2F5496" w:themeColor="accent1" w:themeShade="BF"/>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5A2559"/>
    <w:multiLevelType w:val="hybridMultilevel"/>
    <w:tmpl w:val="DC4E4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60109A"/>
    <w:multiLevelType w:val="hybridMultilevel"/>
    <w:tmpl w:val="8642F7C2"/>
    <w:lvl w:ilvl="0" w:tplc="3BB2691A">
      <w:start w:val="1"/>
      <w:numFmt w:val="upperLetter"/>
      <w:lvlText w:val="%1)"/>
      <w:lvlJc w:val="left"/>
      <w:pPr>
        <w:ind w:left="720" w:hanging="360"/>
      </w:pPr>
      <w:rPr>
        <w:rFonts w:eastAsiaTheme="majorEastAsia" w:hint="default"/>
        <w:b w:val="0"/>
        <w:color w:val="2F5496" w:themeColor="accent1" w:themeShade="BF"/>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442AFF"/>
    <w:multiLevelType w:val="hybridMultilevel"/>
    <w:tmpl w:val="854E6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7522E3"/>
    <w:multiLevelType w:val="hybridMultilevel"/>
    <w:tmpl w:val="E5823A82"/>
    <w:lvl w:ilvl="0" w:tplc="8D22F09A">
      <w:start w:val="1"/>
      <w:numFmt w:val="upperLetter"/>
      <w:lvlText w:val="%1)"/>
      <w:lvlJc w:val="left"/>
      <w:pPr>
        <w:ind w:left="720" w:hanging="360"/>
      </w:pPr>
      <w:rPr>
        <w:rFonts w:ascii="Times New Roman" w:eastAsiaTheme="majorEastAsia" w:hAnsi="Times New Roman" w:cs="Times New Roman" w:hint="default"/>
        <w:b w:val="0"/>
        <w:color w:val="2F5496" w:themeColor="accent1" w:themeShade="BF"/>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010631">
    <w:abstractNumId w:val="1"/>
  </w:num>
  <w:num w:numId="2" w16cid:durableId="658532864">
    <w:abstractNumId w:val="2"/>
  </w:num>
  <w:num w:numId="3" w16cid:durableId="1835532662">
    <w:abstractNumId w:val="0"/>
  </w:num>
  <w:num w:numId="4" w16cid:durableId="2037460035">
    <w:abstractNumId w:val="4"/>
  </w:num>
  <w:num w:numId="5" w16cid:durableId="13423162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I1MzU2NDUzNzczNbFQ0lEKTi0uzszPAykwrgUAM3GLSSwAAAA="/>
  </w:docVars>
  <w:rsids>
    <w:rsidRoot w:val="00D52B05"/>
    <w:rsid w:val="00031DD7"/>
    <w:rsid w:val="0005691A"/>
    <w:rsid w:val="0008705D"/>
    <w:rsid w:val="000B2951"/>
    <w:rsid w:val="000C52F3"/>
    <w:rsid w:val="000E7CFC"/>
    <w:rsid w:val="000E7CFF"/>
    <w:rsid w:val="000F2321"/>
    <w:rsid w:val="00106187"/>
    <w:rsid w:val="001325E0"/>
    <w:rsid w:val="001D35FA"/>
    <w:rsid w:val="0020125F"/>
    <w:rsid w:val="00204BB5"/>
    <w:rsid w:val="002261BE"/>
    <w:rsid w:val="00227B9B"/>
    <w:rsid w:val="00272870"/>
    <w:rsid w:val="0027756E"/>
    <w:rsid w:val="002829A6"/>
    <w:rsid w:val="002A6CFD"/>
    <w:rsid w:val="0036364E"/>
    <w:rsid w:val="00376D56"/>
    <w:rsid w:val="003C5655"/>
    <w:rsid w:val="00471CE9"/>
    <w:rsid w:val="004744F3"/>
    <w:rsid w:val="004A3C12"/>
    <w:rsid w:val="004B7917"/>
    <w:rsid w:val="004C13DE"/>
    <w:rsid w:val="00516B54"/>
    <w:rsid w:val="00595842"/>
    <w:rsid w:val="006044FC"/>
    <w:rsid w:val="00605924"/>
    <w:rsid w:val="00605A6D"/>
    <w:rsid w:val="006221B1"/>
    <w:rsid w:val="006233B7"/>
    <w:rsid w:val="00623912"/>
    <w:rsid w:val="006313BC"/>
    <w:rsid w:val="00641F78"/>
    <w:rsid w:val="006420DE"/>
    <w:rsid w:val="00656D19"/>
    <w:rsid w:val="00657618"/>
    <w:rsid w:val="006A7E2D"/>
    <w:rsid w:val="006D6B8B"/>
    <w:rsid w:val="00720A25"/>
    <w:rsid w:val="007E348F"/>
    <w:rsid w:val="00851D37"/>
    <w:rsid w:val="008E26EA"/>
    <w:rsid w:val="00973FDF"/>
    <w:rsid w:val="009A54FE"/>
    <w:rsid w:val="009F2E74"/>
    <w:rsid w:val="00A52057"/>
    <w:rsid w:val="00AB505B"/>
    <w:rsid w:val="00B14C86"/>
    <w:rsid w:val="00B36CC7"/>
    <w:rsid w:val="00B723C7"/>
    <w:rsid w:val="00B7659F"/>
    <w:rsid w:val="00BC0A41"/>
    <w:rsid w:val="00BE14C8"/>
    <w:rsid w:val="00C00F5A"/>
    <w:rsid w:val="00C01C22"/>
    <w:rsid w:val="00C04DB1"/>
    <w:rsid w:val="00C427C3"/>
    <w:rsid w:val="00C51DDC"/>
    <w:rsid w:val="00CC1A16"/>
    <w:rsid w:val="00CD250D"/>
    <w:rsid w:val="00CE4285"/>
    <w:rsid w:val="00CE451B"/>
    <w:rsid w:val="00D113C9"/>
    <w:rsid w:val="00D25FA2"/>
    <w:rsid w:val="00D43776"/>
    <w:rsid w:val="00D52B05"/>
    <w:rsid w:val="00D55757"/>
    <w:rsid w:val="00D65444"/>
    <w:rsid w:val="00D7548C"/>
    <w:rsid w:val="00DD2D79"/>
    <w:rsid w:val="00E124BA"/>
    <w:rsid w:val="00E20216"/>
    <w:rsid w:val="00E73326"/>
    <w:rsid w:val="00E957C1"/>
    <w:rsid w:val="00EB69FD"/>
    <w:rsid w:val="00EC1825"/>
    <w:rsid w:val="00EC5604"/>
    <w:rsid w:val="00F0009B"/>
    <w:rsid w:val="00FA16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DE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48C"/>
  </w:style>
  <w:style w:type="paragraph" w:styleId="Heading1">
    <w:name w:val="heading 1"/>
    <w:basedOn w:val="Normal"/>
    <w:next w:val="Normal"/>
    <w:link w:val="Heading1Char"/>
    <w:uiPriority w:val="9"/>
    <w:qFormat/>
    <w:rsid w:val="006420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20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6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EB69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36CC7"/>
    <w:pPr>
      <w:ind w:left="720"/>
      <w:contextualSpacing/>
    </w:pPr>
  </w:style>
  <w:style w:type="paragraph" w:styleId="NormalWeb">
    <w:name w:val="Normal (Web)"/>
    <w:basedOn w:val="Normal"/>
    <w:uiPriority w:val="99"/>
    <w:semiHidden/>
    <w:unhideWhenUsed/>
    <w:rsid w:val="006420D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420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20D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A6C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CFD"/>
  </w:style>
  <w:style w:type="paragraph" w:styleId="Footer">
    <w:name w:val="footer"/>
    <w:basedOn w:val="Normal"/>
    <w:link w:val="FooterChar"/>
    <w:uiPriority w:val="99"/>
    <w:unhideWhenUsed/>
    <w:rsid w:val="002A6C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CFD"/>
  </w:style>
  <w:style w:type="paragraph" w:styleId="TOCHeading">
    <w:name w:val="TOC Heading"/>
    <w:basedOn w:val="Heading1"/>
    <w:next w:val="Normal"/>
    <w:uiPriority w:val="39"/>
    <w:unhideWhenUsed/>
    <w:qFormat/>
    <w:rsid w:val="002A6CFD"/>
    <w:pPr>
      <w:outlineLvl w:val="9"/>
    </w:pPr>
  </w:style>
  <w:style w:type="paragraph" w:styleId="TOC1">
    <w:name w:val="toc 1"/>
    <w:basedOn w:val="Normal"/>
    <w:next w:val="Normal"/>
    <w:autoRedefine/>
    <w:uiPriority w:val="39"/>
    <w:unhideWhenUsed/>
    <w:rsid w:val="002A6CFD"/>
    <w:pPr>
      <w:spacing w:after="100"/>
    </w:pPr>
  </w:style>
  <w:style w:type="paragraph" w:styleId="TOC2">
    <w:name w:val="toc 2"/>
    <w:basedOn w:val="Normal"/>
    <w:next w:val="Normal"/>
    <w:autoRedefine/>
    <w:uiPriority w:val="39"/>
    <w:unhideWhenUsed/>
    <w:rsid w:val="002A6CFD"/>
    <w:pPr>
      <w:spacing w:after="100"/>
      <w:ind w:left="220"/>
    </w:pPr>
  </w:style>
  <w:style w:type="character" w:styleId="Hyperlink">
    <w:name w:val="Hyperlink"/>
    <w:basedOn w:val="DefaultParagraphFont"/>
    <w:uiPriority w:val="99"/>
    <w:unhideWhenUsed/>
    <w:rsid w:val="002A6CFD"/>
    <w:rPr>
      <w:color w:val="0563C1" w:themeColor="hyperlink"/>
      <w:u w:val="single"/>
    </w:rPr>
  </w:style>
  <w:style w:type="paragraph" w:styleId="NoSpacing">
    <w:name w:val="No Spacing"/>
    <w:link w:val="NoSpacingChar"/>
    <w:uiPriority w:val="1"/>
    <w:qFormat/>
    <w:rsid w:val="002A6CFD"/>
    <w:pPr>
      <w:spacing w:after="0" w:line="240" w:lineRule="auto"/>
    </w:pPr>
    <w:rPr>
      <w:rFonts w:eastAsiaTheme="minorEastAsia"/>
    </w:rPr>
  </w:style>
  <w:style w:type="character" w:customStyle="1" w:styleId="NoSpacingChar">
    <w:name w:val="No Spacing Char"/>
    <w:basedOn w:val="DefaultParagraphFont"/>
    <w:link w:val="NoSpacing"/>
    <w:uiPriority w:val="1"/>
    <w:rsid w:val="002A6CFD"/>
    <w:rPr>
      <w:rFonts w:eastAsiaTheme="minorEastAsia"/>
    </w:rPr>
  </w:style>
  <w:style w:type="paragraph" w:styleId="BalloonText">
    <w:name w:val="Balloon Text"/>
    <w:basedOn w:val="Normal"/>
    <w:link w:val="BalloonTextChar"/>
    <w:uiPriority w:val="99"/>
    <w:semiHidden/>
    <w:unhideWhenUsed/>
    <w:rsid w:val="00376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6D5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4273">
      <w:bodyDiv w:val="1"/>
      <w:marLeft w:val="0"/>
      <w:marRight w:val="0"/>
      <w:marTop w:val="0"/>
      <w:marBottom w:val="0"/>
      <w:divBdr>
        <w:top w:val="none" w:sz="0" w:space="0" w:color="auto"/>
        <w:left w:val="none" w:sz="0" w:space="0" w:color="auto"/>
        <w:bottom w:val="none" w:sz="0" w:space="0" w:color="auto"/>
        <w:right w:val="none" w:sz="0" w:space="0" w:color="auto"/>
      </w:divBdr>
    </w:div>
    <w:div w:id="196040534">
      <w:bodyDiv w:val="1"/>
      <w:marLeft w:val="0"/>
      <w:marRight w:val="0"/>
      <w:marTop w:val="0"/>
      <w:marBottom w:val="0"/>
      <w:divBdr>
        <w:top w:val="none" w:sz="0" w:space="0" w:color="auto"/>
        <w:left w:val="none" w:sz="0" w:space="0" w:color="auto"/>
        <w:bottom w:val="none" w:sz="0" w:space="0" w:color="auto"/>
        <w:right w:val="none" w:sz="0" w:space="0" w:color="auto"/>
      </w:divBdr>
    </w:div>
    <w:div w:id="310990078">
      <w:bodyDiv w:val="1"/>
      <w:marLeft w:val="0"/>
      <w:marRight w:val="0"/>
      <w:marTop w:val="0"/>
      <w:marBottom w:val="0"/>
      <w:divBdr>
        <w:top w:val="none" w:sz="0" w:space="0" w:color="auto"/>
        <w:left w:val="none" w:sz="0" w:space="0" w:color="auto"/>
        <w:bottom w:val="none" w:sz="0" w:space="0" w:color="auto"/>
        <w:right w:val="none" w:sz="0" w:space="0" w:color="auto"/>
      </w:divBdr>
    </w:div>
    <w:div w:id="351565603">
      <w:bodyDiv w:val="1"/>
      <w:marLeft w:val="0"/>
      <w:marRight w:val="0"/>
      <w:marTop w:val="0"/>
      <w:marBottom w:val="0"/>
      <w:divBdr>
        <w:top w:val="none" w:sz="0" w:space="0" w:color="auto"/>
        <w:left w:val="none" w:sz="0" w:space="0" w:color="auto"/>
        <w:bottom w:val="none" w:sz="0" w:space="0" w:color="auto"/>
        <w:right w:val="none" w:sz="0" w:space="0" w:color="auto"/>
      </w:divBdr>
      <w:divsChild>
        <w:div w:id="1962570209">
          <w:marLeft w:val="0"/>
          <w:marRight w:val="0"/>
          <w:marTop w:val="0"/>
          <w:marBottom w:val="0"/>
          <w:divBdr>
            <w:top w:val="single" w:sz="2" w:space="0" w:color="auto"/>
            <w:left w:val="single" w:sz="2" w:space="0" w:color="auto"/>
            <w:bottom w:val="single" w:sz="2" w:space="0" w:color="auto"/>
            <w:right w:val="single" w:sz="2" w:space="0" w:color="auto"/>
          </w:divBdr>
        </w:div>
        <w:div w:id="1623611891">
          <w:marLeft w:val="0"/>
          <w:marRight w:val="0"/>
          <w:marTop w:val="0"/>
          <w:marBottom w:val="0"/>
          <w:divBdr>
            <w:top w:val="single" w:sz="2" w:space="0" w:color="auto"/>
            <w:left w:val="single" w:sz="2" w:space="0" w:color="auto"/>
            <w:bottom w:val="single" w:sz="2" w:space="0" w:color="auto"/>
            <w:right w:val="single" w:sz="2" w:space="0" w:color="auto"/>
          </w:divBdr>
        </w:div>
        <w:div w:id="1752971491">
          <w:marLeft w:val="0"/>
          <w:marRight w:val="0"/>
          <w:marTop w:val="0"/>
          <w:marBottom w:val="0"/>
          <w:divBdr>
            <w:top w:val="single" w:sz="2" w:space="0" w:color="auto"/>
            <w:left w:val="single" w:sz="2" w:space="0" w:color="auto"/>
            <w:bottom w:val="single" w:sz="2" w:space="0" w:color="auto"/>
            <w:right w:val="single" w:sz="2" w:space="0" w:color="auto"/>
          </w:divBdr>
        </w:div>
        <w:div w:id="1886604476">
          <w:marLeft w:val="0"/>
          <w:marRight w:val="0"/>
          <w:marTop w:val="0"/>
          <w:marBottom w:val="0"/>
          <w:divBdr>
            <w:top w:val="single" w:sz="2" w:space="0" w:color="auto"/>
            <w:left w:val="single" w:sz="2" w:space="0" w:color="auto"/>
            <w:bottom w:val="single" w:sz="2" w:space="0" w:color="auto"/>
            <w:right w:val="single" w:sz="2" w:space="0" w:color="auto"/>
          </w:divBdr>
        </w:div>
        <w:div w:id="1453279868">
          <w:marLeft w:val="0"/>
          <w:marRight w:val="0"/>
          <w:marTop w:val="0"/>
          <w:marBottom w:val="0"/>
          <w:divBdr>
            <w:top w:val="single" w:sz="2" w:space="0" w:color="auto"/>
            <w:left w:val="single" w:sz="2" w:space="0" w:color="auto"/>
            <w:bottom w:val="single" w:sz="2" w:space="0" w:color="auto"/>
            <w:right w:val="single" w:sz="2" w:space="0" w:color="auto"/>
          </w:divBdr>
        </w:div>
        <w:div w:id="349069963">
          <w:marLeft w:val="0"/>
          <w:marRight w:val="0"/>
          <w:marTop w:val="0"/>
          <w:marBottom w:val="0"/>
          <w:divBdr>
            <w:top w:val="single" w:sz="2" w:space="0" w:color="auto"/>
            <w:left w:val="single" w:sz="2" w:space="0" w:color="auto"/>
            <w:bottom w:val="single" w:sz="2" w:space="0" w:color="auto"/>
            <w:right w:val="single" w:sz="2" w:space="0" w:color="auto"/>
          </w:divBdr>
        </w:div>
        <w:div w:id="223835083">
          <w:marLeft w:val="0"/>
          <w:marRight w:val="0"/>
          <w:marTop w:val="0"/>
          <w:marBottom w:val="0"/>
          <w:divBdr>
            <w:top w:val="single" w:sz="2" w:space="0" w:color="auto"/>
            <w:left w:val="single" w:sz="2" w:space="0" w:color="auto"/>
            <w:bottom w:val="single" w:sz="2" w:space="0" w:color="auto"/>
            <w:right w:val="single" w:sz="2" w:space="0" w:color="auto"/>
          </w:divBdr>
        </w:div>
        <w:div w:id="1739857999">
          <w:marLeft w:val="0"/>
          <w:marRight w:val="0"/>
          <w:marTop w:val="0"/>
          <w:marBottom w:val="0"/>
          <w:divBdr>
            <w:top w:val="single" w:sz="2" w:space="0" w:color="auto"/>
            <w:left w:val="single" w:sz="2" w:space="0" w:color="auto"/>
            <w:bottom w:val="single" w:sz="2" w:space="0" w:color="auto"/>
            <w:right w:val="single" w:sz="2" w:space="0" w:color="auto"/>
          </w:divBdr>
        </w:div>
      </w:divsChild>
    </w:div>
    <w:div w:id="472211768">
      <w:bodyDiv w:val="1"/>
      <w:marLeft w:val="0"/>
      <w:marRight w:val="0"/>
      <w:marTop w:val="0"/>
      <w:marBottom w:val="0"/>
      <w:divBdr>
        <w:top w:val="none" w:sz="0" w:space="0" w:color="auto"/>
        <w:left w:val="none" w:sz="0" w:space="0" w:color="auto"/>
        <w:bottom w:val="none" w:sz="0" w:space="0" w:color="auto"/>
        <w:right w:val="none" w:sz="0" w:space="0" w:color="auto"/>
      </w:divBdr>
      <w:divsChild>
        <w:div w:id="1380975338">
          <w:marLeft w:val="0"/>
          <w:marRight w:val="0"/>
          <w:marTop w:val="0"/>
          <w:marBottom w:val="0"/>
          <w:divBdr>
            <w:top w:val="single" w:sz="2" w:space="0" w:color="auto"/>
            <w:left w:val="single" w:sz="2" w:space="0" w:color="auto"/>
            <w:bottom w:val="single" w:sz="2" w:space="0" w:color="auto"/>
            <w:right w:val="single" w:sz="2" w:space="0" w:color="auto"/>
          </w:divBdr>
        </w:div>
        <w:div w:id="1451779521">
          <w:marLeft w:val="0"/>
          <w:marRight w:val="0"/>
          <w:marTop w:val="0"/>
          <w:marBottom w:val="0"/>
          <w:divBdr>
            <w:top w:val="single" w:sz="2" w:space="0" w:color="auto"/>
            <w:left w:val="single" w:sz="2" w:space="0" w:color="auto"/>
            <w:bottom w:val="single" w:sz="2" w:space="0" w:color="auto"/>
            <w:right w:val="single" w:sz="2" w:space="0" w:color="auto"/>
          </w:divBdr>
        </w:div>
        <w:div w:id="1020282091">
          <w:marLeft w:val="0"/>
          <w:marRight w:val="0"/>
          <w:marTop w:val="0"/>
          <w:marBottom w:val="0"/>
          <w:divBdr>
            <w:top w:val="single" w:sz="2" w:space="0" w:color="auto"/>
            <w:left w:val="single" w:sz="2" w:space="0" w:color="auto"/>
            <w:bottom w:val="single" w:sz="2" w:space="0" w:color="auto"/>
            <w:right w:val="single" w:sz="2" w:space="0" w:color="auto"/>
          </w:divBdr>
        </w:div>
        <w:div w:id="374895943">
          <w:marLeft w:val="0"/>
          <w:marRight w:val="0"/>
          <w:marTop w:val="0"/>
          <w:marBottom w:val="0"/>
          <w:divBdr>
            <w:top w:val="single" w:sz="2" w:space="0" w:color="auto"/>
            <w:left w:val="single" w:sz="2" w:space="0" w:color="auto"/>
            <w:bottom w:val="single" w:sz="2" w:space="0" w:color="auto"/>
            <w:right w:val="single" w:sz="2" w:space="0" w:color="auto"/>
          </w:divBdr>
        </w:div>
        <w:div w:id="1209297956">
          <w:marLeft w:val="0"/>
          <w:marRight w:val="0"/>
          <w:marTop w:val="0"/>
          <w:marBottom w:val="0"/>
          <w:divBdr>
            <w:top w:val="single" w:sz="2" w:space="0" w:color="auto"/>
            <w:left w:val="single" w:sz="2" w:space="0" w:color="auto"/>
            <w:bottom w:val="single" w:sz="2" w:space="0" w:color="auto"/>
            <w:right w:val="single" w:sz="2" w:space="0" w:color="auto"/>
          </w:divBdr>
        </w:div>
        <w:div w:id="1545018773">
          <w:marLeft w:val="0"/>
          <w:marRight w:val="0"/>
          <w:marTop w:val="0"/>
          <w:marBottom w:val="0"/>
          <w:divBdr>
            <w:top w:val="single" w:sz="2" w:space="0" w:color="auto"/>
            <w:left w:val="single" w:sz="2" w:space="0" w:color="auto"/>
            <w:bottom w:val="single" w:sz="2" w:space="0" w:color="auto"/>
            <w:right w:val="single" w:sz="2" w:space="0" w:color="auto"/>
          </w:divBdr>
        </w:div>
        <w:div w:id="1705521858">
          <w:marLeft w:val="0"/>
          <w:marRight w:val="0"/>
          <w:marTop w:val="0"/>
          <w:marBottom w:val="0"/>
          <w:divBdr>
            <w:top w:val="single" w:sz="2" w:space="0" w:color="auto"/>
            <w:left w:val="single" w:sz="2" w:space="0" w:color="auto"/>
            <w:bottom w:val="single" w:sz="2" w:space="0" w:color="auto"/>
            <w:right w:val="single" w:sz="2" w:space="0" w:color="auto"/>
          </w:divBdr>
        </w:div>
        <w:div w:id="1347976245">
          <w:marLeft w:val="0"/>
          <w:marRight w:val="0"/>
          <w:marTop w:val="0"/>
          <w:marBottom w:val="0"/>
          <w:divBdr>
            <w:top w:val="single" w:sz="2" w:space="0" w:color="auto"/>
            <w:left w:val="single" w:sz="2" w:space="0" w:color="auto"/>
            <w:bottom w:val="single" w:sz="2" w:space="0" w:color="auto"/>
            <w:right w:val="single" w:sz="2" w:space="0" w:color="auto"/>
          </w:divBdr>
        </w:div>
      </w:divsChild>
    </w:div>
    <w:div w:id="183121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Current ratio</c:v>
                </c:pt>
              </c:strCache>
            </c:strRef>
          </c:tx>
          <c:spPr>
            <a:solidFill>
              <a:schemeClr val="accent1"/>
            </a:solidFill>
            <a:ln>
              <a:noFill/>
            </a:ln>
            <a:effectLst/>
          </c:spPr>
          <c:invertIfNegative val="0"/>
          <c:cat>
            <c:numRef>
              <c:f>Sheet1!$B$1:$C$1</c:f>
              <c:numCache>
                <c:formatCode>General</c:formatCode>
                <c:ptCount val="2"/>
                <c:pt idx="0">
                  <c:v>2021</c:v>
                </c:pt>
                <c:pt idx="1">
                  <c:v>2020</c:v>
                </c:pt>
              </c:numCache>
            </c:numRef>
          </c:cat>
          <c:val>
            <c:numRef>
              <c:f>Sheet1!$B$2:$C$2</c:f>
              <c:numCache>
                <c:formatCode>General</c:formatCode>
                <c:ptCount val="2"/>
                <c:pt idx="0">
                  <c:v>0.56590000000000062</c:v>
                </c:pt>
                <c:pt idx="1">
                  <c:v>0.49110000000000031</c:v>
                </c:pt>
              </c:numCache>
            </c:numRef>
          </c:val>
          <c:extLst>
            <c:ext xmlns:c16="http://schemas.microsoft.com/office/drawing/2014/chart" uri="{C3380CC4-5D6E-409C-BE32-E72D297353CC}">
              <c16:uniqueId val="{00000000-4CAB-4533-A305-EDB364DE423C}"/>
            </c:ext>
          </c:extLst>
        </c:ser>
        <c:dLbls>
          <c:showLegendKey val="0"/>
          <c:showVal val="0"/>
          <c:showCatName val="0"/>
          <c:showSerName val="0"/>
          <c:showPercent val="0"/>
          <c:showBubbleSize val="0"/>
        </c:dLbls>
        <c:gapWidth val="219"/>
        <c:overlap val="-27"/>
        <c:axId val="229970304"/>
        <c:axId val="229971840"/>
      </c:barChart>
      <c:catAx>
        <c:axId val="229970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71840"/>
        <c:crosses val="autoZero"/>
        <c:auto val="1"/>
        <c:lblAlgn val="ctr"/>
        <c:lblOffset val="100"/>
        <c:noMultiLvlLbl val="0"/>
      </c:catAx>
      <c:valAx>
        <c:axId val="229971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70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Long term Debt / Capital</a:t>
            </a:r>
          </a:p>
        </c:rich>
      </c:tx>
      <c:overlay val="0"/>
      <c:spPr>
        <a:noFill/>
        <a:ln>
          <a:noFill/>
        </a:ln>
        <a:effectLst/>
      </c:spPr>
    </c:title>
    <c:autoTitleDeleted val="0"/>
    <c:plotArea>
      <c:layout/>
      <c:barChart>
        <c:barDir val="col"/>
        <c:grouping val="clustered"/>
        <c:varyColors val="0"/>
        <c:ser>
          <c:idx val="0"/>
          <c:order val="0"/>
          <c:tx>
            <c:strRef>
              <c:f>Sheet1!$A$3</c:f>
              <c:strCache>
                <c:ptCount val="1"/>
                <c:pt idx="0">
                  <c:v>Long term Debt/ Capital</c:v>
                </c:pt>
              </c:strCache>
            </c:strRef>
          </c:tx>
          <c:spPr>
            <a:solidFill>
              <a:schemeClr val="accent1"/>
            </a:solidFill>
            <a:ln>
              <a:noFill/>
            </a:ln>
            <a:effectLst/>
          </c:spPr>
          <c:invertIfNegative val="0"/>
          <c:cat>
            <c:numRef>
              <c:f>Sheet1!$B$1:$C$1</c:f>
              <c:numCache>
                <c:formatCode>General</c:formatCode>
                <c:ptCount val="2"/>
                <c:pt idx="0">
                  <c:v>2021</c:v>
                </c:pt>
                <c:pt idx="1">
                  <c:v>2020</c:v>
                </c:pt>
              </c:numCache>
            </c:numRef>
          </c:cat>
          <c:val>
            <c:numRef>
              <c:f>Sheet1!$B$3:$C$3</c:f>
              <c:numCache>
                <c:formatCode>General</c:formatCode>
                <c:ptCount val="2"/>
                <c:pt idx="0">
                  <c:v>0.86839999999999995</c:v>
                </c:pt>
                <c:pt idx="1">
                  <c:v>0.95540000000000003</c:v>
                </c:pt>
              </c:numCache>
            </c:numRef>
          </c:val>
          <c:extLst>
            <c:ext xmlns:c16="http://schemas.microsoft.com/office/drawing/2014/chart" uri="{C3380CC4-5D6E-409C-BE32-E72D297353CC}">
              <c16:uniqueId val="{00000000-3652-44E4-BB99-56A1B64EC32E}"/>
            </c:ext>
          </c:extLst>
        </c:ser>
        <c:dLbls>
          <c:showLegendKey val="0"/>
          <c:showVal val="0"/>
          <c:showCatName val="0"/>
          <c:showSerName val="0"/>
          <c:showPercent val="0"/>
          <c:showBubbleSize val="0"/>
        </c:dLbls>
        <c:gapWidth val="219"/>
        <c:overlap val="-27"/>
        <c:axId val="234720256"/>
        <c:axId val="234845696"/>
      </c:barChart>
      <c:catAx>
        <c:axId val="234720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845696"/>
        <c:crosses val="autoZero"/>
        <c:auto val="1"/>
        <c:lblAlgn val="ctr"/>
        <c:lblOffset val="100"/>
        <c:noMultiLvlLbl val="0"/>
      </c:catAx>
      <c:valAx>
        <c:axId val="234845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720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pt idx="0">
                  <c:v>Debt/Equity ratio</c:v>
                </c:pt>
              </c:strCache>
            </c:strRef>
          </c:tx>
          <c:spPr>
            <a:solidFill>
              <a:schemeClr val="accent1"/>
            </a:solidFill>
            <a:ln>
              <a:noFill/>
            </a:ln>
            <a:effectLst/>
          </c:spPr>
          <c:invertIfNegative val="0"/>
          <c:cat>
            <c:numRef>
              <c:f>Sheet1!$G$1:$H$1</c:f>
              <c:numCache>
                <c:formatCode>General</c:formatCode>
                <c:ptCount val="2"/>
                <c:pt idx="0">
                  <c:v>2021</c:v>
                </c:pt>
                <c:pt idx="1">
                  <c:v>2020</c:v>
                </c:pt>
              </c:numCache>
            </c:numRef>
          </c:cat>
          <c:val>
            <c:numRef>
              <c:f>Sheet1!$G$2:$H$2</c:f>
              <c:numCache>
                <c:formatCode>General</c:formatCode>
                <c:ptCount val="2"/>
                <c:pt idx="0">
                  <c:v>7.1696999999999997</c:v>
                </c:pt>
                <c:pt idx="1">
                  <c:v>24.130199999999999</c:v>
                </c:pt>
              </c:numCache>
            </c:numRef>
          </c:val>
          <c:extLst>
            <c:ext xmlns:c16="http://schemas.microsoft.com/office/drawing/2014/chart" uri="{C3380CC4-5D6E-409C-BE32-E72D297353CC}">
              <c16:uniqueId val="{00000000-DEEA-4FBB-A0D9-9B8A1AFA8DE7}"/>
            </c:ext>
          </c:extLst>
        </c:ser>
        <c:dLbls>
          <c:showLegendKey val="0"/>
          <c:showVal val="0"/>
          <c:showCatName val="0"/>
          <c:showSerName val="0"/>
          <c:showPercent val="0"/>
          <c:showBubbleSize val="0"/>
        </c:dLbls>
        <c:gapWidth val="219"/>
        <c:overlap val="-27"/>
        <c:axId val="234955136"/>
        <c:axId val="234956672"/>
      </c:barChart>
      <c:catAx>
        <c:axId val="234955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956672"/>
        <c:crosses val="autoZero"/>
        <c:auto val="1"/>
        <c:lblAlgn val="ctr"/>
        <c:lblOffset val="100"/>
        <c:noMultiLvlLbl val="0"/>
      </c:catAx>
      <c:valAx>
        <c:axId val="23495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955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c:f>
              <c:strCache>
                <c:ptCount val="1"/>
                <c:pt idx="0">
                  <c:v>Gross margin</c:v>
                </c:pt>
              </c:strCache>
            </c:strRef>
          </c:tx>
          <c:spPr>
            <a:solidFill>
              <a:schemeClr val="accent1"/>
            </a:solidFill>
            <a:ln>
              <a:noFill/>
            </a:ln>
            <a:effectLst/>
          </c:spPr>
          <c:invertIfNegative val="0"/>
          <c:cat>
            <c:numRef>
              <c:f>Sheet1!$K$1:$L$1</c:f>
              <c:numCache>
                <c:formatCode>General</c:formatCode>
                <c:ptCount val="2"/>
                <c:pt idx="0">
                  <c:v>2021</c:v>
                </c:pt>
                <c:pt idx="1">
                  <c:v>2020</c:v>
                </c:pt>
              </c:numCache>
            </c:numRef>
          </c:cat>
          <c:val>
            <c:numRef>
              <c:f>Sheet1!$K$2:$L$2</c:f>
              <c:numCache>
                <c:formatCode>General</c:formatCode>
                <c:ptCount val="2"/>
                <c:pt idx="0">
                  <c:v>20.2136</c:v>
                </c:pt>
                <c:pt idx="1">
                  <c:v>13.8019</c:v>
                </c:pt>
              </c:numCache>
            </c:numRef>
          </c:val>
          <c:extLst>
            <c:ext xmlns:c16="http://schemas.microsoft.com/office/drawing/2014/chart" uri="{C3380CC4-5D6E-409C-BE32-E72D297353CC}">
              <c16:uniqueId val="{00000000-C3E2-4B92-9A83-61D51646BCDF}"/>
            </c:ext>
          </c:extLst>
        </c:ser>
        <c:dLbls>
          <c:showLegendKey val="0"/>
          <c:showVal val="0"/>
          <c:showCatName val="0"/>
          <c:showSerName val="0"/>
          <c:showPercent val="0"/>
          <c:showBubbleSize val="0"/>
        </c:dLbls>
        <c:gapWidth val="219"/>
        <c:overlap val="-27"/>
        <c:axId val="264956544"/>
        <c:axId val="287838592"/>
      </c:barChart>
      <c:catAx>
        <c:axId val="264956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7838592"/>
        <c:crosses val="autoZero"/>
        <c:auto val="1"/>
        <c:lblAlgn val="ctr"/>
        <c:lblOffset val="100"/>
        <c:noMultiLvlLbl val="0"/>
      </c:catAx>
      <c:valAx>
        <c:axId val="287838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956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Sheet1!$N$2</c:f>
              <c:strCache>
                <c:ptCount val="1"/>
                <c:pt idx="0">
                  <c:v>Operating margin</c:v>
                </c:pt>
              </c:strCache>
            </c:strRef>
          </c:tx>
          <c:spPr>
            <a:solidFill>
              <a:schemeClr val="accent1"/>
            </a:solidFill>
            <a:ln>
              <a:noFill/>
            </a:ln>
            <a:effectLst/>
          </c:spPr>
          <c:invertIfNegative val="0"/>
          <c:cat>
            <c:numRef>
              <c:f>Sheet1!$O$1:$P$1</c:f>
              <c:numCache>
                <c:formatCode>General</c:formatCode>
                <c:ptCount val="2"/>
                <c:pt idx="0">
                  <c:v>2021</c:v>
                </c:pt>
                <c:pt idx="1">
                  <c:v>2020</c:v>
                </c:pt>
              </c:numCache>
            </c:numRef>
          </c:cat>
          <c:val>
            <c:numRef>
              <c:f>Sheet1!$O$2:$P$2</c:f>
              <c:numCache>
                <c:formatCode>General</c:formatCode>
                <c:ptCount val="2"/>
                <c:pt idx="0">
                  <c:v>12.629</c:v>
                </c:pt>
                <c:pt idx="1">
                  <c:v>0.79459999999999997</c:v>
                </c:pt>
              </c:numCache>
            </c:numRef>
          </c:val>
          <c:extLst>
            <c:ext xmlns:c16="http://schemas.microsoft.com/office/drawing/2014/chart" uri="{C3380CC4-5D6E-409C-BE32-E72D297353CC}">
              <c16:uniqueId val="{00000000-EAE5-4207-92E2-7C4262362413}"/>
            </c:ext>
          </c:extLst>
        </c:ser>
        <c:dLbls>
          <c:showLegendKey val="0"/>
          <c:showVal val="0"/>
          <c:showCatName val="0"/>
          <c:showSerName val="0"/>
          <c:showPercent val="0"/>
          <c:showBubbleSize val="0"/>
        </c:dLbls>
        <c:gapWidth val="219"/>
        <c:overlap val="-27"/>
        <c:axId val="291969280"/>
        <c:axId val="292069760"/>
      </c:barChart>
      <c:catAx>
        <c:axId val="291969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69760"/>
        <c:crosses val="autoZero"/>
        <c:auto val="1"/>
        <c:lblAlgn val="ctr"/>
        <c:lblOffset val="100"/>
        <c:noMultiLvlLbl val="0"/>
      </c:catAx>
      <c:valAx>
        <c:axId val="292069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1969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EBITDA margin</a:t>
            </a:r>
          </a:p>
        </c:rich>
      </c:tx>
      <c:overlay val="0"/>
      <c:spPr>
        <a:noFill/>
        <a:ln>
          <a:noFill/>
        </a:ln>
        <a:effectLst/>
      </c:spPr>
    </c:title>
    <c:autoTitleDeleted val="0"/>
    <c:plotArea>
      <c:layout/>
      <c:barChart>
        <c:barDir val="col"/>
        <c:grouping val="clustered"/>
        <c:varyColors val="0"/>
        <c:ser>
          <c:idx val="0"/>
          <c:order val="0"/>
          <c:tx>
            <c:strRef>
              <c:f>Sheet1!$F$5</c:f>
              <c:strCache>
                <c:ptCount val="1"/>
                <c:pt idx="0">
                  <c:v>EBITDA Margin</c:v>
                </c:pt>
              </c:strCache>
            </c:strRef>
          </c:tx>
          <c:spPr>
            <a:solidFill>
              <a:schemeClr val="accent1"/>
            </a:solidFill>
            <a:ln>
              <a:noFill/>
            </a:ln>
            <a:effectLst/>
          </c:spPr>
          <c:invertIfNegative val="0"/>
          <c:cat>
            <c:numRef>
              <c:f>Sheet1!$G$4:$H$4</c:f>
              <c:numCache>
                <c:formatCode>General</c:formatCode>
                <c:ptCount val="2"/>
                <c:pt idx="0">
                  <c:v>2021</c:v>
                </c:pt>
                <c:pt idx="1">
                  <c:v>2020</c:v>
                </c:pt>
              </c:numCache>
            </c:numRef>
          </c:cat>
          <c:val>
            <c:numRef>
              <c:f>Sheet1!$G$5:$H$5</c:f>
              <c:numCache>
                <c:formatCode>General</c:formatCode>
                <c:ptCount val="2"/>
                <c:pt idx="0">
                  <c:v>14.757900000000001</c:v>
                </c:pt>
                <c:pt idx="1">
                  <c:v>5.3163999999999998</c:v>
                </c:pt>
              </c:numCache>
            </c:numRef>
          </c:val>
          <c:extLst>
            <c:ext xmlns:c16="http://schemas.microsoft.com/office/drawing/2014/chart" uri="{C3380CC4-5D6E-409C-BE32-E72D297353CC}">
              <c16:uniqueId val="{00000000-42A6-444A-899C-57494EEE04BC}"/>
            </c:ext>
          </c:extLst>
        </c:ser>
        <c:dLbls>
          <c:showLegendKey val="0"/>
          <c:showVal val="0"/>
          <c:showCatName val="0"/>
          <c:showSerName val="0"/>
          <c:showPercent val="0"/>
          <c:showBubbleSize val="0"/>
        </c:dLbls>
        <c:gapWidth val="219"/>
        <c:overlap val="-27"/>
        <c:axId val="330061312"/>
        <c:axId val="330062848"/>
      </c:barChart>
      <c:catAx>
        <c:axId val="330061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062848"/>
        <c:crosses val="autoZero"/>
        <c:auto val="1"/>
        <c:lblAlgn val="ctr"/>
        <c:lblOffset val="100"/>
        <c:noMultiLvlLbl val="0"/>
      </c:catAx>
      <c:valAx>
        <c:axId val="330062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061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Sheet1!$J$5</c:f>
              <c:strCache>
                <c:ptCount val="1"/>
                <c:pt idx="0">
                  <c:v>Pre-tax margin</c:v>
                </c:pt>
              </c:strCache>
            </c:strRef>
          </c:tx>
          <c:spPr>
            <a:solidFill>
              <a:schemeClr val="accent1"/>
            </a:solidFill>
            <a:ln>
              <a:noFill/>
            </a:ln>
            <a:effectLst/>
          </c:spPr>
          <c:invertIfNegative val="0"/>
          <c:cat>
            <c:numRef>
              <c:f>Sheet1!$K$4:$L$4</c:f>
              <c:numCache>
                <c:formatCode>General</c:formatCode>
                <c:ptCount val="2"/>
                <c:pt idx="0">
                  <c:v>2021</c:v>
                </c:pt>
                <c:pt idx="1">
                  <c:v>2020</c:v>
                </c:pt>
              </c:numCache>
            </c:numRef>
          </c:cat>
          <c:val>
            <c:numRef>
              <c:f>Sheet1!$K$5:$L$5</c:f>
              <c:numCache>
                <c:formatCode>General</c:formatCode>
                <c:ptCount val="2"/>
                <c:pt idx="0">
                  <c:v>8.5156000000000027</c:v>
                </c:pt>
                <c:pt idx="1">
                  <c:v>-4.4083000000000014</c:v>
                </c:pt>
              </c:numCache>
            </c:numRef>
          </c:val>
          <c:extLst>
            <c:ext xmlns:c16="http://schemas.microsoft.com/office/drawing/2014/chart" uri="{C3380CC4-5D6E-409C-BE32-E72D297353CC}">
              <c16:uniqueId val="{00000000-7619-4BA8-96D2-18C812A1221A}"/>
            </c:ext>
          </c:extLst>
        </c:ser>
        <c:dLbls>
          <c:showLegendKey val="0"/>
          <c:showVal val="0"/>
          <c:showCatName val="0"/>
          <c:showSerName val="0"/>
          <c:showPercent val="0"/>
          <c:showBubbleSize val="0"/>
        </c:dLbls>
        <c:gapWidth val="219"/>
        <c:overlap val="-27"/>
        <c:axId val="330337664"/>
        <c:axId val="85124224"/>
      </c:barChart>
      <c:catAx>
        <c:axId val="330337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124224"/>
        <c:crosses val="autoZero"/>
        <c:auto val="1"/>
        <c:lblAlgn val="ctr"/>
        <c:lblOffset val="100"/>
        <c:noMultiLvlLbl val="0"/>
      </c:catAx>
      <c:valAx>
        <c:axId val="85124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337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Sheet1!$N$5</c:f>
              <c:strCache>
                <c:ptCount val="1"/>
                <c:pt idx="0">
                  <c:v>Net profit margin</c:v>
                </c:pt>
              </c:strCache>
            </c:strRef>
          </c:tx>
          <c:spPr>
            <a:solidFill>
              <a:schemeClr val="accent1"/>
            </a:solidFill>
            <a:ln>
              <a:noFill/>
            </a:ln>
            <a:effectLst/>
          </c:spPr>
          <c:invertIfNegative val="0"/>
          <c:cat>
            <c:numRef>
              <c:f>Sheet1!$O$4:$P$4</c:f>
              <c:numCache>
                <c:formatCode>General</c:formatCode>
                <c:ptCount val="2"/>
                <c:pt idx="0">
                  <c:v>2021</c:v>
                </c:pt>
                <c:pt idx="1">
                  <c:v>2020</c:v>
                </c:pt>
              </c:numCache>
            </c:numRef>
          </c:cat>
          <c:val>
            <c:numRef>
              <c:f>Sheet1!$O$5:$P$5</c:f>
              <c:numCache>
                <c:formatCode>General</c:formatCode>
                <c:ptCount val="2"/>
                <c:pt idx="0">
                  <c:v>7.9310000000000063</c:v>
                </c:pt>
                <c:pt idx="1">
                  <c:v>-2.5257999999999998</c:v>
                </c:pt>
              </c:numCache>
            </c:numRef>
          </c:val>
          <c:extLst>
            <c:ext xmlns:c16="http://schemas.microsoft.com/office/drawing/2014/chart" uri="{C3380CC4-5D6E-409C-BE32-E72D297353CC}">
              <c16:uniqueId val="{00000000-AF68-4025-BFE3-201ECFD358F7}"/>
            </c:ext>
          </c:extLst>
        </c:ser>
        <c:dLbls>
          <c:showLegendKey val="0"/>
          <c:showVal val="0"/>
          <c:showCatName val="0"/>
          <c:showSerName val="0"/>
          <c:showPercent val="0"/>
          <c:showBubbleSize val="0"/>
        </c:dLbls>
        <c:gapWidth val="219"/>
        <c:overlap val="-27"/>
        <c:axId val="85480192"/>
        <c:axId val="85481728"/>
      </c:barChart>
      <c:catAx>
        <c:axId val="8548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81728"/>
        <c:crosses val="autoZero"/>
        <c:auto val="1"/>
        <c:lblAlgn val="ctr"/>
        <c:lblOffset val="100"/>
        <c:noMultiLvlLbl val="0"/>
      </c:catAx>
      <c:valAx>
        <c:axId val="85481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80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Asset turnover</a:t>
            </a:r>
          </a:p>
        </c:rich>
      </c:tx>
      <c:overlay val="0"/>
      <c:spPr>
        <a:noFill/>
        <a:ln>
          <a:noFill/>
        </a:ln>
        <a:effectLst/>
      </c:spPr>
    </c:title>
    <c:autoTitleDeleted val="0"/>
    <c:plotArea>
      <c:layout/>
      <c:barChart>
        <c:barDir val="col"/>
        <c:grouping val="clustered"/>
        <c:varyColors val="0"/>
        <c:ser>
          <c:idx val="0"/>
          <c:order val="0"/>
          <c:tx>
            <c:strRef>
              <c:f>Sheet1!$F$7</c:f>
              <c:strCache>
                <c:ptCount val="1"/>
                <c:pt idx="0">
                  <c:v>Asset tuirnover</c:v>
                </c:pt>
              </c:strCache>
            </c:strRef>
          </c:tx>
          <c:spPr>
            <a:solidFill>
              <a:schemeClr val="accent1"/>
            </a:solidFill>
            <a:ln>
              <a:noFill/>
            </a:ln>
            <a:effectLst/>
          </c:spPr>
          <c:invertIfNegative val="0"/>
          <c:cat>
            <c:numRef>
              <c:f>Sheet1!$G$6:$H$6</c:f>
              <c:numCache>
                <c:formatCode>General</c:formatCode>
                <c:ptCount val="2"/>
                <c:pt idx="0">
                  <c:v>2021</c:v>
                </c:pt>
                <c:pt idx="1">
                  <c:v>2020</c:v>
                </c:pt>
              </c:numCache>
            </c:numRef>
          </c:cat>
          <c:val>
            <c:numRef>
              <c:f>Sheet1!$G$7:$H$7</c:f>
              <c:numCache>
                <c:formatCode>General</c:formatCode>
                <c:ptCount val="2"/>
                <c:pt idx="0">
                  <c:v>0.5423</c:v>
                </c:pt>
                <c:pt idx="1">
                  <c:v>0.42800000000000032</c:v>
                </c:pt>
              </c:numCache>
            </c:numRef>
          </c:val>
          <c:extLst>
            <c:ext xmlns:c16="http://schemas.microsoft.com/office/drawing/2014/chart" uri="{C3380CC4-5D6E-409C-BE32-E72D297353CC}">
              <c16:uniqueId val="{00000000-4340-491D-968F-2026F9A52846}"/>
            </c:ext>
          </c:extLst>
        </c:ser>
        <c:dLbls>
          <c:showLegendKey val="0"/>
          <c:showVal val="0"/>
          <c:showCatName val="0"/>
          <c:showSerName val="0"/>
          <c:showPercent val="0"/>
          <c:showBubbleSize val="0"/>
        </c:dLbls>
        <c:gapWidth val="219"/>
        <c:overlap val="-27"/>
        <c:axId val="85493632"/>
        <c:axId val="85495168"/>
      </c:barChart>
      <c:catAx>
        <c:axId val="85493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95168"/>
        <c:crosses val="autoZero"/>
        <c:auto val="1"/>
        <c:lblAlgn val="ctr"/>
        <c:lblOffset val="100"/>
        <c:noMultiLvlLbl val="0"/>
      </c:catAx>
      <c:valAx>
        <c:axId val="85495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93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Sheet1!$I$15</c:f>
              <c:strCache>
                <c:ptCount val="1"/>
                <c:pt idx="0">
                  <c:v>Receivable turnover</c:v>
                </c:pt>
              </c:strCache>
            </c:strRef>
          </c:tx>
          <c:spPr>
            <a:solidFill>
              <a:schemeClr val="accent1"/>
            </a:solidFill>
            <a:ln>
              <a:noFill/>
            </a:ln>
            <a:effectLst/>
          </c:spPr>
          <c:invertIfNegative val="0"/>
          <c:cat>
            <c:numRef>
              <c:f>Sheet1!$J$14:$K$14</c:f>
              <c:numCache>
                <c:formatCode>General</c:formatCode>
                <c:ptCount val="2"/>
                <c:pt idx="0">
                  <c:v>2021</c:v>
                </c:pt>
                <c:pt idx="1">
                  <c:v>2020</c:v>
                </c:pt>
              </c:numCache>
            </c:numRef>
          </c:cat>
          <c:val>
            <c:numRef>
              <c:f>Sheet1!$J$15:$K$15</c:f>
              <c:numCache>
                <c:formatCode>General</c:formatCode>
                <c:ptCount val="2"/>
                <c:pt idx="0">
                  <c:v>6.9914000000000014</c:v>
                </c:pt>
                <c:pt idx="1">
                  <c:v>5.9791000000000034</c:v>
                </c:pt>
              </c:numCache>
            </c:numRef>
          </c:val>
          <c:extLst>
            <c:ext xmlns:c16="http://schemas.microsoft.com/office/drawing/2014/chart" uri="{C3380CC4-5D6E-409C-BE32-E72D297353CC}">
              <c16:uniqueId val="{00000000-2F8A-4489-811D-E9CCE72ADE3E}"/>
            </c:ext>
          </c:extLst>
        </c:ser>
        <c:dLbls>
          <c:showLegendKey val="0"/>
          <c:showVal val="0"/>
          <c:showCatName val="0"/>
          <c:showSerName val="0"/>
          <c:showPercent val="0"/>
          <c:showBubbleSize val="0"/>
        </c:dLbls>
        <c:gapWidth val="219"/>
        <c:overlap val="-27"/>
        <c:axId val="85511168"/>
        <c:axId val="85521152"/>
      </c:barChart>
      <c:catAx>
        <c:axId val="85511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21152"/>
        <c:crosses val="autoZero"/>
        <c:auto val="1"/>
        <c:lblAlgn val="ctr"/>
        <c:lblOffset val="100"/>
        <c:noMultiLvlLbl val="0"/>
      </c:catAx>
      <c:valAx>
        <c:axId val="85521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11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Sheet1!$I$18</c:f>
              <c:strCache>
                <c:ptCount val="1"/>
                <c:pt idx="0">
                  <c:v>Days sales in receivable</c:v>
                </c:pt>
              </c:strCache>
            </c:strRef>
          </c:tx>
          <c:spPr>
            <a:solidFill>
              <a:schemeClr val="accent1"/>
            </a:solidFill>
            <a:ln>
              <a:noFill/>
            </a:ln>
            <a:effectLst/>
          </c:spPr>
          <c:invertIfNegative val="0"/>
          <c:cat>
            <c:numRef>
              <c:f>Sheet1!$J$17:$K$17</c:f>
              <c:numCache>
                <c:formatCode>General</c:formatCode>
                <c:ptCount val="2"/>
                <c:pt idx="0">
                  <c:v>2021</c:v>
                </c:pt>
                <c:pt idx="1">
                  <c:v>2020</c:v>
                </c:pt>
              </c:numCache>
            </c:numRef>
          </c:cat>
          <c:val>
            <c:numRef>
              <c:f>Sheet1!$J$18:$K$18</c:f>
              <c:numCache>
                <c:formatCode>General</c:formatCode>
                <c:ptCount val="2"/>
                <c:pt idx="0">
                  <c:v>52.206800000000001</c:v>
                </c:pt>
                <c:pt idx="1">
                  <c:v>61.046300000000002</c:v>
                </c:pt>
              </c:numCache>
            </c:numRef>
          </c:val>
          <c:extLst>
            <c:ext xmlns:c16="http://schemas.microsoft.com/office/drawing/2014/chart" uri="{C3380CC4-5D6E-409C-BE32-E72D297353CC}">
              <c16:uniqueId val="{00000000-B5DA-4450-BD28-7C182979208B}"/>
            </c:ext>
          </c:extLst>
        </c:ser>
        <c:dLbls>
          <c:showLegendKey val="0"/>
          <c:showVal val="0"/>
          <c:showCatName val="0"/>
          <c:showSerName val="0"/>
          <c:showPercent val="0"/>
          <c:showBubbleSize val="0"/>
        </c:dLbls>
        <c:gapWidth val="219"/>
        <c:overlap val="-27"/>
        <c:axId val="85598592"/>
        <c:axId val="85600128"/>
      </c:barChart>
      <c:catAx>
        <c:axId val="85598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00128"/>
        <c:crosses val="autoZero"/>
        <c:auto val="1"/>
        <c:lblAlgn val="ctr"/>
        <c:lblOffset val="100"/>
        <c:noMultiLvlLbl val="0"/>
      </c:catAx>
      <c:valAx>
        <c:axId val="85600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98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Sheet1!$I$20</c:f>
              <c:strCache>
                <c:ptCount val="1"/>
                <c:pt idx="0">
                  <c:v>ROE- return on equity</c:v>
                </c:pt>
              </c:strCache>
            </c:strRef>
          </c:tx>
          <c:spPr>
            <a:solidFill>
              <a:schemeClr val="accent1"/>
            </a:solidFill>
            <a:ln>
              <a:noFill/>
            </a:ln>
            <a:effectLst/>
          </c:spPr>
          <c:invertIfNegative val="0"/>
          <c:cat>
            <c:numRef>
              <c:f>Sheet1!$J$19:$K$19</c:f>
              <c:numCache>
                <c:formatCode>General</c:formatCode>
                <c:ptCount val="2"/>
                <c:pt idx="0">
                  <c:v>2021</c:v>
                </c:pt>
                <c:pt idx="1">
                  <c:v>2020</c:v>
                </c:pt>
              </c:numCache>
            </c:numRef>
          </c:cat>
          <c:val>
            <c:numRef>
              <c:f>Sheet1!$J$20:$K$20</c:f>
              <c:numCache>
                <c:formatCode>General</c:formatCode>
                <c:ptCount val="2"/>
                <c:pt idx="0">
                  <c:v>77.722799999999978</c:v>
                </c:pt>
                <c:pt idx="1">
                  <c:v>-62.093000000000011</c:v>
                </c:pt>
              </c:numCache>
            </c:numRef>
          </c:val>
          <c:extLst>
            <c:ext xmlns:c16="http://schemas.microsoft.com/office/drawing/2014/chart" uri="{C3380CC4-5D6E-409C-BE32-E72D297353CC}">
              <c16:uniqueId val="{00000000-17A1-4BB3-A77B-4211CD33D684}"/>
            </c:ext>
          </c:extLst>
        </c:ser>
        <c:dLbls>
          <c:showLegendKey val="0"/>
          <c:showVal val="0"/>
          <c:showCatName val="0"/>
          <c:showSerName val="0"/>
          <c:showPercent val="0"/>
          <c:showBubbleSize val="0"/>
        </c:dLbls>
        <c:gapWidth val="219"/>
        <c:overlap val="-27"/>
        <c:axId val="85632512"/>
        <c:axId val="85634048"/>
      </c:barChart>
      <c:catAx>
        <c:axId val="85632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34048"/>
        <c:crosses val="autoZero"/>
        <c:auto val="1"/>
        <c:lblAlgn val="ctr"/>
        <c:lblOffset val="100"/>
        <c:noMultiLvlLbl val="0"/>
      </c:catAx>
      <c:valAx>
        <c:axId val="8563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32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Sheet1!$I$22</c:f>
              <c:strCache>
                <c:ptCount val="1"/>
                <c:pt idx="0">
                  <c:v>Return on tangible equity</c:v>
                </c:pt>
              </c:strCache>
            </c:strRef>
          </c:tx>
          <c:spPr>
            <a:solidFill>
              <a:schemeClr val="accent1"/>
            </a:solidFill>
            <a:ln>
              <a:noFill/>
            </a:ln>
            <a:effectLst/>
          </c:spPr>
          <c:invertIfNegative val="0"/>
          <c:cat>
            <c:numRef>
              <c:f>Sheet1!$J$21:$K$21</c:f>
              <c:numCache>
                <c:formatCode>General</c:formatCode>
                <c:ptCount val="2"/>
                <c:pt idx="0">
                  <c:v>2021</c:v>
                </c:pt>
                <c:pt idx="1">
                  <c:v>2020</c:v>
                </c:pt>
              </c:numCache>
            </c:numRef>
          </c:cat>
          <c:val>
            <c:numRef>
              <c:f>Sheet1!$J$22:$K$22</c:f>
              <c:numCache>
                <c:formatCode>General</c:formatCode>
                <c:ptCount val="2"/>
                <c:pt idx="0">
                  <c:v>-6.6264999999999965</c:v>
                </c:pt>
                <c:pt idx="1">
                  <c:v>1.5055999999999985</c:v>
                </c:pt>
              </c:numCache>
            </c:numRef>
          </c:val>
          <c:extLst>
            <c:ext xmlns:c16="http://schemas.microsoft.com/office/drawing/2014/chart" uri="{C3380CC4-5D6E-409C-BE32-E72D297353CC}">
              <c16:uniqueId val="{00000000-5AE2-4AC7-AEBE-67FE77F4809B}"/>
            </c:ext>
          </c:extLst>
        </c:ser>
        <c:dLbls>
          <c:showLegendKey val="0"/>
          <c:showVal val="0"/>
          <c:showCatName val="0"/>
          <c:showSerName val="0"/>
          <c:showPercent val="0"/>
          <c:showBubbleSize val="0"/>
        </c:dLbls>
        <c:gapWidth val="219"/>
        <c:overlap val="-27"/>
        <c:axId val="86051456"/>
        <c:axId val="86053248"/>
      </c:barChart>
      <c:catAx>
        <c:axId val="86051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53248"/>
        <c:crosses val="autoZero"/>
        <c:auto val="1"/>
        <c:lblAlgn val="ctr"/>
        <c:lblOffset val="100"/>
        <c:noMultiLvlLbl val="0"/>
      </c:catAx>
      <c:valAx>
        <c:axId val="86053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51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Sheet1!$N$22</c:f>
              <c:strCache>
                <c:ptCount val="1"/>
                <c:pt idx="0">
                  <c:v>ROA - Return on assets</c:v>
                </c:pt>
              </c:strCache>
            </c:strRef>
          </c:tx>
          <c:spPr>
            <a:solidFill>
              <a:schemeClr val="accent1"/>
            </a:solidFill>
            <a:ln>
              <a:noFill/>
            </a:ln>
            <a:effectLst/>
          </c:spPr>
          <c:invertIfNegative val="0"/>
          <c:cat>
            <c:numRef>
              <c:f>Sheet1!$O$21:$P$21</c:f>
              <c:numCache>
                <c:formatCode>General</c:formatCode>
                <c:ptCount val="2"/>
                <c:pt idx="0">
                  <c:v>2021</c:v>
                </c:pt>
                <c:pt idx="1">
                  <c:v>2020</c:v>
                </c:pt>
              </c:numCache>
            </c:numRef>
          </c:cat>
          <c:val>
            <c:numRef>
              <c:f>Sheet1!$O$22:$P$22</c:f>
              <c:numCache>
                <c:formatCode>General</c:formatCode>
                <c:ptCount val="2"/>
                <c:pt idx="0">
                  <c:v>4.3008999999999995</c:v>
                </c:pt>
                <c:pt idx="1">
                  <c:v>-1.0809</c:v>
                </c:pt>
              </c:numCache>
            </c:numRef>
          </c:val>
          <c:extLst>
            <c:ext xmlns:c16="http://schemas.microsoft.com/office/drawing/2014/chart" uri="{C3380CC4-5D6E-409C-BE32-E72D297353CC}">
              <c16:uniqueId val="{00000000-37A3-403C-A97F-77996D97FEFE}"/>
            </c:ext>
          </c:extLst>
        </c:ser>
        <c:dLbls>
          <c:showLegendKey val="0"/>
          <c:showVal val="0"/>
          <c:showCatName val="0"/>
          <c:showSerName val="0"/>
          <c:showPercent val="0"/>
          <c:showBubbleSize val="0"/>
        </c:dLbls>
        <c:gapWidth val="219"/>
        <c:overlap val="-27"/>
        <c:axId val="86110208"/>
        <c:axId val="86111744"/>
      </c:barChart>
      <c:catAx>
        <c:axId val="86110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11744"/>
        <c:crosses val="autoZero"/>
        <c:auto val="1"/>
        <c:lblAlgn val="ctr"/>
        <c:lblOffset val="100"/>
        <c:noMultiLvlLbl val="0"/>
      </c:catAx>
      <c:valAx>
        <c:axId val="86111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10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Sheet1!$E$21</c:f>
              <c:strCache>
                <c:ptCount val="1"/>
                <c:pt idx="0">
                  <c:v>Book value per share</c:v>
                </c:pt>
              </c:strCache>
            </c:strRef>
          </c:tx>
          <c:spPr>
            <a:solidFill>
              <a:schemeClr val="accent1"/>
            </a:solidFill>
            <a:ln>
              <a:noFill/>
            </a:ln>
            <a:effectLst/>
          </c:spPr>
          <c:invertIfNegative val="0"/>
          <c:cat>
            <c:numRef>
              <c:f>Sheet1!$F$20:$G$20</c:f>
              <c:numCache>
                <c:formatCode>General</c:formatCode>
                <c:ptCount val="2"/>
                <c:pt idx="0">
                  <c:v>2021</c:v>
                </c:pt>
                <c:pt idx="1">
                  <c:v>2020</c:v>
                </c:pt>
              </c:numCache>
            </c:numRef>
          </c:cat>
          <c:val>
            <c:numRef>
              <c:f>Sheet1!$F$21:$G$21</c:f>
              <c:numCache>
                <c:formatCode>General</c:formatCode>
                <c:ptCount val="2"/>
                <c:pt idx="0">
                  <c:v>4.3334000000000001</c:v>
                </c:pt>
                <c:pt idx="1">
                  <c:v>1.3254999999999986</c:v>
                </c:pt>
              </c:numCache>
            </c:numRef>
          </c:val>
          <c:extLst>
            <c:ext xmlns:c16="http://schemas.microsoft.com/office/drawing/2014/chart" uri="{C3380CC4-5D6E-409C-BE32-E72D297353CC}">
              <c16:uniqueId val="{00000000-1AD8-49BB-B0EE-9F8881123BD5}"/>
            </c:ext>
          </c:extLst>
        </c:ser>
        <c:dLbls>
          <c:showLegendKey val="0"/>
          <c:showVal val="0"/>
          <c:showCatName val="0"/>
          <c:showSerName val="0"/>
          <c:showPercent val="0"/>
          <c:showBubbleSize val="0"/>
        </c:dLbls>
        <c:gapWidth val="219"/>
        <c:overlap val="-27"/>
        <c:axId val="167437440"/>
        <c:axId val="167438976"/>
      </c:barChart>
      <c:catAx>
        <c:axId val="16743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8976"/>
        <c:crosses val="autoZero"/>
        <c:auto val="1"/>
        <c:lblAlgn val="ctr"/>
        <c:lblOffset val="100"/>
        <c:noMultiLvlLbl val="0"/>
      </c:catAx>
      <c:valAx>
        <c:axId val="16743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7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Sheet1!$E$24</c:f>
              <c:strCache>
                <c:ptCount val="1"/>
                <c:pt idx="0">
                  <c:v>Operating cash flow per share</c:v>
                </c:pt>
              </c:strCache>
            </c:strRef>
          </c:tx>
          <c:spPr>
            <a:solidFill>
              <a:schemeClr val="accent1"/>
            </a:solidFill>
            <a:ln>
              <a:noFill/>
            </a:ln>
            <a:effectLst/>
          </c:spPr>
          <c:invertIfNegative val="0"/>
          <c:cat>
            <c:numRef>
              <c:f>Sheet1!$F$23:$G$23</c:f>
              <c:numCache>
                <c:formatCode>General</c:formatCode>
                <c:ptCount val="2"/>
                <c:pt idx="0">
                  <c:v>2021</c:v>
                </c:pt>
                <c:pt idx="1">
                  <c:v>2020</c:v>
                </c:pt>
              </c:numCache>
            </c:numRef>
          </c:cat>
          <c:val>
            <c:numRef>
              <c:f>Sheet1!$F$24:$G$24</c:f>
              <c:numCache>
                <c:formatCode>General</c:formatCode>
                <c:ptCount val="2"/>
                <c:pt idx="0">
                  <c:v>-1.4564999999999986</c:v>
                </c:pt>
                <c:pt idx="1">
                  <c:v>8.3000000000000105E-3</c:v>
                </c:pt>
              </c:numCache>
            </c:numRef>
          </c:val>
          <c:extLst>
            <c:ext xmlns:c16="http://schemas.microsoft.com/office/drawing/2014/chart" uri="{C3380CC4-5D6E-409C-BE32-E72D297353CC}">
              <c16:uniqueId val="{00000000-8277-43E3-BC95-BB3B87E3EE6D}"/>
            </c:ext>
          </c:extLst>
        </c:ser>
        <c:dLbls>
          <c:showLegendKey val="0"/>
          <c:showVal val="0"/>
          <c:showCatName val="0"/>
          <c:showSerName val="0"/>
          <c:showPercent val="0"/>
          <c:showBubbleSize val="0"/>
        </c:dLbls>
        <c:gapWidth val="219"/>
        <c:overlap val="-27"/>
        <c:axId val="229968128"/>
        <c:axId val="229978112"/>
      </c:barChart>
      <c:catAx>
        <c:axId val="229968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78112"/>
        <c:crosses val="autoZero"/>
        <c:auto val="1"/>
        <c:lblAlgn val="ctr"/>
        <c:lblOffset val="100"/>
        <c:noMultiLvlLbl val="0"/>
      </c:catAx>
      <c:valAx>
        <c:axId val="22997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8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Sheet1!$I$24</c:f>
              <c:strCache>
                <c:ptCount val="1"/>
                <c:pt idx="0">
                  <c:v>Free cash flow per share</c:v>
                </c:pt>
              </c:strCache>
            </c:strRef>
          </c:tx>
          <c:spPr>
            <a:solidFill>
              <a:schemeClr val="accent1"/>
            </a:solidFill>
            <a:ln>
              <a:noFill/>
            </a:ln>
            <a:effectLst/>
          </c:spPr>
          <c:invertIfNegative val="0"/>
          <c:cat>
            <c:numRef>
              <c:f>Sheet1!$J$23:$K$23</c:f>
              <c:numCache>
                <c:formatCode>General</c:formatCode>
                <c:ptCount val="2"/>
                <c:pt idx="0">
                  <c:v>2021</c:v>
                </c:pt>
                <c:pt idx="1">
                  <c:v>2020</c:v>
                </c:pt>
              </c:numCache>
            </c:numRef>
          </c:cat>
          <c:val>
            <c:numRef>
              <c:f>Sheet1!$J$24:$K$24</c:f>
              <c:numCache>
                <c:formatCode>General</c:formatCode>
                <c:ptCount val="2"/>
                <c:pt idx="0">
                  <c:v>-2.3593999999999977</c:v>
                </c:pt>
                <c:pt idx="1">
                  <c:v>1.161</c:v>
                </c:pt>
              </c:numCache>
            </c:numRef>
          </c:val>
          <c:extLst>
            <c:ext xmlns:c16="http://schemas.microsoft.com/office/drawing/2014/chart" uri="{C3380CC4-5D6E-409C-BE32-E72D297353CC}">
              <c16:uniqueId val="{00000000-7073-450E-9503-9D4050B6182A}"/>
            </c:ext>
          </c:extLst>
        </c:ser>
        <c:dLbls>
          <c:showLegendKey val="0"/>
          <c:showVal val="0"/>
          <c:showCatName val="0"/>
          <c:showSerName val="0"/>
          <c:showPercent val="0"/>
          <c:showBubbleSize val="0"/>
        </c:dLbls>
        <c:gapWidth val="219"/>
        <c:overlap val="-27"/>
        <c:axId val="230018432"/>
        <c:axId val="230171776"/>
      </c:barChart>
      <c:catAx>
        <c:axId val="230018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171776"/>
        <c:crosses val="autoZero"/>
        <c:auto val="1"/>
        <c:lblAlgn val="ctr"/>
        <c:lblOffset val="100"/>
        <c:noMultiLvlLbl val="0"/>
      </c:catAx>
      <c:valAx>
        <c:axId val="230171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018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E78B09-6E2B-473A-8FFA-47CEE8B27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2330</Words>
  <Characters>13283</Characters>
  <Application>Microsoft Office Word</Application>
  <DocSecurity>0</DocSecurity>
  <Lines>110</Lines>
  <Paragraphs>31</Paragraphs>
  <ScaleCrop>false</ScaleCrop>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2022-11-10T17:29:00Z</dcterms:created>
  <dcterms:modified xsi:type="dcterms:W3CDTF">2022-12-07T21:09:00Z</dcterms:modified>
</cp:coreProperties>
</file>