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B8E0F" w14:textId="77777777" w:rsidR="00CD336F" w:rsidRDefault="00A12D87">
      <w:pPr>
        <w:spacing w:before="200" w:after="120"/>
        <w:jc w:val="center"/>
        <w:rPr>
          <w:b/>
          <w:bCs/>
        </w:rPr>
      </w:pPr>
      <w:r>
        <w:rPr>
          <w:b/>
          <w:bCs/>
        </w:rPr>
        <w:t>BSc Health and Social Care</w:t>
      </w:r>
    </w:p>
    <w:p w14:paraId="56058A33" w14:textId="77777777" w:rsidR="00CD336F" w:rsidRDefault="00A12D87">
      <w:pPr>
        <w:spacing w:before="200" w:after="120"/>
        <w:jc w:val="center"/>
        <w:rPr>
          <w:b/>
          <w:bCs/>
        </w:rPr>
      </w:pPr>
      <w:r>
        <w:rPr>
          <w:b/>
          <w:bCs/>
        </w:rPr>
        <w:t>Principles of Health and Social Care Practice</w:t>
      </w:r>
    </w:p>
    <w:p w14:paraId="2D939B93" w14:textId="77777777" w:rsidR="00CD336F" w:rsidRDefault="00A12D87">
      <w:pPr>
        <w:spacing w:before="200" w:after="120"/>
        <w:jc w:val="center"/>
        <w:rPr>
          <w:b/>
          <w:bCs/>
        </w:rPr>
      </w:pPr>
      <w:r>
        <w:rPr>
          <w:b/>
          <w:bCs/>
        </w:rPr>
        <w:t>BMHP5016</w:t>
      </w:r>
    </w:p>
    <w:p w14:paraId="06AA63AE" w14:textId="3B70CEAA" w:rsidR="00CD336F" w:rsidRDefault="00A12D87" w:rsidP="00DE3284">
      <w:pPr>
        <w:spacing w:before="200" w:after="120"/>
        <w:jc w:val="center"/>
        <w:rPr>
          <w:b/>
          <w:bCs/>
        </w:rPr>
      </w:pPr>
      <w:r>
        <w:rPr>
          <w:b/>
          <w:bCs/>
        </w:rPr>
        <w:t>Component 1: Written Assignment (Reflective Report)</w:t>
      </w:r>
    </w:p>
    <w:p w14:paraId="7850FA13" w14:textId="74BF3205" w:rsidR="002C16F7" w:rsidRDefault="00A12D87">
      <w:pPr>
        <w:spacing w:before="200" w:after="120"/>
        <w:jc w:val="center"/>
        <w:rPr>
          <w:b/>
          <w:bCs/>
        </w:rPr>
      </w:pPr>
      <w:r>
        <w:rPr>
          <w:b/>
          <w:bCs/>
        </w:rPr>
        <w:t xml:space="preserve">Student ID </w:t>
      </w:r>
      <w:r w:rsidR="00DE3284">
        <w:rPr>
          <w:b/>
          <w:bCs/>
        </w:rPr>
        <w:t xml:space="preserve"> : 2008331</w:t>
      </w:r>
      <w:r w:rsidR="002C16F7">
        <w:rPr>
          <w:b/>
          <w:bCs/>
        </w:rPr>
        <w:t xml:space="preserve"> </w:t>
      </w:r>
      <w:r w:rsidR="000248AE">
        <w:rPr>
          <w:b/>
          <w:bCs/>
        </w:rPr>
        <w:t xml:space="preserve"> </w:t>
      </w:r>
    </w:p>
    <w:p w14:paraId="176F8C31" w14:textId="567BA228" w:rsidR="000248AE" w:rsidRDefault="000248AE">
      <w:pPr>
        <w:spacing w:before="200" w:after="120"/>
        <w:jc w:val="center"/>
        <w:rPr>
          <w:b/>
          <w:bCs/>
        </w:rPr>
      </w:pPr>
      <w:r>
        <w:rPr>
          <w:b/>
          <w:bCs/>
        </w:rPr>
        <w:t xml:space="preserve">Student Name: Liliana </w:t>
      </w:r>
      <w:proofErr w:type="spellStart"/>
      <w:r>
        <w:rPr>
          <w:b/>
          <w:bCs/>
        </w:rPr>
        <w:t>Tofan</w:t>
      </w:r>
      <w:proofErr w:type="spellEnd"/>
      <w:r>
        <w:rPr>
          <w:b/>
          <w:bCs/>
        </w:rPr>
        <w:t xml:space="preserve"> </w:t>
      </w:r>
    </w:p>
    <w:p w14:paraId="4ACC1FDF" w14:textId="61E52BBB" w:rsidR="000248AE" w:rsidRDefault="000248AE">
      <w:pPr>
        <w:spacing w:before="200" w:after="120"/>
        <w:jc w:val="center"/>
        <w:rPr>
          <w:b/>
          <w:bCs/>
        </w:rPr>
      </w:pPr>
      <w:r>
        <w:rPr>
          <w:b/>
          <w:bCs/>
        </w:rPr>
        <w:t>Lecturer’s Name</w:t>
      </w:r>
      <w:r w:rsidR="00672DB3">
        <w:rPr>
          <w:b/>
          <w:bCs/>
        </w:rPr>
        <w:t xml:space="preserve">: </w:t>
      </w:r>
      <w:proofErr w:type="spellStart"/>
      <w:r w:rsidR="00975840">
        <w:rPr>
          <w:b/>
          <w:bCs/>
        </w:rPr>
        <w:t>Aishat</w:t>
      </w:r>
      <w:proofErr w:type="spellEnd"/>
      <w:r w:rsidR="00975840">
        <w:rPr>
          <w:b/>
          <w:bCs/>
        </w:rPr>
        <w:t xml:space="preserve"> </w:t>
      </w:r>
      <w:r w:rsidR="00A12D87">
        <w:rPr>
          <w:b/>
          <w:bCs/>
        </w:rPr>
        <w:t>Bakre</w:t>
      </w:r>
    </w:p>
    <w:p w14:paraId="51BEC075" w14:textId="4F187518" w:rsidR="00CD336F" w:rsidRDefault="00A12D87" w:rsidP="002C16F7">
      <w:pPr>
        <w:spacing w:before="200" w:after="120"/>
        <w:rPr>
          <w:b/>
          <w:bCs/>
        </w:rPr>
      </w:pPr>
      <w:r>
        <w:br w:type="page"/>
      </w:r>
    </w:p>
    <w:p w14:paraId="1DEA35D4" w14:textId="77777777" w:rsidR="00CD336F" w:rsidRDefault="00A12D87">
      <w:pPr>
        <w:spacing w:before="200" w:after="120"/>
        <w:jc w:val="center"/>
        <w:rPr>
          <w:b/>
          <w:bCs/>
        </w:rPr>
      </w:pPr>
      <w:r>
        <w:rPr>
          <w:b/>
          <w:bCs/>
        </w:rPr>
        <w:t>Table of Contents</w:t>
      </w:r>
    </w:p>
    <w:sdt>
      <w:sdtPr>
        <w:id w:val="-359433026"/>
        <w:docPartObj>
          <w:docPartGallery w:val="Table of Contents"/>
          <w:docPartUnique/>
        </w:docPartObj>
      </w:sdtPr>
      <w:sdtEndPr/>
      <w:sdtContent>
        <w:p w14:paraId="3D1FBA04" w14:textId="77777777" w:rsidR="00CD336F" w:rsidRDefault="00A12D87">
          <w:pPr>
            <w:widowControl w:val="0"/>
            <w:tabs>
              <w:tab w:val="right" w:pos="9025"/>
            </w:tabs>
            <w:spacing w:before="60" w:line="480" w:lineRule="auto"/>
            <w:jc w:val="left"/>
            <w:rPr>
              <w:color w:val="000000"/>
            </w:rPr>
          </w:pPr>
          <w:r>
            <w:fldChar w:fldCharType="begin"/>
          </w:r>
          <w:r>
            <w:instrText xml:space="preserve"> TOC \h \u \z \t "Heading 1,1,Heading 2,2,Heading 3,3,Heading 4,4,Heading 5,5,Heading 6,6,"</w:instrText>
          </w:r>
          <w:r>
            <w:fldChar w:fldCharType="separate"/>
          </w:r>
          <w:hyperlink w:anchor="_heading=h.3a6n7yptbdl3">
            <w:r>
              <w:rPr>
                <w:color w:val="000000"/>
              </w:rPr>
              <w:t>Task 1: Reflection on the Importance of Principles of Health and Social Care</w:t>
            </w:r>
            <w:r>
              <w:rPr>
                <w:color w:val="000000"/>
              </w:rPr>
              <w:tab/>
            </w:r>
          </w:hyperlink>
          <w:r>
            <w:fldChar w:fldCharType="begin"/>
          </w:r>
          <w:r>
            <w:instrText xml:space="preserve"> PAGEREF _heading=h.3a6n7yptbdl3 \h </w:instrText>
          </w:r>
          <w:r>
            <w:fldChar w:fldCharType="separate"/>
          </w:r>
          <w:r>
            <w:t>3</w:t>
          </w:r>
          <w:hyperlink w:anchor="_heading=h.3a6n7yptbdl3" w:history="1"/>
        </w:p>
        <w:p w14:paraId="0530078B" w14:textId="77777777" w:rsidR="00CD336F" w:rsidRDefault="00A12D87">
          <w:pPr>
            <w:widowControl w:val="0"/>
            <w:tabs>
              <w:tab w:val="right" w:pos="9025"/>
            </w:tabs>
            <w:spacing w:before="60" w:line="480" w:lineRule="auto"/>
            <w:jc w:val="left"/>
            <w:rPr>
              <w:color w:val="000000"/>
            </w:rPr>
          </w:pPr>
          <w:r>
            <w:fldChar w:fldCharType="end"/>
          </w:r>
          <w:hyperlink w:anchor="_heading=h.f03aayj2hprl">
            <w:r>
              <w:rPr>
                <w:color w:val="000000"/>
              </w:rPr>
              <w:t>Task 2: Practical Examples of Concepts in Practice</w:t>
            </w:r>
            <w:r>
              <w:rPr>
                <w:color w:val="000000"/>
              </w:rPr>
              <w:tab/>
            </w:r>
          </w:hyperlink>
          <w:r>
            <w:fldChar w:fldCharType="begin"/>
          </w:r>
          <w:r>
            <w:instrText xml:space="preserve"> PAGEREF _heading=h.f03aayj2hprl \h </w:instrText>
          </w:r>
          <w:r>
            <w:fldChar w:fldCharType="separate"/>
          </w:r>
          <w:r>
            <w:t>4</w:t>
          </w:r>
          <w:hyperlink w:anchor="_heading=h.f03aayj2hprl" w:history="1"/>
        </w:p>
        <w:p w14:paraId="1E9E1C0A" w14:textId="77777777" w:rsidR="00CD336F" w:rsidRDefault="00A12D87">
          <w:pPr>
            <w:widowControl w:val="0"/>
            <w:tabs>
              <w:tab w:val="right" w:pos="9025"/>
            </w:tabs>
            <w:spacing w:before="60" w:line="480" w:lineRule="auto"/>
            <w:jc w:val="left"/>
            <w:rPr>
              <w:color w:val="000000"/>
            </w:rPr>
          </w:pPr>
          <w:r>
            <w:fldChar w:fldCharType="end"/>
          </w:r>
          <w:hyperlink w:anchor="_heading=h.tghnh3oix2ha">
            <w:r>
              <w:rPr>
                <w:color w:val="000000"/>
              </w:rPr>
              <w:t>Task 3: Self-Reflection as a Health and Social Care Professional</w:t>
            </w:r>
            <w:r>
              <w:rPr>
                <w:color w:val="000000"/>
              </w:rPr>
              <w:tab/>
            </w:r>
          </w:hyperlink>
          <w:r>
            <w:fldChar w:fldCharType="begin"/>
          </w:r>
          <w:r>
            <w:instrText xml:space="preserve"> PAGEREF _heading=h.tghnh3oix2ha \h </w:instrText>
          </w:r>
          <w:r>
            <w:fldChar w:fldCharType="separate"/>
          </w:r>
          <w:r>
            <w:t>6</w:t>
          </w:r>
          <w:hyperlink w:anchor="_heading=h.tghnh3oix2ha" w:history="1"/>
        </w:p>
        <w:p w14:paraId="32A67C7B" w14:textId="77777777" w:rsidR="00CD336F" w:rsidRDefault="00A12D87">
          <w:pPr>
            <w:widowControl w:val="0"/>
            <w:tabs>
              <w:tab w:val="right" w:pos="9025"/>
            </w:tabs>
            <w:spacing w:before="60" w:line="480" w:lineRule="auto"/>
            <w:jc w:val="left"/>
            <w:rPr>
              <w:color w:val="000000"/>
            </w:rPr>
          </w:pPr>
          <w:r>
            <w:fldChar w:fldCharType="end"/>
          </w:r>
          <w:hyperlink w:anchor="_heading=h.dkz8912vfpgq">
            <w:r>
              <w:rPr>
                <w:color w:val="000000"/>
              </w:rPr>
              <w:t>Reference List</w:t>
            </w:r>
            <w:r>
              <w:rPr>
                <w:color w:val="000000"/>
              </w:rPr>
              <w:tab/>
            </w:r>
          </w:hyperlink>
          <w:r>
            <w:fldChar w:fldCharType="begin"/>
          </w:r>
          <w:r>
            <w:instrText xml:space="preserve"> PAGEREF _heading=h.dkz8912vfpgq \h </w:instrText>
          </w:r>
          <w:r>
            <w:fldChar w:fldCharType="separate"/>
          </w:r>
          <w:r>
            <w:t>9</w:t>
          </w:r>
          <w:r>
            <w:fldChar w:fldCharType="end"/>
          </w:r>
          <w:r>
            <w:fldChar w:fldCharType="end"/>
          </w:r>
        </w:p>
      </w:sdtContent>
    </w:sdt>
    <w:p w14:paraId="38025426" w14:textId="77777777" w:rsidR="00CD336F" w:rsidRDefault="00CD336F">
      <w:pPr>
        <w:spacing w:before="200" w:after="120"/>
        <w:jc w:val="left"/>
        <w:rPr>
          <w:b/>
          <w:bCs/>
        </w:rPr>
      </w:pPr>
    </w:p>
    <w:p w14:paraId="4C630AFF" w14:textId="77777777" w:rsidR="00CD336F" w:rsidRDefault="00CD336F">
      <w:pPr>
        <w:spacing w:before="200" w:after="120"/>
        <w:jc w:val="left"/>
        <w:rPr>
          <w:b/>
          <w:bCs/>
        </w:rPr>
      </w:pPr>
    </w:p>
    <w:p w14:paraId="0EA9C6A3" w14:textId="77777777" w:rsidR="00CD336F" w:rsidRDefault="00A12D87">
      <w:pPr>
        <w:spacing w:before="200" w:after="120"/>
        <w:jc w:val="left"/>
        <w:rPr>
          <w:b/>
          <w:bCs/>
        </w:rPr>
      </w:pPr>
      <w:r>
        <w:br w:type="page"/>
      </w:r>
    </w:p>
    <w:p w14:paraId="22360135" w14:textId="77777777" w:rsidR="00CD336F" w:rsidRDefault="00A12D87">
      <w:pPr>
        <w:pStyle w:val="Heading1"/>
        <w:spacing w:before="200"/>
      </w:pPr>
      <w:bookmarkStart w:id="0" w:name="_heading=h.3a6n7yptbdl3" w:colFirst="0" w:colLast="0"/>
      <w:bookmarkEnd w:id="0"/>
      <w:r>
        <w:t>Task 1: Reflection on the Importance of Principles of Health and Social Care</w:t>
      </w:r>
    </w:p>
    <w:p w14:paraId="0CD90541" w14:textId="77777777" w:rsidR="00CD336F" w:rsidRDefault="00A12D87">
      <w:pPr>
        <w:spacing w:before="200"/>
      </w:pPr>
      <w:r>
        <w:t>Principles of health and social care (HSC) develops the base of effective, safe and compassionate care practices in the field of health and social care. Among these principles, ethical practices, person-centred care partnership working are highly crucial to deliver HSC services without compromising on the quality (</w:t>
      </w:r>
      <w:proofErr w:type="spellStart"/>
      <w:r>
        <w:t>Nigusie</w:t>
      </w:r>
      <w:proofErr w:type="spellEnd"/>
      <w:r>
        <w:t xml:space="preserve"> et al. 2022). Reflecting on such aspects highlight the way they influence ethical decision-making, collaborative working and influence individual care within professional settings. </w:t>
      </w:r>
    </w:p>
    <w:p w14:paraId="7CAB4E86" w14:textId="77777777" w:rsidR="00CD336F" w:rsidRDefault="00A12D87">
      <w:pPr>
        <w:spacing w:before="200"/>
      </w:pPr>
      <w:r>
        <w:t>Person-centred care principles consider placing individuals at the centre of service delivery by prioritising their needs through recognising service users as the active participants instead of the passive care recipients (Khatri et al. 2023). As defined by the NHS, person-centred care focuses on tailoring support to address the preferences, needs and values of service users to guide clinical decisions and co-production between communities, professionals and patients to reduce costs and improve outcomes (NH</w:t>
      </w:r>
      <w:r>
        <w:t>S England, 2026). The framework aims to distil best practices for outlining the necessary transferable behaviours, skills and knowledge to be developed by the HSC professionals across multiple sectors and services such as housing, local authorities, health and social in different organisations such as public, non-profit or private organisations (NHS England, 2026). Such a framework is aligned with Rogers’ Humanistic Theory which emphasises on individual autonomy, unconditional positive regard and empathy (</w:t>
      </w:r>
      <w:proofErr w:type="spellStart"/>
      <w:r>
        <w:t>K</w:t>
      </w:r>
      <w:r>
        <w:t>umari</w:t>
      </w:r>
      <w:proofErr w:type="spellEnd"/>
      <w:r>
        <w:t xml:space="preserve">, 2024). Thus, such a framework is crucial to foster equality, community involvement and empowerment. </w:t>
      </w:r>
    </w:p>
    <w:p w14:paraId="52F0688F" w14:textId="77777777" w:rsidR="00CD336F" w:rsidRDefault="00A12D87">
      <w:pPr>
        <w:spacing w:before="200"/>
      </w:pPr>
      <w:r>
        <w:t>The principle of partnership working is equally important to ensure quality care. Modern health and social care services need effective multidisciplinary collaboration among service users, professionals, external agencies and families (Douglas et al. 2022). Theoretically, the Social Ecological Model has argued that individuals are influenced by multiple systems such as community, institutions and family members of patients which demand effective coordination between nurses, social workers, and voluntary org</w:t>
      </w:r>
      <w:r>
        <w:t>anisations (Fong et al. 2023). In the UK, the Health and Social Care Act 2012 promotes collaboration and integrated care across multiple services in England which states that effective partnership among health and social care professionals improve communication, reduce duplication of services and ensure continuity of care (</w:t>
      </w:r>
      <w:hyperlink r:id="rId7">
        <w:r>
          <w:t>legislation.gov.uk</w:t>
        </w:r>
      </w:hyperlink>
      <w:r>
        <w:t xml:space="preserve">, 2012). For instance, discharging patients from hospitals needs effective coordination among community services and healthcare professionals to prevent readmission. Therefore, without effective partnership working, the risks of patient safety and fragmented care. </w:t>
      </w:r>
    </w:p>
    <w:p w14:paraId="6BE815C8" w14:textId="77777777" w:rsidR="00CD336F" w:rsidRDefault="00A12D87">
      <w:pPr>
        <w:spacing w:before="200"/>
      </w:pPr>
      <w:r>
        <w:t>Thirdly, ethics in health and social care is crucial while making decisions in the field. The four major ethical principles involve autonomy, non-maleficence, beneficence and justice which guide professionals to handle complex situations (</w:t>
      </w:r>
      <w:proofErr w:type="spellStart"/>
      <w:r>
        <w:t>Cheraghi</w:t>
      </w:r>
      <w:proofErr w:type="spellEnd"/>
      <w:r>
        <w:t xml:space="preserve"> et al. 2023). The four ethical principles are widely known among health and social care professionals. In the UK, the Mental Capacity Act 2005 guides ethical decision-making by protecting individuals who lack potential to make effective decisions made among their best interests (NHS, 2021). Ethical practices involve accountability, trust and fairness. For example, it is important to maintain confidentiality within the professional codes of conduct to safeguard the dignity and rights of individuals.</w:t>
      </w:r>
      <w:r>
        <w:t xml:space="preserve"> It also encourages the professionals to balance autonomy and risk to make healthcare decisions which can affect their health. </w:t>
      </w:r>
    </w:p>
    <w:p w14:paraId="41987FB5" w14:textId="77777777" w:rsidR="00CD336F" w:rsidRDefault="00A12D87">
      <w:pPr>
        <w:pStyle w:val="Heading1"/>
        <w:spacing w:before="200"/>
      </w:pPr>
      <w:bookmarkStart w:id="1" w:name="_heading=h.f03aayj2hprl" w:colFirst="0" w:colLast="0"/>
      <w:bookmarkEnd w:id="1"/>
      <w:r>
        <w:t xml:space="preserve">Task 2: Practical Examples of Concepts in Practice </w:t>
      </w:r>
    </w:p>
    <w:p w14:paraId="12682BBB" w14:textId="77777777" w:rsidR="00CD336F" w:rsidRDefault="00A12D87">
      <w:pPr>
        <w:spacing w:before="200"/>
      </w:pPr>
      <w:r>
        <w:t xml:space="preserve">Across the UK, important HSC principles such as person-centred care, partnership working and ethical practice are ideal as well as important elements of the existing models of health and social care. For instance, the </w:t>
      </w:r>
      <w:proofErr w:type="spellStart"/>
      <w:r>
        <w:rPr>
          <w:b/>
          <w:bCs/>
        </w:rPr>
        <w:t>Washwood</w:t>
      </w:r>
      <w:proofErr w:type="spellEnd"/>
      <w:r>
        <w:rPr>
          <w:b/>
          <w:bCs/>
        </w:rPr>
        <w:t xml:space="preserve"> Heath Health and Wellbeing Centre</w:t>
      </w:r>
      <w:r>
        <w:t xml:space="preserve"> in East Birmingham is an inseparable part of Birmingham and Solihull Integrated Care System (ICS) Community Care Collaborative where different members of multidisciplinary teams such as mental health professionals, GPs, community nurses, physiotherapists, paramedics and voluntary partners to deliver personalised and integrated care effectively (Community Health Partnerships, </w:t>
      </w:r>
      <w:proofErr w:type="spellStart"/>
      <w:r>
        <w:t>n.d.</w:t>
      </w:r>
      <w:proofErr w:type="spellEnd"/>
      <w:r>
        <w:t>). The health and social care offering body stresses more on meeting local needs, early</w:t>
      </w:r>
      <w:r>
        <w:t xml:space="preserve"> interventions and preventions to improve patient access to care outside the hospital settings (Allen et al. 2023). Such practices considered in the institution are aligned with the model of </w:t>
      </w:r>
      <w:r>
        <w:rPr>
          <w:b/>
          <w:bCs/>
        </w:rPr>
        <w:t>person-centred care in which</w:t>
      </w:r>
      <w:r>
        <w:t xml:space="preserve"> customs support services based on the evolving needs of the service users which substantially reduce the need of the users to rely on emergency departments and coordinate services around the patient more than the convenience of the system (</w:t>
      </w:r>
      <w:proofErr w:type="spellStart"/>
      <w:r>
        <w:t>Janerka</w:t>
      </w:r>
      <w:proofErr w:type="spellEnd"/>
      <w:r>
        <w:t xml:space="preserve"> et al. 2025). Here, the team directly intera</w:t>
      </w:r>
      <w:r>
        <w:t xml:space="preserve">cts with Heartlands Hospital and local GPs for ensuring the alignment of the treatment plans with the priorities and preferences of patients which have reinforced autonomy and dignity in the ways of delivering care. </w:t>
      </w:r>
    </w:p>
    <w:p w14:paraId="41626AC4" w14:textId="77777777" w:rsidR="00CD336F" w:rsidRDefault="00A12D87">
      <w:pPr>
        <w:spacing w:before="200"/>
      </w:pPr>
      <w:r>
        <w:t>Another healthcare institution in the UK named the Sutton Care Hub also follows the principles of person-centred care as well as partnership working. The organisation offers integrated HSC support for adults with learning disabilities and care home residents on a priority through its effectively coordinated multidisciplinary teams, the access to NHS 111, GP-led reviews and the hub promoting timely interventions, person-centred care and partnership working. The services offered by the hub stresses on advance</w:t>
      </w:r>
      <w:r>
        <w:t>d healthcare planning, person-centred care and timely interventions to offer holistic care for enhancing quality of life through coordinated and compassionate care across Sutton (Sutton Care Hub, 2024). Therefore, both the examples share a common thing which is the application of ethical approaches during respecting the autonomy of service users and shared decision-making. In the UK, the existing HSC policies promote shared decision-making where both service providers and service users collaborate with each</w:t>
      </w:r>
      <w:r>
        <w:t xml:space="preserve"> other to offer person-centred care. For instance, the NHS toolkit published on shared decision-making influences health practitioners to explore patient preferences, offer balanced and accurate information and respect the patient choices even if the decisions initiate clinical disagreement to stay aligned with the ethical principles of autonomy and beneficence (Hughes et al. 2025). Although there are real challenges such as limited resources and workforce pressures which can reduce the pace of consistency </w:t>
      </w:r>
      <w:r>
        <w:t>in applying such principles, policies such as the NHS Long Term Plan alongside the legal frameworks helps in system alignment and workforce development which support long-term practices (Geary et al. 2024). Such examples illustrate how the UK promotes ethics in the sphere of HSC.</w:t>
      </w:r>
    </w:p>
    <w:p w14:paraId="77A6C621" w14:textId="77777777" w:rsidR="00CD336F" w:rsidRDefault="00A12D87">
      <w:pPr>
        <w:spacing w:before="200"/>
      </w:pPr>
      <w:r>
        <w:br w:type="page"/>
      </w:r>
    </w:p>
    <w:p w14:paraId="540BD387" w14:textId="77777777" w:rsidR="00CD336F" w:rsidRDefault="00A12D87">
      <w:pPr>
        <w:pStyle w:val="Heading1"/>
        <w:spacing w:before="200"/>
      </w:pPr>
      <w:bookmarkStart w:id="2" w:name="_heading=h.tghnh3oix2ha" w:colFirst="0" w:colLast="0"/>
      <w:bookmarkEnd w:id="2"/>
      <w:r>
        <w:t>Task 3: Self-Reflection as an HSC Professional</w:t>
      </w:r>
    </w:p>
    <w:p w14:paraId="64BEBF54" w14:textId="77777777" w:rsidR="00CD336F" w:rsidRDefault="00A12D87">
      <w:pPr>
        <w:spacing w:before="200"/>
      </w:pPr>
      <w:r>
        <w:t>Reflecting on personal experiences as a health and social care (HSC) professional, I have been identifying the importance of care principles such as person-centred care, ethics and collaborative working practices. These are the constant principles that are beneficial in care practices and often shape the everyday practices of professionals. Conducting self-reflection on these principles could benefit me to evaluate current activities in the HSC domain and further recognise areas for improvement for future p</w:t>
      </w:r>
      <w:r>
        <w:t>rofessional development.</w:t>
      </w:r>
    </w:p>
    <w:p w14:paraId="04BED8D4" w14:textId="77777777" w:rsidR="00CD336F" w:rsidRDefault="00A12D87">
      <w:pPr>
        <w:spacing w:before="200"/>
      </w:pPr>
      <w:r>
        <w:t xml:space="preserve">In terms of the </w:t>
      </w:r>
      <w:r>
        <w:rPr>
          <w:b/>
          <w:bCs/>
        </w:rPr>
        <w:t>person-centred care</w:t>
      </w:r>
      <w:r>
        <w:rPr>
          <w:b/>
          <w:bCs/>
          <w:i/>
          <w:iCs/>
        </w:rPr>
        <w:t xml:space="preserve"> </w:t>
      </w:r>
      <w:r>
        <w:t>principle, I have recognised that each individual engaged in HSC practices requires sufficient support based on their preferences, cultural values and experiences. In the care domain, offering person-centred care often involves practice to listen to the needs of service users and make their decisions by involving them in processes (</w:t>
      </w:r>
      <w:proofErr w:type="spellStart"/>
      <w:r>
        <w:t>Hormazábal</w:t>
      </w:r>
      <w:proofErr w:type="spellEnd"/>
      <w:r>
        <w:t>-Salgado et al., 2024). This results in the respect towards autonomy and dignity of the service user, which facilitates the development of trust and</w:t>
      </w:r>
      <w:r>
        <w:t xml:space="preserve"> their efficient inclusion in care practices. Additionally, the Social Care Institute for Excellence (2024) emphasises that in the UK, the </w:t>
      </w:r>
      <w:r>
        <w:rPr>
          <w:b/>
          <w:bCs/>
        </w:rPr>
        <w:t>Care Act 2014</w:t>
      </w:r>
      <w:r>
        <w:t xml:space="preserve"> has set responsibilities for HSC professionals and authorities. It involves the facilitation of the service user's independence and their complete involvement in care planning. In terms of the HSC practices, these comprehensions encourage me to engage with person-centred care rather than only depending on care provision aspects. Working as an HSC practition</w:t>
      </w:r>
      <w:r>
        <w:t xml:space="preserve">er, I have realised that many older patients experiencing mobility issues often require physical assistance and emotional support. </w:t>
      </w:r>
    </w:p>
    <w:p w14:paraId="2890F24B" w14:textId="77777777" w:rsidR="00CD336F" w:rsidRDefault="00A12D87">
      <w:pPr>
        <w:spacing w:before="200"/>
      </w:pPr>
      <w:r>
        <w:t xml:space="preserve">To perform HSC practices more efficiently, there is a role of </w:t>
      </w:r>
      <w:r>
        <w:rPr>
          <w:b/>
          <w:bCs/>
        </w:rPr>
        <w:t>Maslow’s Hierarchy of Needs</w:t>
      </w:r>
      <w:r>
        <w:t xml:space="preserve"> theory. This theory emphasises the need of understanding psychological and safety needs of service users (</w:t>
      </w:r>
      <w:proofErr w:type="spellStart"/>
      <w:r>
        <w:t>Hayre</w:t>
      </w:r>
      <w:proofErr w:type="spellEnd"/>
      <w:r>
        <w:t xml:space="preserve">-Kwan et al., 2021). Considering this theory in HSC practices, I can comprehend the fundamental care based on the psychological and safety requirements of the service user. In cases where the psychological and safety needs of service users remain unmet, the profession is not efficiently able to achieve required outcomes. Therefore, in my HSC practices, I will ensure the </w:t>
      </w:r>
      <w:r>
        <w:t>considerations of fundamental care and the aspects service users need for their self-belonging esteem and self-actualisation.</w:t>
      </w:r>
    </w:p>
    <w:p w14:paraId="5BABE057" w14:textId="77777777" w:rsidR="00CD336F" w:rsidRDefault="00A12D87">
      <w:pPr>
        <w:spacing w:before="200"/>
      </w:pPr>
      <w:r>
        <w:t xml:space="preserve">Moving further, </w:t>
      </w:r>
      <w:r>
        <w:rPr>
          <w:b/>
          <w:bCs/>
        </w:rPr>
        <w:t xml:space="preserve">partnership working </w:t>
      </w:r>
      <w:r>
        <w:t>is another principle in HSC practices that have the direct influence on the professional behaviour of practitioners. The dynamic HSC environment indicates the need for integrated practices and efficient collaboration among professionals. In the UK, the</w:t>
      </w:r>
      <w:r>
        <w:rPr>
          <w:b/>
          <w:bCs/>
        </w:rPr>
        <w:t xml:space="preserve"> Health and Care Act 2022</w:t>
      </w:r>
      <w:r>
        <w:t xml:space="preserve"> emphasise the facilitation of multidisciplinary collaboration in care practice with the use of integrated care systems (NHS England, 2023). Reflecting on the responsibility as an HSC professional, the consideration</w:t>
      </w:r>
      <w:r>
        <w:t>s of the integrated care systems under the Health and Care Act 2022 could enable working collaboratively and engaging with effective communication. With this, I can facilitate discussion with other nurses, social workers, a general practitioner, an occupational therapist and voluntary institutions in terms of recognising the potential values and needs of service users and developing an efficient care plan. Collaborative working within the integrated care system is efficient for me because of the significant</w:t>
      </w:r>
      <w:r>
        <w:t xml:space="preserve"> strength in effective </w:t>
      </w:r>
      <w:r>
        <w:rPr>
          <w:b/>
          <w:bCs/>
        </w:rPr>
        <w:t>communication</w:t>
      </w:r>
      <w:r>
        <w:t xml:space="preserve">. I possessed strong listening abilities and was able to communicate efficiently with professionals. This communication has the potential to facilitate the ability to provide person-centred care and partnership working. However, I would like to continue improving in this skill, </w:t>
      </w:r>
      <w:r>
        <w:rPr>
          <w:b/>
          <w:bCs/>
        </w:rPr>
        <w:t>building confidence</w:t>
      </w:r>
      <w:r>
        <w:t xml:space="preserve"> to engage with multidisciplinary teams during meetings and express a more professional opinion. This area for improvement was found based on recent experiences and hesitation to</w:t>
      </w:r>
      <w:r>
        <w:t xml:space="preserve"> express thoughts in front of experienced professionals. By addressing this area, I can regulate my comprehension and communication in team meetings and understand the opinions of experienced staff. </w:t>
      </w:r>
    </w:p>
    <w:p w14:paraId="6BCA532D" w14:textId="77777777" w:rsidR="00CD336F" w:rsidRDefault="00A12D87">
      <w:pPr>
        <w:spacing w:before="200"/>
      </w:pPr>
      <w:r>
        <w:t>Another principle is ethics, which contributes to the ability of professionals to make ethical decisions that support service users and professional identity. It is generally based on three critical principles in HSC purposes involving autonomy, justice, beneficence and non-maleficence (</w:t>
      </w:r>
      <w:proofErr w:type="spellStart"/>
      <w:r>
        <w:t>Varkey</w:t>
      </w:r>
      <w:proofErr w:type="spellEnd"/>
      <w:r>
        <w:t>, 2021). These ethical principles have enabled me to manage the complex situation and introduce the possibility of encountering ethical dilemmas. However, performing HSC responsibilities is associated with the risk of encountering ethical dilemmas that develop risk service users and individual responsibilities. According to the</w:t>
      </w:r>
      <w:r>
        <w:rPr>
          <w:b/>
          <w:bCs/>
        </w:rPr>
        <w:t xml:space="preserve"> Mental Capacity Act 2005</w:t>
      </w:r>
      <w:r>
        <w:t>, in care practices, understanding capacity and developing the best decision corresponding with the interests of the service user is necessary (NHS Heal</w:t>
      </w:r>
      <w:r>
        <w:t xml:space="preserve">th Research Authority, 2021). Through this, I can understand the significance of the comprehending capacity of service users to make decisions and ensure that applied interventions are aligned with their needs and the duty of care. Through this principle, I can demonstrate my ability to maintain practices with my </w:t>
      </w:r>
      <w:r>
        <w:rPr>
          <w:b/>
          <w:bCs/>
        </w:rPr>
        <w:t>strong compassion</w:t>
      </w:r>
      <w:r>
        <w:t xml:space="preserve"> and ability to develop trust with service users. The significant compassion and </w:t>
      </w:r>
      <w:r>
        <w:rPr>
          <w:b/>
          <w:bCs/>
        </w:rPr>
        <w:t>empathy skills</w:t>
      </w:r>
      <w:r>
        <w:t xml:space="preserve"> make me more organised and competent to manage complex HSC activities efficiently by</w:t>
      </w:r>
      <w:r>
        <w:t xml:space="preserve"> supporting service user needs with the care responsibility. </w:t>
      </w:r>
    </w:p>
    <w:p w14:paraId="4BE5E2ED" w14:textId="77777777" w:rsidR="00CD336F" w:rsidRDefault="00A12D87">
      <w:pPr>
        <w:spacing w:before="200"/>
      </w:pPr>
      <w:r>
        <w:t xml:space="preserve">Besides, I have realised some of the areas that I need to improve for my future HSC practices. In this context, I need to increase my comprehension of the </w:t>
      </w:r>
      <w:r>
        <w:rPr>
          <w:b/>
          <w:bCs/>
        </w:rPr>
        <w:t xml:space="preserve">current legislation and policy modifications </w:t>
      </w:r>
      <w:r>
        <w:t xml:space="preserve">in terms of ensuring the application of practice. Additionally, to avoid stress, I will focus on improving my </w:t>
      </w:r>
      <w:r>
        <w:rPr>
          <w:b/>
          <w:bCs/>
        </w:rPr>
        <w:t>stress management abilities</w:t>
      </w:r>
      <w:r>
        <w:t xml:space="preserve"> by engaging with the mindful practices and seeking support from seniors. This will help me to perform the duty of care by respecting the rights of the service user. Improving this area will efficiently shape my long-term professional identity and help me to remain consistent with the management of users' perceptions with dignit</w:t>
      </w:r>
      <w:r>
        <w:t xml:space="preserve">y and respect. With my current strengths, care principles and areas for improvement, I can progress my career as an HSC professional. I can also tell that the commitment towards continuous improvement and meet with the professional standards provided by UK authorities. </w:t>
      </w:r>
    </w:p>
    <w:p w14:paraId="4D3F886C" w14:textId="77777777" w:rsidR="00CD336F" w:rsidRDefault="00A12D87">
      <w:pPr>
        <w:spacing w:before="200"/>
      </w:pPr>
      <w:r>
        <w:t>Reflection on the principles of HSC care practices, including person-centred care, collaborative working and ethics, has enabled me to recognise the potential strengths and areas for improvement. Through this, I can efficiently grow within the dynamic HSC environment and make a positive contribution in UK care systems.</w:t>
      </w:r>
    </w:p>
    <w:p w14:paraId="19616769" w14:textId="77777777" w:rsidR="00CD336F" w:rsidRDefault="00A12D87">
      <w:pPr>
        <w:spacing w:before="200"/>
      </w:pPr>
      <w:r>
        <w:br w:type="page"/>
      </w:r>
    </w:p>
    <w:p w14:paraId="48C8E842" w14:textId="77777777" w:rsidR="00CD336F" w:rsidRDefault="00A12D87">
      <w:pPr>
        <w:pStyle w:val="Heading1"/>
        <w:spacing w:before="200"/>
      </w:pPr>
      <w:bookmarkStart w:id="3" w:name="_heading=h.dkz8912vfpgq" w:colFirst="0" w:colLast="0"/>
      <w:bookmarkEnd w:id="3"/>
      <w:r>
        <w:t xml:space="preserve">Reference List </w:t>
      </w:r>
    </w:p>
    <w:p w14:paraId="5E82FFE5" w14:textId="77777777" w:rsidR="00CD336F" w:rsidRDefault="00A12D87">
      <w:pPr>
        <w:spacing w:before="200" w:after="240"/>
        <w:jc w:val="left"/>
      </w:pPr>
      <w:r>
        <w:t xml:space="preserve">Allen, K.L., </w:t>
      </w:r>
      <w:proofErr w:type="spellStart"/>
      <w:r>
        <w:t>Mountford</w:t>
      </w:r>
      <w:proofErr w:type="spellEnd"/>
      <w:r>
        <w:t xml:space="preserve">, V.A., </w:t>
      </w:r>
      <w:proofErr w:type="spellStart"/>
      <w:r>
        <w:t>Elwyn</w:t>
      </w:r>
      <w:proofErr w:type="spellEnd"/>
      <w:r>
        <w:t xml:space="preserve">, R., Flynn, M., </w:t>
      </w:r>
      <w:proofErr w:type="spellStart"/>
      <w:r>
        <w:t>Fursland</w:t>
      </w:r>
      <w:proofErr w:type="spellEnd"/>
      <w:r>
        <w:t xml:space="preserve">, A., Obeid, N., </w:t>
      </w:r>
      <w:proofErr w:type="spellStart"/>
      <w:r>
        <w:t>Partida</w:t>
      </w:r>
      <w:proofErr w:type="spellEnd"/>
      <w:r>
        <w:t xml:space="preserve">, G., Richards, K., Schmidt, U., </w:t>
      </w:r>
      <w:proofErr w:type="spellStart"/>
      <w:r>
        <w:t>Serpell</w:t>
      </w:r>
      <w:proofErr w:type="spellEnd"/>
      <w:r>
        <w:t xml:space="preserve">, L. and Silverstein, S. (2023) ‘A framework for conceptualising early intervention for eating disorders’, </w:t>
      </w:r>
      <w:r>
        <w:rPr>
          <w:i/>
          <w:iCs/>
        </w:rPr>
        <w:t>European Eating Disorders Review</w:t>
      </w:r>
      <w:r>
        <w:t>, 31(2), pp. 320–334.</w:t>
      </w:r>
    </w:p>
    <w:p w14:paraId="629FDED0" w14:textId="77777777" w:rsidR="00CD336F" w:rsidRDefault="00A12D87">
      <w:pPr>
        <w:spacing w:before="200" w:after="240"/>
        <w:jc w:val="left"/>
      </w:pPr>
      <w:proofErr w:type="spellStart"/>
      <w:r>
        <w:t>Cheraghi</w:t>
      </w:r>
      <w:proofErr w:type="spellEnd"/>
      <w:r>
        <w:t xml:space="preserve">, R., </w:t>
      </w:r>
      <w:proofErr w:type="spellStart"/>
      <w:r>
        <w:t>Valizadeh</w:t>
      </w:r>
      <w:proofErr w:type="spellEnd"/>
      <w:r>
        <w:t xml:space="preserve">, L., </w:t>
      </w:r>
      <w:proofErr w:type="spellStart"/>
      <w:r>
        <w:t>Zamanzadeh</w:t>
      </w:r>
      <w:proofErr w:type="spellEnd"/>
      <w:r>
        <w:t xml:space="preserve">, V., </w:t>
      </w:r>
      <w:proofErr w:type="spellStart"/>
      <w:r>
        <w:t>Hassankhani</w:t>
      </w:r>
      <w:proofErr w:type="spellEnd"/>
      <w:r>
        <w:t xml:space="preserve">, H. and </w:t>
      </w:r>
      <w:proofErr w:type="spellStart"/>
      <w:r>
        <w:t>Jafarzadeh</w:t>
      </w:r>
      <w:proofErr w:type="spellEnd"/>
      <w:r>
        <w:t xml:space="preserve">, A. (2023) ‘Clarification of ethical principle of beneficence in nursing care: an integrative review’, </w:t>
      </w:r>
      <w:r>
        <w:rPr>
          <w:i/>
          <w:iCs/>
        </w:rPr>
        <w:t>BMC Nursing</w:t>
      </w:r>
      <w:r>
        <w:t>, 22(1), p. 89.</w:t>
      </w:r>
    </w:p>
    <w:p w14:paraId="2A33BD9C" w14:textId="77777777" w:rsidR="00CD336F" w:rsidRDefault="00A12D87">
      <w:pPr>
        <w:spacing w:before="200" w:after="240"/>
        <w:jc w:val="left"/>
      </w:pPr>
      <w:r>
        <w:t xml:space="preserve">Community Health Partnerships (no date) </w:t>
      </w:r>
      <w:proofErr w:type="spellStart"/>
      <w:r>
        <w:rPr>
          <w:i/>
          <w:iCs/>
        </w:rPr>
        <w:t>Washwood</w:t>
      </w:r>
      <w:proofErr w:type="spellEnd"/>
      <w:r>
        <w:rPr>
          <w:i/>
          <w:iCs/>
        </w:rPr>
        <w:t xml:space="preserve"> Heath Health and Wellbeing Centre: Innovative utilisation supporting productivity</w:t>
      </w:r>
      <w:r>
        <w:t>. Available at:</w:t>
      </w:r>
      <w:hyperlink r:id="rId8">
        <w:r>
          <w:t xml:space="preserve"> </w:t>
        </w:r>
      </w:hyperlink>
      <w:hyperlink r:id="rId9">
        <w:r>
          <w:rPr>
            <w:color w:val="1155CC"/>
            <w:u w:val="single"/>
          </w:rPr>
          <w:t>https://communityhealthpartnerships.co.uk/news/washwood-heath-health-and-wellbeing-centre-innovative-utilisation-supporting-productivity/</w:t>
        </w:r>
      </w:hyperlink>
      <w:r>
        <w:t xml:space="preserve"> (Accessed: 17 February 2026).</w:t>
      </w:r>
    </w:p>
    <w:p w14:paraId="1DFDE0AB" w14:textId="77777777" w:rsidR="00CD336F" w:rsidRDefault="00A12D87">
      <w:pPr>
        <w:spacing w:before="200" w:after="240"/>
        <w:jc w:val="left"/>
      </w:pPr>
      <w:r>
        <w:t>Douglas, N., Mays, N., Al-</w:t>
      </w:r>
      <w:proofErr w:type="spellStart"/>
      <w:r>
        <w:t>Haboubi</w:t>
      </w:r>
      <w:proofErr w:type="spellEnd"/>
      <w:r>
        <w:t xml:space="preserve">, M., </w:t>
      </w:r>
      <w:proofErr w:type="spellStart"/>
      <w:r>
        <w:t>Manacorda</w:t>
      </w:r>
      <w:proofErr w:type="spellEnd"/>
      <w:r>
        <w:t xml:space="preserve">, T., Thana, L., </w:t>
      </w:r>
      <w:proofErr w:type="spellStart"/>
      <w:r>
        <w:t>Wistow</w:t>
      </w:r>
      <w:proofErr w:type="spellEnd"/>
      <w:r>
        <w:t xml:space="preserve">, G. and Durand, M.A. (2022) ‘Observations of community-based multidisciplinary team meetings in health and social care for older people with long term conditions in England’, </w:t>
      </w:r>
      <w:r>
        <w:rPr>
          <w:i/>
          <w:iCs/>
        </w:rPr>
        <w:t>BMC Health Services Research</w:t>
      </w:r>
      <w:r>
        <w:t>, 22(1), p. 758.</w:t>
      </w:r>
    </w:p>
    <w:p w14:paraId="2FA0AF2D" w14:textId="77777777" w:rsidR="00CD336F" w:rsidRDefault="00A12D87">
      <w:pPr>
        <w:spacing w:before="200" w:after="240"/>
        <w:jc w:val="left"/>
      </w:pPr>
      <w:r>
        <w:t xml:space="preserve">Fong, M.C., Russell, D., Gao, O. and </w:t>
      </w:r>
      <w:proofErr w:type="spellStart"/>
      <w:r>
        <w:t>Franzosa</w:t>
      </w:r>
      <w:proofErr w:type="spellEnd"/>
      <w:r>
        <w:t xml:space="preserve">, E. (2023) ‘Contextual forces shaping home-based health care services between 2010 and 2020: insights from the social-ecological model and organizational theory’, </w:t>
      </w:r>
      <w:r>
        <w:rPr>
          <w:i/>
          <w:iCs/>
        </w:rPr>
        <w:t>The Gerontologist</w:t>
      </w:r>
      <w:r>
        <w:t>, 63(7), pp. 1117–1128.</w:t>
      </w:r>
    </w:p>
    <w:p w14:paraId="426D2DE2" w14:textId="77777777" w:rsidR="00CD336F" w:rsidRDefault="00A12D87">
      <w:pPr>
        <w:spacing w:before="200" w:after="240"/>
        <w:jc w:val="left"/>
      </w:pPr>
      <w:r>
        <w:t>Geary, U., McKee, M. and Petty-</w:t>
      </w:r>
      <w:proofErr w:type="spellStart"/>
      <w:r>
        <w:t>Saphon</w:t>
      </w:r>
      <w:proofErr w:type="spellEnd"/>
      <w:r>
        <w:t xml:space="preserve">, K. (2024) ‘Mind the implementation gap: a systems analysis of the NHS Long Term Workforce Plan to increase the number of doctors trained in the UK raises many questions’, </w:t>
      </w:r>
      <w:r>
        <w:rPr>
          <w:i/>
          <w:iCs/>
        </w:rPr>
        <w:t>British Medical Bulletin</w:t>
      </w:r>
      <w:r>
        <w:t>, 150(1), pp. 1–10.</w:t>
      </w:r>
    </w:p>
    <w:p w14:paraId="71861D73" w14:textId="77777777" w:rsidR="00CD336F" w:rsidRDefault="00A12D87">
      <w:pPr>
        <w:spacing w:before="200" w:after="240"/>
        <w:jc w:val="left"/>
      </w:pPr>
      <w:proofErr w:type="spellStart"/>
      <w:r>
        <w:t>Hayre</w:t>
      </w:r>
      <w:proofErr w:type="spellEnd"/>
      <w:r>
        <w:t xml:space="preserve">-Kwan, S., Quinn, B., Chu, T., Orr, P. and </w:t>
      </w:r>
      <w:proofErr w:type="spellStart"/>
      <w:r>
        <w:t>Snoke</w:t>
      </w:r>
      <w:proofErr w:type="spellEnd"/>
      <w:r>
        <w:t xml:space="preserve">, J. (2021) ‘Nursing and Maslow’s Hierarchy’, </w:t>
      </w:r>
      <w:r>
        <w:rPr>
          <w:i/>
          <w:iCs/>
        </w:rPr>
        <w:t>Nurse Leader</w:t>
      </w:r>
      <w:r>
        <w:t xml:space="preserve">, 19(6), pp.590–595. </w:t>
      </w:r>
    </w:p>
    <w:p w14:paraId="4124C9A0" w14:textId="77777777" w:rsidR="00CD336F" w:rsidRDefault="00A12D87">
      <w:pPr>
        <w:spacing w:before="200" w:after="240"/>
        <w:jc w:val="left"/>
      </w:pPr>
      <w:proofErr w:type="spellStart"/>
      <w:r>
        <w:t>Hormazábal</w:t>
      </w:r>
      <w:proofErr w:type="spellEnd"/>
      <w:r>
        <w:t xml:space="preserve">-Salgado, R., Whitehead, D., Osman, A. and Hills, D. (2024) ‘Person-Centred Decision-Making in Mental Health: A Scoping Review’, </w:t>
      </w:r>
      <w:r>
        <w:rPr>
          <w:i/>
          <w:iCs/>
        </w:rPr>
        <w:t>Issues in Mental Health Nursing</w:t>
      </w:r>
      <w:r>
        <w:t xml:space="preserve">, 45(3), pp.1–17. </w:t>
      </w:r>
    </w:p>
    <w:p w14:paraId="3B57DAEA" w14:textId="77777777" w:rsidR="00CD336F" w:rsidRDefault="00A12D87">
      <w:pPr>
        <w:spacing w:before="200" w:after="240"/>
      </w:pPr>
      <w:r>
        <w:t xml:space="preserve">Hughes, G., Shaw, S.E., </w:t>
      </w:r>
      <w:proofErr w:type="spellStart"/>
      <w:r>
        <w:t>Bowley</w:t>
      </w:r>
      <w:proofErr w:type="spellEnd"/>
      <w:r>
        <w:t xml:space="preserve">, J., </w:t>
      </w:r>
      <w:proofErr w:type="spellStart"/>
      <w:r>
        <w:t>Darbyshire</w:t>
      </w:r>
      <w:proofErr w:type="spellEnd"/>
      <w:r>
        <w:t xml:space="preserve">, J.L. and Stephens, T.J. (2025) ‘Choosing wisely? A frame analysis of the evolution and adoption of shared decision making in the UK’, </w:t>
      </w:r>
      <w:r>
        <w:rPr>
          <w:i/>
          <w:iCs/>
        </w:rPr>
        <w:t>SSM – Qualitative Research in Health</w:t>
      </w:r>
      <w:r>
        <w:t>, 8, p. 100579.</w:t>
      </w:r>
    </w:p>
    <w:p w14:paraId="34760A0A" w14:textId="77777777" w:rsidR="00CD336F" w:rsidRDefault="00A12D87">
      <w:pPr>
        <w:spacing w:before="200" w:after="240"/>
      </w:pPr>
      <w:proofErr w:type="spellStart"/>
      <w:r>
        <w:t>Janerka</w:t>
      </w:r>
      <w:proofErr w:type="spellEnd"/>
      <w:r>
        <w:t xml:space="preserve">, C., Leslie, G.D., Gill, F.J., PCC ED Triage Group, </w:t>
      </w:r>
      <w:proofErr w:type="spellStart"/>
      <w:r>
        <w:t>Brincat</w:t>
      </w:r>
      <w:proofErr w:type="spellEnd"/>
      <w:r>
        <w:t xml:space="preserve">, L., Cooper, A., </w:t>
      </w:r>
      <w:proofErr w:type="spellStart"/>
      <w:r>
        <w:t>Glosz</w:t>
      </w:r>
      <w:proofErr w:type="spellEnd"/>
      <w:r>
        <w:t xml:space="preserve">, L., </w:t>
      </w:r>
      <w:proofErr w:type="spellStart"/>
      <w:r>
        <w:t>McNeilly</w:t>
      </w:r>
      <w:proofErr w:type="spellEnd"/>
      <w:r>
        <w:t xml:space="preserve">, L., Rhodes, C., </w:t>
      </w:r>
      <w:proofErr w:type="spellStart"/>
      <w:r>
        <w:t>Sidrak</w:t>
      </w:r>
      <w:proofErr w:type="spellEnd"/>
      <w:r>
        <w:t xml:space="preserve">, K. and Smith, E. (2025) ‘Co-design of a framework for person-centred care at emergency department triage and waiting room’, </w:t>
      </w:r>
      <w:r>
        <w:rPr>
          <w:i/>
          <w:iCs/>
        </w:rPr>
        <w:t>Health Expectations</w:t>
      </w:r>
      <w:r>
        <w:t>, 28(5), p. e70442.</w:t>
      </w:r>
    </w:p>
    <w:p w14:paraId="2F6C02F7" w14:textId="77777777" w:rsidR="00CD336F" w:rsidRDefault="00A12D87">
      <w:pPr>
        <w:spacing w:before="200" w:after="240"/>
      </w:pPr>
      <w:r>
        <w:t xml:space="preserve">Khatri, R.B., </w:t>
      </w:r>
      <w:proofErr w:type="spellStart"/>
      <w:r>
        <w:t>Wolka</w:t>
      </w:r>
      <w:proofErr w:type="spellEnd"/>
      <w:r>
        <w:t xml:space="preserve">, E., </w:t>
      </w:r>
      <w:proofErr w:type="spellStart"/>
      <w:r>
        <w:t>Nigatu</w:t>
      </w:r>
      <w:proofErr w:type="spellEnd"/>
      <w:r>
        <w:t xml:space="preserve">, F., </w:t>
      </w:r>
      <w:proofErr w:type="spellStart"/>
      <w:r>
        <w:t>Zewdie</w:t>
      </w:r>
      <w:proofErr w:type="spellEnd"/>
      <w:r>
        <w:t xml:space="preserve">, A., </w:t>
      </w:r>
      <w:proofErr w:type="spellStart"/>
      <w:r>
        <w:t>Erku</w:t>
      </w:r>
      <w:proofErr w:type="spellEnd"/>
      <w:r>
        <w:t xml:space="preserve">, D., </w:t>
      </w:r>
      <w:proofErr w:type="spellStart"/>
      <w:r>
        <w:t>Endalamaw</w:t>
      </w:r>
      <w:proofErr w:type="spellEnd"/>
      <w:r>
        <w:t xml:space="preserve">, A. and </w:t>
      </w:r>
      <w:proofErr w:type="spellStart"/>
      <w:r>
        <w:t>Assefa</w:t>
      </w:r>
      <w:proofErr w:type="spellEnd"/>
      <w:r>
        <w:t xml:space="preserve">, Y. (2023) ‘People-centred primary health care: a scoping review’, </w:t>
      </w:r>
      <w:r>
        <w:rPr>
          <w:i/>
          <w:iCs/>
        </w:rPr>
        <w:t>BMC Primary Care</w:t>
      </w:r>
      <w:r>
        <w:t>, 24(1), p. 236.</w:t>
      </w:r>
    </w:p>
    <w:p w14:paraId="5DBA95B2" w14:textId="77777777" w:rsidR="00CD336F" w:rsidRDefault="00A12D87">
      <w:pPr>
        <w:spacing w:before="200" w:after="240"/>
      </w:pPr>
      <w:proofErr w:type="spellStart"/>
      <w:r>
        <w:t>Kumari</w:t>
      </w:r>
      <w:proofErr w:type="spellEnd"/>
      <w:r>
        <w:t xml:space="preserve">, S. (2024) ‘Humanism in education: Fostering student-centred learning through Maslow’s and Rogers’ theories’, </w:t>
      </w:r>
      <w:r>
        <w:rPr>
          <w:i/>
          <w:iCs/>
        </w:rPr>
        <w:t>International Journal of Research Publication and Reviews</w:t>
      </w:r>
      <w:r>
        <w:t>, 2582, p. 7421.</w:t>
      </w:r>
    </w:p>
    <w:p w14:paraId="5A0DB0F1" w14:textId="77777777" w:rsidR="00CD336F" w:rsidRDefault="00A12D87">
      <w:pPr>
        <w:spacing w:before="200" w:after="240"/>
      </w:pPr>
      <w:r>
        <w:t xml:space="preserve">legislation.gov.uk (2012) </w:t>
      </w:r>
      <w:r>
        <w:rPr>
          <w:i/>
          <w:iCs/>
        </w:rPr>
        <w:t>Health and Social Care Act 2012</w:t>
      </w:r>
      <w:r>
        <w:t>. Available at:</w:t>
      </w:r>
      <w:hyperlink r:id="rId10">
        <w:r>
          <w:t xml:space="preserve"> </w:t>
        </w:r>
      </w:hyperlink>
      <w:hyperlink r:id="rId11">
        <w:r>
          <w:rPr>
            <w:color w:val="1155CC"/>
            <w:u w:val="single"/>
          </w:rPr>
          <w:t>https://www.legislation.gov.uk/ukpga/2012/7/contents</w:t>
        </w:r>
      </w:hyperlink>
      <w:r>
        <w:t xml:space="preserve"> (Accessed: 17 February 2026).</w:t>
      </w:r>
    </w:p>
    <w:p w14:paraId="5A4A013D" w14:textId="77777777" w:rsidR="00CD336F" w:rsidRDefault="00A12D87">
      <w:pPr>
        <w:spacing w:before="200" w:after="240"/>
      </w:pPr>
      <w:r>
        <w:t xml:space="preserve">NHS (2021) </w:t>
      </w:r>
      <w:r>
        <w:rPr>
          <w:i/>
          <w:iCs/>
        </w:rPr>
        <w:t>Mental Capacity Act</w:t>
      </w:r>
      <w:r>
        <w:t>. Available at:</w:t>
      </w:r>
      <w:hyperlink r:id="rId12">
        <w:r>
          <w:t xml:space="preserve"> </w:t>
        </w:r>
      </w:hyperlink>
      <w:hyperlink r:id="rId13">
        <w:r>
          <w:rPr>
            <w:color w:val="1155CC"/>
            <w:u w:val="single"/>
          </w:rPr>
          <w:t>https://www.hra.nhs.uk/planning-and-improving-research/policies-standards-legislation/mental-capacity-act/</w:t>
        </w:r>
      </w:hyperlink>
      <w:r>
        <w:t xml:space="preserve"> (Accessed: 17 February 2026).</w:t>
      </w:r>
    </w:p>
    <w:p w14:paraId="641E6C61" w14:textId="77777777" w:rsidR="00CD336F" w:rsidRDefault="00A12D87">
      <w:pPr>
        <w:spacing w:before="200" w:after="240"/>
      </w:pPr>
      <w:r>
        <w:t xml:space="preserve">NHS England (2023) </w:t>
      </w:r>
      <w:r>
        <w:rPr>
          <w:i/>
          <w:iCs/>
        </w:rPr>
        <w:t>Working in Partnership with People and communities: Statutory Guidance</w:t>
      </w:r>
      <w:r>
        <w:t xml:space="preserve">. Available at: </w:t>
      </w:r>
      <w:hyperlink r:id="rId14">
        <w:r>
          <w:rPr>
            <w:color w:val="1155CC"/>
            <w:u w:val="single"/>
          </w:rPr>
          <w:t>https://www.england.nhs.uk/long-read/working-in-partnership-with-people-and-communities-statutory-guidance/</w:t>
        </w:r>
      </w:hyperlink>
      <w:r>
        <w:t xml:space="preserve"> (Accessed: 15 February 2026).</w:t>
      </w:r>
    </w:p>
    <w:p w14:paraId="7E30C2AA" w14:textId="77777777" w:rsidR="00CD336F" w:rsidRDefault="00A12D87">
      <w:pPr>
        <w:spacing w:before="200" w:after="240"/>
      </w:pPr>
      <w:r>
        <w:t xml:space="preserve">NHS England (2026) </w:t>
      </w:r>
      <w:r>
        <w:rPr>
          <w:i/>
          <w:iCs/>
        </w:rPr>
        <w:t>Workforce, training and education</w:t>
      </w:r>
      <w:r>
        <w:t>. Available at:</w:t>
      </w:r>
      <w:hyperlink r:id="rId15">
        <w:r>
          <w:t xml:space="preserve"> </w:t>
        </w:r>
      </w:hyperlink>
      <w:hyperlink r:id="rId16">
        <w:r>
          <w:rPr>
            <w:color w:val="1155CC"/>
            <w:u w:val="single"/>
          </w:rPr>
          <w:t>https://www.hee.nhs.uk/</w:t>
        </w:r>
      </w:hyperlink>
      <w:r>
        <w:t xml:space="preserve"> (Accessed: 17 February 2026).</w:t>
      </w:r>
    </w:p>
    <w:p w14:paraId="2FA8F682" w14:textId="77777777" w:rsidR="00CD336F" w:rsidRDefault="00A12D87">
      <w:pPr>
        <w:spacing w:before="200" w:after="240"/>
      </w:pPr>
      <w:r>
        <w:t xml:space="preserve">NHS Health Research Authority (2021) </w:t>
      </w:r>
      <w:r>
        <w:rPr>
          <w:i/>
          <w:iCs/>
        </w:rPr>
        <w:t xml:space="preserve">Mental Capacity </w:t>
      </w:r>
      <w:proofErr w:type="spellStart"/>
      <w:r>
        <w:rPr>
          <w:i/>
          <w:iCs/>
        </w:rPr>
        <w:t>Act</w:t>
      </w:r>
      <w:r>
        <w:t>.Available</w:t>
      </w:r>
      <w:proofErr w:type="spellEnd"/>
      <w:r>
        <w:t xml:space="preserve"> at: </w:t>
      </w:r>
      <w:hyperlink r:id="rId17">
        <w:r>
          <w:rPr>
            <w:color w:val="1155CC"/>
            <w:u w:val="single"/>
          </w:rPr>
          <w:t>https://www.hra.nhs.uk/planning-and-improving-research/policies-standards-legislation/mental-capacity-act/</w:t>
        </w:r>
      </w:hyperlink>
      <w:r>
        <w:t xml:space="preserve">  (Accessed: 16 February 2026).</w:t>
      </w:r>
    </w:p>
    <w:p w14:paraId="0005B1B9" w14:textId="77777777" w:rsidR="00CD336F" w:rsidRDefault="00A12D87">
      <w:pPr>
        <w:spacing w:before="200" w:after="240"/>
      </w:pPr>
      <w:proofErr w:type="spellStart"/>
      <w:r>
        <w:t>Nigusie</w:t>
      </w:r>
      <w:proofErr w:type="spellEnd"/>
      <w:r>
        <w:t xml:space="preserve">, A., </w:t>
      </w:r>
      <w:proofErr w:type="spellStart"/>
      <w:r>
        <w:t>Endehabtu</w:t>
      </w:r>
      <w:proofErr w:type="spellEnd"/>
      <w:r>
        <w:t xml:space="preserve">, B.F., </w:t>
      </w:r>
      <w:proofErr w:type="spellStart"/>
      <w:r>
        <w:t>Angaw</w:t>
      </w:r>
      <w:proofErr w:type="spellEnd"/>
      <w:r>
        <w:t xml:space="preserve">, D.A., </w:t>
      </w:r>
      <w:proofErr w:type="spellStart"/>
      <w:r>
        <w:t>Teklu</w:t>
      </w:r>
      <w:proofErr w:type="spellEnd"/>
      <w:r>
        <w:t xml:space="preserve">, A., </w:t>
      </w:r>
      <w:proofErr w:type="spellStart"/>
      <w:r>
        <w:t>Mekonnen</w:t>
      </w:r>
      <w:proofErr w:type="spellEnd"/>
      <w:r>
        <w:t xml:space="preserve">, Z.A., </w:t>
      </w:r>
      <w:proofErr w:type="spellStart"/>
      <w:r>
        <w:t>Feletto</w:t>
      </w:r>
      <w:proofErr w:type="spellEnd"/>
      <w:r>
        <w:t xml:space="preserve">, M., Assan, A., Samuel, A., Sheikh, K. and </w:t>
      </w:r>
      <w:proofErr w:type="spellStart"/>
      <w:r>
        <w:t>Tilahun</w:t>
      </w:r>
      <w:proofErr w:type="spellEnd"/>
      <w:r>
        <w:t xml:space="preserve">, B. (2022) ‘Status of compassionate, respectful, and caring health service delivery: scoping review’, </w:t>
      </w:r>
      <w:r>
        <w:rPr>
          <w:i/>
          <w:iCs/>
        </w:rPr>
        <w:t>JMIR Human Factors</w:t>
      </w:r>
      <w:r>
        <w:t>, 9(1), p. e30804.</w:t>
      </w:r>
    </w:p>
    <w:p w14:paraId="757FA72C" w14:textId="77777777" w:rsidR="00CD336F" w:rsidRDefault="00A12D87">
      <w:pPr>
        <w:spacing w:before="200" w:after="240"/>
      </w:pPr>
      <w:r>
        <w:t xml:space="preserve">Social Care Institute for Excellence (2024) </w:t>
      </w:r>
      <w:r>
        <w:rPr>
          <w:i/>
          <w:iCs/>
        </w:rPr>
        <w:t>Key Care Act duties for assessment and determination of eligibility</w:t>
      </w:r>
      <w:r>
        <w:t xml:space="preserve">. Available at: </w:t>
      </w:r>
      <w:hyperlink r:id="rId18">
        <w:r>
          <w:rPr>
            <w:color w:val="1155CC"/>
            <w:u w:val="single"/>
          </w:rPr>
          <w:t>https://www.scie.org.uk/assessment-and-eligibility/key-duties/</w:t>
        </w:r>
      </w:hyperlink>
      <w:r>
        <w:t xml:space="preserve">  (Accessed: 15 February 2026).</w:t>
      </w:r>
    </w:p>
    <w:p w14:paraId="3D3D4031" w14:textId="77777777" w:rsidR="00CD336F" w:rsidRDefault="00A12D87">
      <w:pPr>
        <w:spacing w:before="200" w:after="240"/>
      </w:pPr>
      <w:r>
        <w:t xml:space="preserve">Sutton Care Hub (2024) </w:t>
      </w:r>
      <w:r>
        <w:rPr>
          <w:i/>
          <w:iCs/>
        </w:rPr>
        <w:t>Support available</w:t>
      </w:r>
      <w:r>
        <w:t>. Available at:</w:t>
      </w:r>
      <w:hyperlink r:id="rId19">
        <w:r>
          <w:t xml:space="preserve"> </w:t>
        </w:r>
      </w:hyperlink>
      <w:hyperlink r:id="rId20">
        <w:r>
          <w:rPr>
            <w:color w:val="1155CC"/>
            <w:u w:val="single"/>
          </w:rPr>
          <w:t>https://suttoncarehub.org.uk/health/clinical-support-2/support-available/</w:t>
        </w:r>
      </w:hyperlink>
      <w:r>
        <w:t xml:space="preserve"> (Accessed: 17 February 2026).</w:t>
      </w:r>
    </w:p>
    <w:p w14:paraId="71D46D24" w14:textId="77777777" w:rsidR="00CD336F" w:rsidRDefault="00A12D87">
      <w:pPr>
        <w:spacing w:before="200" w:after="240"/>
      </w:pPr>
      <w:proofErr w:type="spellStart"/>
      <w:r>
        <w:t>Varkey</w:t>
      </w:r>
      <w:proofErr w:type="spellEnd"/>
      <w:r>
        <w:t xml:space="preserve">, B. (2021) ‘Principles of Clinical Ethics and Their Application to Practice’, </w:t>
      </w:r>
      <w:r>
        <w:rPr>
          <w:i/>
          <w:iCs/>
        </w:rPr>
        <w:t>Medical Principles and Practice</w:t>
      </w:r>
      <w:r>
        <w:t xml:space="preserve">, 30(1), pp.17–28. </w:t>
      </w:r>
    </w:p>
    <w:p w14:paraId="7D6BFA02" w14:textId="77777777" w:rsidR="00CD336F" w:rsidRDefault="00CD336F">
      <w:pPr>
        <w:spacing w:before="200"/>
        <w:rPr>
          <w:color w:val="222222"/>
          <w:highlight w:val="white"/>
        </w:rPr>
      </w:pPr>
    </w:p>
    <w:sectPr w:rsidR="00CD336F">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D039A" w14:textId="77777777" w:rsidR="00CD336F" w:rsidRDefault="00A12D87">
      <w:pPr>
        <w:spacing w:line="240" w:lineRule="auto"/>
      </w:pPr>
      <w:r>
        <w:separator/>
      </w:r>
    </w:p>
  </w:endnote>
  <w:endnote w:type="continuationSeparator" w:id="0">
    <w:p w14:paraId="050B63A9" w14:textId="77777777" w:rsidR="00CD336F" w:rsidRDefault="00A12D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embedRegular r:id="rId1" w:fontKey="{2CF2B18B-2024-4C82-A00F-2C21157BED2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embedRegular r:id="rId4" w:fontKey="{79FC3833-B252-4F43-989A-1E0F1ACD705E}"/>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7DD26" w14:textId="77777777" w:rsidR="00CD336F" w:rsidRDefault="00A12D87">
    <w:pP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p>
  <w:p w14:paraId="3ADBD0C0" w14:textId="77777777" w:rsidR="00CD336F" w:rsidRDefault="00CD336F">
    <w:pP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E7751" w14:textId="77777777" w:rsidR="00CD336F" w:rsidRDefault="00A12D87">
      <w:r>
        <w:separator/>
      </w:r>
    </w:p>
  </w:footnote>
  <w:footnote w:type="continuationSeparator" w:id="0">
    <w:p w14:paraId="4A8AA832" w14:textId="77777777" w:rsidR="00CD336F" w:rsidRDefault="00A12D8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A6A"/>
    <w:rsid w:val="000248AE"/>
    <w:rsid w:val="00057FC5"/>
    <w:rsid w:val="001C47C0"/>
    <w:rsid w:val="002C16F7"/>
    <w:rsid w:val="003855D1"/>
    <w:rsid w:val="00616DD8"/>
    <w:rsid w:val="00672DB3"/>
    <w:rsid w:val="00681336"/>
    <w:rsid w:val="006C46BE"/>
    <w:rsid w:val="00842644"/>
    <w:rsid w:val="008506E8"/>
    <w:rsid w:val="00862A6A"/>
    <w:rsid w:val="00924E8E"/>
    <w:rsid w:val="009363E9"/>
    <w:rsid w:val="00942B81"/>
    <w:rsid w:val="00944CB1"/>
    <w:rsid w:val="00975840"/>
    <w:rsid w:val="00A12D87"/>
    <w:rsid w:val="00A7330B"/>
    <w:rsid w:val="00AA0086"/>
    <w:rsid w:val="00C23BF7"/>
    <w:rsid w:val="00CD336F"/>
    <w:rsid w:val="00CF6F45"/>
    <w:rsid w:val="00D367E7"/>
    <w:rsid w:val="00DC1CB5"/>
    <w:rsid w:val="00DE3284"/>
    <w:rsid w:val="09854AE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D92D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GB" w:eastAsia="en-IN"/>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itle">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ommunityhealthpartnerships.co.uk/news/washwood-heath-health-and-wellbeing-centre-innovative-utilisation-supporting-productivity/?utm_source=chatgpt.com" TargetMode="External" /><Relationship Id="rId13" Type="http://schemas.openxmlformats.org/officeDocument/2006/relationships/hyperlink" Target="https://www.hra.nhs.uk/planning-and-improving-research/policies-standards-legislation/mental-capacity-act/" TargetMode="External" /><Relationship Id="rId18" Type="http://schemas.openxmlformats.org/officeDocument/2006/relationships/hyperlink" Target="https://www.scie.org.uk/assessment-and-eligibility/key-duties/"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hyperlink" Target="http://legislation.gov.uk" TargetMode="External" /><Relationship Id="rId12" Type="http://schemas.openxmlformats.org/officeDocument/2006/relationships/hyperlink" Target="https://www.hra.nhs.uk/planning-and-improving-research/policies-standards-legislation/mental-capacity-act/" TargetMode="External" /><Relationship Id="rId17" Type="http://schemas.openxmlformats.org/officeDocument/2006/relationships/hyperlink" Target="https://www.hra.nhs.uk/planning-and-improving-research/policies-standards-legislation/mental-capacity-act/" TargetMode="External" /><Relationship Id="rId2" Type="http://schemas.openxmlformats.org/officeDocument/2006/relationships/styles" Target="styles.xml" /><Relationship Id="rId16" Type="http://schemas.openxmlformats.org/officeDocument/2006/relationships/hyperlink" Target="https://www.hee.nhs.uk/" TargetMode="External" /><Relationship Id="rId20" Type="http://schemas.openxmlformats.org/officeDocument/2006/relationships/hyperlink" Target="https://suttoncarehub.org.uk/health/clinical-support-2/support-available/"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legislation.gov.uk/ukpga/2012/7/contents" TargetMode="External" /><Relationship Id="rId5" Type="http://schemas.openxmlformats.org/officeDocument/2006/relationships/footnotes" Target="footnotes.xml" /><Relationship Id="rId15" Type="http://schemas.openxmlformats.org/officeDocument/2006/relationships/hyperlink" Target="https://www.hee.nhs.uk/our-work/person-centred-care?utm_source=chatgpt.com" TargetMode="External" /><Relationship Id="rId23" Type="http://schemas.openxmlformats.org/officeDocument/2006/relationships/theme" Target="theme/theme1.xml" /><Relationship Id="rId10" Type="http://schemas.openxmlformats.org/officeDocument/2006/relationships/hyperlink" Target="https://www.legislation.gov.uk/ukpga/2012/7/contents" TargetMode="External" /><Relationship Id="rId19" Type="http://schemas.openxmlformats.org/officeDocument/2006/relationships/hyperlink" Target="https://suttoncarehub.org.uk/health/clinical-support-2/support-available/" TargetMode="External" /><Relationship Id="rId4" Type="http://schemas.openxmlformats.org/officeDocument/2006/relationships/webSettings" Target="webSettings.xml" /><Relationship Id="rId9" Type="http://schemas.openxmlformats.org/officeDocument/2006/relationships/hyperlink" Target="https://communityhealthpartnerships.co.uk/news/washwood-heath-health-and-wellbeing-centre-innovative-utilisation-supporting-productivity/" TargetMode="External" /><Relationship Id="rId14" Type="http://schemas.openxmlformats.org/officeDocument/2006/relationships/hyperlink" Target="https://www.england.nhs.uk/long-read/working-in-partnership-with-people-and-communities-statutory-guidance/" TargetMode="External" /><Relationship Id="rId22" Type="http://schemas.openxmlformats.org/officeDocument/2006/relationships/fontTable" Target="fontTable.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SDziz/kQZF3ayAG7MXoXKh5KiQ==">CgMxLjAyDmguM2E2bjd5cHRiZGwzMg5oLmYwM2FheWoyaHBybDIOaC50Z2huaDNvaXgyaGEyDmguZGt6ODkxMnZmcGdxOAByITF1R2dzdEExSkZIYmVRTnY0cVNVOVc5b2ptSjFBQXRiVA==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3121</Words>
  <Characters>17790</Characters>
  <Application>Microsoft Office Word</Application>
  <DocSecurity>0</DocSecurity>
  <Lines>148</Lines>
  <Paragraphs>41</Paragraphs>
  <ScaleCrop>false</ScaleCrop>
  <LinksUpToDate>false</LinksUpToDate>
  <CharactersWithSpaces>20870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2026-02-23T13:22:00Z</dcterms:created>
  <dcterms:modified xsi:type="dcterms:W3CDTF">2026-02-23T13:25:00Z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6F910587A0E2494FA92511E0602FB747_12</vt:lpwstr>
  </property>
</Properties>
</file>