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2.xml" ContentType="application/vnd.openxmlformats-officedocument.wordprocessingml.header+xml"/>
  <Override PartName="/word/media/image1.png" ContentType="image/png"/>
  <Override PartName="/word/media/image2.png" ContentType="image/png"/>
  <Override PartName="/word/media/image3.gif" ContentType="image/gif"/>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ind w:right="237" w:hanging="0"/>
        <w:rPr>
          <w:sz w:val="24"/>
          <w:szCs w:val="24"/>
        </w:rPr>
      </w:pPr>
      <w:r>
        <w:rPr>
          <w:sz w:val="24"/>
          <w:szCs w:val="24"/>
        </w:rPr>
      </w:r>
    </w:p>
    <w:p>
      <w:pPr>
        <w:pStyle w:val="Normal"/>
        <w:ind w:right="237" w:hanging="0"/>
        <w:rPr>
          <w:sz w:val="24"/>
          <w:szCs w:val="24"/>
        </w:rPr>
      </w:pPr>
      <w:r>
        <w:rPr>
          <w:color w:val="000000" w:themeColor="text1"/>
          <w:sz w:val="24"/>
          <w:szCs w:val="24"/>
        </w:rPr>
        <w:t>+</w:t>
      </w:r>
      <w:r>
        <w:rPr/>
        <w:drawing>
          <wp:inline distT="0" distB="0" distL="0" distR="0">
            <wp:extent cx="2045335" cy="714375"/>
            <wp:effectExtent l="0" t="0" r="0" b="0"/>
            <wp:docPr id="1" name="Picture 3838363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83836317" descr=""/>
                    <pic:cNvPicPr>
                      <a:picLocks noChangeAspect="1" noChangeArrowheads="1"/>
                    </pic:cNvPicPr>
                  </pic:nvPicPr>
                  <pic:blipFill>
                    <a:blip r:embed="rId2"/>
                    <a:stretch>
                      <a:fillRect/>
                    </a:stretch>
                  </pic:blipFill>
                  <pic:spPr bwMode="auto">
                    <a:xfrm>
                      <a:off x="0" y="0"/>
                      <a:ext cx="2045335" cy="714375"/>
                    </a:xfrm>
                    <a:prstGeom prst="rect">
                      <a:avLst/>
                    </a:prstGeom>
                  </pic:spPr>
                </pic:pic>
              </a:graphicData>
            </a:graphic>
          </wp:inline>
        </w:drawing>
      </w:r>
    </w:p>
    <w:p>
      <w:pPr>
        <w:pStyle w:val="Normal"/>
        <w:ind w:right="237" w:hanging="0"/>
        <w:rPr>
          <w:sz w:val="24"/>
          <w:szCs w:val="24"/>
        </w:rPr>
      </w:pPr>
      <w:r>
        <w:rPr>
          <w:sz w:val="24"/>
          <w:szCs w:val="24"/>
        </w:rPr>
      </w:r>
    </w:p>
    <w:p>
      <w:pPr>
        <w:pStyle w:val="Normal"/>
        <w:ind w:right="237" w:hanging="0"/>
        <w:rPr>
          <w:sz w:val="24"/>
          <w:szCs w:val="24"/>
        </w:rPr>
      </w:pPr>
      <w:r>
        <w:rPr>
          <w:sz w:val="24"/>
          <w:szCs w:val="24"/>
        </w:rPr>
      </w:r>
    </w:p>
    <w:p>
      <w:pPr>
        <w:pStyle w:val="Normal"/>
        <w:ind w:right="237" w:hanging="0"/>
        <w:rPr>
          <w:b/>
          <w:b/>
          <w:sz w:val="36"/>
          <w:szCs w:val="40"/>
        </w:rPr>
      </w:pPr>
      <w:r>
        <w:rPr>
          <w:b/>
          <w:sz w:val="36"/>
          <w:szCs w:val="40"/>
        </w:rPr>
        <w:t xml:space="preserve">Graduate Diploma Professional Police Practice </w:t>
      </w:r>
    </w:p>
    <w:p>
      <w:pPr>
        <w:pStyle w:val="Normal"/>
        <w:overflowPunct w:val="true"/>
        <w:ind w:right="237" w:hanging="0"/>
        <w:textAlignment w:val="auto"/>
        <w:rPr>
          <w:b/>
          <w:b/>
          <w:color w:val="auto"/>
          <w:sz w:val="44"/>
        </w:rPr>
      </w:pPr>
      <w:r>
        <w:rPr>
          <w:b/>
          <w:color w:val="auto"/>
          <w:sz w:val="44"/>
        </w:rPr>
      </w:r>
    </w:p>
    <w:p>
      <w:pPr>
        <w:pStyle w:val="Normal"/>
        <w:overflowPunct w:val="true"/>
        <w:ind w:right="237" w:hanging="0"/>
        <w:textAlignment w:val="auto"/>
        <w:rPr>
          <w:b/>
          <w:b/>
          <w:color w:val="auto"/>
          <w:sz w:val="44"/>
        </w:rPr>
      </w:pPr>
      <w:r>
        <w:rPr>
          <w:b/>
          <w:color w:val="auto"/>
          <w:sz w:val="44"/>
        </w:rPr>
        <w:t>LEVEL 6 - 40 Credits</w:t>
      </w:r>
    </w:p>
    <w:p>
      <w:pPr>
        <w:pStyle w:val="Normal"/>
        <w:overflowPunct w:val="true"/>
        <w:ind w:right="237" w:hanging="0"/>
        <w:textAlignment w:val="auto"/>
        <w:rPr>
          <w:b/>
          <w:b/>
          <w:color w:val="auto"/>
          <w:sz w:val="44"/>
        </w:rPr>
      </w:pPr>
      <w:r>
        <w:rPr>
          <w:b/>
          <w:color w:val="auto"/>
          <w:sz w:val="44"/>
        </w:rPr>
      </w:r>
    </w:p>
    <w:p>
      <w:pPr>
        <w:pStyle w:val="Normal"/>
        <w:overflowPunct w:val="true"/>
        <w:ind w:right="237" w:hanging="0"/>
        <w:textAlignment w:val="auto"/>
        <w:rPr>
          <w:b/>
          <w:b/>
          <w:color w:val="auto"/>
          <w:sz w:val="44"/>
        </w:rPr>
      </w:pPr>
      <w:r>
        <w:rPr>
          <w:b/>
          <w:color w:val="auto"/>
          <w:sz w:val="44"/>
        </w:rPr>
      </w:r>
    </w:p>
    <w:p>
      <w:pPr>
        <w:pStyle w:val="Normal"/>
        <w:overflowPunct w:val="true"/>
        <w:ind w:right="237" w:hanging="0"/>
        <w:textAlignment w:val="auto"/>
        <w:rPr>
          <w:b/>
          <w:b/>
          <w:color w:val="auto"/>
          <w:sz w:val="40"/>
        </w:rPr>
      </w:pPr>
      <w:r>
        <w:rPr>
          <w:b/>
          <w:color w:val="auto"/>
          <w:sz w:val="40"/>
        </w:rPr>
        <w:t>Workbook title: Competency Based Workbook 2 (DHEP)</w:t>
      </w:r>
    </w:p>
    <w:p>
      <w:pPr>
        <w:pStyle w:val="Normal"/>
        <w:overflowPunct w:val="true"/>
        <w:ind w:right="237" w:hanging="0"/>
        <w:textAlignment w:val="auto"/>
        <w:rPr>
          <w:b/>
          <w:b/>
          <w:color w:val="auto"/>
          <w:sz w:val="36"/>
        </w:rPr>
      </w:pPr>
      <w:r>
        <w:rPr>
          <w:b/>
          <w:color w:val="auto"/>
          <w:sz w:val="36"/>
        </w:rPr>
      </w:r>
    </w:p>
    <w:p>
      <w:pPr>
        <w:pStyle w:val="Normal"/>
        <w:overflowPunct w:val="true"/>
        <w:ind w:right="237" w:hanging="0"/>
        <w:textAlignment w:val="auto"/>
        <w:rPr>
          <w:b/>
          <w:b/>
          <w:color w:val="auto"/>
          <w:sz w:val="36"/>
        </w:rPr>
      </w:pPr>
      <w:r>
        <w:rPr>
          <w:b/>
          <w:color w:val="auto"/>
          <w:sz w:val="36"/>
        </w:rPr>
        <w:t>(SOUTH WALES POLICE, GWENT POLICE AND UWTSD)</w:t>
      </w:r>
    </w:p>
    <w:p>
      <w:pPr>
        <w:pStyle w:val="Normal"/>
        <w:overflowPunct w:val="true"/>
        <w:ind w:right="237" w:hanging="0"/>
        <w:textAlignment w:val="auto"/>
        <w:rPr>
          <w:b/>
          <w:b/>
          <w:color w:val="auto"/>
          <w:sz w:val="44"/>
        </w:rPr>
      </w:pPr>
      <w:r>
        <w:rPr>
          <w:b/>
          <w:color w:val="auto"/>
          <w:sz w:val="44"/>
        </w:rPr>
      </w:r>
    </w:p>
    <w:p>
      <w:pPr>
        <w:pStyle w:val="Normal"/>
        <w:overflowPunct w:val="true"/>
        <w:ind w:right="237" w:hanging="0"/>
        <w:textAlignment w:val="auto"/>
        <w:rPr>
          <w:b/>
          <w:b/>
          <w:color w:val="auto"/>
          <w:sz w:val="44"/>
        </w:rPr>
      </w:pPr>
      <w:r>
        <w:rPr>
          <w:b/>
          <w:color w:val="auto"/>
          <w:sz w:val="44"/>
        </w:rPr>
      </w:r>
    </w:p>
    <w:p>
      <w:pPr>
        <w:pStyle w:val="Normal"/>
        <w:overflowPunct w:val="true"/>
        <w:textAlignment w:val="auto"/>
        <w:rPr/>
      </w:pPr>
      <w:r>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c>
          <w:tcPr>
            <w:tcW w:w="9015" w:type="dxa"/>
            <w:tcBorders/>
            <w:shd w:fill="auto" w:val="clear"/>
          </w:tcPr>
          <w:p>
            <w:pPr>
              <w:pStyle w:val="Normal"/>
              <w:ind w:right="237" w:hanging="0"/>
              <w:rPr>
                <w:b/>
                <w:b/>
                <w:bCs/>
                <w:color w:val="auto"/>
                <w:sz w:val="32"/>
                <w:szCs w:val="32"/>
              </w:rPr>
            </w:pPr>
            <w:r>
              <w:rPr>
                <w:b/>
                <w:bCs/>
                <w:color w:val="auto"/>
                <w:sz w:val="32"/>
                <w:szCs w:val="32"/>
              </w:rPr>
              <w:t>Learner name: Jamie Skipper</w:t>
            </w:r>
          </w:p>
          <w:p>
            <w:pPr>
              <w:pStyle w:val="Normal"/>
              <w:ind w:right="237" w:hanging="0"/>
              <w:rPr>
                <w:b/>
                <w:b/>
                <w:bCs/>
                <w:color w:val="auto"/>
                <w:sz w:val="32"/>
                <w:szCs w:val="32"/>
              </w:rPr>
            </w:pPr>
            <w:r>
              <w:rPr>
                <w:b/>
                <w:bCs/>
                <w:color w:val="auto"/>
                <w:sz w:val="32"/>
                <w:szCs w:val="32"/>
              </w:rPr>
            </w:r>
          </w:p>
          <w:p>
            <w:pPr>
              <w:pStyle w:val="Normal"/>
              <w:ind w:right="237" w:hanging="0"/>
              <w:rPr>
                <w:b/>
                <w:b/>
                <w:bCs/>
                <w:color w:val="auto"/>
                <w:sz w:val="32"/>
                <w:szCs w:val="32"/>
              </w:rPr>
            </w:pPr>
            <w:r>
              <w:rPr>
                <w:b/>
                <w:bCs/>
                <w:color w:val="auto"/>
                <w:sz w:val="32"/>
                <w:szCs w:val="32"/>
              </w:rPr>
              <w:t>Learner’s University Registration Number:</w:t>
            </w:r>
          </w:p>
          <w:p>
            <w:pPr>
              <w:pStyle w:val="Normal"/>
              <w:ind w:right="237" w:hanging="0"/>
              <w:rPr>
                <w:b/>
                <w:b/>
                <w:bCs/>
                <w:color w:val="auto"/>
                <w:sz w:val="32"/>
                <w:szCs w:val="32"/>
              </w:rPr>
            </w:pPr>
            <w:r>
              <w:rPr>
                <w:b/>
                <w:bCs/>
                <w:color w:val="auto"/>
                <w:sz w:val="32"/>
                <w:szCs w:val="32"/>
              </w:rPr>
              <w:t>_______________________________</w:t>
            </w:r>
          </w:p>
          <w:p>
            <w:pPr>
              <w:pStyle w:val="Normal"/>
              <w:ind w:right="237" w:hanging="0"/>
              <w:rPr>
                <w:b/>
                <w:b/>
                <w:bCs/>
                <w:color w:val="auto"/>
                <w:sz w:val="32"/>
                <w:szCs w:val="32"/>
              </w:rPr>
            </w:pPr>
            <w:r>
              <w:rPr>
                <w:b/>
                <w:bCs/>
                <w:color w:val="auto"/>
                <w:sz w:val="32"/>
                <w:szCs w:val="32"/>
              </w:rPr>
            </w:r>
          </w:p>
          <w:p>
            <w:pPr>
              <w:pStyle w:val="Normal"/>
              <w:ind w:right="237" w:hanging="0"/>
              <w:rPr>
                <w:b/>
                <w:b/>
                <w:bCs/>
                <w:color w:val="auto"/>
                <w:sz w:val="32"/>
                <w:szCs w:val="32"/>
              </w:rPr>
            </w:pPr>
            <w:r>
              <w:rPr>
                <w:b/>
                <w:bCs/>
                <w:color w:val="auto"/>
                <w:sz w:val="32"/>
                <w:szCs w:val="32"/>
              </w:rPr>
            </w:r>
          </w:p>
          <w:p>
            <w:pPr>
              <w:pStyle w:val="Normal"/>
              <w:rPr>
                <w:b/>
                <w:b/>
                <w:bCs/>
                <w:color w:val="000000" w:themeColor="text1"/>
                <w:sz w:val="32"/>
                <w:szCs w:val="32"/>
              </w:rPr>
            </w:pPr>
            <w:r>
              <w:rPr>
                <w:b/>
                <w:bCs/>
                <w:color w:val="000000" w:themeColor="text1"/>
                <w:sz w:val="32"/>
                <w:szCs w:val="32"/>
              </w:rPr>
            </w:r>
          </w:p>
        </w:tc>
      </w:tr>
    </w:tbl>
    <w:p>
      <w:pPr>
        <w:pStyle w:val="Normal"/>
        <w:overflowPunct w:val="true"/>
        <w:ind w:right="237" w:hanging="0"/>
        <w:textAlignment w:val="auto"/>
        <w:rPr>
          <w:b/>
          <w:b/>
          <w:bCs/>
          <w:color w:val="auto"/>
          <w:sz w:val="32"/>
          <w:szCs w:val="32"/>
        </w:rPr>
      </w:pPr>
      <w:r>
        <w:rPr>
          <w:b/>
          <w:bCs/>
          <w:color w:val="auto"/>
          <w:sz w:val="32"/>
          <w:szCs w:val="32"/>
        </w:rPr>
      </w:r>
    </w:p>
    <w:p>
      <w:pPr>
        <w:pStyle w:val="Normal"/>
        <w:overflowPunct w:val="true"/>
        <w:ind w:right="237" w:hanging="0"/>
        <w:textAlignment w:val="auto"/>
        <w:rPr>
          <w:b/>
          <w:b/>
          <w:bCs/>
          <w:color w:val="000000" w:themeColor="text1"/>
          <w:sz w:val="36"/>
          <w:szCs w:val="36"/>
        </w:rPr>
      </w:pPr>
      <w:r>
        <w:rPr>
          <w:b/>
          <w:bCs/>
          <w:color w:val="000000" w:themeColor="text1"/>
          <w:sz w:val="36"/>
          <w:szCs w:val="36"/>
        </w:rPr>
      </w:r>
    </w:p>
    <w:p>
      <w:pPr>
        <w:pStyle w:val="Normal"/>
        <w:overflowPunct w:val="true"/>
        <w:ind w:right="237" w:hanging="0"/>
        <w:textAlignment w:val="auto"/>
        <w:rPr>
          <w:b/>
          <w:b/>
          <w:color w:val="auto"/>
          <w:sz w:val="36"/>
        </w:rPr>
      </w:pPr>
      <w:r>
        <w:rPr>
          <w:b/>
          <w:color w:val="auto"/>
          <w:sz w:val="36"/>
        </w:rPr>
      </w:r>
    </w:p>
    <w:p>
      <w:pPr>
        <w:pStyle w:val="Normal"/>
        <w:overflowPunct w:val="true"/>
        <w:ind w:right="237" w:hanging="0"/>
        <w:textAlignment w:val="auto"/>
        <w:rPr>
          <w:b/>
          <w:b/>
          <w:bCs/>
          <w:color w:val="auto"/>
          <w:sz w:val="40"/>
          <w:szCs w:val="40"/>
        </w:rPr>
      </w:pPr>
      <w:r>
        <w:rPr>
          <w:b/>
          <w:bCs/>
          <w:color w:val="auto"/>
          <w:sz w:val="40"/>
          <w:szCs w:val="40"/>
        </w:rPr>
        <w:t>FACULTY OF BUSINESS AND MANAGEMENT</w:t>
      </w:r>
    </w:p>
    <w:p>
      <w:pPr>
        <w:pStyle w:val="Normal"/>
        <w:overflowPunct w:val="true"/>
        <w:ind w:right="237" w:hanging="0"/>
        <w:textAlignment w:val="auto"/>
        <w:rPr>
          <w:b/>
          <w:b/>
          <w:color w:val="auto"/>
          <w:sz w:val="40"/>
          <w:szCs w:val="56"/>
        </w:rPr>
      </w:pPr>
      <w:r>
        <w:rPr>
          <w:b/>
          <w:color w:val="auto"/>
          <w:sz w:val="40"/>
          <w:szCs w:val="56"/>
        </w:rPr>
        <w:t>PUBLIC SERVICE PROGRAMME</w:t>
      </w:r>
    </w:p>
    <w:p>
      <w:pPr>
        <w:pStyle w:val="Normal"/>
        <w:overflowPunct w:val="true"/>
        <w:ind w:right="237" w:hanging="0"/>
        <w:textAlignment w:val="auto"/>
        <w:rPr>
          <w:b/>
          <w:b/>
          <w:i/>
          <w:i/>
          <w:color w:val="auto"/>
          <w:sz w:val="24"/>
        </w:rPr>
      </w:pPr>
      <w:r>
        <w:rPr>
          <w:b/>
          <w:i/>
          <w:color w:val="auto"/>
          <w:sz w:val="24"/>
        </w:rPr>
      </w:r>
    </w:p>
    <w:p>
      <w:pPr>
        <w:pStyle w:val="Normal"/>
        <w:overflowPunct w:val="true"/>
        <w:ind w:right="237" w:hanging="0"/>
        <w:textAlignment w:val="auto"/>
        <w:rPr>
          <w:b/>
          <w:b/>
          <w:bCs/>
          <w:i/>
          <w:i/>
          <w:iCs/>
          <w:color w:val="auto"/>
          <w:sz w:val="24"/>
          <w:szCs w:val="24"/>
        </w:rPr>
      </w:pPr>
      <w:r>
        <w:rPr>
          <w:b/>
          <w:bCs/>
          <w:i/>
          <w:iCs/>
          <w:color w:val="auto"/>
          <w:sz w:val="24"/>
          <w:szCs w:val="24"/>
        </w:rPr>
        <w:t xml:space="preserve">Module title: Policing in the Workplace 3 (DHEP) - BMPP6001D </w:t>
      </w:r>
    </w:p>
    <w:p>
      <w:pPr>
        <w:pStyle w:val="Normal"/>
        <w:overflowPunct w:val="true"/>
        <w:ind w:right="237" w:hanging="0"/>
        <w:textAlignment w:val="auto"/>
        <w:rPr>
          <w:b/>
          <w:b/>
          <w:color w:val="auto"/>
          <w:sz w:val="36"/>
          <w:szCs w:val="56"/>
        </w:rPr>
      </w:pPr>
      <w:r>
        <w:rPr>
          <w:b/>
          <w:color w:val="auto"/>
          <w:sz w:val="36"/>
          <w:szCs w:val="56"/>
        </w:rPr>
      </w:r>
      <w:r>
        <w:br w:type="page"/>
      </w:r>
    </w:p>
    <w:p>
      <w:pPr>
        <w:pStyle w:val="Normal"/>
        <w:ind w:right="237" w:hanging="0"/>
        <w:rPr>
          <w:b/>
          <w:b/>
          <w:sz w:val="24"/>
          <w:szCs w:val="24"/>
        </w:rPr>
      </w:pPr>
      <w:r>
        <w:rPr>
          <w:b/>
          <w:sz w:val="24"/>
          <w:szCs w:val="24"/>
        </w:rPr>
        <w:t>Workbook Guidance</w:t>
      </w:r>
    </w:p>
    <w:p>
      <w:pPr>
        <w:pStyle w:val="Normal"/>
        <w:ind w:right="237" w:hanging="0"/>
        <w:rPr>
          <w:sz w:val="24"/>
          <w:szCs w:val="24"/>
        </w:rPr>
      </w:pPr>
      <w:r>
        <w:rPr>
          <w:sz w:val="24"/>
          <w:szCs w:val="24"/>
        </w:rPr>
      </w:r>
    </w:p>
    <w:p>
      <w:pPr>
        <w:pStyle w:val="Normal"/>
        <w:ind w:right="237" w:hanging="0"/>
        <w:jc w:val="both"/>
        <w:rPr>
          <w:sz w:val="24"/>
          <w:szCs w:val="24"/>
        </w:rPr>
      </w:pPr>
      <w:r>
        <w:rPr>
          <w:sz w:val="24"/>
          <w:szCs w:val="24"/>
        </w:rPr>
        <w:t>Please read these notes carefully. They provide essential information. The documents you will use in developing your workbook are on the following pages.</w:t>
      </w:r>
    </w:p>
    <w:p>
      <w:pPr>
        <w:pStyle w:val="Normal"/>
        <w:ind w:right="237" w:hanging="0"/>
        <w:rPr>
          <w:sz w:val="24"/>
          <w:szCs w:val="24"/>
        </w:rPr>
      </w:pPr>
      <w:r>
        <w:rPr>
          <w:sz w:val="24"/>
          <w:szCs w:val="24"/>
        </w:rPr>
      </w:r>
    </w:p>
    <w:p>
      <w:pPr>
        <w:pStyle w:val="Normal"/>
        <w:ind w:right="237" w:hanging="0"/>
        <w:jc w:val="both"/>
        <w:rPr>
          <w:sz w:val="24"/>
          <w:szCs w:val="24"/>
        </w:rPr>
      </w:pPr>
      <w:r>
        <w:rPr>
          <w:b/>
          <w:sz w:val="24"/>
          <w:szCs w:val="24"/>
        </w:rPr>
        <w:t>What is the workbook for?</w:t>
      </w:r>
    </w:p>
    <w:p>
      <w:pPr>
        <w:pStyle w:val="Normal"/>
        <w:ind w:right="237" w:hanging="0"/>
        <w:jc w:val="both"/>
        <w:rPr>
          <w:b/>
          <w:b/>
          <w:sz w:val="24"/>
          <w:szCs w:val="24"/>
        </w:rPr>
      </w:pPr>
      <w:r>
        <w:rPr>
          <w:b/>
          <w:sz w:val="24"/>
          <w:szCs w:val="24"/>
        </w:rPr>
      </w:r>
    </w:p>
    <w:p>
      <w:pPr>
        <w:pStyle w:val="Normal"/>
        <w:ind w:right="237" w:hanging="0"/>
        <w:jc w:val="both"/>
        <w:rPr>
          <w:sz w:val="24"/>
          <w:szCs w:val="24"/>
        </w:rPr>
      </w:pPr>
      <w:r>
        <w:rPr>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pPr>
        <w:pStyle w:val="Normal"/>
        <w:ind w:right="237" w:hanging="0"/>
        <w:jc w:val="both"/>
        <w:rPr>
          <w:sz w:val="24"/>
          <w:szCs w:val="24"/>
        </w:rPr>
      </w:pPr>
      <w:r>
        <w:rPr>
          <w:sz w:val="24"/>
          <w:szCs w:val="24"/>
        </w:rPr>
      </w:r>
    </w:p>
    <w:p>
      <w:pPr>
        <w:pStyle w:val="ListParagraph"/>
        <w:numPr>
          <w:ilvl w:val="0"/>
          <w:numId w:val="6"/>
        </w:numPr>
        <w:ind w:left="720" w:right="237" w:hanging="360"/>
        <w:jc w:val="both"/>
        <w:rPr>
          <w:sz w:val="24"/>
          <w:szCs w:val="24"/>
        </w:rPr>
      </w:pPr>
      <w:r>
        <w:rPr>
          <w:sz w:val="24"/>
          <w:szCs w:val="24"/>
        </w:rPr>
        <w:t>Wellbeing and Resilience</w:t>
      </w:r>
    </w:p>
    <w:p>
      <w:pPr>
        <w:pStyle w:val="ListParagraph"/>
        <w:numPr>
          <w:ilvl w:val="0"/>
          <w:numId w:val="6"/>
        </w:numPr>
        <w:ind w:left="720" w:right="237" w:hanging="360"/>
        <w:jc w:val="both"/>
        <w:rPr>
          <w:sz w:val="24"/>
          <w:szCs w:val="24"/>
        </w:rPr>
      </w:pPr>
      <w:r>
        <w:rPr>
          <w:sz w:val="24"/>
          <w:szCs w:val="24"/>
        </w:rPr>
        <w:t>Criminal Justice</w:t>
      </w:r>
    </w:p>
    <w:p>
      <w:pPr>
        <w:pStyle w:val="ListParagraph"/>
        <w:numPr>
          <w:ilvl w:val="0"/>
          <w:numId w:val="6"/>
        </w:numPr>
        <w:ind w:left="720" w:right="237" w:hanging="360"/>
        <w:jc w:val="both"/>
        <w:rPr>
          <w:sz w:val="24"/>
          <w:szCs w:val="24"/>
        </w:rPr>
      </w:pPr>
      <w:r>
        <w:rPr>
          <w:sz w:val="24"/>
          <w:szCs w:val="24"/>
        </w:rPr>
        <w:t>Conducting Investigations</w:t>
      </w:r>
    </w:p>
    <w:p>
      <w:pPr>
        <w:pStyle w:val="ListParagraph"/>
        <w:numPr>
          <w:ilvl w:val="0"/>
          <w:numId w:val="6"/>
        </w:numPr>
        <w:ind w:left="720" w:right="237" w:hanging="360"/>
        <w:jc w:val="both"/>
        <w:rPr>
          <w:sz w:val="24"/>
          <w:szCs w:val="24"/>
        </w:rPr>
      </w:pPr>
      <w:r>
        <w:rPr>
          <w:sz w:val="24"/>
          <w:szCs w:val="24"/>
        </w:rPr>
        <w:t>Decision making and discretion</w:t>
      </w:r>
    </w:p>
    <w:p>
      <w:pPr>
        <w:pStyle w:val="ListParagraph"/>
        <w:numPr>
          <w:ilvl w:val="0"/>
          <w:numId w:val="6"/>
        </w:numPr>
        <w:ind w:left="720" w:right="237" w:hanging="360"/>
        <w:jc w:val="both"/>
        <w:rPr>
          <w:sz w:val="24"/>
          <w:szCs w:val="24"/>
        </w:rPr>
      </w:pPr>
      <w:r>
        <w:rPr>
          <w:sz w:val="24"/>
          <w:szCs w:val="24"/>
        </w:rPr>
        <w:t>Maintaining Professional Standards</w:t>
      </w:r>
    </w:p>
    <w:p>
      <w:pPr>
        <w:pStyle w:val="ListParagraph"/>
        <w:numPr>
          <w:ilvl w:val="0"/>
          <w:numId w:val="6"/>
        </w:numPr>
        <w:ind w:left="720" w:right="237" w:hanging="360"/>
        <w:jc w:val="both"/>
        <w:rPr>
          <w:sz w:val="24"/>
          <w:szCs w:val="24"/>
        </w:rPr>
      </w:pPr>
      <w:r>
        <w:rPr>
          <w:sz w:val="24"/>
          <w:szCs w:val="24"/>
        </w:rPr>
        <w:t>Leadership and Team working</w:t>
      </w:r>
    </w:p>
    <w:p>
      <w:pPr>
        <w:pStyle w:val="ListParagraph"/>
        <w:numPr>
          <w:ilvl w:val="0"/>
          <w:numId w:val="6"/>
        </w:numPr>
        <w:ind w:left="720" w:right="237" w:hanging="360"/>
        <w:jc w:val="both"/>
        <w:rPr>
          <w:sz w:val="24"/>
          <w:szCs w:val="24"/>
        </w:rPr>
      </w:pPr>
      <w:r>
        <w:rPr>
          <w:sz w:val="24"/>
          <w:szCs w:val="24"/>
        </w:rPr>
        <w:t>Policing the roads</w:t>
      </w:r>
    </w:p>
    <w:p>
      <w:pPr>
        <w:pStyle w:val="ListParagraph"/>
        <w:numPr>
          <w:ilvl w:val="0"/>
          <w:numId w:val="6"/>
        </w:numPr>
        <w:ind w:left="720" w:right="237" w:hanging="360"/>
        <w:jc w:val="both"/>
        <w:rPr>
          <w:sz w:val="24"/>
          <w:szCs w:val="24"/>
        </w:rPr>
      </w:pPr>
      <w:r>
        <w:rPr>
          <w:sz w:val="24"/>
          <w:szCs w:val="24"/>
        </w:rPr>
        <w:t>Information and Intelligence</w:t>
      </w:r>
    </w:p>
    <w:p>
      <w:pPr>
        <w:pStyle w:val="Normal"/>
        <w:ind w:right="237" w:hanging="0"/>
        <w:jc w:val="both"/>
        <w:rPr>
          <w:sz w:val="24"/>
          <w:szCs w:val="24"/>
        </w:rPr>
      </w:pPr>
      <w:r>
        <w:rPr>
          <w:sz w:val="24"/>
          <w:szCs w:val="24"/>
        </w:rPr>
      </w:r>
    </w:p>
    <w:p>
      <w:pPr>
        <w:pStyle w:val="Normal"/>
        <w:jc w:val="both"/>
        <w:rPr/>
      </w:pPr>
      <w:r>
        <w:rPr>
          <w:rFonts w:eastAsia="Arial"/>
          <w:color w:val="000000" w:themeColor="text1"/>
          <w:sz w:val="24"/>
          <w:szCs w:val="24"/>
        </w:rPr>
        <w:t xml:space="preserve">You may wish to use the same incidents as you have outlined in the Occupational Competence Portfolio. </w:t>
      </w:r>
    </w:p>
    <w:p>
      <w:pPr>
        <w:pStyle w:val="Normal"/>
        <w:jc w:val="both"/>
        <w:rPr/>
      </w:pPr>
      <w:r>
        <w:rPr>
          <w:rFonts w:eastAsia="Arial"/>
          <w:color w:val="000000" w:themeColor="text1"/>
          <w:sz w:val="24"/>
          <w:szCs w:val="24"/>
        </w:rPr>
        <w:t xml:space="preserve"> </w:t>
      </w:r>
    </w:p>
    <w:p>
      <w:pPr>
        <w:pStyle w:val="Normal"/>
        <w:jc w:val="both"/>
        <w:rPr/>
      </w:pPr>
      <w:r>
        <w:rPr>
          <w:rFonts w:eastAsia="Arial"/>
          <w:b/>
          <w:bCs/>
          <w:color w:val="000000" w:themeColor="text1"/>
          <w:sz w:val="24"/>
          <w:szCs w:val="24"/>
        </w:rPr>
        <w:t>How should the workbook be presented?</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Normal"/>
        <w:jc w:val="both"/>
        <w:rPr/>
      </w:pPr>
      <w:r>
        <w:rPr>
          <w:rFonts w:eastAsia="Arial"/>
          <w:color w:val="000000" w:themeColor="text1"/>
          <w:sz w:val="24"/>
          <w:szCs w:val="24"/>
        </w:rPr>
        <w:t xml:space="preserve"> </w:t>
      </w:r>
    </w:p>
    <w:p>
      <w:pPr>
        <w:pStyle w:val="Normal"/>
        <w:jc w:val="both"/>
        <w:rPr/>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pPr>
        <w:pStyle w:val="Normal"/>
        <w:jc w:val="both"/>
        <w:rPr/>
      </w:pPr>
      <w:r>
        <w:rPr>
          <w:rFonts w:eastAsia="Arial"/>
          <w:color w:val="000000" w:themeColor="text1"/>
          <w:sz w:val="24"/>
          <w:szCs w:val="24"/>
        </w:rPr>
        <w:t>(</w:t>
      </w:r>
      <w:hyperlink r:id="rId3">
        <w:r>
          <w:rPr>
            <w:rStyle w:val="Internet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pPr>
        <w:pStyle w:val="Normal"/>
        <w:jc w:val="both"/>
        <w:rPr/>
      </w:pPr>
      <w:hyperlink r:id="rId4">
        <w:r>
          <w:rPr>
            <w:rStyle w:val="InternetLink"/>
            <w:rFonts w:eastAsia="Arial"/>
            <w:sz w:val="24"/>
            <w:szCs w:val="24"/>
          </w:rPr>
          <w:t>https://moodle.uwtsd.ac.uk/pluginfile.php/298870/mod_resource/content/1/Reflective%20Practice%20for%20Policing%20Students%20-%20Selina%20Copley%20Chapter5.pdf</w:t>
        </w:r>
      </w:hyperlink>
    </w:p>
    <w:p>
      <w:pPr>
        <w:pStyle w:val="Normal"/>
        <w:jc w:val="both"/>
        <w:rPr/>
      </w:pPr>
      <w:r>
        <w:rPr>
          <w:rFonts w:eastAsia="Arial"/>
          <w:color w:val="000000" w:themeColor="text1"/>
          <w:sz w:val="24"/>
          <w:szCs w:val="24"/>
        </w:rPr>
        <w:t xml:space="preserve"> </w:t>
      </w:r>
    </w:p>
    <w:p>
      <w:pPr>
        <w:pStyle w:val="Normal"/>
        <w:jc w:val="both"/>
        <w:rPr/>
      </w:pPr>
      <w:r>
        <w:rPr>
          <w:rFonts w:eastAsia="Arial"/>
          <w:b/>
          <w:bCs/>
          <w:color w:val="000000" w:themeColor="text1"/>
          <w:sz w:val="24"/>
          <w:szCs w:val="24"/>
        </w:rPr>
        <w:t>How is the workbook assessed?</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Advice and support about the completion of this workbook is available to you. Please contact Kelly Andrews direct using </w:t>
      </w:r>
      <w:hyperlink r:id="rId5">
        <w:r>
          <w:rPr>
            <w:rStyle w:val="InternetLink"/>
            <w:rFonts w:eastAsia="Arial"/>
            <w:sz w:val="24"/>
            <w:szCs w:val="24"/>
          </w:rPr>
          <w:t>k.andrews@uwtsd.ac.uk</w:t>
        </w:r>
      </w:hyperlink>
      <w:r>
        <w:rPr>
          <w:rFonts w:eastAsia="Arial"/>
          <w:color w:val="000000" w:themeColor="text1"/>
          <w:sz w:val="24"/>
          <w:szCs w:val="24"/>
        </w:rPr>
        <w:t xml:space="preserve"> with any questions or queries you may have. </w:t>
      </w:r>
    </w:p>
    <w:p>
      <w:pPr>
        <w:pStyle w:val="Normal"/>
        <w:jc w:val="both"/>
        <w:rPr/>
      </w:pPr>
      <w:r>
        <w:rPr>
          <w:rFonts w:eastAsia="Arial"/>
          <w:color w:val="000000" w:themeColor="text1"/>
          <w:sz w:val="24"/>
          <w:szCs w:val="24"/>
        </w:rPr>
        <w:t xml:space="preserve"> </w:t>
      </w:r>
    </w:p>
    <w:p>
      <w:pPr>
        <w:pStyle w:val="Normal"/>
        <w:jc w:val="both"/>
        <w:rPr>
          <w:rFonts w:eastAsia="Arial"/>
          <w:color w:val="000000" w:themeColor="text1"/>
          <w:sz w:val="24"/>
          <w:szCs w:val="24"/>
        </w:rPr>
      </w:pPr>
      <w:r>
        <w:rPr>
          <w:rFonts w:eastAsia="Arial"/>
          <w:color w:val="000000" w:themeColor="text1"/>
          <w:sz w:val="24"/>
          <w:szCs w:val="24"/>
        </w:rPr>
        <w:t>Dates of workbook submission can be located within the General information tile within Moodle.</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Once submitted your workbook will be assessed and marked independently. You will be provided with individual feedback once the work has been marked. </w:t>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b/>
          <w:b/>
          <w:sz w:val="24"/>
          <w:szCs w:val="24"/>
        </w:rPr>
      </w:pPr>
      <w:r>
        <w:rPr>
          <w:b/>
          <w:sz w:val="24"/>
          <w:szCs w:val="24"/>
        </w:rPr>
      </w:r>
    </w:p>
    <w:p>
      <w:pPr>
        <w:pStyle w:val="Normal"/>
        <w:ind w:right="237" w:hanging="0"/>
        <w:jc w:val="both"/>
        <w:rPr>
          <w:b/>
          <w:b/>
          <w:sz w:val="24"/>
          <w:szCs w:val="24"/>
        </w:rPr>
      </w:pPr>
      <w:r>
        <w:rPr>
          <w:b/>
          <w:sz w:val="24"/>
          <w:szCs w:val="24"/>
        </w:rPr>
      </w:r>
    </w:p>
    <w:p>
      <w:pPr>
        <w:pStyle w:val="Normal"/>
        <w:overflowPunct w:val="true"/>
        <w:ind w:right="237" w:hanging="0"/>
        <w:textAlignment w:val="auto"/>
        <w:rPr>
          <w:b/>
          <w:b/>
          <w:sz w:val="24"/>
          <w:szCs w:val="24"/>
        </w:rPr>
      </w:pPr>
      <w:r>
        <w:rPr>
          <w:b/>
          <w:sz w:val="24"/>
          <w:szCs w:val="24"/>
        </w:rPr>
      </w:r>
      <w:r>
        <w:br w:type="page"/>
      </w:r>
    </w:p>
    <w:p>
      <w:pPr>
        <w:pStyle w:val="Normal"/>
        <w:ind w:right="237" w:hanging="0"/>
        <w:jc w:val="both"/>
        <w:rPr>
          <w:sz w:val="24"/>
          <w:szCs w:val="24"/>
        </w:rPr>
      </w:pPr>
      <w:r>
        <w:rPr>
          <w:b/>
          <w:sz w:val="24"/>
          <w:szCs w:val="24"/>
        </w:rPr>
        <w:t>Confidentiality</w:t>
      </w:r>
    </w:p>
    <w:p>
      <w:pPr>
        <w:pStyle w:val="Normal"/>
        <w:ind w:right="237" w:hanging="0"/>
        <w:jc w:val="both"/>
        <w:rPr>
          <w:b/>
          <w:b/>
          <w:sz w:val="24"/>
          <w:szCs w:val="24"/>
        </w:rPr>
      </w:pPr>
      <w:r>
        <w:rPr>
          <w:b/>
          <w:sz w:val="24"/>
          <w:szCs w:val="24"/>
        </w:rPr>
      </w:r>
    </w:p>
    <w:p>
      <w:pPr>
        <w:pStyle w:val="Normal"/>
        <w:ind w:right="237" w:hanging="0"/>
        <w:jc w:val="both"/>
        <w:rPr>
          <w:sz w:val="24"/>
          <w:szCs w:val="24"/>
        </w:rPr>
      </w:pPr>
      <w:r>
        <w:rPr>
          <w:sz w:val="24"/>
          <w:szCs w:val="24"/>
        </w:rPr>
        <w:t>It is important that no individual can be identified either directly or indirectly from the information in the workbook. However, you must:</w:t>
      </w:r>
    </w:p>
    <w:p>
      <w:pPr>
        <w:pStyle w:val="Normal"/>
        <w:ind w:right="237" w:hanging="0"/>
        <w:jc w:val="both"/>
        <w:rPr>
          <w:sz w:val="24"/>
          <w:szCs w:val="24"/>
        </w:rPr>
      </w:pPr>
      <w:r>
        <w:rPr>
          <w:sz w:val="24"/>
          <w:szCs w:val="24"/>
        </w:rPr>
      </w:r>
    </w:p>
    <w:p>
      <w:pPr>
        <w:pStyle w:val="Normal"/>
        <w:numPr>
          <w:ilvl w:val="0"/>
          <w:numId w:val="2"/>
        </w:numPr>
        <w:spacing w:lineRule="auto" w:line="259"/>
        <w:ind w:left="720" w:right="237" w:hanging="360"/>
        <w:jc w:val="both"/>
        <w:rPr>
          <w:color w:val="000000" w:themeColor="text1"/>
          <w:sz w:val="24"/>
          <w:szCs w:val="24"/>
        </w:rPr>
      </w:pPr>
      <w:r>
        <w:rPr>
          <w:sz w:val="24"/>
          <w:szCs w:val="24"/>
        </w:rPr>
        <w:t>adhere to guidance in the Candidate Handbook about confidentiality.</w:t>
      </w:r>
    </w:p>
    <w:p>
      <w:pPr>
        <w:pStyle w:val="Normal"/>
        <w:numPr>
          <w:ilvl w:val="0"/>
          <w:numId w:val="5"/>
        </w:numPr>
        <w:spacing w:lineRule="auto" w:line="259"/>
        <w:ind w:left="720" w:right="237" w:hanging="360"/>
        <w:jc w:val="both"/>
        <w:rPr>
          <w:color w:val="000000" w:themeColor="text1"/>
          <w:sz w:val="24"/>
          <w:szCs w:val="24"/>
        </w:rPr>
      </w:pPr>
      <w:r>
        <w:rPr>
          <w:sz w:val="24"/>
          <w:szCs w:val="24"/>
        </w:rPr>
        <w:t>not identify individuals including witnesses, victims, or offenders by name.</w:t>
      </w:r>
    </w:p>
    <w:p>
      <w:pPr>
        <w:pStyle w:val="Normal"/>
        <w:numPr>
          <w:ilvl w:val="0"/>
          <w:numId w:val="5"/>
        </w:numPr>
        <w:spacing w:lineRule="auto" w:line="259"/>
        <w:ind w:left="720" w:right="237" w:hanging="360"/>
        <w:jc w:val="both"/>
        <w:rPr>
          <w:color w:val="000000" w:themeColor="text1"/>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Normal"/>
        <w:numPr>
          <w:ilvl w:val="0"/>
          <w:numId w:val="4"/>
        </w:numPr>
        <w:spacing w:lineRule="auto" w:line="259"/>
        <w:ind w:left="720" w:right="237" w:hanging="360"/>
        <w:jc w:val="both"/>
        <w:rPr>
          <w:color w:val="000000" w:themeColor="text1"/>
          <w:sz w:val="24"/>
          <w:szCs w:val="24"/>
        </w:rPr>
      </w:pPr>
      <w:r>
        <w:rPr>
          <w:sz w:val="24"/>
          <w:szCs w:val="24"/>
        </w:rPr>
        <w:t xml:space="preserve">take personal responsibility for adhering to confidentiality rules. </w:t>
      </w:r>
    </w:p>
    <w:p>
      <w:pPr>
        <w:pStyle w:val="Normal"/>
        <w:numPr>
          <w:ilvl w:val="0"/>
          <w:numId w:val="4"/>
        </w:numPr>
        <w:spacing w:lineRule="auto" w:line="259"/>
        <w:ind w:left="720" w:right="237" w:hanging="360"/>
        <w:jc w:val="both"/>
        <w:rPr>
          <w:sz w:val="24"/>
          <w:szCs w:val="24"/>
        </w:rPr>
      </w:pPr>
      <w:r>
        <w:rPr>
          <w:sz w:val="24"/>
          <w:szCs w:val="24"/>
        </w:rPr>
        <w:t>not include any dates of any incidents or anything that specifically identifies an actual incident.</w:t>
      </w:r>
    </w:p>
    <w:p>
      <w:pPr>
        <w:pStyle w:val="Normal"/>
        <w:spacing w:lineRule="auto" w:line="259"/>
        <w:ind w:right="237" w:hanging="0"/>
        <w:jc w:val="both"/>
        <w:rPr>
          <w:sz w:val="24"/>
          <w:szCs w:val="24"/>
        </w:rPr>
      </w:pPr>
      <w:r>
        <w:rPr>
          <w:sz w:val="24"/>
          <w:szCs w:val="24"/>
        </w:rPr>
      </w:r>
    </w:p>
    <w:p>
      <w:pPr>
        <w:pStyle w:val="Normal"/>
        <w:spacing w:lineRule="auto" w:line="259"/>
        <w:ind w:right="237" w:hanging="0"/>
        <w:jc w:val="both"/>
        <w:rPr>
          <w:sz w:val="24"/>
          <w:szCs w:val="24"/>
        </w:rPr>
      </w:pPr>
      <w:r>
        <w:rPr>
          <w:sz w:val="24"/>
          <w:szCs w:val="24"/>
        </w:rPr>
      </w:r>
    </w:p>
    <w:p>
      <w:pPr>
        <w:pStyle w:val="Normal"/>
        <w:jc w:val="both"/>
        <w:rPr/>
      </w:pPr>
      <w:r>
        <w:rPr>
          <w:rFonts w:eastAsia="Calibri" w:cs="Calibri" w:ascii="Calibri" w:hAnsi="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eastAsia="Calibri" w:cs="Calibri" w:ascii="Calibri" w:hAnsi="Calibri"/>
          <w:color w:val="000000" w:themeColor="text1"/>
          <w:sz w:val="24"/>
          <w:szCs w:val="24"/>
        </w:rPr>
        <w:t xml:space="preserve"> </w:t>
      </w:r>
    </w:p>
    <w:p>
      <w:pPr>
        <w:pStyle w:val="Normal"/>
        <w:jc w:val="both"/>
        <w:rPr>
          <w:rFonts w:ascii="Calibri" w:hAnsi="Calibri" w:eastAsia="Calibri" w:cs="Calibri"/>
          <w:color w:val="000000" w:themeColor="text1"/>
          <w:sz w:val="24"/>
          <w:szCs w:val="24"/>
        </w:rPr>
      </w:pPr>
      <w:r>
        <w:rPr>
          <w:rFonts w:eastAsia="Calibri" w:cs="Calibri" w:ascii="Calibri" w:hAnsi="Calibri"/>
          <w:color w:val="000000" w:themeColor="text1"/>
          <w:sz w:val="24"/>
          <w:szCs w:val="24"/>
        </w:rPr>
      </w:r>
    </w:p>
    <w:p>
      <w:pPr>
        <w:pStyle w:val="Normal"/>
        <w:jc w:val="both"/>
        <w:rPr/>
      </w:pPr>
      <w:r>
        <w:rPr>
          <w:rFonts w:eastAsia="Calibri" w:cs="Calibri" w:ascii="Calibri" w:hAnsi="Calibri"/>
          <w:b/>
          <w:bCs/>
          <w:color w:val="000000" w:themeColor="text1"/>
          <w:sz w:val="24"/>
          <w:szCs w:val="24"/>
        </w:rPr>
        <w:t xml:space="preserve">Should any health and wellbeing concerns be raised because of disclosures made by the student within this workbook, the employer of the student will be informed. </w:t>
      </w:r>
      <w:r>
        <w:rPr>
          <w:rFonts w:eastAsia="Calibri" w:cs="Calibri" w:ascii="Calibri" w:hAnsi="Calibri"/>
          <w:color w:val="000000" w:themeColor="text1"/>
          <w:sz w:val="24"/>
          <w:szCs w:val="24"/>
        </w:rPr>
        <w:t xml:space="preserve"> </w:t>
      </w:r>
    </w:p>
    <w:p>
      <w:pPr>
        <w:pStyle w:val="Normal"/>
        <w:spacing w:lineRule="auto" w:line="259"/>
        <w:ind w:right="237" w:hanging="0"/>
        <w:jc w:val="both"/>
        <w:rPr>
          <w:sz w:val="24"/>
          <w:szCs w:val="24"/>
        </w:rPr>
      </w:pPr>
      <w:r>
        <w:rPr>
          <w:sz w:val="24"/>
          <w:szCs w:val="24"/>
        </w:rPr>
      </w:r>
    </w:p>
    <w:p>
      <w:pPr>
        <w:pStyle w:val="Normal"/>
        <w:ind w:right="237" w:hanging="0"/>
        <w:jc w:val="both"/>
        <w:rPr>
          <w:color w:val="auto"/>
          <w:sz w:val="24"/>
          <w:szCs w:val="24"/>
        </w:rPr>
      </w:pPr>
      <w:r>
        <w:rPr>
          <w:color w:val="auto"/>
          <w:sz w:val="24"/>
          <w:szCs w:val="24"/>
        </w:rPr>
      </w:r>
    </w:p>
    <w:p>
      <w:pPr>
        <w:pStyle w:val="Normal"/>
        <w:ind w:right="237" w:hanging="0"/>
        <w:jc w:val="both"/>
        <w:rPr>
          <w:b/>
          <w:b/>
          <w:color w:val="auto"/>
          <w:sz w:val="24"/>
          <w:szCs w:val="24"/>
        </w:rPr>
      </w:pPr>
      <w:r>
        <w:rPr>
          <w:b/>
          <w:color w:val="auto"/>
          <w:sz w:val="24"/>
          <w:szCs w:val="24"/>
        </w:rPr>
        <w:t>NOTE</w:t>
      </w:r>
    </w:p>
    <w:p>
      <w:pPr>
        <w:pStyle w:val="Normal"/>
        <w:ind w:right="237" w:hanging="0"/>
        <w:jc w:val="both"/>
        <w:rPr>
          <w:color w:val="auto"/>
          <w:sz w:val="24"/>
          <w:szCs w:val="24"/>
        </w:rPr>
      </w:pPr>
      <w:r>
        <w:rPr>
          <w:color w:val="auto"/>
          <w:sz w:val="24"/>
          <w:szCs w:val="24"/>
        </w:rPr>
      </w:r>
    </w:p>
    <w:p>
      <w:pPr>
        <w:pStyle w:val="Normal"/>
        <w:ind w:right="237" w:hanging="0"/>
        <w:jc w:val="both"/>
        <w:rPr>
          <w:color w:val="auto"/>
          <w:sz w:val="24"/>
          <w:szCs w:val="24"/>
        </w:rPr>
      </w:pPr>
      <w:r>
        <w:rPr>
          <w:color w:val="auto"/>
          <w:sz w:val="24"/>
          <w:szCs w:val="24"/>
        </w:rPr>
        <w:t xml:space="preserve">Your workbook will be submitted electronically via Turnitin on Moodle. Guidance on this is in the Candidate Handbook. </w:t>
      </w:r>
    </w:p>
    <w:p>
      <w:pPr>
        <w:pStyle w:val="Normal"/>
        <w:ind w:left="360" w:right="237" w:hanging="0"/>
        <w:jc w:val="both"/>
        <w:rPr>
          <w:b/>
          <w:b/>
          <w:color w:val="auto"/>
          <w:sz w:val="24"/>
          <w:szCs w:val="24"/>
        </w:rPr>
      </w:pPr>
      <w:r>
        <w:rPr>
          <w:b/>
          <w:color w:val="auto"/>
          <w:sz w:val="24"/>
          <w:szCs w:val="24"/>
        </w:rPr>
      </w:r>
    </w:p>
    <w:p>
      <w:pPr>
        <w:pStyle w:val="Normal"/>
        <w:ind w:right="237" w:hanging="0"/>
        <w:jc w:val="both"/>
        <w:rPr>
          <w:b/>
          <w:b/>
          <w:bCs/>
          <w:i/>
          <w:i/>
          <w:iCs/>
          <w:sz w:val="24"/>
          <w:szCs w:val="24"/>
        </w:rPr>
      </w:pPr>
      <w:r>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pPr>
        <w:pStyle w:val="Normal"/>
        <w:ind w:left="360" w:right="237" w:hanging="0"/>
        <w:jc w:val="both"/>
        <w:rPr>
          <w:b/>
          <w:b/>
          <w:bCs/>
          <w:sz w:val="24"/>
          <w:szCs w:val="24"/>
        </w:rPr>
      </w:pPr>
      <w:r>
        <w:rPr>
          <w:b/>
          <w:bCs/>
          <w:sz w:val="24"/>
          <w:szCs w:val="24"/>
        </w:rPr>
      </w:r>
    </w:p>
    <w:p>
      <w:pPr>
        <w:pStyle w:val="Normal"/>
        <w:ind w:right="237" w:hanging="0"/>
        <w:jc w:val="both"/>
        <w:rPr>
          <w:b/>
          <w:b/>
          <w:sz w:val="24"/>
          <w:szCs w:val="24"/>
        </w:rPr>
      </w:pPr>
      <w:r>
        <w:rPr>
          <w:b/>
          <w:sz w:val="24"/>
          <w:szCs w:val="24"/>
        </w:rPr>
      </w:r>
    </w:p>
    <w:p>
      <w:pPr>
        <w:pStyle w:val="Normal"/>
        <w:ind w:right="237" w:hanging="0"/>
        <w:jc w:val="both"/>
        <w:rPr>
          <w:b/>
          <w:b/>
          <w:sz w:val="24"/>
          <w:szCs w:val="24"/>
        </w:rPr>
      </w:pPr>
      <w:r>
        <w:rPr>
          <w:b/>
          <w:sz w:val="24"/>
          <w:szCs w:val="24"/>
        </w:rPr>
        <w:t>Dyslexia and other special circumstances</w:t>
      </w:r>
    </w:p>
    <w:p>
      <w:pPr>
        <w:pStyle w:val="Normal"/>
        <w:ind w:right="237" w:hanging="0"/>
        <w:jc w:val="both"/>
        <w:rPr>
          <w:b/>
          <w:b/>
          <w:sz w:val="24"/>
          <w:szCs w:val="24"/>
          <w:u w:val="single"/>
        </w:rPr>
      </w:pPr>
      <w:r>
        <w:rPr>
          <w:b/>
          <w:sz w:val="24"/>
          <w:szCs w:val="24"/>
          <w:u w:val="single"/>
        </w:rPr>
      </w:r>
    </w:p>
    <w:p>
      <w:pPr>
        <w:pStyle w:val="Normal"/>
        <w:ind w:right="237" w:hanging="0"/>
        <w:jc w:val="both"/>
        <w:rPr>
          <w:sz w:val="24"/>
          <w:szCs w:val="24"/>
        </w:rPr>
      </w:pPr>
      <w:r>
        <w:rPr>
          <w:sz w:val="24"/>
          <w:szCs w:val="24"/>
        </w:rPr>
        <w:t xml:space="preserve">If you have any condition that you feel may affect your ability to deal with any part of the programme, please see the </w:t>
      </w:r>
      <w:r>
        <w:rPr>
          <w:color w:val="auto"/>
          <w:sz w:val="24"/>
          <w:szCs w:val="24"/>
        </w:rPr>
        <w:t>Candidate Handbook for further guidance</w:t>
      </w:r>
      <w:r>
        <w:rPr>
          <w:sz w:val="24"/>
          <w:szCs w:val="24"/>
        </w:rPr>
        <w:t xml:space="preserve">. The University has a Student Services Unit that may be able to help but </w:t>
      </w:r>
      <w:r>
        <w:rPr>
          <w:b/>
          <w:i/>
          <w:sz w:val="24"/>
          <w:szCs w:val="24"/>
        </w:rPr>
        <w:t>it is the learner’s individual responsibility to contact them</w:t>
      </w:r>
      <w:r>
        <w:rPr>
          <w:sz w:val="24"/>
          <w:szCs w:val="24"/>
        </w:rPr>
        <w:t xml:space="preserve">. </w:t>
      </w:r>
    </w:p>
    <w:p>
      <w:pPr>
        <w:pStyle w:val="Normal"/>
        <w:ind w:right="237" w:hanging="0"/>
        <w:jc w:val="both"/>
        <w:rPr>
          <w:b/>
          <w:b/>
          <w:sz w:val="24"/>
          <w:szCs w:val="24"/>
        </w:rPr>
      </w:pPr>
      <w:r>
        <w:rPr>
          <w:b/>
          <w:sz w:val="24"/>
          <w:szCs w:val="24"/>
        </w:rPr>
      </w:r>
    </w:p>
    <w:p>
      <w:pPr>
        <w:pStyle w:val="Normal"/>
        <w:ind w:right="237" w:hanging="0"/>
        <w:jc w:val="both"/>
        <w:rPr>
          <w:b/>
          <w:b/>
          <w:sz w:val="24"/>
          <w:szCs w:val="24"/>
        </w:rPr>
      </w:pPr>
      <w:r>
        <w:rPr>
          <w:b/>
          <w:sz w:val="24"/>
          <w:szCs w:val="24"/>
        </w:rPr>
      </w:r>
    </w:p>
    <w:p>
      <w:pPr>
        <w:pStyle w:val="Normal"/>
        <w:ind w:right="237" w:hanging="0"/>
        <w:rPr>
          <w:b/>
          <w:b/>
          <w:sz w:val="24"/>
          <w:szCs w:val="24"/>
        </w:rPr>
      </w:pPr>
      <w:r>
        <w:rPr>
          <w:b/>
          <w:sz w:val="24"/>
          <w:szCs w:val="24"/>
        </w:rPr>
      </w:r>
      <w:r>
        <w:br w:type="page"/>
      </w:r>
    </w:p>
    <w:p>
      <w:pPr>
        <w:pStyle w:val="Normal"/>
        <w:ind w:right="237" w:hanging="0"/>
        <w:jc w:val="both"/>
        <w:rPr>
          <w:sz w:val="24"/>
          <w:szCs w:val="24"/>
          <w:u w:val="single"/>
        </w:rPr>
      </w:pPr>
      <w:r>
        <w:rPr>
          <w:sz w:val="24"/>
          <w:szCs w:val="24"/>
          <w:u w:val="single"/>
        </w:rPr>
      </w:r>
    </w:p>
    <w:p>
      <w:pPr>
        <w:pStyle w:val="Normal"/>
        <w:pBdr>
          <w:top w:val="single" w:sz="6" w:space="1" w:color="000000"/>
          <w:left w:val="single" w:sz="6" w:space="0" w:color="000000"/>
          <w:bottom w:val="single" w:sz="6" w:space="1" w:color="000000"/>
          <w:right w:val="single" w:sz="6" w:space="1" w:color="000000"/>
        </w:pBdr>
        <w:ind w:right="237" w:hanging="0"/>
        <w:jc w:val="both"/>
        <w:rPr>
          <w:b/>
          <w:b/>
          <w:sz w:val="24"/>
          <w:szCs w:val="24"/>
        </w:rPr>
      </w:pPr>
      <w:r>
        <w:rPr>
          <w:b/>
          <w:sz w:val="24"/>
          <w:szCs w:val="24"/>
        </w:rPr>
      </w:r>
    </w:p>
    <w:p>
      <w:pPr>
        <w:pStyle w:val="Normal"/>
        <w:pBdr>
          <w:top w:val="single" w:sz="6" w:space="1" w:color="000000"/>
          <w:left w:val="single" w:sz="6" w:space="0" w:color="000000"/>
          <w:bottom w:val="single" w:sz="6" w:space="1" w:color="000000"/>
          <w:right w:val="single" w:sz="6" w:space="1" w:color="000000"/>
        </w:pBdr>
        <w:ind w:right="237" w:hanging="0"/>
        <w:jc w:val="both"/>
        <w:rPr>
          <w:b/>
          <w:b/>
          <w:sz w:val="24"/>
          <w:szCs w:val="24"/>
        </w:rPr>
      </w:pPr>
      <w:r>
        <w:rPr>
          <w:b/>
          <w:sz w:val="24"/>
          <w:szCs w:val="24"/>
        </w:rPr>
        <w:t xml:space="preserve">Competency Based Workbook 2 - Learner Workbook </w:t>
      </w:r>
    </w:p>
    <w:p>
      <w:pPr>
        <w:pStyle w:val="Normal"/>
        <w:pBdr>
          <w:top w:val="single" w:sz="6" w:space="1" w:color="000000"/>
          <w:left w:val="single" w:sz="6" w:space="0" w:color="000000"/>
          <w:bottom w:val="single" w:sz="6" w:space="1" w:color="000000"/>
          <w:right w:val="single" w:sz="6" w:space="1" w:color="000000"/>
        </w:pBdr>
        <w:ind w:right="237" w:hanging="0"/>
        <w:jc w:val="both"/>
        <w:rPr>
          <w:b/>
          <w:b/>
          <w:sz w:val="24"/>
          <w:szCs w:val="24"/>
        </w:rPr>
      </w:pPr>
      <w:r>
        <w:rPr>
          <w:b/>
          <w:sz w:val="24"/>
          <w:szCs w:val="24"/>
        </w:rPr>
      </w:r>
    </w:p>
    <w:p>
      <w:pPr>
        <w:pStyle w:val="Normal"/>
        <w:ind w:right="237" w:hanging="0"/>
        <w:jc w:val="both"/>
        <w:rPr>
          <w:sz w:val="24"/>
          <w:szCs w:val="24"/>
        </w:rPr>
      </w:pPr>
      <w:r>
        <w:rPr>
          <w:sz w:val="24"/>
          <w:szCs w:val="24"/>
        </w:rPr>
      </w:r>
    </w:p>
    <w:p>
      <w:pPr>
        <w:pStyle w:val="Normal"/>
        <w:ind w:right="237" w:hanging="0"/>
        <w:jc w:val="both"/>
        <w:rPr>
          <w:i/>
          <w:i/>
          <w:sz w:val="24"/>
          <w:szCs w:val="24"/>
        </w:rPr>
      </w:pPr>
      <w:r>
        <w:rPr>
          <w:i/>
          <w:sz w:val="24"/>
          <w:szCs w:val="24"/>
        </w:rPr>
        <w:t xml:space="preserve">Guidance: </w:t>
      </w:r>
    </w:p>
    <w:p>
      <w:pPr>
        <w:pStyle w:val="Normal"/>
        <w:ind w:right="237" w:hanging="0"/>
        <w:jc w:val="both"/>
        <w:rPr>
          <w:i/>
          <w:i/>
          <w:sz w:val="24"/>
          <w:szCs w:val="24"/>
        </w:rPr>
      </w:pPr>
      <w:r>
        <w:rPr>
          <w:i/>
          <w:sz w:val="24"/>
          <w:szCs w:val="24"/>
        </w:rPr>
      </w:r>
    </w:p>
    <w:p>
      <w:pPr>
        <w:pStyle w:val="Normal"/>
        <w:numPr>
          <w:ilvl w:val="0"/>
          <w:numId w:val="3"/>
        </w:numPr>
        <w:ind w:left="720" w:right="237" w:hanging="360"/>
        <w:jc w:val="both"/>
        <w:rPr>
          <w:i/>
          <w:i/>
          <w:iCs/>
          <w:sz w:val="24"/>
          <w:szCs w:val="24"/>
        </w:rPr>
      </w:pPr>
      <w:r>
        <w:rPr>
          <w:i/>
          <w:iCs/>
          <w:sz w:val="24"/>
          <w:szCs w:val="24"/>
        </w:rPr>
        <w:t xml:space="preserve">Your workbook must contain items 1 - </w:t>
      </w:r>
      <w:r>
        <w:rPr>
          <w:i/>
          <w:iCs/>
          <w:color w:val="auto"/>
          <w:sz w:val="24"/>
          <w:szCs w:val="24"/>
        </w:rPr>
        <w:t>5</w:t>
      </w:r>
      <w:r>
        <w:rPr>
          <w:i/>
          <w:iCs/>
          <w:sz w:val="24"/>
          <w:szCs w:val="24"/>
        </w:rPr>
        <w:t xml:space="preserve"> below (in the order given).</w:t>
      </w:r>
    </w:p>
    <w:p>
      <w:pPr>
        <w:pStyle w:val="Normal"/>
        <w:numPr>
          <w:ilvl w:val="0"/>
          <w:numId w:val="3"/>
        </w:numPr>
        <w:ind w:left="720" w:right="237" w:hanging="360"/>
        <w:jc w:val="both"/>
        <w:rPr>
          <w:i/>
          <w:i/>
          <w:iCs/>
          <w:sz w:val="24"/>
          <w:szCs w:val="24"/>
        </w:rPr>
      </w:pPr>
      <w:r>
        <w:rPr>
          <w:i/>
          <w:iCs/>
          <w:sz w:val="24"/>
          <w:szCs w:val="24"/>
        </w:rPr>
        <w:t xml:space="preserve">You should use the pro-forma to insert your text within each section. </w:t>
      </w:r>
    </w:p>
    <w:p>
      <w:pPr>
        <w:pStyle w:val="Normal"/>
        <w:numPr>
          <w:ilvl w:val="0"/>
          <w:numId w:val="3"/>
        </w:numPr>
        <w:ind w:left="720" w:right="237" w:hanging="360"/>
        <w:jc w:val="both"/>
        <w:rPr>
          <w:i/>
          <w:i/>
          <w:iCs/>
          <w:sz w:val="24"/>
          <w:szCs w:val="24"/>
        </w:rPr>
      </w:pPr>
      <w:r>
        <w:rPr>
          <w:i/>
          <w:iCs/>
          <w:sz w:val="24"/>
          <w:szCs w:val="24"/>
        </w:rPr>
        <w:t>Note that this module has 2 components with each weighted at 50% of the overall 100% marks total.</w:t>
      </w:r>
    </w:p>
    <w:p>
      <w:pPr>
        <w:pStyle w:val="Normal"/>
        <w:numPr>
          <w:ilvl w:val="0"/>
          <w:numId w:val="3"/>
        </w:numPr>
        <w:ind w:left="720" w:right="237" w:hanging="360"/>
        <w:jc w:val="both"/>
        <w:rPr>
          <w:i/>
          <w:i/>
          <w:iCs/>
          <w:sz w:val="24"/>
          <w:szCs w:val="24"/>
        </w:rPr>
      </w:pPr>
      <w:r>
        <w:rPr>
          <w:i/>
          <w:iCs/>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pPr>
        <w:pStyle w:val="Normal"/>
        <w:ind w:right="237" w:hanging="0"/>
        <w:jc w:val="both"/>
        <w:rPr>
          <w:b/>
          <w:b/>
          <w:bCs/>
          <w:sz w:val="24"/>
          <w:szCs w:val="24"/>
        </w:rPr>
      </w:pPr>
      <w:r>
        <w:rPr>
          <w:b/>
          <w:bCs/>
          <w:sz w:val="24"/>
          <w:szCs w:val="24"/>
        </w:rPr>
      </w:r>
    </w:p>
    <w:p>
      <w:pPr>
        <w:pStyle w:val="Normal"/>
        <w:ind w:right="237" w:hanging="0"/>
        <w:jc w:val="both"/>
        <w:rPr>
          <w:b/>
          <w:b/>
          <w:bCs/>
          <w:sz w:val="24"/>
          <w:szCs w:val="24"/>
        </w:rPr>
      </w:pPr>
      <w:r>
        <w:rPr>
          <w:b/>
          <w:bCs/>
          <w:sz w:val="24"/>
          <w:szCs w:val="24"/>
        </w:rPr>
        <w:t xml:space="preserve">Contents </w:t>
      </w:r>
    </w:p>
    <w:p>
      <w:pPr>
        <w:pStyle w:val="Normal"/>
        <w:ind w:right="237" w:hanging="0"/>
        <w:jc w:val="both"/>
        <w:rPr>
          <w:b/>
          <w:b/>
          <w:bCs/>
          <w:sz w:val="24"/>
          <w:szCs w:val="24"/>
        </w:rPr>
      </w:pPr>
      <w:r>
        <w:rPr>
          <w:b/>
          <w:bCs/>
          <w:sz w:val="24"/>
          <w:szCs w:val="24"/>
        </w:rPr>
      </w:r>
    </w:p>
    <w:tbl>
      <w:tblPr>
        <w:tblW w:w="8897" w:type="dxa"/>
        <w:jc w:val="left"/>
        <w:tblInd w:w="-113" w:type="dxa"/>
        <w:tblCellMar>
          <w:top w:w="0" w:type="dxa"/>
          <w:left w:w="108" w:type="dxa"/>
          <w:bottom w:w="0" w:type="dxa"/>
          <w:right w:w="108" w:type="dxa"/>
        </w:tblCellMar>
        <w:tblLook w:val="04a0"/>
      </w:tblPr>
      <w:tblGrid>
        <w:gridCol w:w="2145"/>
        <w:gridCol w:w="4513"/>
        <w:gridCol w:w="2239"/>
      </w:tblGrid>
      <w:tr>
        <w:trPr/>
        <w:tc>
          <w:tcPr>
            <w:tcW w:w="214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ind w:right="237" w:hanging="0"/>
              <w:jc w:val="both"/>
              <w:rPr>
                <w:b/>
                <w:b/>
                <w:bCs/>
                <w:color w:val="auto"/>
                <w:sz w:val="24"/>
                <w:szCs w:val="24"/>
              </w:rPr>
            </w:pPr>
            <w:r>
              <w:rPr>
                <w:b/>
                <w:bCs/>
                <w:color w:val="auto"/>
                <w:sz w:val="24"/>
                <w:szCs w:val="24"/>
              </w:rPr>
              <w:t>Component 1</w:t>
            </w:r>
          </w:p>
          <w:p>
            <w:pPr>
              <w:pStyle w:val="Normal"/>
              <w:ind w:right="237" w:hanging="0"/>
              <w:jc w:val="both"/>
              <w:rPr>
                <w:b/>
                <w:b/>
                <w:bCs/>
                <w:color w:val="auto"/>
                <w:sz w:val="24"/>
                <w:szCs w:val="24"/>
              </w:rPr>
            </w:pPr>
            <w:r>
              <w:rPr>
                <w:b/>
                <w:bCs/>
                <w:color w:val="auto"/>
                <w:sz w:val="24"/>
                <w:szCs w:val="24"/>
              </w:rPr>
              <w:t>50%</w:t>
            </w:r>
          </w:p>
        </w:tc>
        <w:tc>
          <w:tcPr>
            <w:tcW w:w="451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ind w:right="237" w:hanging="0"/>
              <w:jc w:val="both"/>
              <w:rPr>
                <w:b/>
                <w:b/>
                <w:bCs/>
                <w:color w:val="auto"/>
                <w:sz w:val="24"/>
                <w:szCs w:val="24"/>
              </w:rPr>
            </w:pPr>
            <w:r>
              <w:rPr>
                <w:b/>
                <w:bCs/>
                <w:color w:val="auto"/>
                <w:sz w:val="24"/>
                <w:szCs w:val="24"/>
              </w:rPr>
              <w:t xml:space="preserve">Area of Professional Practice </w:t>
            </w:r>
          </w:p>
          <w:p>
            <w:pPr>
              <w:pStyle w:val="Normal"/>
              <w:ind w:right="237" w:hanging="0"/>
              <w:jc w:val="both"/>
              <w:rPr>
                <w:b/>
                <w:b/>
                <w:bCs/>
                <w:color w:val="auto"/>
                <w:sz w:val="24"/>
                <w:szCs w:val="24"/>
              </w:rPr>
            </w:pPr>
            <w:r>
              <w:rPr>
                <w:b/>
                <w:bCs/>
                <w:color w:val="auto"/>
                <w:sz w:val="24"/>
                <w:szCs w:val="24"/>
              </w:rPr>
            </w:r>
          </w:p>
        </w:tc>
        <w:tc>
          <w:tcPr>
            <w:tcW w:w="223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ind w:right="237" w:hanging="0"/>
              <w:jc w:val="both"/>
              <w:rPr>
                <w:b/>
                <w:b/>
                <w:bCs/>
                <w:color w:val="auto"/>
                <w:sz w:val="24"/>
                <w:szCs w:val="24"/>
              </w:rPr>
            </w:pPr>
            <w:r>
              <w:rPr>
                <w:b/>
                <w:bCs/>
                <w:color w:val="auto"/>
                <w:sz w:val="24"/>
                <w:szCs w:val="24"/>
              </w:rPr>
              <w:t>Word count</w:t>
            </w:r>
          </w:p>
        </w:tc>
      </w:tr>
      <w:tr>
        <w:trPr/>
        <w:tc>
          <w:tcPr>
            <w:tcW w:w="2145"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auto"/>
                <w:sz w:val="24"/>
                <w:szCs w:val="24"/>
              </w:rPr>
            </w:pPr>
            <w:r>
              <w:rPr>
                <w:color w:val="auto"/>
                <w:sz w:val="24"/>
                <w:szCs w:val="24"/>
              </w:rPr>
              <w:t>Task 1</w:t>
            </w:r>
          </w:p>
        </w:tc>
        <w:tc>
          <w:tcPr>
            <w:tcW w:w="4513"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rFonts w:eastAsia="Arial"/>
                <w:color w:val="000000" w:themeColor="text1"/>
                <w:sz w:val="24"/>
                <w:szCs w:val="24"/>
              </w:rPr>
            </w:pPr>
            <w:r>
              <w:rPr>
                <w:rFonts w:eastAsia="Arial"/>
                <w:b/>
                <w:bCs/>
                <w:color w:val="000000" w:themeColor="text1"/>
                <w:sz w:val="24"/>
                <w:szCs w:val="24"/>
              </w:rPr>
              <w:t>Vulnerability and Risk</w:t>
            </w:r>
          </w:p>
          <w:p>
            <w:pPr>
              <w:pStyle w:val="Normal"/>
              <w:ind w:right="237" w:hanging="0"/>
              <w:jc w:val="both"/>
              <w:rPr>
                <w:b/>
                <w:b/>
                <w:bCs/>
                <w:color w:val="000000" w:themeColor="text1"/>
                <w:sz w:val="24"/>
                <w:szCs w:val="24"/>
              </w:rPr>
            </w:pPr>
            <w:r>
              <w:rPr>
                <w:rFonts w:eastAsia="Arial"/>
                <w:b/>
                <w:bCs/>
                <w:color w:val="000000" w:themeColor="text1"/>
                <w:sz w:val="24"/>
                <w:szCs w:val="24"/>
              </w:rPr>
              <w:t>Evidence-based policing</w:t>
            </w:r>
          </w:p>
          <w:p>
            <w:pPr>
              <w:pStyle w:val="Normal"/>
              <w:ind w:right="237" w:hanging="0"/>
              <w:jc w:val="both"/>
              <w:rPr>
                <w:b/>
                <w:b/>
                <w:bCs/>
                <w:color w:val="auto"/>
                <w:sz w:val="24"/>
                <w:szCs w:val="24"/>
              </w:rPr>
            </w:pPr>
            <w:r>
              <w:rPr>
                <w:b/>
                <w:bCs/>
                <w:color w:val="auto"/>
                <w:sz w:val="24"/>
                <w:szCs w:val="24"/>
              </w:rPr>
            </w:r>
          </w:p>
        </w:tc>
        <w:tc>
          <w:tcPr>
            <w:tcW w:w="2239" w:type="dxa"/>
            <w:tcBorders>
              <w:top w:val="single" w:sz="4" w:space="0" w:color="000000"/>
              <w:left w:val="single" w:sz="4" w:space="0" w:color="000000"/>
              <w:bottom w:val="single" w:sz="4" w:space="0" w:color="000000"/>
              <w:right w:val="single" w:sz="4" w:space="0" w:color="000000"/>
            </w:tcBorders>
            <w:shd w:fill="auto" w:val="clear"/>
          </w:tcPr>
          <w:p>
            <w:pPr>
              <w:pStyle w:val="Normal"/>
              <w:ind w:right="237" w:hanging="0"/>
              <w:jc w:val="both"/>
              <w:rPr>
                <w:b/>
                <w:b/>
                <w:bCs/>
                <w:sz w:val="24"/>
                <w:szCs w:val="24"/>
              </w:rPr>
            </w:pPr>
            <w:r>
              <w:rPr>
                <w:b/>
                <w:bCs/>
                <w:sz w:val="24"/>
                <w:szCs w:val="24"/>
              </w:rPr>
              <w:t>2000</w:t>
            </w:r>
          </w:p>
        </w:tc>
      </w:tr>
      <w:tr>
        <w:trPr/>
        <w:tc>
          <w:tcPr>
            <w:tcW w:w="214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jc w:val="both"/>
              <w:rPr>
                <w:rFonts w:eastAsia="Arial"/>
                <w:b/>
                <w:b/>
                <w:bCs/>
                <w:sz w:val="24"/>
                <w:szCs w:val="24"/>
              </w:rPr>
            </w:pPr>
            <w:r>
              <w:rPr>
                <w:rFonts w:eastAsia="Arial"/>
                <w:b/>
                <w:bCs/>
                <w:sz w:val="24"/>
                <w:szCs w:val="24"/>
              </w:rPr>
              <w:t>Task 2</w:t>
            </w:r>
          </w:p>
        </w:tc>
        <w:tc>
          <w:tcPr>
            <w:tcW w:w="451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rPr>
                <w:rFonts w:eastAsia="Arial"/>
                <w:color w:val="000000" w:themeColor="text1"/>
                <w:sz w:val="24"/>
                <w:szCs w:val="24"/>
              </w:rPr>
            </w:pPr>
            <w:r>
              <w:rPr>
                <w:rFonts w:eastAsia="Arial"/>
                <w:b/>
                <w:bCs/>
                <w:color w:val="000000" w:themeColor="text1"/>
                <w:sz w:val="24"/>
                <w:szCs w:val="24"/>
              </w:rPr>
              <w:t xml:space="preserve">CHOOSE ONLY 1 OF THESE     'ADVANCED LEARNING AREA’ OPTIONS. IT SHOULD BE ONE THAT HAS BEEN AGREED WITH THE FORCE TO STUDY IN YEAR 2. </w:t>
            </w:r>
          </w:p>
          <w:p>
            <w:pPr>
              <w:pStyle w:val="Normal"/>
              <w:jc w:val="both"/>
              <w:rPr>
                <w:b/>
                <w:b/>
                <w:bCs/>
                <w:color w:val="000000" w:themeColor="text1"/>
                <w:sz w:val="24"/>
                <w:szCs w:val="24"/>
              </w:rPr>
            </w:pPr>
            <w:r>
              <w:rPr>
                <w:b/>
                <w:bCs/>
                <w:color w:val="000000" w:themeColor="text1"/>
                <w:sz w:val="24"/>
                <w:szCs w:val="24"/>
              </w:rPr>
            </w:r>
          </w:p>
        </w:tc>
        <w:tc>
          <w:tcPr>
            <w:tcW w:w="223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jc w:val="both"/>
              <w:rPr>
                <w:b/>
                <w:b/>
                <w:bCs/>
                <w:sz w:val="24"/>
                <w:szCs w:val="24"/>
              </w:rPr>
            </w:pPr>
            <w:r>
              <w:rPr>
                <w:b/>
                <w:bCs/>
                <w:sz w:val="24"/>
                <w:szCs w:val="24"/>
              </w:rPr>
              <w:t>All options are 2000 words</w:t>
            </w:r>
          </w:p>
        </w:tc>
      </w:tr>
      <w:tr>
        <w:trPr/>
        <w:tc>
          <w:tcPr>
            <w:tcW w:w="2145"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auto"/>
                <w:sz w:val="24"/>
                <w:szCs w:val="24"/>
              </w:rPr>
            </w:pPr>
            <w:r>
              <w:rPr>
                <w:color w:val="auto"/>
                <w:sz w:val="24"/>
                <w:szCs w:val="24"/>
              </w:rPr>
              <w:t>Task 2</w:t>
            </w:r>
          </w:p>
          <w:p>
            <w:pPr>
              <w:pStyle w:val="Normal"/>
              <w:ind w:right="237" w:hanging="0"/>
              <w:jc w:val="both"/>
              <w:rPr>
                <w:color w:val="auto"/>
                <w:sz w:val="24"/>
                <w:szCs w:val="24"/>
              </w:rPr>
            </w:pPr>
            <w:r>
              <w:rPr>
                <w:color w:val="auto"/>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Option 1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2</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3</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4</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5</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auto"/>
                <w:sz w:val="24"/>
                <w:szCs w:val="24"/>
              </w:rPr>
            </w:pPr>
            <w:r>
              <w:rPr>
                <w:color w:val="auto"/>
                <w:sz w:val="24"/>
                <w:szCs w:val="24"/>
              </w:rPr>
            </w:r>
          </w:p>
        </w:tc>
        <w:tc>
          <w:tcPr>
            <w:tcW w:w="4513"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b/>
                <w:b/>
                <w:bCs/>
                <w:sz w:val="24"/>
                <w:szCs w:val="24"/>
              </w:rPr>
            </w:pPr>
            <w:r>
              <w:rPr>
                <w:b/>
                <w:bCs/>
                <w:sz w:val="24"/>
                <w:szCs w:val="24"/>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Response Policing</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Policing Communities</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 xml:space="preserve">Road Policing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Information and Intelligence</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Conducting Investigations</w:t>
            </w:r>
          </w:p>
          <w:p>
            <w:pPr>
              <w:pStyle w:val="Normal"/>
              <w:ind w:right="237" w:hanging="0"/>
              <w:jc w:val="both"/>
              <w:rPr>
                <w:b/>
                <w:b/>
                <w:bCs/>
                <w:color w:val="000000" w:themeColor="text1"/>
                <w:sz w:val="24"/>
                <w:szCs w:val="24"/>
              </w:rPr>
            </w:pPr>
            <w:r>
              <w:rPr>
                <w:b/>
                <w:bCs/>
                <w:color w:val="000000" w:themeColor="text1"/>
                <w:sz w:val="24"/>
                <w:szCs w:val="24"/>
              </w:rPr>
            </w:r>
          </w:p>
        </w:tc>
        <w:tc>
          <w:tcPr>
            <w:tcW w:w="2239"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59"/>
              <w:ind w:right="237" w:hanging="0"/>
              <w:jc w:val="both"/>
              <w:rPr>
                <w:b/>
                <w:b/>
                <w:bCs/>
                <w:sz w:val="24"/>
                <w:szCs w:val="24"/>
              </w:rPr>
            </w:pPr>
            <w:r>
              <w:rPr>
                <w:b/>
                <w:bCs/>
                <w:sz w:val="24"/>
                <w:szCs w:val="24"/>
              </w:rPr>
              <w:t>2000</w:t>
            </w:r>
          </w:p>
          <w:p>
            <w:pPr>
              <w:pStyle w:val="Normal"/>
              <w:spacing w:lineRule="auto" w:line="259"/>
              <w:ind w:right="237" w:hanging="0"/>
              <w:jc w:val="both"/>
              <w:rPr>
                <w:b/>
                <w:b/>
                <w:bCs/>
                <w:sz w:val="24"/>
                <w:szCs w:val="24"/>
              </w:rPr>
            </w:pPr>
            <w:r>
              <w:rPr>
                <w:b/>
                <w:bCs/>
                <w:sz w:val="24"/>
                <w:szCs w:val="24"/>
              </w:rPr>
            </w:r>
          </w:p>
          <w:p>
            <w:pPr>
              <w:pStyle w:val="Normal"/>
              <w:spacing w:lineRule="auto" w:line="259"/>
              <w:ind w:right="237" w:hanging="0"/>
              <w:jc w:val="both"/>
              <w:rPr>
                <w:b/>
                <w:b/>
                <w:bCs/>
                <w:sz w:val="24"/>
                <w:szCs w:val="24"/>
              </w:rPr>
            </w:pPr>
            <w:r>
              <w:rPr>
                <w:b/>
                <w:bCs/>
                <w:sz w:val="24"/>
                <w:szCs w:val="24"/>
              </w:rPr>
            </w:r>
          </w:p>
          <w:p>
            <w:pPr>
              <w:pStyle w:val="Normal"/>
              <w:spacing w:lineRule="auto" w:line="259"/>
              <w:ind w:right="237" w:hanging="0"/>
              <w:jc w:val="both"/>
              <w:rPr>
                <w:b/>
                <w:b/>
                <w:bCs/>
                <w:sz w:val="24"/>
                <w:szCs w:val="24"/>
              </w:rPr>
            </w:pPr>
            <w:r>
              <w:rPr>
                <w:b/>
                <w:bCs/>
                <w:sz w:val="24"/>
                <w:szCs w:val="24"/>
              </w:rPr>
            </w:r>
          </w:p>
        </w:tc>
      </w:tr>
      <w:tr>
        <w:trPr>
          <w:trHeight w:val="81" w:hRule="atLeast"/>
        </w:trPr>
        <w:tc>
          <w:tcPr>
            <w:tcW w:w="2145"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auto"/>
                <w:sz w:val="24"/>
                <w:szCs w:val="24"/>
              </w:rPr>
            </w:pPr>
            <w:r>
              <w:rPr>
                <w:color w:val="auto"/>
                <w:sz w:val="24"/>
                <w:szCs w:val="24"/>
              </w:rPr>
            </w:r>
          </w:p>
        </w:tc>
        <w:tc>
          <w:tcPr>
            <w:tcW w:w="4513"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lineRule="auto" w:line="360"/>
              <w:ind w:right="237" w:hanging="0"/>
              <w:jc w:val="both"/>
              <w:rPr>
                <w:b/>
                <w:b/>
                <w:bCs/>
                <w:color w:val="auto"/>
                <w:sz w:val="24"/>
                <w:szCs w:val="24"/>
              </w:rPr>
            </w:pPr>
            <w:r>
              <w:rPr>
                <w:b/>
                <w:bCs/>
                <w:color w:val="auto"/>
                <w:sz w:val="24"/>
                <w:szCs w:val="24"/>
              </w:rPr>
              <w:t>Bibliography</w:t>
            </w:r>
          </w:p>
        </w:tc>
        <w:tc>
          <w:tcPr>
            <w:tcW w:w="2239"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ind w:right="237" w:hanging="0"/>
              <w:jc w:val="both"/>
              <w:rPr>
                <w:b/>
                <w:b/>
                <w:bCs/>
                <w:color w:val="auto"/>
                <w:sz w:val="24"/>
                <w:szCs w:val="24"/>
              </w:rPr>
            </w:pPr>
            <w:r>
              <w:rPr>
                <w:b/>
                <w:bCs/>
                <w:color w:val="auto"/>
                <w:sz w:val="24"/>
                <w:szCs w:val="24"/>
              </w:rPr>
            </w:r>
          </w:p>
        </w:tc>
      </w:tr>
    </w:tbl>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r>
    </w:p>
    <w:p>
      <w:pPr>
        <w:pStyle w:val="Normal"/>
        <w:ind w:right="237" w:hanging="0"/>
        <w:rPr/>
      </w:pPr>
      <w:r>
        <w:rPr/>
      </w:r>
      <w:r>
        <w:br w:type="page"/>
      </w:r>
    </w:p>
    <w:p>
      <w:pPr>
        <w:pStyle w:val="Normal"/>
        <w:ind w:right="237" w:hanging="0"/>
        <w:jc w:val="both"/>
        <w:rPr>
          <w:sz w:val="24"/>
          <w:szCs w:val="24"/>
        </w:rPr>
      </w:pPr>
      <w:r>
        <w:rPr>
          <w:sz w:val="24"/>
          <w:szCs w:val="24"/>
        </w:rPr>
      </w:r>
    </w:p>
    <w:p>
      <w:pPr>
        <w:pStyle w:val="Normal"/>
        <w:ind w:right="237" w:hanging="0"/>
        <w:jc w:val="center"/>
        <w:rPr>
          <w:rFonts w:eastAsia="Arial"/>
          <w:color w:val="000000" w:themeColor="text1"/>
          <w:sz w:val="24"/>
          <w:szCs w:val="24"/>
        </w:rPr>
      </w:pPr>
      <w:r>
        <w:rPr>
          <w:rFonts w:eastAsia="Arial"/>
          <w:b/>
          <w:bCs/>
          <w:color w:val="000000" w:themeColor="text1"/>
          <w:sz w:val="24"/>
          <w:szCs w:val="24"/>
        </w:rPr>
        <w:t>Task 1</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 xml:space="preserve">Relevant areas of the National Policing Curriculum: </w:t>
      </w:r>
    </w:p>
    <w:p>
      <w:pPr>
        <w:pStyle w:val="Normal"/>
        <w:ind w:right="237" w:hanging="0"/>
        <w:jc w:val="both"/>
        <w:rPr>
          <w:rFonts w:eastAsia="Arial"/>
          <w:color w:val="000000" w:themeColor="text1"/>
          <w:sz w:val="24"/>
          <w:szCs w:val="24"/>
        </w:rPr>
      </w:pPr>
      <w:r>
        <w:rPr>
          <w:rFonts w:eastAsia="Arial"/>
          <w:b/>
          <w:bCs/>
          <w:color w:val="000000" w:themeColor="text1"/>
          <w:sz w:val="24"/>
          <w:szCs w:val="24"/>
        </w:rPr>
        <w:t>Vulnerability and Risk, Evidence-based policing</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You must choose </w:t>
      </w:r>
      <w:r>
        <w:rPr>
          <w:rFonts w:eastAsia="Arial"/>
          <w:b/>
          <w:bCs/>
          <w:color w:val="000000" w:themeColor="text1"/>
          <w:sz w:val="24"/>
          <w:szCs w:val="24"/>
          <w:u w:val="single"/>
        </w:rPr>
        <w:t>a policing incident</w:t>
      </w:r>
      <w:r>
        <w:rPr>
          <w:rFonts w:eastAsia="Arial"/>
          <w:b/>
          <w:bCs/>
          <w:color w:val="000000" w:themeColor="text1"/>
          <w:sz w:val="24"/>
          <w:szCs w:val="24"/>
        </w:rPr>
        <w:t xml:space="preserve"> </w:t>
      </w:r>
      <w:r>
        <w:rPr>
          <w:rFonts w:eastAsia="Arial"/>
          <w:color w:val="000000" w:themeColor="text1"/>
          <w:sz w:val="24"/>
          <w:szCs w:val="24"/>
        </w:rPr>
        <w:t xml:space="preserve">in which you played a significant role with a victim of crime or anti-social behaviour and reflect on what happened. </w:t>
      </w:r>
    </w:p>
    <w:p>
      <w:pPr>
        <w:pStyle w:val="Normal"/>
        <w:ind w:right="237" w:hanging="0"/>
        <w:jc w:val="both"/>
        <w:rPr>
          <w:b/>
          <w:b/>
          <w:bCs/>
          <w:sz w:val="24"/>
          <w:szCs w:val="24"/>
        </w:rPr>
      </w:pPr>
      <w:r>
        <w:rPr>
          <w:b/>
          <w:bCs/>
          <w:sz w:val="24"/>
          <w:szCs w:val="24"/>
        </w:rPr>
      </w:r>
    </w:p>
    <w:tbl>
      <w:tblPr>
        <w:tblW w:w="9016" w:type="dxa"/>
        <w:jc w:val="left"/>
        <w:tblInd w:w="0" w:type="dxa"/>
        <w:tblCellMar>
          <w:top w:w="0" w:type="dxa"/>
          <w:left w:w="108" w:type="dxa"/>
          <w:bottom w:w="0" w:type="dxa"/>
          <w:right w:w="108" w:type="dxa"/>
        </w:tblCellMar>
        <w:tblLook w:val="01e0"/>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rPr>
                <w:sz w:val="24"/>
                <w:szCs w:val="24"/>
              </w:rPr>
            </w:pPr>
            <w:r>
              <w:rPr>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Give a brief description</w:t>
            </w:r>
            <w:r>
              <w:rPr>
                <w:rFonts w:eastAsia="Arial"/>
                <w:color w:val="000000" w:themeColor="text1"/>
                <w:sz w:val="24"/>
                <w:szCs w:val="24"/>
              </w:rPr>
              <w:t xml:space="preserve"> of the incident including social and legislative contexts and any relevant cultural, ethnicity and language issues. </w:t>
            </w:r>
          </w:p>
          <w:p>
            <w:pPr>
              <w:pStyle w:val="Normal"/>
              <w:rPr>
                <w:rFonts w:eastAsia="Arial"/>
                <w:color w:val="000000" w:themeColor="text1"/>
                <w:sz w:val="24"/>
                <w:szCs w:val="24"/>
              </w:rPr>
            </w:pPr>
            <w:r>
              <w:rPr>
                <w:rFonts w:eastAsia="Arial"/>
                <w:color w:val="000000" w:themeColor="text1"/>
                <w:sz w:val="24"/>
                <w:szCs w:val="24"/>
              </w:rPr>
            </w:r>
          </w:p>
          <w:p>
            <w:pPr>
              <w:pStyle w:val="Normal"/>
              <w:rPr>
                <w:rFonts w:eastAsia="Arial"/>
                <w:color w:val="000000" w:themeColor="text1"/>
                <w:sz w:val="24"/>
                <w:szCs w:val="24"/>
              </w:rPr>
            </w:pPr>
            <w:r>
              <w:rPr>
                <w:rFonts w:eastAsia="Arial"/>
                <w:b/>
                <w:bCs/>
                <w:color w:val="000000" w:themeColor="text1"/>
                <w:sz w:val="24"/>
                <w:szCs w:val="24"/>
                <w:lang w:val="en-US"/>
              </w:rPr>
              <w:t xml:space="preserve">Critically evaluate </w:t>
            </w:r>
            <w:r>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pPr>
              <w:pStyle w:val="Normal"/>
              <w:rPr>
                <w:rFonts w:eastAsia="Arial"/>
                <w:color w:val="000000" w:themeColor="text1"/>
                <w:sz w:val="24"/>
                <w:szCs w:val="24"/>
              </w:rPr>
            </w:pPr>
            <w:r>
              <w:rPr>
                <w:rFonts w:eastAsia="Arial"/>
                <w:color w:val="000000" w:themeColor="text1"/>
                <w:sz w:val="24"/>
                <w:szCs w:val="24"/>
              </w:rPr>
            </w:r>
          </w:p>
          <w:p>
            <w:pPr>
              <w:pStyle w:val="Normal"/>
              <w:rPr>
                <w:rFonts w:eastAsia="Arial"/>
                <w:color w:val="000000" w:themeColor="text1"/>
                <w:sz w:val="24"/>
                <w:szCs w:val="24"/>
              </w:rPr>
            </w:pPr>
            <w:r>
              <w:rPr>
                <w:rFonts w:eastAsia="Arial"/>
                <w:b/>
                <w:bCs/>
                <w:color w:val="000000" w:themeColor="text1"/>
                <w:sz w:val="24"/>
                <w:szCs w:val="24"/>
                <w:lang w:val="en-US"/>
              </w:rPr>
              <w:t>Explore</w:t>
            </w:r>
            <w:r>
              <w:rPr>
                <w:rFonts w:eastAsia="Arial"/>
                <w:b/>
                <w:bCs/>
                <w:color w:val="000000" w:themeColor="text1"/>
                <w:sz w:val="24"/>
                <w:szCs w:val="24"/>
              </w:rPr>
              <w:t xml:space="preserve"> </w:t>
            </w:r>
            <w:r>
              <w:rPr>
                <w:rFonts w:eastAsia="Arial"/>
                <w:color w:val="000000" w:themeColor="text1"/>
                <w:sz w:val="24"/>
                <w:szCs w:val="24"/>
              </w:rPr>
              <w:t xml:space="preserve">what works in relation to tackling repeat victimisation and repeat offending. Consider the use of evidence-based policing.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2000 words </w:t>
            </w:r>
            <w:r>
              <w:rPr>
                <w:rFonts w:eastAsia="Arial"/>
                <w:i/>
                <w:iCs/>
                <w:color w:val="000000" w:themeColor="text1"/>
                <w:sz w:val="24"/>
                <w:szCs w:val="24"/>
              </w:rPr>
              <w:t>(+/- 10%: include your actual word count at the end of each section)</w:t>
            </w:r>
          </w:p>
          <w:p>
            <w:pPr>
              <w:pStyle w:val="Normal"/>
              <w:ind w:right="237" w:hanging="0"/>
              <w:jc w:val="both"/>
              <w:rPr>
                <w:sz w:val="24"/>
                <w:szCs w:val="24"/>
              </w:rPr>
            </w:pPr>
            <w:r>
              <w:rPr>
                <w:sz w:val="24"/>
                <w:szCs w:val="24"/>
              </w:rPr>
            </w:r>
          </w:p>
        </w:tc>
      </w:tr>
    </w:tbl>
    <w:p>
      <w:pPr>
        <w:pStyle w:val="Normal"/>
        <w:ind w:right="237" w:hanging="0"/>
        <w:jc w:val="both"/>
        <w:rPr>
          <w:sz w:val="24"/>
          <w:szCs w:val="24"/>
        </w:rPr>
      </w:pPr>
      <w:r>
        <w:rPr>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ANSWER:</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pPr>
      <w:r>
        <w:rPr>
          <w:rFonts w:eastAsia="Arial"/>
          <w:color w:val="000000" w:themeColor="text1"/>
          <w:sz w:val="24"/>
          <w:szCs w:val="24"/>
        </w:rPr>
        <w:t xml:space="preserve">Throughout this task, I will be using Borton's model of reflection </w:t>
      </w:r>
      <w:r>
        <w:rPr>
          <w:rFonts w:eastAsia="Arial"/>
          <w:color w:val="000000" w:themeColor="text1"/>
          <w:sz w:val="24"/>
          <w:szCs w:val="24"/>
        </w:rPr>
        <w:t>(Borton 1970)</w:t>
      </w:r>
      <w:r>
        <w:rPr>
          <w:rFonts w:eastAsia="Arial"/>
          <w:color w:val="000000" w:themeColor="text1"/>
          <w:sz w:val="24"/>
          <w:szCs w:val="24"/>
        </w:rPr>
        <w:t xml:space="preserve"> to break down the incident and analyse what went well, what could have been better and what the outcome of this incident was.</w:t>
      </w:r>
    </w:p>
    <w:p>
      <w:pPr>
        <w:pStyle w:val="Normal"/>
        <w:ind w:right="237" w:hanging="0"/>
        <w:rPr>
          <w:b/>
          <w:b/>
          <w:bCs/>
          <w:sz w:val="24"/>
          <w:szCs w:val="24"/>
        </w:rPr>
      </w:pPr>
      <w:r>
        <w:rPr>
          <w:b/>
          <w:bCs/>
          <w:sz w:val="24"/>
          <w:szCs w:val="24"/>
        </w:rPr>
      </w:r>
    </w:p>
    <w:p>
      <w:pPr>
        <w:pStyle w:val="Normal"/>
        <w:ind w:right="237" w:hanging="0"/>
        <w:rPr>
          <w:sz w:val="24"/>
          <w:szCs w:val="24"/>
          <w:u w:val="single"/>
        </w:rPr>
      </w:pPr>
      <w:r>
        <w:rPr>
          <w:b/>
          <w:bCs/>
          <w:sz w:val="24"/>
          <w:szCs w:val="24"/>
        </w:rPr>
        <w:t>What?</w:t>
      </w:r>
    </w:p>
    <w:p>
      <w:pPr>
        <w:pStyle w:val="Normal"/>
        <w:ind w:right="237" w:hanging="0"/>
        <w:rPr>
          <w:sz w:val="24"/>
          <w:szCs w:val="24"/>
          <w:u w:val="single"/>
        </w:rPr>
      </w:pPr>
      <w:r>
        <w:rPr>
          <w:sz w:val="24"/>
          <w:szCs w:val="24"/>
          <w:u w:val="single"/>
        </w:rPr>
      </w:r>
    </w:p>
    <w:p>
      <w:pPr>
        <w:pStyle w:val="Normal"/>
        <w:ind w:right="237" w:hanging="0"/>
        <w:rPr>
          <w:sz w:val="24"/>
          <w:szCs w:val="24"/>
        </w:rPr>
      </w:pPr>
      <w:r>
        <w:rPr>
          <w:sz w:val="24"/>
          <w:szCs w:val="24"/>
        </w:rPr>
        <w:t>The incident being reported initially was that a drunk female sat in the middle of the road and was then removed by the owner of a local pub. The call then changed stating that she had now picked up a small shard of glass and was attempting to self-harm, the caller then also raised potential domestic abuse happening within the victim’s home life from what they have seen and what she has spoken about with her over the past few months. The caller stated that the victim was vulnerable and also deaf and could not read, or write English too well and only knew sign.</w:t>
      </w:r>
    </w:p>
    <w:p>
      <w:pPr>
        <w:pStyle w:val="Normal"/>
        <w:ind w:right="237" w:hanging="0"/>
        <w:rPr>
          <w:sz w:val="24"/>
          <w:szCs w:val="24"/>
        </w:rPr>
      </w:pPr>
      <w:r>
        <w:rPr>
          <w:sz w:val="24"/>
          <w:szCs w:val="24"/>
        </w:rPr>
      </w:r>
    </w:p>
    <w:p>
      <w:pPr>
        <w:pStyle w:val="Normal"/>
        <w:ind w:right="237" w:hanging="0"/>
        <w:rPr>
          <w:sz w:val="24"/>
          <w:szCs w:val="24"/>
        </w:rPr>
      </w:pPr>
      <w:r>
        <w:rPr>
          <w:sz w:val="24"/>
          <w:szCs w:val="24"/>
        </w:rPr>
        <w:t>On officers’ attendance, the victim of this incident ran from police as they only associated the police with people being in trouble rather than being able to help which took a long time to explain via the 999-sign language team that the victim phoned to facilitate communication. After some time and speaking with other members of the public at the pub that the victim was in, she was happy to come to the police station to talk to us as her partner did not want her home as she was intoxicated and he stated he was fed up of her always being drunk and waking him up late before he goes to work.</w:t>
      </w:r>
    </w:p>
    <w:p>
      <w:pPr>
        <w:pStyle w:val="Normal"/>
        <w:ind w:right="237" w:hanging="0"/>
        <w:rPr>
          <w:sz w:val="24"/>
          <w:szCs w:val="24"/>
        </w:rPr>
      </w:pPr>
      <w:r>
        <w:rPr>
          <w:sz w:val="24"/>
          <w:szCs w:val="24"/>
        </w:rPr>
      </w:r>
    </w:p>
    <w:p>
      <w:pPr>
        <w:pStyle w:val="Normal"/>
        <w:ind w:right="237" w:hanging="0"/>
        <w:rPr>
          <w:sz w:val="24"/>
          <w:szCs w:val="24"/>
        </w:rPr>
      </w:pPr>
      <w:r>
        <w:rPr>
          <w:sz w:val="24"/>
          <w:szCs w:val="24"/>
        </w:rPr>
        <w:t>Whilst at the police station attempts were made to contact a British sign language negotiator and there were none available at this time, due to this we continued to use 999/101 interpreters to facilitate communication between us and enter the evidence gathering stage regarding both her mental health and the potential for domestic incidents occurring within the home. Whilst using these services no disclosures were made however the behaviour shown by the victim was out of the ordinary and she had only caused very superficial scratches to her arm but kept referring to them along with every time her watch went off she would point to it when it made a noise and groan no matter what the notification was. The Interpreter also stated the conversation was going around in circles and the victim was not taking in what me or the interpreter was saying.</w:t>
      </w:r>
    </w:p>
    <w:p>
      <w:pPr>
        <w:pStyle w:val="Normal"/>
        <w:ind w:right="237" w:hanging="0"/>
        <w:rPr>
          <w:sz w:val="24"/>
          <w:szCs w:val="24"/>
        </w:rPr>
      </w:pPr>
      <w:r>
        <w:rPr>
          <w:sz w:val="24"/>
          <w:szCs w:val="24"/>
        </w:rPr>
      </w:r>
    </w:p>
    <w:p>
      <w:pPr>
        <w:pStyle w:val="Normal"/>
        <w:ind w:right="237" w:hanging="0"/>
        <w:rPr>
          <w:sz w:val="24"/>
          <w:szCs w:val="24"/>
        </w:rPr>
      </w:pPr>
      <w:r>
        <w:rPr>
          <w:sz w:val="24"/>
          <w:szCs w:val="24"/>
        </w:rPr>
        <w:t>I was unsure due to this being an extremely rare incident to assess intoxication or vulnerabilities from what I was presented with at this time. The behaviour shown could have been due to either and the interpreter refused to give any opinion from the conversation they had. Due to this after approximately 1 hour of speaking with officers, she stated that she wanted to attend the hospital and was taken there by officers as the superficial cuts she had done were giving her palpitations despite us stating they were not life-threatening she wanted to be seen to at the hospital and was feeling faint due to the stress and alcohol.</w:t>
      </w:r>
    </w:p>
    <w:p>
      <w:pPr>
        <w:pStyle w:val="Normal"/>
        <w:ind w:right="237" w:hanging="0"/>
        <w:rPr>
          <w:sz w:val="24"/>
          <w:szCs w:val="24"/>
        </w:rPr>
      </w:pPr>
      <w:r>
        <w:rPr>
          <w:sz w:val="24"/>
          <w:szCs w:val="24"/>
        </w:rPr>
      </w:r>
    </w:p>
    <w:p>
      <w:pPr>
        <w:pStyle w:val="Normal"/>
        <w:ind w:right="237" w:hanging="0"/>
        <w:rPr>
          <w:sz w:val="24"/>
          <w:szCs w:val="24"/>
        </w:rPr>
      </w:pPr>
      <w:r>
        <w:rPr>
          <w:b/>
          <w:bCs/>
          <w:sz w:val="24"/>
          <w:szCs w:val="24"/>
          <w:u w:val="single"/>
        </w:rPr>
        <w:t>So What?</w:t>
      </w:r>
    </w:p>
    <w:p>
      <w:pPr>
        <w:pStyle w:val="Normal"/>
        <w:ind w:right="237" w:hanging="0"/>
        <w:rPr>
          <w:sz w:val="24"/>
          <w:szCs w:val="24"/>
        </w:rPr>
      </w:pPr>
      <w:r>
        <w:rPr>
          <w:sz w:val="24"/>
          <w:szCs w:val="24"/>
        </w:rPr>
      </w:r>
    </w:p>
    <w:p>
      <w:pPr>
        <w:pStyle w:val="Normal"/>
        <w:ind w:right="237" w:hanging="0"/>
        <w:rPr/>
      </w:pPr>
      <w:r>
        <w:rPr>
          <w:sz w:val="24"/>
          <w:szCs w:val="24"/>
        </w:rPr>
        <w:t>The interpreters here provided a vital service and thanks to acts like the British Sign Language Act of 2022 (legislation,2022)</w:t>
      </w:r>
      <w:r>
        <w:rPr/>
        <w:t xml:space="preserve">, </w:t>
      </w:r>
      <w:r>
        <w:rPr>
          <w:sz w:val="24"/>
          <w:szCs w:val="24"/>
        </w:rPr>
        <w:t>it is protected and a requirement to officer this language to service users. In this case, the victim was unable to read or write English and only knew British sign language. Without the aid of an interpreter, I would have no hope in assessing the risk in the relationship or if any offences had been committed as we could only write a few words that were understood by the victim and at best a basic understanding could have been made but no details. It was difficult to judge someone’s intoxication since we knew she had been in the pub all day due to not being able to hear speech especially when there were other vulnerabilities present, Our only previous calls since are from the same victim of this call regarding her Wi-Fi not working correctly and other household issues that are not a matter for police apart from appropriate safeguarding and referrals to help support potential adults at risk by putting them in touch with third party agencies such as social services who can offer more everyday support (College of policing, 2020)</w:t>
      </w:r>
      <w:r>
        <w:rPr/>
        <w:t xml:space="preserve">. </w:t>
      </w:r>
      <w:r>
        <w:rPr>
          <w:sz w:val="24"/>
          <w:szCs w:val="24"/>
        </w:rPr>
        <w:t xml:space="preserve">Not all referrals are actioned however if there are any concerns or extra support officers believe the reporting person is lacking or struggling with daily activities or their </w:t>
      </w:r>
      <w:r>
        <w:rPr>
          <w:sz w:val="24"/>
          <w:szCs w:val="24"/>
        </w:rPr>
        <w:t>m</w:t>
      </w:r>
      <w:r>
        <w:rPr>
          <w:sz w:val="24"/>
          <w:szCs w:val="24"/>
        </w:rPr>
        <w:t>ental health/drug/alcohol use we can submit referrals where social services and partner agencies can reach out and offer support. This can also be seen by the caller’s doctors and shared with them if their needs could be addressed by their GP.</w:t>
      </w:r>
    </w:p>
    <w:p>
      <w:pPr>
        <w:pStyle w:val="Normal"/>
        <w:ind w:right="237" w:hanging="0"/>
        <w:rPr>
          <w:sz w:val="24"/>
          <w:szCs w:val="24"/>
        </w:rPr>
      </w:pPr>
      <w:r>
        <w:rPr>
          <w:sz w:val="24"/>
          <w:szCs w:val="24"/>
        </w:rPr>
      </w:r>
    </w:p>
    <w:p>
      <w:pPr>
        <w:pStyle w:val="Normal"/>
        <w:ind w:right="237" w:hanging="0"/>
        <w:rPr>
          <w:sz w:val="24"/>
          <w:szCs w:val="24"/>
        </w:rPr>
      </w:pPr>
      <w:r>
        <w:rPr>
          <w:sz w:val="24"/>
          <w:szCs w:val="24"/>
        </w:rPr>
        <w:t>Members of staff at the pub had said they felt like she was vulnerable and that there were some domestic abuse elements regarding the relationship but they could not say how they knew this just that they thought there was and could provide no further information to police regarding any concerns for the relationship. The staff had also been drinking at the pub so they were being quite erratic and not helping the situation when the victim was already incredibly nervous around police and in an emotional state. Once back at the police station, we got a lot more from the victim of this log and her vulnerabilities became more apparent once things were able to be discussed more clearly with a British sign language interpreter away from the hectic environment where the incident took place. The victim then disclosed that her partner also had additional needs and there were frustrations between them sometimes in communicating and they would both shout at each other due to the difficulties in expressing themselves and over everyday issues due to their daily struggles doing routine tasks and the extra stresses and pressures this put into the relationship.</w:t>
      </w:r>
    </w:p>
    <w:p>
      <w:pPr>
        <w:pStyle w:val="Normal"/>
        <w:ind w:right="237" w:hanging="0"/>
        <w:rPr>
          <w:sz w:val="24"/>
          <w:szCs w:val="24"/>
        </w:rPr>
      </w:pPr>
      <w:r>
        <w:rPr>
          <w:sz w:val="24"/>
          <w:szCs w:val="24"/>
        </w:rPr>
      </w:r>
    </w:p>
    <w:p>
      <w:pPr>
        <w:pStyle w:val="Normal"/>
        <w:ind w:right="237" w:hanging="0"/>
        <w:rPr>
          <w:sz w:val="24"/>
          <w:szCs w:val="24"/>
        </w:rPr>
      </w:pPr>
      <w:r>
        <w:rPr>
          <w:sz w:val="24"/>
          <w:szCs w:val="24"/>
        </w:rPr>
        <w:t xml:space="preserve">The communication difficulties cannot be stated enough as it took over an hour to establish that offences were not committed due to the victim being highly emotional, getting distracted by the cuts to her arm which were essentially scratches and her vulnerabilities the conversation was very difficult to the point where the interpreter stated they were unsure what more can they get from her as the conversation went around in circles, of course again unsure on the level of intoxication regarding this incident. </w:t>
      </w:r>
    </w:p>
    <w:p>
      <w:pPr>
        <w:pStyle w:val="Normal"/>
        <w:ind w:right="237" w:hanging="0"/>
        <w:rPr>
          <w:sz w:val="24"/>
          <w:szCs w:val="24"/>
        </w:rPr>
      </w:pPr>
      <w:r>
        <w:rPr>
          <w:sz w:val="24"/>
          <w:szCs w:val="24"/>
        </w:rPr>
      </w:r>
    </w:p>
    <w:p>
      <w:pPr>
        <w:pStyle w:val="Normal"/>
        <w:ind w:right="237" w:hanging="0"/>
        <w:rPr/>
      </w:pPr>
      <w:r>
        <w:rPr>
          <w:sz w:val="24"/>
          <w:szCs w:val="24"/>
        </w:rPr>
        <w:t xml:space="preserve">With any incident whether it is a crime or not if it is domestic in nature a domestic abuse stalking and harassment set of questions are asked and this helps grade risk within the relationship and helps us identify any extra support or abuse that happens within the relationship that could have potentially been normalised and due to this may not be mentioned as an issue by a potential victim of domestic abuse. This checklist is sent to social services and third-party agencies to support the victim and any children linked if there is domestic abuse and or violence occurring within the home whilst there is police action ongoing. The DASH form </w:t>
      </w:r>
      <w:r>
        <w:rPr>
          <w:sz w:val="24"/>
          <w:szCs w:val="24"/>
        </w:rPr>
        <w:t>(Dashriskchecklist, 2024)</w:t>
      </w:r>
      <w:r>
        <w:rPr>
          <w:sz w:val="24"/>
          <w:szCs w:val="24"/>
        </w:rPr>
        <w:t xml:space="preserve"> is done before a statement is taken at any domestic crime due to the potential to highlight any issues within the relationship that may be relevant and often reveals elements of control within the relationship that could have potentially been overlooked if the DASH is conducted after the statement for the incident officers are dealing with. Not only is this a useful tool for assessing risk but it also opens up dialogue around identifying further offences within the relationship due to the direct and probing questions of the DASH. Some questions hold more weight than others such as "Have they ever tried to suffocate, choke, strangle or drown you?" this is an important question as that in itself would suggest the relationship leans more towards high risk.</w:t>
      </w:r>
    </w:p>
    <w:p>
      <w:pPr>
        <w:pStyle w:val="Normal"/>
        <w:ind w:right="237" w:hanging="0"/>
        <w:rPr>
          <w:sz w:val="24"/>
          <w:szCs w:val="24"/>
        </w:rPr>
      </w:pPr>
      <w:r>
        <w:rPr>
          <w:sz w:val="24"/>
          <w:szCs w:val="24"/>
        </w:rPr>
      </w:r>
    </w:p>
    <w:p>
      <w:pPr>
        <w:pStyle w:val="Normal"/>
        <w:ind w:right="237" w:hanging="0"/>
        <w:rPr/>
      </w:pPr>
      <w:r>
        <w:rPr/>
        <w:drawing>
          <wp:inline distT="0" distB="0" distL="0" distR="0">
            <wp:extent cx="4305300" cy="108267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6"/>
                    <a:stretch>
                      <a:fillRect/>
                    </a:stretch>
                  </pic:blipFill>
                  <pic:spPr bwMode="auto">
                    <a:xfrm>
                      <a:off x="0" y="0"/>
                      <a:ext cx="4305300" cy="1082675"/>
                    </a:xfrm>
                    <a:prstGeom prst="rect">
                      <a:avLst/>
                    </a:prstGeom>
                  </pic:spPr>
                </pic:pic>
              </a:graphicData>
            </a:graphic>
          </wp:inline>
        </w:drawing>
      </w:r>
    </w:p>
    <w:p>
      <w:pPr>
        <w:pStyle w:val="Normal"/>
        <w:ind w:right="237" w:hanging="0"/>
        <w:rPr/>
      </w:pPr>
      <w:r>
        <w:rPr/>
        <w:t xml:space="preserve">A Snippet of the higher-risk questions from the DASH form (Safelives,2024) </w:t>
      </w:r>
    </w:p>
    <w:p>
      <w:pPr>
        <w:pStyle w:val="Normal"/>
        <w:ind w:right="237" w:hanging="0"/>
        <w:rPr/>
      </w:pPr>
      <w:r>
        <w:rPr/>
      </w:r>
    </w:p>
    <w:p>
      <w:pPr>
        <w:pStyle w:val="Normal"/>
        <w:overflowPunct w:val="true"/>
        <w:textAlignment w:val="auto"/>
        <w:rPr>
          <w:b/>
          <w:b/>
          <w:bCs/>
          <w:sz w:val="24"/>
          <w:szCs w:val="24"/>
        </w:rPr>
      </w:pPr>
      <w:r>
        <w:rPr>
          <w:b/>
          <w:bCs/>
          <w:sz w:val="24"/>
          <w:szCs w:val="24"/>
        </w:rPr>
      </w:r>
    </w:p>
    <w:p>
      <w:pPr>
        <w:pStyle w:val="Normal"/>
        <w:overflowPunct w:val="true"/>
        <w:textAlignment w:val="auto"/>
        <w:rPr>
          <w:sz w:val="24"/>
          <w:szCs w:val="24"/>
        </w:rPr>
      </w:pPr>
      <w:r>
        <w:rPr>
          <w:sz w:val="24"/>
          <w:szCs w:val="24"/>
        </w:rPr>
        <w:t>For this incident, the victim refused and due to this a risk assessment had to be made from the officer’s observations and any disclosures from the incident to try and gain some insight for partner agencies and an accurate risk assessment where possible. The Risk assessment can be guided by both the severity of the answers and by the amount of yes’s to this form, officers’ judgement and the incident they are responding to are taken into account. A Standard risk assessment would be no violence used/little to no causes for concern and usually indicative of a verbal argument only. Medium would be if violence is/has been used within the relationship however not life-threatening or risk of permanent injury and high would be indicative of a potential for serious harm or death.</w:t>
      </w:r>
    </w:p>
    <w:p>
      <w:pPr>
        <w:pStyle w:val="Normal"/>
        <w:overflowPunct w:val="true"/>
        <w:textAlignment w:val="auto"/>
        <w:rPr>
          <w:sz w:val="24"/>
          <w:szCs w:val="24"/>
        </w:rPr>
      </w:pPr>
      <w:r>
        <w:rPr>
          <w:sz w:val="24"/>
          <w:szCs w:val="24"/>
        </w:rPr>
      </w:r>
    </w:p>
    <w:p>
      <w:pPr>
        <w:pStyle w:val="Normal"/>
        <w:overflowPunct w:val="true"/>
        <w:textAlignment w:val="auto"/>
        <w:rPr/>
      </w:pPr>
      <w:r>
        <w:rPr>
          <w:sz w:val="24"/>
          <w:szCs w:val="24"/>
        </w:rPr>
        <w:t xml:space="preserve">Any serious risk factors being identified would have led to me submitting a MARAC referral form which stands for Multi-Agency Risk Assessment Conference </w:t>
      </w:r>
      <w:r>
        <w:rPr>
          <w:sz w:val="24"/>
          <w:szCs w:val="24"/>
        </w:rPr>
        <w:t>(Areyouok, 2024)</w:t>
      </w:r>
      <w:r>
        <w:rPr>
          <w:sz w:val="24"/>
          <w:szCs w:val="24"/>
        </w:rPr>
        <w:t xml:space="preserve"> where social services, health care professionals, potentially schools and police all gather and discuss a relationship to help get a bigger picture from all the agencies involved. For example, if the information is passed that there were historical assaults and NHS have information on their systems corroborating this urgent safeguarding is required and any internal information they have is also shared. Same with schools if there are children in the household and their home life is damaging their abilities in school, or if there have been unexplained issues such as uniforms not being clean/children going to school hungry or without packed lunches due to issues or police involvement at home.</w:t>
      </w:r>
    </w:p>
    <w:p>
      <w:pPr>
        <w:pStyle w:val="Normal"/>
        <w:overflowPunct w:val="true"/>
        <w:textAlignment w:val="auto"/>
        <w:rPr>
          <w:sz w:val="24"/>
          <w:szCs w:val="24"/>
        </w:rPr>
      </w:pPr>
      <w:r>
        <w:rPr>
          <w:sz w:val="24"/>
          <w:szCs w:val="24"/>
        </w:rPr>
      </w:r>
    </w:p>
    <w:p>
      <w:pPr>
        <w:pStyle w:val="Normal"/>
        <w:overflowPunct w:val="true"/>
        <w:textAlignment w:val="auto"/>
        <w:rPr>
          <w:sz w:val="24"/>
          <w:szCs w:val="24"/>
        </w:rPr>
      </w:pPr>
      <w:r>
        <w:rPr>
          <w:sz w:val="24"/>
          <w:szCs w:val="24"/>
        </w:rPr>
        <w:t>In this incident however, no risks were identified and the caller was appropriately safeguarded and given a lift to the hospital to have their injuries seen to and to also speak with a Mental health professional if required.</w:t>
      </w:r>
    </w:p>
    <w:p>
      <w:pPr>
        <w:pStyle w:val="Normal"/>
        <w:overflowPunct w:val="true"/>
        <w:textAlignment w:val="auto"/>
        <w:rPr>
          <w:sz w:val="24"/>
          <w:szCs w:val="24"/>
        </w:rPr>
      </w:pPr>
      <w:r>
        <w:rPr>
          <w:sz w:val="24"/>
          <w:szCs w:val="24"/>
        </w:rPr>
      </w:r>
    </w:p>
    <w:p>
      <w:pPr>
        <w:pStyle w:val="Normal"/>
        <w:overflowPunct w:val="true"/>
        <w:textAlignment w:val="auto"/>
        <w:rPr>
          <w:sz w:val="24"/>
          <w:szCs w:val="24"/>
        </w:rPr>
      </w:pPr>
      <w:r>
        <w:rPr>
          <w:b/>
          <w:bCs/>
          <w:sz w:val="24"/>
          <w:szCs w:val="24"/>
          <w:u w:val="single"/>
        </w:rPr>
        <w:t>Now What?</w:t>
      </w:r>
    </w:p>
    <w:p>
      <w:pPr>
        <w:pStyle w:val="Normal"/>
        <w:overflowPunct w:val="true"/>
        <w:textAlignment w:val="auto"/>
        <w:rPr>
          <w:sz w:val="24"/>
          <w:szCs w:val="24"/>
        </w:rPr>
      </w:pPr>
      <w:r>
        <w:rPr>
          <w:sz w:val="24"/>
          <w:szCs w:val="24"/>
        </w:rPr>
      </w:r>
    </w:p>
    <w:p>
      <w:pPr>
        <w:pStyle w:val="Normal"/>
        <w:overflowPunct w:val="true"/>
        <w:textAlignment w:val="auto"/>
        <w:rPr>
          <w:sz w:val="24"/>
          <w:szCs w:val="24"/>
        </w:rPr>
      </w:pPr>
      <w:r>
        <w:rPr>
          <w:sz w:val="24"/>
          <w:szCs w:val="24"/>
        </w:rPr>
        <w:t>From this incident, I have learnt the process involved in accessing an interpreter or sign language numbers and how vital effective communication is when dealing with someone with disabilities and other vulnerabilities such as alcohol use/misuse. Due to some form of domestic incident being dealt with the finer details would have been impossible to get without the assistance of British Sign Language interpreters and the potential risks within the relationship would not have been identified. Luckily the relationship was fine it was two vulnerable adults just struggling to live with each other and no offences were committed however this had to be established. Without the interpreter lines these language issues could have led to the victim losing faith in the police if they cannot even communicate with us and cause frustration with us rather than a positive interaction to gain the trust of a vulnerable victim the impact would have been the complete opposite and they could well have refused to engage with officers and potentially not phoned the police again leaving them very isolated even from emergency services. If the relationship was anything other than standard risk this could leave them open to abuse that would have had no end in sight as it would have been unreported and potentially escalating over time.</w:t>
      </w:r>
    </w:p>
    <w:p>
      <w:pPr>
        <w:pStyle w:val="Normal"/>
        <w:overflowPunct w:val="true"/>
        <w:textAlignment w:val="auto"/>
        <w:rPr>
          <w:sz w:val="24"/>
          <w:szCs w:val="24"/>
        </w:rPr>
      </w:pPr>
      <w:r>
        <w:rPr>
          <w:sz w:val="24"/>
          <w:szCs w:val="24"/>
        </w:rPr>
      </w:r>
    </w:p>
    <w:p>
      <w:pPr>
        <w:pStyle w:val="Normal"/>
        <w:overflowPunct w:val="true"/>
        <w:textAlignment w:val="auto"/>
        <w:rPr>
          <w:sz w:val="24"/>
          <w:szCs w:val="24"/>
        </w:rPr>
      </w:pPr>
      <w:r>
        <w:rPr>
          <w:sz w:val="24"/>
          <w:szCs w:val="24"/>
        </w:rPr>
        <w:t>I am curious however if offences had been committed how the practicalities of the statement taken would have been with the use of a translator when taking statements and if this would automatically be an achieving best evidence interview based on the language barrier and the vulnerabilities present. An achieving best evidence interview is an interview conducted with a vulnerable victim or witness and also covers children which are done in an informal setting by specialist officers who can get the best out of vulnerable adults and children by other mediums such as drawings and appropriate language rather than the formality of a statement and this considers changes in body language and noticing the emotions displayed by the person. This interview statement is then played in court which often prevents the vulnerable person from the stress and worry of attending court as it can be a terrifying prospect. (Government, 2022)</w:t>
      </w:r>
    </w:p>
    <w:p>
      <w:pPr>
        <w:pStyle w:val="Paragraph"/>
        <w:spacing w:beforeAutospacing="0" w:before="0" w:afterAutospacing="0" w:after="0"/>
        <w:ind w:left="3600" w:right="225" w:hanging="0"/>
        <w:rPr>
          <w:rStyle w:val="Normaltextrun"/>
          <w:rFonts w:ascii="Arial" w:hAnsi="Arial" w:cs="Arial"/>
          <w:b/>
          <w:b/>
          <w:bCs/>
          <w:color w:val="000000" w:themeColor="text1"/>
        </w:rPr>
      </w:pPr>
      <w:r>
        <w:rPr>
          <w:rFonts w:cs="Arial" w:ascii="Arial" w:hAnsi="Arial"/>
          <w:b/>
          <w:bCs/>
          <w:color w:val="000000" w:themeColor="text1"/>
        </w:rPr>
      </w:r>
    </w:p>
    <w:p>
      <w:pPr>
        <w:pStyle w:val="Paragraph"/>
        <w:spacing w:beforeAutospacing="0" w:before="0" w:afterAutospacing="0" w:after="0"/>
        <w:ind w:left="3600" w:right="225" w:hanging="0"/>
        <w:rPr>
          <w:rStyle w:val="Normaltextrun"/>
          <w:rFonts w:ascii="Arial" w:hAnsi="Arial" w:cs="Arial"/>
          <w:b/>
          <w:b/>
          <w:bCs/>
          <w:color w:val="000000" w:themeColor="text1"/>
        </w:rPr>
      </w:pPr>
      <w:r>
        <w:rPr>
          <w:rFonts w:cs="Arial" w:ascii="Arial" w:hAnsi="Arial"/>
          <w:b/>
          <w:bCs/>
          <w:color w:val="000000" w:themeColor="text1"/>
        </w:rPr>
      </w:r>
    </w:p>
    <w:p>
      <w:pPr>
        <w:pStyle w:val="Paragraph"/>
        <w:spacing w:beforeAutospacing="0" w:before="0" w:afterAutospacing="0" w:after="0"/>
        <w:textAlignment w:val="baseline"/>
        <w:rPr>
          <w:rFonts w:ascii="Segoe UI" w:hAnsi="Segoe UI" w:cs="Segoe UI"/>
          <w:color w:val="000000"/>
          <w:sz w:val="18"/>
          <w:szCs w:val="18"/>
        </w:rPr>
      </w:pPr>
      <w:r>
        <w:rPr>
          <w:rStyle w:val="Eop"/>
          <w:rFonts w:cs="Arial" w:ascii="Arial" w:hAnsi="Arial"/>
          <w:color w:val="000000" w:themeColor="text1"/>
        </w:rPr>
        <w:t> </w:t>
      </w:r>
      <w:r>
        <w:rPr>
          <w:rStyle w:val="Eop"/>
          <w:rFonts w:cs="Arial" w:ascii="Arial" w:hAnsi="Arial"/>
          <w:color w:val="000000" w:themeColor="text1"/>
        </w:rPr>
        <w:t>I believe that dealing with this incident so early in my service has given me a good insight into translator availability and the systems in place to ease communication which is a vital tool in getting the correct information for police action and to protect vulnerable victims.</w:t>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t>Task 2</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rFonts w:eastAsia="Arial"/>
          <w:b/>
          <w:bCs/>
          <w:color w:val="000000" w:themeColor="text1"/>
          <w:sz w:val="24"/>
          <w:szCs w:val="24"/>
        </w:rPr>
        <w:t xml:space="preserve">Choose 1 of these 5 options to answer </w:t>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t xml:space="preserve">(Note for officers who have an interest in becoming a detective and wish to specialise in this role, you </w:t>
      </w:r>
      <w:r>
        <w:rPr>
          <w:rFonts w:eastAsia="Arial"/>
          <w:b/>
          <w:bCs/>
          <w:color w:val="000000" w:themeColor="text1"/>
          <w:sz w:val="24"/>
          <w:szCs w:val="24"/>
          <w:u w:val="single"/>
        </w:rPr>
        <w:t>MUST</w:t>
      </w:r>
      <w:r>
        <w:rPr>
          <w:rFonts w:eastAsia="Arial"/>
          <w:b/>
          <w:bCs/>
          <w:color w:val="000000" w:themeColor="text1"/>
          <w:sz w:val="24"/>
          <w:szCs w:val="24"/>
        </w:rPr>
        <w:t xml:space="preserve"> choose option 5)</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Response Policing.</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Policing Communities.</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Road Policing.</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Information and Intelligence.</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 xml:space="preserve">Conducting Investigations.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center"/>
        <w:rPr>
          <w:b/>
          <w:b/>
          <w:bCs/>
          <w:color w:val="000000" w:themeColor="text1"/>
          <w:sz w:val="28"/>
          <w:szCs w:val="28"/>
          <w:u w:val="single"/>
        </w:rPr>
      </w:pPr>
      <w:r>
        <w:rPr>
          <w:b/>
          <w:bCs/>
          <w:color w:val="000000" w:themeColor="text1"/>
          <w:sz w:val="28"/>
          <w:szCs w:val="28"/>
          <w:u w:val="single"/>
        </w:rPr>
        <w:t>Task 2 Option 1:</w:t>
      </w:r>
      <w:r>
        <w:rPr>
          <w:b/>
          <w:bCs/>
          <w:color w:val="000000" w:themeColor="text1"/>
          <w:sz w:val="28"/>
          <w:szCs w:val="28"/>
        </w:rPr>
        <w:t xml:space="preserve"> </w:t>
      </w:r>
    </w:p>
    <w:p>
      <w:pPr>
        <w:pStyle w:val="Normal"/>
        <w:ind w:right="237" w:hanging="0"/>
        <w:jc w:val="both"/>
        <w:rPr>
          <w:b/>
          <w:b/>
          <w:bCs/>
          <w:color w:val="000000" w:themeColor="text1"/>
          <w:sz w:val="28"/>
          <w:szCs w:val="28"/>
        </w:rPr>
      </w:pPr>
      <w:r>
        <w:rPr>
          <w:b/>
          <w:bCs/>
          <w:color w:val="000000" w:themeColor="text1"/>
          <w:sz w:val="28"/>
          <w:szCs w:val="28"/>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u w:val="single"/>
        </w:rPr>
        <w:t>Relevant areas of the National Policing Curriculum:</w:t>
      </w:r>
    </w:p>
    <w:p>
      <w:pPr>
        <w:pStyle w:val="Normal"/>
        <w:ind w:right="237" w:hanging="0"/>
        <w:jc w:val="both"/>
        <w:rPr>
          <w:b/>
          <w:b/>
          <w:bCs/>
          <w:color w:val="000000" w:themeColor="text1"/>
          <w:sz w:val="28"/>
          <w:szCs w:val="28"/>
        </w:rPr>
      </w:pPr>
      <w:r>
        <w:rPr>
          <w:b/>
          <w:bCs/>
          <w:color w:val="000000" w:themeColor="text1"/>
          <w:sz w:val="28"/>
          <w:szCs w:val="28"/>
        </w:rPr>
      </w:r>
    </w:p>
    <w:p>
      <w:pPr>
        <w:pStyle w:val="Normal"/>
        <w:ind w:right="237" w:hanging="0"/>
        <w:jc w:val="both"/>
        <w:rPr>
          <w:b/>
          <w:b/>
          <w:bCs/>
          <w:color w:val="000000" w:themeColor="text1"/>
          <w:sz w:val="24"/>
          <w:szCs w:val="24"/>
          <w:u w:val="single"/>
        </w:rPr>
      </w:pPr>
      <w:r>
        <w:rPr>
          <w:b/>
          <w:bCs/>
          <w:color w:val="000000" w:themeColor="text1"/>
          <w:sz w:val="24"/>
          <w:szCs w:val="24"/>
          <w:u w:val="single"/>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Response Policing</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A core part of the policing mission is to prevent crime and disorder. Domestic abuse causes both serious harm and constitutes a considerable proportion of overall crime</w:t>
      </w:r>
    </w:p>
    <w:p>
      <w:pPr>
        <w:pStyle w:val="Normal"/>
        <w:ind w:right="237" w:hanging="0"/>
        <w:jc w:val="both"/>
        <w:rPr>
          <w:b/>
          <w:b/>
          <w:bCs/>
          <w:color w:val="000000" w:themeColor="text1"/>
          <w:sz w:val="24"/>
          <w:szCs w:val="24"/>
        </w:rPr>
      </w:pPr>
      <w:r>
        <w:rPr>
          <w:b/>
          <w:bCs/>
          <w:color w:val="000000" w:themeColor="text1"/>
          <w:sz w:val="24"/>
          <w:szCs w:val="24"/>
        </w:rPr>
      </w:r>
    </w:p>
    <w:p>
      <w:pPr>
        <w:pStyle w:val="Normal"/>
        <w:jc w:val="both"/>
        <w:rPr>
          <w:rFonts w:eastAsia="Arial"/>
          <w:color w:val="000000" w:themeColor="text1"/>
          <w:sz w:val="24"/>
          <w:szCs w:val="24"/>
        </w:rPr>
      </w:pPr>
      <w:r>
        <w:rPr>
          <w:rFonts w:eastAsia="Arial"/>
          <w:color w:val="000000" w:themeColor="text1"/>
          <w:sz w:val="24"/>
          <w:szCs w:val="24"/>
        </w:rPr>
        <w:t xml:space="preserve">You should choose </w:t>
      </w:r>
      <w:r>
        <w:rPr>
          <w:rFonts w:eastAsia="Arial"/>
          <w:b/>
          <w:bCs/>
          <w:color w:val="000000" w:themeColor="text1"/>
          <w:sz w:val="24"/>
          <w:szCs w:val="24"/>
          <w:u w:val="single"/>
        </w:rPr>
        <w:t xml:space="preserve">a domestic abuse incident </w:t>
      </w:r>
      <w:r>
        <w:rPr>
          <w:rFonts w:eastAsia="Arial"/>
          <w:b/>
          <w:bCs/>
          <w:color w:val="000000" w:themeColor="text1"/>
          <w:sz w:val="24"/>
          <w:szCs w:val="24"/>
        </w:rPr>
        <w:t xml:space="preserve">that was of a complex nature, </w:t>
      </w:r>
      <w:r>
        <w:rPr>
          <w:rFonts w:eastAsia="Arial"/>
          <w:color w:val="000000" w:themeColor="text1"/>
          <w:sz w:val="24"/>
          <w:szCs w:val="24"/>
        </w:rPr>
        <w:t>in which you played a significant role in providing a response.</w:t>
      </w:r>
    </w:p>
    <w:p>
      <w:pPr>
        <w:pStyle w:val="Normal"/>
        <w:jc w:val="both"/>
        <w:rPr/>
      </w:pPr>
      <w:r>
        <w:rPr/>
      </w:r>
    </w:p>
    <w:p>
      <w:pPr>
        <w:pStyle w:val="Normal"/>
        <w:jc w:val="both"/>
        <w:rPr/>
      </w:pPr>
      <w:r>
        <w:rPr/>
      </w:r>
    </w:p>
    <w:p>
      <w:pPr>
        <w:pStyle w:val="Normal"/>
        <w:ind w:right="237" w:hanging="0"/>
        <w:jc w:val="both"/>
        <w:rPr>
          <w:b/>
          <w:b/>
          <w:bCs/>
          <w:color w:val="000000" w:themeColor="text1"/>
          <w:sz w:val="24"/>
          <w:szCs w:val="24"/>
        </w:rPr>
      </w:pPr>
      <w:r>
        <w:rPr>
          <w:b/>
          <w:bCs/>
          <w:color w:val="000000" w:themeColor="text1"/>
          <w:sz w:val="24"/>
          <w:szCs w:val="24"/>
        </w:rPr>
      </w:r>
    </w:p>
    <w:tbl>
      <w:tblPr>
        <w:tblW w:w="9016" w:type="dxa"/>
        <w:jc w:val="left"/>
        <w:tblInd w:w="0" w:type="dxa"/>
        <w:tblCellMar>
          <w:top w:w="0" w:type="dxa"/>
          <w:left w:w="108" w:type="dxa"/>
          <w:bottom w:w="0" w:type="dxa"/>
          <w:right w:w="108" w:type="dxa"/>
        </w:tblCellMar>
        <w:tblLook w:val="01e0"/>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000000" w:themeColor="text1"/>
                <w:sz w:val="24"/>
                <w:szCs w:val="24"/>
              </w:rPr>
            </w:pPr>
            <w:r>
              <w:rPr>
                <w:color w:val="000000" w:themeColor="text1"/>
                <w:sz w:val="24"/>
                <w:szCs w:val="24"/>
              </w:rPr>
              <w:t xml:space="preserve"> </w:t>
            </w:r>
          </w:p>
          <w:p>
            <w:pPr>
              <w:pStyle w:val="Normal"/>
              <w:rPr>
                <w:color w:val="000000" w:themeColor="text1"/>
                <w:sz w:val="28"/>
                <w:szCs w:val="28"/>
              </w:rPr>
            </w:pPr>
            <w:r>
              <w:rPr>
                <w:color w:val="000000" w:themeColor="text1"/>
                <w:sz w:val="28"/>
                <w:szCs w:val="28"/>
              </w:rPr>
            </w:r>
          </w:p>
          <w:p>
            <w:pPr>
              <w:pStyle w:val="Normal"/>
              <w:rPr>
                <w:rFonts w:ascii="Calibri" w:hAnsi="Calibri" w:eastAsia="新細明體" w:cs="" w:asciiTheme="minorHAnsi" w:cstheme="minorBidi" w:eastAsiaTheme="minorEastAsia" w:hAnsiTheme="minorHAnsi"/>
                <w:color w:val="000000" w:themeColor="text1"/>
                <w:sz w:val="24"/>
                <w:szCs w:val="24"/>
              </w:rPr>
            </w:pPr>
            <w:r>
              <w:rPr>
                <w:rFonts w:eastAsia="Calibri" w:cs="Calibri" w:ascii="Calibri" w:hAnsi="Calibri"/>
                <w:color w:val="000000" w:themeColor="text1"/>
                <w:sz w:val="28"/>
                <w:szCs w:val="28"/>
              </w:rPr>
              <w:t xml:space="preserve"> </w:t>
            </w:r>
            <w:r>
              <w:rPr>
                <w:rFonts w:eastAsia="Calibri" w:cs="Calibri" w:ascii="Calibri" w:hAnsi="Calibri"/>
                <w:color w:val="000000" w:themeColor="text1"/>
                <w:sz w:val="28"/>
                <w:szCs w:val="28"/>
              </w:rPr>
              <w:t xml:space="preserve">Critically assess the challenges associated with a domestic abuse incident that you have attended, and the strategies developed for effective policing in such challenging situations. </w:t>
            </w:r>
          </w:p>
          <w:p>
            <w:pPr>
              <w:pStyle w:val="Normal"/>
              <w:rPr>
                <w:rFonts w:ascii="Calibri" w:hAnsi="Calibri" w:eastAsia="新細明體" w:cs="" w:asciiTheme="minorHAnsi" w:cstheme="minorBidi" w:eastAsiaTheme="minorEastAsia" w:hAnsiTheme="minorHAnsi"/>
                <w:color w:val="000000" w:themeColor="text1"/>
                <w:sz w:val="24"/>
                <w:szCs w:val="24"/>
              </w:rPr>
            </w:pPr>
            <w:r>
              <w:rPr>
                <w:rFonts w:eastAsia="新細明體" w:cs="" w:cstheme="minorBidi" w:eastAsiaTheme="minorEastAsia" w:ascii="Calibri" w:hAnsi="Calibri"/>
                <w:color w:val="000000" w:themeColor="text1"/>
                <w:sz w:val="24"/>
                <w:szCs w:val="24"/>
              </w:rPr>
            </w:r>
          </w:p>
          <w:p>
            <w:pPr>
              <w:pStyle w:val="Normal"/>
              <w:ind w:right="237" w:hanging="0"/>
              <w:rPr>
                <w:color w:val="000000" w:themeColor="text1"/>
                <w:sz w:val="24"/>
                <w:szCs w:val="24"/>
              </w:rPr>
            </w:pPr>
            <w:r>
              <w:rPr>
                <w:color w:val="000000" w:themeColor="text1"/>
                <w:sz w:val="24"/>
                <w:szCs w:val="24"/>
              </w:rPr>
            </w:r>
          </w:p>
          <w:p>
            <w:pPr>
              <w:pStyle w:val="Normal"/>
              <w:ind w:right="237" w:hanging="0"/>
              <w:jc w:val="both"/>
              <w:rPr>
                <w:sz w:val="24"/>
                <w:szCs w:val="24"/>
              </w:rPr>
            </w:pPr>
            <w:r>
              <w:rPr>
                <w:sz w:val="24"/>
                <w:szCs w:val="24"/>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ind w:right="237" w:hanging="0"/>
              <w:jc w:val="both"/>
              <w:rPr>
                <w:sz w:val="24"/>
                <w:szCs w:val="24"/>
              </w:rPr>
            </w:pPr>
            <w:r>
              <w:rPr>
                <w:sz w:val="24"/>
                <w:szCs w:val="24"/>
              </w:rPr>
            </w:r>
          </w:p>
        </w:tc>
      </w:tr>
    </w:tbl>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t>ANSWER:</w:t>
      </w:r>
    </w:p>
    <w:p>
      <w:pPr>
        <w:pStyle w:val="Normal"/>
        <w:ind w:right="237" w:hanging="0"/>
        <w:jc w:val="both"/>
        <w:rPr>
          <w:sz w:val="24"/>
          <w:szCs w:val="24"/>
        </w:rPr>
      </w:pPr>
      <w:r>
        <w:rPr>
          <w:sz w:val="24"/>
          <w:szCs w:val="24"/>
        </w:rPr>
      </w:r>
    </w:p>
    <w:p>
      <w:pPr>
        <w:pStyle w:val="Normal"/>
        <w:ind w:right="237" w:hanging="0"/>
        <w:jc w:val="both"/>
        <w:rPr>
          <w:color w:val="000000" w:themeColor="text1"/>
          <w:sz w:val="24"/>
          <w:szCs w:val="24"/>
        </w:rPr>
      </w:pPr>
      <w:r>
        <w:rPr>
          <w:color w:val="000000" w:themeColor="text1"/>
          <w:sz w:val="24"/>
          <w:szCs w:val="24"/>
        </w:rPr>
        <w:t>For this Task, I will be using Borton’s (Borton,1970) Reflective model to reflect on a challenging domestic violence incident that I have recently attended.</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The incident involved two different phone calls made to police regarding domestic violence taking place in their neighbour's front garden, they detailed seeing a male hitting a female for over 10 minutes from the front door, throwing her around the garden and constantly punching her. Due to these numerous officers attended along with a Van as the male was most likely being arrested from the early information, we already had from 2 independent callers. On officers' attendance, the female had injuries to her face which were mainly to her nose and cheek and refused to engage with officers entirely regarding any further injuries or the events that took place. The female kept stating she had epilepsy and must have had a seizure and hit her head on the trampoline and refused to say anything further. Due to the fresh visible injuries and the information given on the call, there was reason to suspect that this male had caused these injuries and he was then arrested for S47 Assault - Actual Bodily Harm (Legislation 1861). Following this the male became violent and a struggle ensued involving 5 officers and the male who had to be taken to the ground restrained and taken to police custody.</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b/>
          <w:bCs/>
          <w:color w:val="000000" w:themeColor="text1"/>
          <w:sz w:val="24"/>
          <w:szCs w:val="24"/>
          <w:u w:val="single"/>
        </w:rPr>
        <w:t>What?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When I attended the scene, I saw injuries to the female and the male already riled up and agitated and showed some verbal resistance to officers when they were even speaking with either party. Shortly after the male stated "WHAT YOU THINK I'VE HIT HER DO YOU" as he was standing over with his hands out by his waist. Due to this, I separated them and other officers spoke with the male whilst I tried to engage with the female in the hopes of getting some explanation from her regarding what had happened due to the seriousness of what was given to us in the initial call. Building a rapport and trust with victims that we will act if offences are disclosed is key to public perception and looking after victims to the best of our abilities. This was a dynamic incident and due to the injuries and the disclosure from the callers the male was being arrested no matter what was said. Even from the initial stage a good rapport and trust can make all the difference in domestic abuse or violence incidents and breaking the cycle of abuse </w:t>
      </w:r>
      <w:r>
        <w:rPr/>
        <w:t>(Bottaro, 2022).</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Due to this, the male was arrested to help further safeguard and give respite for the victim which allowed us to revisit her in the morning to see how she was and if she wanted to tell us what happened knowing that police had already acted. At this stage, the male became aggressive towards officers and all 5 in attendance had to use force to pin him down and handcuff the male as he was trying to fight every officer in attendance. Once restrained I made numerous attempts to speak with the male in an attempt to explain why everything had happened to him but he continued to make attempts to fight everyone there and I could not de-escalate his behaviour at this stage despite numerous attempts to communicate with him he in fight or flight and needed time to come down (College of policing, 2023). Due to this, he was taken to the van to be transported to custody.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From here the three callers were spoken to and they were all too afraid to provide a statement due to the male and his family despite me explaining special measures and bail to protect them. They were happy to tell us what had happened but not officially due to this we had no witnesses and no CCTV along with the victim not engaging with officers.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I also took screenshots from my body-worn video of her injuries and exhibited them for the interview as the victim was reluctant to give a statement or engage with officers much during the event. This did not change in the morning and the injuries were covered with make up so when another shift attended, they stated she had no injuries from the incident.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bCs/>
          <w:color w:val="000000" w:themeColor="text1"/>
          <w:sz w:val="24"/>
          <w:szCs w:val="24"/>
          <w:u w:val="single"/>
        </w:rPr>
      </w:pPr>
      <w:r>
        <w:rPr>
          <w:b/>
          <w:bCs/>
          <w:color w:val="000000" w:themeColor="text1"/>
          <w:sz w:val="24"/>
          <w:szCs w:val="24"/>
          <w:u w:val="single"/>
        </w:rPr>
        <w:t>So What?</w:t>
      </w:r>
    </w:p>
    <w:p>
      <w:pPr>
        <w:pStyle w:val="Normal"/>
        <w:ind w:right="237" w:hanging="0"/>
        <w:jc w:val="both"/>
        <w:rPr>
          <w:b/>
          <w:b/>
          <w:bCs/>
          <w:color w:val="000000" w:themeColor="text1"/>
          <w:sz w:val="24"/>
          <w:szCs w:val="24"/>
          <w:u w:val="single"/>
        </w:rPr>
      </w:pPr>
      <w:r>
        <w:rPr>
          <w:b/>
          <w:bCs/>
          <w:color w:val="000000" w:themeColor="text1"/>
          <w:sz w:val="24"/>
          <w:szCs w:val="24"/>
          <w:u w:val="single"/>
        </w:rPr>
      </w:r>
    </w:p>
    <w:p>
      <w:pPr>
        <w:pStyle w:val="Normal"/>
        <w:ind w:right="237" w:hanging="0"/>
        <w:jc w:val="both"/>
        <w:rPr>
          <w:color w:val="000000" w:themeColor="text1"/>
          <w:sz w:val="24"/>
          <w:szCs w:val="24"/>
        </w:rPr>
      </w:pPr>
      <w:r>
        <w:rPr>
          <w:color w:val="000000" w:themeColor="text1"/>
          <w:sz w:val="24"/>
          <w:szCs w:val="24"/>
        </w:rPr>
        <w:t>When I was on my way to the address from the information, we had from separate calls stating that he was repeatedly hitting the female in the front garden for over 10 minutes I was unsure what we were about to attend. The injuries could range from Actual Bodily Harm (Legislation, 1978) to Grievous bodily Harm (Legislation, 1978). I also did not know at this time as it was mentioned the male was going in and out of the address if there were any weapons available to him/on him and what might develop before attendance.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On initial attendance the female was still on the floor under the trampoline with the male standing over and immediately became verbally resistant towards officers in attendance at this stage I was feeling as though the male was going to become physical eventually so I told him to speak with my colleague out of sight so I could have a chat with the female. At this stage I noticed injuries and I was certain he was coming in for the assault on her however I still felt as though more offences could have been committed so I was trying to get further disclosure from her to give the best possible outcome however she refused to engage and stated she was having a seizure.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My feelings after this incident remain the same I wanted to do the best for the victim but my hands were tied if they were not ready to engage. Safeguarding was conducted and I made referrals to MARAC (Domestic Abuse Services,2023) for ongoing support and a DVPN/DVPO were both accepted. The issue is that the community and the victim never "usually" ring the police when this is happening from what I was told after the male was arrested and they all just live with it happening as they do not want any reprisals. Due to this despite the amount of safeguarding provided and other agencies being involved, I am unsure if she is now engaging with these services. I feel like I did all I could to support her and provide ongoing support via referrals however I am unsure if this made any difference to her as they both attended the DVPO hearing and were complaining about the incident and the DVPO however it was authorised. My positive taken from this incident would be that if the victim requires police she can be certain that we will attend and take positive action and if she becomes ready to leave the police will facilitate this to the best of their ability with court orders.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b/>
          <w:bCs/>
          <w:color w:val="000000" w:themeColor="text1"/>
          <w:sz w:val="24"/>
          <w:szCs w:val="24"/>
          <w:u w:val="single"/>
        </w:rPr>
        <w:t>Now What?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The implications of this incident for me would be a better understanding of the MARAC </w:t>
      </w:r>
      <w:r>
        <w:rPr>
          <w:color w:val="000000" w:themeColor="text1"/>
          <w:sz w:val="24"/>
          <w:szCs w:val="24"/>
        </w:rPr>
        <w:t>(Areyouok 2024)</w:t>
      </w:r>
      <w:r>
        <w:rPr>
          <w:color w:val="000000" w:themeColor="text1"/>
          <w:sz w:val="24"/>
          <w:szCs w:val="24"/>
        </w:rPr>
        <w:t xml:space="preserve"> criteria along with the experience of an incident where no one wants to talk to police about what they saw officially but "off the record" they will happily tell you everything despite reassurances and protection in place, especially in this community where this incident took place no one will talk to the police on the street.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The option to do nothing from this incident was not there as it was clear offences had been committed however proving them without any witnesses or victim support was going to be the struggle. There was no further action from police but other agencies have now taken over and are providing ongoing support.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From this incident I have also learnt that victim confidence may take numerous incidents to gain and it is not a reflection on the service we provided on the day they just may not be ready, we can do everything perfectly but it does not mean they will engage with us.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The safeguarding aspects of domestic incidents are the most crucial especially if they are not engaging with us. This often comes in the form of referrals to partner agencies rather than advice or packs from us for long-term engagement to get a better understanding and maybe even a disclosure regarding the relationship and an understanding that uniformed officers could get from attendance due to the barriers that people have with speaking with the police whether this is cultural or due to public trust being extremely low with the police at this time due to recent violent incidents perpetrated against women by serving or ex-serving officers.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drawing>
          <wp:inline distT="0" distB="0" distL="0" distR="0">
            <wp:extent cx="4343400" cy="4206875"/>
            <wp:effectExtent l="0" t="0" r="0" b="0"/>
            <wp:docPr id="3" name="Picture 1" descr="Power &amp; Control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Power &amp; Control Wheel"/>
                    <pic:cNvPicPr>
                      <a:picLocks noChangeAspect="1" noChangeArrowheads="1"/>
                    </pic:cNvPicPr>
                  </pic:nvPicPr>
                  <pic:blipFill>
                    <a:blip r:embed="rId7"/>
                    <a:stretch>
                      <a:fillRect/>
                    </a:stretch>
                  </pic:blipFill>
                  <pic:spPr bwMode="auto">
                    <a:xfrm>
                      <a:off x="0" y="0"/>
                      <a:ext cx="4343400" cy="4206875"/>
                    </a:xfrm>
                    <a:prstGeom prst="rect">
                      <a:avLst/>
                    </a:prstGeom>
                  </pic:spPr>
                </pic:pic>
              </a:graphicData>
            </a:graphic>
          </wp:inline>
        </w:drawing>
      </w:r>
    </w:p>
    <w:p>
      <w:pPr>
        <w:pStyle w:val="Normal"/>
        <w:ind w:right="237" w:hanging="0"/>
        <w:jc w:val="both"/>
        <w:rPr>
          <w:color w:val="000000" w:themeColor="text1"/>
          <w:sz w:val="24"/>
          <w:szCs w:val="24"/>
        </w:rPr>
      </w:pPr>
      <w:r>
        <w:rPr/>
        <w:t xml:space="preserve">(Crushedbutnotbroken,2024) </w:t>
      </w:r>
      <w:r>
        <w:rPr>
          <w:color w:val="000000" w:themeColor="text1"/>
          <w:sz w:val="24"/>
          <w:szCs w:val="24"/>
        </w:rPr>
        <w:t>Sections of the power and control wheel above cover domestic abuse incidents and the desire to control both their partners in the aspects shown on the wheel and the officers in attendance by trying to manipulate them. Throughout this incident the male tried numerous times to take charge of the situation and still control it in front of his partner, however once control was lost is when he became extremely violent to everyone at the scene.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From doing further training in domestic abuse and coercive controlling behaviour (Legislation – </w:t>
      </w:r>
      <w:r>
        <w:rPr>
          <w:color w:val="000000" w:themeColor="text1"/>
          <w:sz w:val="24"/>
          <w:szCs w:val="24"/>
        </w:rPr>
        <w:t>Section 76 Serious crime act</w:t>
      </w:r>
      <w:r>
        <w:rPr>
          <w:color w:val="000000" w:themeColor="text1"/>
          <w:sz w:val="24"/>
          <w:szCs w:val="24"/>
        </w:rPr>
        <w:t>,2015) in particular and recent legislation changes such as the coercive controlling behaviour not having to be from within the same address I am now further aware of the potential control and influence due to all the factors shown in the power and control wheel and how they can even take place when the offender is out of the home or separated from the victim due to the presence of fear of breaking the “rules” set within the home. This could well have been the case in this incident due to the presence of fear that she would have viewed herself and not being allowed to talk to police due to the potential for further or more extreme violence. The identification of potential Coercive controlling behaviour from the offender, unfortunately, does not change the outcome of this incident due to the lack of information given due to the victim not being ready to engage with officers and step towards bringing the relationship to an end. Liz Kelly has well documented the 6 stages of a domestic abuse relationship and I believe from these stages the victim was in the "Managing the relationship stage" which involves her managing the risks within the relationship herself by adjusting her behaviour, which in a sense gives her a lot more control than the alternative of the unknown which would involve the offender being able to surprise the victim rather than them being able to anticipate the pattern of behaviour which can be the scariest part of leaving the relationship for most victims of severe coercive control and domestic abuse, especially when fear is present within the relationship.</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pPr>
      <w:r>
        <w:rPr>
          <w:color w:val="000000" w:themeColor="text1"/>
          <w:sz w:val="24"/>
          <w:szCs w:val="24"/>
        </w:rPr>
        <w:t xml:space="preserve">There are 7 recognised stages of a domestic abuse relationship which I will list and explain below </w:t>
      </w:r>
      <w:r>
        <w:rPr>
          <w:color w:val="000000" w:themeColor="text1"/>
          <w:sz w:val="24"/>
          <w:szCs w:val="24"/>
        </w:rPr>
        <w:t>as described by (KELSI , 2021) which is also corroborates by Liz Kelly who is a well known figure into DA research</w:t>
      </w:r>
      <w:r>
        <w:rPr>
          <w:color w:val="000000" w:themeColor="text1"/>
          <w:sz w:val="24"/>
          <w:szCs w:val="24"/>
        </w:rPr>
        <w:t xml:space="preserve">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Grooming – Victim being charmed but isolated.</w:t>
      </w:r>
    </w:p>
    <w:p>
      <w:pPr>
        <w:pStyle w:val="Normal"/>
        <w:ind w:right="237" w:hanging="0"/>
        <w:jc w:val="both"/>
        <w:rPr>
          <w:color w:val="000000" w:themeColor="text1"/>
          <w:sz w:val="24"/>
          <w:szCs w:val="24"/>
        </w:rPr>
      </w:pPr>
      <w:r>
        <w:rPr>
          <w:color w:val="000000" w:themeColor="text1"/>
          <w:sz w:val="24"/>
          <w:szCs w:val="24"/>
        </w:rPr>
        <w:t>Manage the situation – Victim adapts their behaviour and can react and manage the abuse within the relationship.</w:t>
      </w:r>
    </w:p>
    <w:p>
      <w:pPr>
        <w:pStyle w:val="Normal"/>
        <w:ind w:right="237" w:hanging="0"/>
        <w:jc w:val="both"/>
        <w:rPr>
          <w:color w:val="000000" w:themeColor="text1"/>
          <w:sz w:val="24"/>
          <w:szCs w:val="24"/>
        </w:rPr>
      </w:pPr>
      <w:r>
        <w:rPr>
          <w:color w:val="000000" w:themeColor="text1"/>
          <w:sz w:val="24"/>
          <w:szCs w:val="24"/>
        </w:rPr>
        <w:t>Distortion of perspective/reality – Victim blames self for abuse.</w:t>
      </w:r>
    </w:p>
    <w:p>
      <w:pPr>
        <w:pStyle w:val="Normal"/>
        <w:ind w:right="237" w:hanging="0"/>
        <w:jc w:val="both"/>
        <w:rPr>
          <w:color w:val="000000" w:themeColor="text1"/>
          <w:sz w:val="24"/>
          <w:szCs w:val="24"/>
        </w:rPr>
      </w:pPr>
      <w:r>
        <w:rPr>
          <w:color w:val="000000" w:themeColor="text1"/>
          <w:sz w:val="24"/>
          <w:szCs w:val="24"/>
        </w:rPr>
        <w:t>Defining the abuse – Victim recognises abuse.</w:t>
      </w:r>
    </w:p>
    <w:p>
      <w:pPr>
        <w:pStyle w:val="Normal"/>
        <w:ind w:right="237" w:hanging="0"/>
        <w:jc w:val="both"/>
        <w:rPr>
          <w:color w:val="000000" w:themeColor="text1"/>
          <w:sz w:val="24"/>
          <w:szCs w:val="24"/>
        </w:rPr>
      </w:pPr>
      <w:r>
        <w:rPr>
          <w:color w:val="000000" w:themeColor="text1"/>
          <w:sz w:val="24"/>
          <w:szCs w:val="24"/>
        </w:rPr>
        <w:t>Re-evaluation of the relationship – The victim sees support as realistic.</w:t>
      </w:r>
    </w:p>
    <w:p>
      <w:pPr>
        <w:pStyle w:val="Normal"/>
        <w:ind w:right="237" w:hanging="0"/>
        <w:jc w:val="both"/>
        <w:rPr>
          <w:color w:val="000000" w:themeColor="text1"/>
          <w:sz w:val="24"/>
          <w:szCs w:val="24"/>
        </w:rPr>
      </w:pPr>
      <w:r>
        <w:rPr>
          <w:color w:val="000000" w:themeColor="text1"/>
          <w:sz w:val="24"/>
          <w:szCs w:val="24"/>
        </w:rPr>
        <w:t>Ending the relationship – The victim makes attempts to leave which increases the risk.</w:t>
      </w:r>
    </w:p>
    <w:p>
      <w:pPr>
        <w:pStyle w:val="Normal"/>
        <w:ind w:right="237" w:hanging="0"/>
        <w:jc w:val="both"/>
        <w:rPr/>
      </w:pPr>
      <w:r>
        <w:rPr>
          <w:color w:val="000000" w:themeColor="text1"/>
          <w:sz w:val="24"/>
          <w:szCs w:val="24"/>
        </w:rPr>
        <w:t xml:space="preserve">Ending the abuse – Recovery can begin.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These stages can help identify why victims may not engage with officers as they are not ready, leaving the managing the situation stage and stepping into the unknown, being unable to assess and identify what is happening and any potential outcomes even if this is violence is in most cases better than the unknown once separated when the offender can turn up unannounced and be violent. (Women Against Abuse, 2024) </w:t>
      </w:r>
      <w:r>
        <w:rPr>
          <w:sz w:val="24"/>
          <w:szCs w:val="24"/>
        </w:rPr>
        <w:t>Details the potential risks that are even lethal for someone leaving a domestic abuse relationship.</w:t>
      </w:r>
    </w:p>
    <w:p>
      <w:pPr>
        <w:pStyle w:val="Normal"/>
        <w:ind w:right="237" w:hanging="0"/>
        <w:jc w:val="both"/>
        <w:rPr>
          <w:color w:val="000000" w:themeColor="text1"/>
          <w:sz w:val="24"/>
          <w:szCs w:val="24"/>
        </w:rPr>
      </w:pPr>
      <w:r>
        <w:rPr>
          <w:color w:val="000000" w:themeColor="text1"/>
          <w:sz w:val="24"/>
          <w:szCs w:val="24"/>
        </w:rPr>
        <w:t>From reviewing this incident and the potential abuse that could have taken place which at this stage we can only surmise from attendance and previous calls or calls that we have had since what has gone on within the relationship. My only hope going on from this incident is that with time and breathing space for the victim she will feel confident enough in the police or her third-party agencies that are offering her support that she will open up and firstly move on and heal from the trauma within the relationship but then also I hope we can then hold the offender to account for their actions within the relationship and action taken to prevent further harm where possible if not to this victim then to another. In domestic abuse situations similar to this best practice is to support as much as possible and leave the door open for the information to be given when the victim is ready to speak about the abuse, as they will need to be free of the perpetrator before they are willing to speak about what has happened within the relationship.</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u w:val="single"/>
        </w:rPr>
      </w:pPr>
      <w:r>
        <w:rPr>
          <w:color w:val="000000" w:themeColor="text1"/>
          <w:sz w:val="24"/>
          <w:szCs w:val="24"/>
          <w:u w:val="single"/>
        </w:rPr>
      </w:r>
    </w:p>
    <w:p>
      <w:pPr>
        <w:pStyle w:val="Normal"/>
        <w:ind w:right="237" w:hanging="0"/>
        <w:jc w:val="center"/>
        <w:rPr>
          <w:b/>
          <w:b/>
          <w:bCs/>
          <w:color w:val="000000" w:themeColor="text1"/>
          <w:sz w:val="28"/>
          <w:szCs w:val="28"/>
          <w:u w:val="single"/>
        </w:rPr>
      </w:pPr>
      <w:r>
        <w:rPr>
          <w:b/>
          <w:bCs/>
          <w:color w:val="000000" w:themeColor="text1"/>
          <w:sz w:val="28"/>
          <w:szCs w:val="28"/>
          <w:u w:val="single"/>
        </w:rPr>
        <w:t>Task 2 Option 2:</w:t>
      </w:r>
      <w:r>
        <w:rPr>
          <w:b/>
          <w:bCs/>
          <w:color w:val="000000" w:themeColor="text1"/>
          <w:sz w:val="28"/>
          <w:szCs w:val="28"/>
        </w:rPr>
        <w:t xml:space="preserve"> </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t>Policing Communities</w:t>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Regarding community policing chose an incident that you have attended that presented a complex issue for the community, and that you played a significant role in providing a response.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sz w:val="24"/>
          <w:szCs w:val="24"/>
        </w:rPr>
      </w:pPr>
      <w:r>
        <w:rPr>
          <w:sz w:val="24"/>
          <w:szCs w:val="24"/>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3750" w:hRule="atLeast"/>
        </w:trPr>
        <w:tc>
          <w:tcPr>
            <w:tcW w:w="9015" w:type="dxa"/>
            <w:tcBorders/>
            <w:shd w:fill="auto" w:val="clear"/>
          </w:tcPr>
          <w:p>
            <w:pPr>
              <w:pStyle w:val="Normal"/>
              <w:spacing w:lineRule="auto" w:line="259" w:before="0" w:after="160"/>
              <w:rPr>
                <w:rFonts w:ascii="Calibri" w:hAnsi="Calibri" w:eastAsia="新細明體" w:cs="" w:asciiTheme="minorHAnsi" w:cstheme="minorBidi" w:eastAsiaTheme="minorEastAsia" w:hAnsiTheme="minorHAnsi"/>
                <w:color w:val="000000" w:themeColor="text1"/>
                <w:sz w:val="28"/>
                <w:szCs w:val="28"/>
                <w:u w:val="single"/>
              </w:rPr>
            </w:pPr>
            <w:r>
              <w:rPr>
                <w:rFonts w:eastAsia="新細明體" w:cs="" w:cstheme="minorBidi" w:eastAsiaTheme="minorEastAsia" w:ascii="Calibri" w:hAnsi="Calibri"/>
                <w:color w:val="000000" w:themeColor="text1"/>
                <w:sz w:val="28"/>
                <w:szCs w:val="28"/>
                <w:u w:val="single"/>
              </w:rPr>
            </w:r>
          </w:p>
          <w:p>
            <w:pPr>
              <w:pStyle w:val="Normal"/>
              <w:rPr>
                <w:rFonts w:ascii="Calibri" w:hAnsi="Calibri" w:eastAsia="新細明體" w:cs="" w:asciiTheme="minorHAnsi" w:cstheme="minorBidi" w:eastAsiaTheme="minorEastAsia" w:hAnsiTheme="minorHAnsi"/>
                <w:color w:val="000000" w:themeColor="text1"/>
                <w:sz w:val="28"/>
                <w:szCs w:val="28"/>
              </w:rPr>
            </w:pPr>
            <w:r>
              <w:rPr>
                <w:rFonts w:eastAsia="新細明體" w:cs="" w:ascii="Calibri" w:hAnsi="Calibri" w:asciiTheme="minorHAnsi" w:cstheme="minorBidi" w:eastAsiaTheme="minorEastAsia" w:hAnsiTheme="minorHAnsi"/>
                <w:b/>
                <w:bCs/>
                <w:color w:val="000000" w:themeColor="text1"/>
                <w:sz w:val="28"/>
                <w:szCs w:val="28"/>
              </w:rPr>
              <w:t xml:space="preserve"> </w:t>
            </w:r>
            <w:r>
              <w:rPr>
                <w:rFonts w:eastAsia="新細明體" w:cs="" w:ascii="Calibri" w:hAnsi="Calibri" w:asciiTheme="minorHAnsi" w:cstheme="minorBidi" w:eastAsiaTheme="minorEastAsia" w:hAnsiTheme="minorHAnsi"/>
                <w:b/>
                <w:bCs/>
                <w:color w:val="000000" w:themeColor="text1"/>
                <w:sz w:val="28"/>
                <w:szCs w:val="28"/>
              </w:rPr>
              <w:t>Critically evaluate</w:t>
            </w:r>
            <w:r>
              <w:rPr>
                <w:rFonts w:eastAsia="新細明體" w:cs="" w:ascii="Calibri" w:hAnsi="Calibri" w:asciiTheme="minorHAnsi" w:cstheme="minorBidi" w:eastAsiaTheme="minorEastAsia" w:hAnsiTheme="minorHAnsi"/>
                <w:color w:val="000000" w:themeColor="text1"/>
                <w:sz w:val="28"/>
                <w:szCs w:val="28"/>
              </w:rPr>
              <w:t xml:space="preserve"> a range of interventions that you have employed to promote community engagement that assisted in resolving the issue. </w:t>
            </w:r>
          </w:p>
          <w:p>
            <w:pPr>
              <w:pStyle w:val="Normal"/>
              <w:rPr>
                <w:color w:val="000000" w:themeColor="text1"/>
                <w:sz w:val="28"/>
                <w:szCs w:val="28"/>
              </w:rPr>
            </w:pPr>
            <w:r>
              <w:rPr>
                <w:color w:val="000000" w:themeColor="text1"/>
                <w:sz w:val="28"/>
                <w:szCs w:val="28"/>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rPr>
                <w:color w:val="000000" w:themeColor="text1"/>
                <w:sz w:val="28"/>
                <w:szCs w:val="28"/>
              </w:rPr>
            </w:pPr>
            <w:r>
              <w:rPr>
                <w:color w:val="000000" w:themeColor="text1"/>
                <w:sz w:val="28"/>
                <w:szCs w:val="28"/>
              </w:rPr>
            </w:r>
          </w:p>
        </w:tc>
      </w:tr>
    </w:tbl>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t xml:space="preserve">Answer: </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center"/>
        <w:rPr>
          <w:rFonts w:eastAsia="Arial"/>
          <w:color w:val="000000" w:themeColor="text1"/>
          <w:sz w:val="24"/>
          <w:szCs w:val="24"/>
        </w:rPr>
      </w:pPr>
      <w:r>
        <w:rPr>
          <w:rFonts w:eastAsia="Arial"/>
          <w:color w:val="000000" w:themeColor="text1"/>
          <w:sz w:val="24"/>
          <w:szCs w:val="24"/>
        </w:rPr>
      </w:r>
    </w:p>
    <w:p>
      <w:pPr>
        <w:pStyle w:val="Normal"/>
        <w:ind w:right="237" w:hanging="0"/>
        <w:jc w:val="center"/>
        <w:rPr>
          <w:rFonts w:eastAsia="Arial"/>
          <w:color w:val="000000" w:themeColor="text1"/>
          <w:sz w:val="28"/>
          <w:szCs w:val="28"/>
        </w:rPr>
      </w:pPr>
      <w:r>
        <w:rPr>
          <w:rFonts w:eastAsia="Arial"/>
          <w:color w:val="000000" w:themeColor="text1"/>
          <w:sz w:val="28"/>
          <w:szCs w:val="28"/>
        </w:rPr>
      </w:r>
    </w:p>
    <w:p>
      <w:pPr>
        <w:pStyle w:val="Normal"/>
        <w:ind w:left="2880" w:right="237" w:hanging="0"/>
        <w:rPr>
          <w:rFonts w:eastAsia="Arial"/>
          <w:color w:val="000000" w:themeColor="text1"/>
          <w:sz w:val="28"/>
          <w:szCs w:val="28"/>
        </w:rPr>
      </w:pPr>
      <w:r>
        <w:rPr>
          <w:rFonts w:eastAsia="Arial"/>
          <w:b/>
          <w:bCs/>
          <w:color w:val="000000" w:themeColor="text1"/>
          <w:sz w:val="28"/>
          <w:szCs w:val="28"/>
          <w:u w:val="single"/>
        </w:rPr>
        <w:t>Task 2 Option 3</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color w:val="000000" w:themeColor="text1"/>
          <w:sz w:val="24"/>
          <w:szCs w:val="24"/>
          <w:u w:val="single"/>
        </w:rPr>
      </w:pPr>
      <w:r>
        <w:rPr>
          <w:rFonts w:eastAsia="Arial"/>
          <w:color w:val="000000" w:themeColor="text1"/>
          <w:sz w:val="24"/>
          <w:szCs w:val="24"/>
          <w:u w:val="single"/>
        </w:rPr>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t>Road Policing</w:t>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Describe a serious collision that you attended and in which you took a significant role (e.g., initial reporting officer, scene manager, lead investigator).</w:t>
      </w:r>
    </w:p>
    <w:p>
      <w:pPr>
        <w:pStyle w:val="Normal"/>
        <w:ind w:right="237" w:hanging="0"/>
        <w:jc w:val="both"/>
        <w:rPr>
          <w:sz w:val="24"/>
          <w:szCs w:val="24"/>
        </w:rPr>
      </w:pPr>
      <w:r>
        <w:rPr>
          <w:sz w:val="24"/>
          <w:szCs w:val="24"/>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2835" w:hRule="atLeast"/>
        </w:trPr>
        <w:tc>
          <w:tcPr>
            <w:tcW w:w="9015" w:type="dxa"/>
            <w:tcBorders/>
            <w:shd w:fill="auto" w:val="clear"/>
          </w:tcPr>
          <w:p>
            <w:pPr>
              <w:pStyle w:val="Normal"/>
              <w:rPr>
                <w:rFonts w:ascii="Calibri" w:hAnsi="Calibri" w:eastAsia="新細明體" w:cs="" w:asciiTheme="minorHAnsi" w:cstheme="minorBidi" w:eastAsiaTheme="minorEastAsia" w:hAnsiTheme="minorHAnsi"/>
                <w:b/>
                <w:b/>
                <w:bCs/>
                <w:color w:val="000000" w:themeColor="text1"/>
                <w:sz w:val="28"/>
                <w:szCs w:val="28"/>
              </w:rPr>
            </w:pPr>
            <w:r>
              <w:rPr>
                <w:rFonts w:eastAsia="新細明體" w:cs="" w:cstheme="minorBidi" w:eastAsiaTheme="minorEastAsia" w:ascii="Calibri" w:hAnsi="Calibri"/>
                <w:b/>
                <w:bCs/>
                <w:color w:val="000000" w:themeColor="text1"/>
                <w:sz w:val="28"/>
                <w:szCs w:val="28"/>
              </w:rPr>
            </w:r>
          </w:p>
          <w:p>
            <w:pPr>
              <w:pStyle w:val="Normal"/>
              <w:rPr>
                <w:rFonts w:ascii="Calibri" w:hAnsi="Calibri" w:eastAsia="新細明體" w:cs="" w:asciiTheme="minorHAnsi" w:cstheme="minorBidi" w:eastAsiaTheme="minorEastAsia" w:hAnsiTheme="minorHAnsi"/>
                <w:b/>
                <w:b/>
                <w:bCs/>
                <w:color w:val="000000" w:themeColor="text1"/>
                <w:sz w:val="28"/>
                <w:szCs w:val="28"/>
              </w:rPr>
            </w:pPr>
            <w:r>
              <w:rPr>
                <w:rFonts w:eastAsia="新細明體" w:cs="" w:ascii="Calibri" w:hAnsi="Calibri" w:asciiTheme="minorHAnsi" w:cstheme="minorBidi" w:eastAsiaTheme="minorEastAsia" w:hAnsiTheme="minorHAnsi"/>
                <w:b/>
                <w:bCs/>
                <w:color w:val="000000" w:themeColor="text1"/>
                <w:sz w:val="28"/>
                <w:szCs w:val="28"/>
              </w:rPr>
              <w:t xml:space="preserve">Critically evaluate </w:t>
            </w:r>
            <w:r>
              <w:rPr>
                <w:rFonts w:eastAsia="新細明體" w:cs="" w:ascii="Calibri" w:hAnsi="Calibri" w:asciiTheme="minorHAnsi" w:cstheme="minorBidi" w:eastAsiaTheme="minorEastAsia" w:hAnsiTheme="minorHAnsi"/>
                <w:color w:val="000000" w:themeColor="text1"/>
                <w:sz w:val="28"/>
                <w:szCs w:val="28"/>
              </w:rPr>
              <w:t>the evidence base that you dealt with and strategies that could be implemented to reduce the likelihood of it reoccurring.</w:t>
            </w:r>
            <w:r>
              <w:rPr>
                <w:rFonts w:eastAsia="新細明體" w:cs="" w:ascii="Calibri" w:hAnsi="Calibri" w:asciiTheme="minorHAnsi" w:cstheme="minorBidi" w:eastAsiaTheme="minorEastAsia" w:hAnsiTheme="minorHAnsi"/>
                <w:b/>
                <w:bCs/>
                <w:color w:val="000000" w:themeColor="text1"/>
                <w:sz w:val="28"/>
                <w:szCs w:val="28"/>
              </w:rPr>
              <w:t xml:space="preserve"> </w:t>
            </w:r>
          </w:p>
          <w:p>
            <w:pPr>
              <w:pStyle w:val="Normal"/>
              <w:rPr>
                <w:rFonts w:ascii="Calibri" w:hAnsi="Calibri" w:eastAsia="新細明體" w:cs="" w:asciiTheme="minorHAnsi" w:cstheme="minorBidi" w:eastAsiaTheme="minorEastAsia" w:hAnsiTheme="minorHAnsi"/>
                <w:b/>
                <w:b/>
                <w:bCs/>
                <w:color w:val="000000" w:themeColor="text1"/>
                <w:sz w:val="28"/>
                <w:szCs w:val="28"/>
              </w:rPr>
            </w:pPr>
            <w:r>
              <w:rPr>
                <w:rFonts w:eastAsia="新細明體" w:cs="" w:cstheme="minorBidi" w:eastAsiaTheme="minorEastAsia" w:ascii="Calibri" w:hAnsi="Calibri"/>
                <w:b/>
                <w:bCs/>
                <w:color w:val="000000" w:themeColor="text1"/>
                <w:sz w:val="28"/>
                <w:szCs w:val="28"/>
              </w:rPr>
            </w:r>
          </w:p>
          <w:p>
            <w:pPr>
              <w:pStyle w:val="Normal"/>
              <w:rPr>
                <w:color w:val="000000" w:themeColor="text1"/>
                <w:sz w:val="28"/>
                <w:szCs w:val="28"/>
              </w:rPr>
            </w:pPr>
            <w:r>
              <w:rPr>
                <w:color w:val="000000" w:themeColor="text1"/>
                <w:sz w:val="28"/>
                <w:szCs w:val="28"/>
              </w:rPr>
            </w:r>
          </w:p>
          <w:p>
            <w:pPr>
              <w:pStyle w:val="Normal"/>
              <w:rPr>
                <w:color w:val="000000" w:themeColor="text1"/>
                <w:sz w:val="28"/>
                <w:szCs w:val="28"/>
              </w:rPr>
            </w:pPr>
            <w:r>
              <w:rPr>
                <w:color w:val="000000" w:themeColor="text1"/>
                <w:sz w:val="28"/>
                <w:szCs w:val="28"/>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rPr>
                <w:color w:val="000000" w:themeColor="text1"/>
                <w:sz w:val="28"/>
                <w:szCs w:val="28"/>
              </w:rPr>
            </w:pPr>
            <w:r>
              <w:rPr>
                <w:color w:val="000000" w:themeColor="text1"/>
                <w:sz w:val="28"/>
                <w:szCs w:val="28"/>
              </w:rPr>
            </w:r>
          </w:p>
        </w:tc>
      </w:tr>
    </w:tbl>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t xml:space="preserve">Answer: </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spacing w:beforeAutospacing="1" w:afterAutospacing="1"/>
        <w:ind w:left="3600" w:right="225" w:hanging="0"/>
        <w:rPr>
          <w:rFonts w:eastAsia="Arial"/>
          <w:color w:val="000000" w:themeColor="text1"/>
          <w:sz w:val="24"/>
          <w:szCs w:val="24"/>
        </w:rPr>
      </w:pPr>
      <w:r>
        <w:rPr>
          <w:rFonts w:eastAsia="Arial"/>
          <w:color w:val="000000" w:themeColor="text1"/>
          <w:sz w:val="24"/>
          <w:szCs w:val="24"/>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color w:val="000000" w:themeColor="text1"/>
          <w:sz w:val="28"/>
          <w:szCs w:val="28"/>
        </w:rPr>
      </w:pPr>
      <w:r>
        <w:rPr>
          <w:rFonts w:eastAsia="Arial"/>
          <w:b/>
          <w:bCs/>
          <w:color w:val="000000" w:themeColor="text1"/>
          <w:sz w:val="28"/>
          <w:szCs w:val="28"/>
          <w:u w:val="single"/>
        </w:rPr>
        <w:t>Task 2 Option 4</w:t>
      </w:r>
    </w:p>
    <w:p>
      <w:pPr>
        <w:pStyle w:val="Normal"/>
        <w:ind w:left="2880" w:right="237" w:hanging="0"/>
        <w:rPr>
          <w:b/>
          <w:b/>
          <w:bCs/>
          <w:color w:val="000000" w:themeColor="text1"/>
          <w:sz w:val="28"/>
          <w:szCs w:val="28"/>
          <w:u w:val="single"/>
        </w:rPr>
      </w:pPr>
      <w:r>
        <w:rPr>
          <w:b/>
          <w:bCs/>
          <w:color w:val="000000" w:themeColor="text1"/>
          <w:sz w:val="28"/>
          <w:szCs w:val="28"/>
          <w:u w:val="single"/>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color w:val="000000" w:themeColor="text1"/>
          <w:sz w:val="24"/>
          <w:szCs w:val="24"/>
          <w:u w:val="single"/>
        </w:rPr>
      </w:pPr>
      <w:r>
        <w:rPr>
          <w:rFonts w:eastAsia="Arial"/>
          <w:color w:val="000000" w:themeColor="text1"/>
          <w:sz w:val="24"/>
          <w:szCs w:val="24"/>
          <w:u w:val="single"/>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Information and Intelligence</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You should choose an investigation that you have been involved in </w:t>
      </w:r>
      <w:r>
        <w:rPr>
          <w:rFonts w:eastAsia="Arial"/>
          <w:b/>
          <w:bCs/>
          <w:color w:val="000000" w:themeColor="text1"/>
          <w:sz w:val="24"/>
          <w:szCs w:val="24"/>
        </w:rPr>
        <w:t xml:space="preserve">that was of a complex nature, </w:t>
      </w:r>
      <w:r>
        <w:rPr>
          <w:rFonts w:eastAsia="Arial"/>
          <w:color w:val="000000" w:themeColor="text1"/>
          <w:sz w:val="24"/>
          <w:szCs w:val="24"/>
        </w:rPr>
        <w:t>in which you played a significant role.</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2040" w:hRule="atLeast"/>
        </w:trPr>
        <w:tc>
          <w:tcPr>
            <w:tcW w:w="9015" w:type="dxa"/>
            <w:tcBorders/>
            <w:shd w:fill="auto" w:val="clear"/>
          </w:tcPr>
          <w:p>
            <w:pPr>
              <w:pStyle w:val="Normal"/>
              <w:spacing w:lineRule="auto" w:line="259" w:before="0" w:after="160"/>
              <w:rPr>
                <w:rFonts w:eastAsia="Arial"/>
                <w:color w:val="000000" w:themeColor="text1"/>
                <w:sz w:val="24"/>
                <w:szCs w:val="24"/>
              </w:rPr>
            </w:pPr>
            <w:r>
              <w:rPr>
                <w:rFonts w:eastAsia="Arial"/>
                <w:color w:val="000000" w:themeColor="text1"/>
                <w:sz w:val="24"/>
                <w:szCs w:val="24"/>
              </w:rPr>
              <w:t xml:space="preserve"> </w:t>
            </w:r>
          </w:p>
          <w:p>
            <w:pPr>
              <w:pStyle w:val="Normal"/>
              <w:spacing w:lineRule="auto" w:line="259" w:before="0" w:after="160"/>
              <w:rPr>
                <w:rFonts w:eastAsia="Arial"/>
                <w:color w:val="000000" w:themeColor="text1"/>
                <w:sz w:val="24"/>
                <w:szCs w:val="24"/>
              </w:rPr>
            </w:pPr>
            <w:r>
              <w:rPr>
                <w:rFonts w:eastAsia="Arial"/>
                <w:b/>
                <w:bCs/>
                <w:color w:val="000000" w:themeColor="text1"/>
                <w:sz w:val="24"/>
                <w:szCs w:val="24"/>
              </w:rPr>
              <w:t>Critically analyse</w:t>
            </w:r>
            <w:r>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pPr>
              <w:pStyle w:val="Normal"/>
              <w:spacing w:lineRule="auto" w:line="259" w:before="0" w:after="160"/>
              <w:rPr>
                <w:rFonts w:eastAsia="Arial"/>
                <w:color w:val="000000" w:themeColor="text1"/>
                <w:sz w:val="24"/>
                <w:szCs w:val="24"/>
              </w:rPr>
            </w:pPr>
            <w:r>
              <w:rPr>
                <w:rFonts w:eastAsia="Arial"/>
                <w:color w:val="000000" w:themeColor="text1"/>
                <w:sz w:val="24"/>
                <w:szCs w:val="24"/>
              </w:rPr>
              <w:t>Reference how effective information and intelligence was used within your operation, and how you used specialist intelligence roles to support your complex investigation.</w:t>
            </w:r>
          </w:p>
          <w:p>
            <w:pPr>
              <w:pStyle w:val="Normal"/>
              <w:rPr>
                <w:color w:val="000000" w:themeColor="text1"/>
                <w:sz w:val="28"/>
                <w:szCs w:val="28"/>
              </w:rPr>
            </w:pPr>
            <w:r>
              <w:rPr>
                <w:color w:val="000000" w:themeColor="text1"/>
                <w:sz w:val="28"/>
                <w:szCs w:val="28"/>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spacing w:lineRule="auto" w:line="259" w:before="0" w:after="160"/>
              <w:rPr>
                <w:color w:val="000000" w:themeColor="text1"/>
                <w:sz w:val="28"/>
                <w:szCs w:val="28"/>
              </w:rPr>
            </w:pPr>
            <w:r>
              <w:rPr>
                <w:color w:val="000000" w:themeColor="text1"/>
                <w:sz w:val="28"/>
                <w:szCs w:val="28"/>
              </w:rPr>
            </w:r>
          </w:p>
          <w:p>
            <w:pPr>
              <w:pStyle w:val="Normal"/>
              <w:rPr>
                <w:color w:val="000000" w:themeColor="text1"/>
                <w:sz w:val="24"/>
                <w:szCs w:val="24"/>
              </w:rPr>
            </w:pPr>
            <w:r>
              <w:rPr>
                <w:color w:val="000000" w:themeColor="text1"/>
                <w:sz w:val="24"/>
                <w:szCs w:val="24"/>
              </w:rPr>
            </w:r>
          </w:p>
        </w:tc>
      </w:tr>
    </w:tbl>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bCs/>
          <w:color w:val="000000" w:themeColor="text1"/>
          <w:sz w:val="28"/>
          <w:szCs w:val="28"/>
        </w:rPr>
      </w:pPr>
      <w:r>
        <w:rPr>
          <w:b/>
          <w:bCs/>
          <w:color w:val="000000" w:themeColor="text1"/>
          <w:sz w:val="28"/>
          <w:szCs w:val="28"/>
        </w:rPr>
        <w:t xml:space="preserve">Answer: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left="2880" w:right="237" w:hanging="0"/>
        <w:rPr>
          <w:rFonts w:eastAsia="Arial"/>
          <w:color w:val="000000" w:themeColor="text1"/>
          <w:sz w:val="28"/>
          <w:szCs w:val="28"/>
        </w:rPr>
      </w:pPr>
      <w:r>
        <w:rPr>
          <w:rFonts w:eastAsia="Arial"/>
          <w:b/>
          <w:bCs/>
          <w:color w:val="000000" w:themeColor="text1"/>
          <w:sz w:val="28"/>
          <w:szCs w:val="28"/>
          <w:u w:val="single"/>
        </w:rPr>
        <w:t>Task 2 Option 5</w:t>
      </w:r>
    </w:p>
    <w:p>
      <w:pPr>
        <w:pStyle w:val="Normal"/>
        <w:ind w:left="2880" w:right="237" w:hanging="0"/>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color w:val="000000" w:themeColor="text1"/>
          <w:sz w:val="24"/>
          <w:szCs w:val="24"/>
          <w:u w:val="single"/>
        </w:rPr>
      </w:pPr>
      <w:r>
        <w:rPr>
          <w:rFonts w:eastAsia="Arial"/>
          <w:color w:val="000000" w:themeColor="text1"/>
          <w:sz w:val="24"/>
          <w:szCs w:val="24"/>
          <w:u w:val="single"/>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Conducting Investigations</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You should choose an investigation that you have been involved in</w:t>
      </w:r>
      <w:r>
        <w:rPr>
          <w:rFonts w:eastAsia="Arial"/>
          <w:b/>
          <w:bCs/>
          <w:color w:val="000000" w:themeColor="text1"/>
          <w:sz w:val="24"/>
          <w:szCs w:val="24"/>
        </w:rPr>
        <w:t xml:space="preserve"> that was of a complex nature, </w:t>
      </w:r>
      <w:r>
        <w:rPr>
          <w:rFonts w:eastAsia="Arial"/>
          <w:color w:val="000000" w:themeColor="text1"/>
          <w:sz w:val="24"/>
          <w:szCs w:val="24"/>
        </w:rPr>
        <w:t>in which you played a significant role.</w:t>
      </w:r>
    </w:p>
    <w:p>
      <w:pPr>
        <w:pStyle w:val="Normal"/>
        <w:ind w:right="237" w:hanging="0"/>
        <w:jc w:val="both"/>
        <w:rPr>
          <w:color w:val="000000" w:themeColor="text1"/>
          <w:sz w:val="24"/>
          <w:szCs w:val="24"/>
        </w:rPr>
      </w:pPr>
      <w:r>
        <w:rPr>
          <w:color w:val="000000" w:themeColor="text1"/>
          <w:sz w:val="24"/>
          <w:szCs w:val="24"/>
        </w:rPr>
      </w:r>
    </w:p>
    <w:p>
      <w:pPr>
        <w:pStyle w:val="Normal"/>
        <w:rPr/>
      </w:pPr>
      <w:r>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3420" w:hRule="atLeast"/>
        </w:trPr>
        <w:tc>
          <w:tcPr>
            <w:tcW w:w="9015" w:type="dxa"/>
            <w:tcBorders/>
            <w:shd w:fill="auto" w:val="clear"/>
          </w:tcPr>
          <w:p>
            <w:pPr>
              <w:pStyle w:val="Normal"/>
              <w:ind w:right="237" w:hanging="0"/>
              <w:jc w:val="both"/>
              <w:rPr>
                <w:sz w:val="24"/>
                <w:szCs w:val="24"/>
              </w:rPr>
            </w:pPr>
            <w:r>
              <w:rPr>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Critically evaluate</w:t>
            </w:r>
            <w:r>
              <w:rPr>
                <w:rFonts w:eastAsia="Arial"/>
                <w:color w:val="000000" w:themeColor="text1"/>
                <w:sz w:val="24"/>
                <w:szCs w:val="24"/>
              </w:rPr>
              <w:t xml:space="preserve"> the processes employed in a complex investigation you have been involved in, and the fast-track actions that you have utilised.</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pPr>
              <w:pStyle w:val="Normal"/>
              <w:ind w:right="237" w:hanging="0"/>
              <w:jc w:val="both"/>
              <w:rPr>
                <w:sz w:val="24"/>
                <w:szCs w:val="24"/>
              </w:rPr>
            </w:pPr>
            <w:r>
              <w:rPr>
                <w:sz w:val="24"/>
                <w:szCs w:val="24"/>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rPr>
                <w:color w:val="000000" w:themeColor="text1"/>
                <w:sz w:val="28"/>
                <w:szCs w:val="28"/>
              </w:rPr>
            </w:pPr>
            <w:r>
              <w:rPr>
                <w:color w:val="000000" w:themeColor="text1"/>
                <w:sz w:val="28"/>
                <w:szCs w:val="28"/>
              </w:rPr>
            </w:r>
          </w:p>
        </w:tc>
      </w:tr>
    </w:tbl>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bCs/>
          <w:color w:val="000000" w:themeColor="text1"/>
          <w:sz w:val="28"/>
          <w:szCs w:val="28"/>
        </w:rPr>
      </w:pPr>
      <w:r>
        <w:rPr>
          <w:b/>
          <w:bCs/>
          <w:color w:val="000000" w:themeColor="text1"/>
          <w:sz w:val="28"/>
          <w:szCs w:val="28"/>
        </w:rPr>
        <w:t xml:space="preserve">Answer: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sz w:val="24"/>
          <w:szCs w:val="24"/>
        </w:rPr>
      </w:pPr>
      <w:r>
        <w:rPr>
          <w:b/>
          <w:sz w:val="24"/>
          <w:szCs w:val="24"/>
        </w:rPr>
      </w:r>
    </w:p>
    <w:p>
      <w:pPr>
        <w:pStyle w:val="Normal"/>
        <w:ind w:right="237" w:hanging="0"/>
        <w:rPr/>
      </w:pPr>
      <w:r>
        <w:rPr/>
      </w:r>
      <w:r>
        <w:br w:type="page"/>
      </w:r>
    </w:p>
    <w:p>
      <w:pPr>
        <w:pStyle w:val="Normal"/>
        <w:ind w:left="2880" w:right="225" w:firstLine="720"/>
        <w:rPr>
          <w:b/>
          <w:b/>
          <w:bCs/>
          <w:sz w:val="24"/>
          <w:szCs w:val="24"/>
          <w:lang w:eastAsia="zh-TW"/>
        </w:rPr>
      </w:pPr>
      <w:r>
        <w:rPr>
          <w:b/>
          <w:bCs/>
          <w:sz w:val="24"/>
          <w:szCs w:val="24"/>
          <w:lang w:eastAsia="zh-TW"/>
        </w:rPr>
      </w:r>
    </w:p>
    <w:p>
      <w:pPr>
        <w:pStyle w:val="Normal"/>
        <w:rPr/>
      </w:pPr>
      <w:r>
        <w:rPr>
          <w:rFonts w:eastAsia="Arial"/>
          <w:b/>
          <w:bCs/>
          <w:color w:val="000000" w:themeColor="text1"/>
          <w:sz w:val="24"/>
          <w:szCs w:val="24"/>
        </w:rPr>
        <w:t xml:space="preserve">Authentication signature: </w:t>
      </w:r>
    </w:p>
    <w:p>
      <w:pPr>
        <w:pStyle w:val="Normal"/>
        <w:rPr/>
      </w:pPr>
      <w:r>
        <w:rPr>
          <w:rFonts w:eastAsia="Arial"/>
          <w:b/>
          <w:bCs/>
          <w:color w:val="000000" w:themeColor="text1"/>
          <w:sz w:val="24"/>
          <w:szCs w:val="24"/>
        </w:rPr>
        <w:t xml:space="preserve"> </w:t>
      </w:r>
    </w:p>
    <w:p>
      <w:pPr>
        <w:pStyle w:val="Normal"/>
        <w:rPr/>
      </w:pPr>
      <w:r>
        <w:rPr>
          <w:rFonts w:eastAsia="Arial"/>
          <w:b/>
          <w:bCs/>
          <w:color w:val="000000" w:themeColor="text1"/>
          <w:sz w:val="24"/>
          <w:szCs w:val="24"/>
        </w:rPr>
        <w:t xml:space="preserve">Please sign to confirm that the work submitted is your own and has not been copied from another: </w:t>
      </w:r>
    </w:p>
    <w:p>
      <w:pPr>
        <w:pStyle w:val="Normal"/>
        <w:rPr/>
      </w:pPr>
      <w:r>
        <w:rPr>
          <w:rFonts w:eastAsia="Arial"/>
          <w:b/>
          <w:bCs/>
          <w:color w:val="000000" w:themeColor="text1"/>
          <w:sz w:val="24"/>
          <w:szCs w:val="24"/>
        </w:rPr>
        <w:t xml:space="preserve"> </w:t>
      </w:r>
    </w:p>
    <w:p>
      <w:pPr>
        <w:pStyle w:val="Normal"/>
        <w:rPr/>
      </w:pPr>
      <w:r>
        <w:rPr>
          <w:rFonts w:eastAsia="Arial"/>
          <w:b/>
          <w:bCs/>
          <w:color w:val="000000" w:themeColor="text1"/>
          <w:sz w:val="24"/>
          <w:szCs w:val="24"/>
        </w:rPr>
        <w:t xml:space="preserve">Signed: </w:t>
      </w:r>
    </w:p>
    <w:p>
      <w:pPr>
        <w:pStyle w:val="Normal"/>
        <w:rPr/>
      </w:pPr>
      <w:r>
        <w:rPr>
          <w:rFonts w:eastAsia="Arial"/>
          <w:b/>
          <w:bCs/>
          <w:color w:val="000000" w:themeColor="text1"/>
          <w:sz w:val="24"/>
          <w:szCs w:val="24"/>
        </w:rPr>
        <w:t xml:space="preserve"> </w:t>
      </w:r>
    </w:p>
    <w:p>
      <w:pPr>
        <w:sectPr>
          <w:headerReference w:type="default" r:id="rId8"/>
          <w:footerReference w:type="default" r:id="rId9"/>
          <w:type w:val="nextPage"/>
          <w:pgSz w:w="11906" w:h="16838"/>
          <w:pgMar w:left="1440" w:right="1440" w:header="720" w:top="1440" w:footer="720" w:bottom="1440" w:gutter="0"/>
          <w:pgNumType w:fmt="decimal"/>
          <w:formProt w:val="false"/>
          <w:textDirection w:val="lrTb"/>
          <w:docGrid w:type="default" w:linePitch="272" w:charSpace="8192"/>
        </w:sectPr>
        <w:pStyle w:val="Normal"/>
        <w:rPr/>
      </w:pPr>
      <w:r>
        <w:rPr>
          <w:rFonts w:eastAsia="Arial"/>
          <w:b/>
          <w:bCs/>
          <w:color w:val="000000" w:themeColor="text1"/>
          <w:sz w:val="24"/>
          <w:szCs w:val="24"/>
        </w:rPr>
        <w:t>Date:</w:t>
      </w:r>
    </w:p>
    <w:p>
      <w:pPr>
        <w:pStyle w:val="Normal"/>
        <w:keepNext w:val="true"/>
        <w:spacing w:before="240" w:after="60"/>
        <w:ind w:left="2880" w:right="237" w:firstLine="720"/>
        <w:jc w:val="both"/>
        <w:rPr>
          <w:b/>
          <w:b/>
          <w:sz w:val="24"/>
          <w:szCs w:val="24"/>
        </w:rPr>
      </w:pPr>
      <w:r>
        <w:rPr>
          <w:b/>
          <w:sz w:val="24"/>
          <w:szCs w:val="24"/>
        </w:rPr>
        <w:t>Bibliography</w:t>
      </w:r>
    </w:p>
    <w:p>
      <w:pPr>
        <w:pStyle w:val="Normal"/>
        <w:keepNext w:val="true"/>
        <w:spacing w:before="240" w:after="60"/>
        <w:ind w:right="237" w:hanging="0"/>
        <w:jc w:val="both"/>
        <w:rPr>
          <w:sz w:val="24"/>
          <w:szCs w:val="24"/>
        </w:rPr>
      </w:pPr>
      <w:r>
        <w:rPr>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pPr>
        <w:pStyle w:val="Normal"/>
        <w:keepNext w:val="true"/>
        <w:spacing w:before="240" w:after="60"/>
        <w:ind w:right="237" w:hanging="0"/>
        <w:jc w:val="both"/>
        <w:rPr>
          <w:sz w:val="24"/>
          <w:szCs w:val="24"/>
        </w:rPr>
      </w:pPr>
      <w:r>
        <w:rPr>
          <w:sz w:val="24"/>
          <w:szCs w:val="24"/>
        </w:rPr>
      </w:r>
    </w:p>
    <w:p>
      <w:pPr>
        <w:pStyle w:val="Normal"/>
        <w:keepNext w:val="true"/>
        <w:spacing w:before="240" w:after="60"/>
        <w:ind w:right="237" w:hanging="0"/>
        <w:jc w:val="both"/>
        <w:rPr/>
      </w:pPr>
      <w:r>
        <w:rPr/>
      </w:r>
    </w:p>
    <w:p>
      <w:pPr>
        <w:pStyle w:val="Normal"/>
        <w:rPr/>
      </w:pPr>
      <w:r>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pPr>
      <w:r>
        <w:rPr>
          <w:i/>
          <w:iCs/>
        </w:rPr>
        <w:t xml:space="preserve">Achieving best evidence – Government 2022 </w:t>
      </w:r>
      <w:r>
        <w:rPr/>
        <w:t>Available at:</w:t>
      </w:r>
    </w:p>
    <w:p>
      <w:pPr>
        <w:pStyle w:val="Normal"/>
        <w:keepNext w:val="true"/>
        <w:spacing w:before="240" w:after="60"/>
        <w:ind w:right="237" w:hanging="0"/>
        <w:jc w:val="both"/>
        <w:rPr/>
      </w:pPr>
      <w:r>
        <w:rPr>
          <w:rFonts w:cs="Times New Roman" w:ascii="Times New Roman" w:hAnsi="Times New Roman"/>
          <w:i/>
          <w:iCs/>
          <w:sz w:val="24"/>
          <w:szCs w:val="24"/>
        </w:rPr>
        <w:t xml:space="preserve">Adults at risk – College of policing 2020. </w:t>
      </w:r>
      <w:r>
        <w:rPr>
          <w:rFonts w:cs="Times New Roman" w:ascii="Times New Roman" w:hAnsi="Times New Roman"/>
          <w:sz w:val="24"/>
          <w:szCs w:val="24"/>
        </w:rPr>
        <w:t xml:space="preserve">Available at: </w:t>
      </w:r>
      <w:r>
        <w:rPr/>
        <w:t xml:space="preserve"> https://www.college.police.uk/app/major-investigation-and-public-protection/adults-risk (accessed 19 January 2024).</w:t>
      </w:r>
    </w:p>
    <w:p>
      <w:pPr>
        <w:pStyle w:val="NormalWeb"/>
        <w:spacing w:before="100" w:after="100"/>
        <w:ind w:left="567" w:hanging="567"/>
        <w:rPr/>
      </w:pPr>
      <w:r>
        <w:rPr/>
        <w:t>Borton, T. (1970) Reach Touch and Teach. New York: McGraw-Hill Paperbacks.</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Bottaro, A. (2022) </w:t>
      </w:r>
      <w:r>
        <w:rPr>
          <w:rFonts w:cs="Times New Roman" w:ascii="Times New Roman" w:hAnsi="Times New Roman"/>
          <w:i/>
          <w:iCs/>
          <w:color w:val="auto"/>
          <w:sz w:val="24"/>
          <w:szCs w:val="24"/>
        </w:rPr>
        <w:t>What is the cycle of abuse and how do you end it?</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Verywell Health</w:t>
      </w:r>
      <w:r>
        <w:rPr>
          <w:rFonts w:cs="Times New Roman" w:ascii="Times New Roman" w:hAnsi="Times New Roman"/>
          <w:color w:val="auto"/>
          <w:sz w:val="24"/>
          <w:szCs w:val="24"/>
        </w:rPr>
        <w:t xml:space="preserve">. Available at: https://www.verywellhealth.com/cycle-of-abuse-5210940 (Accessed: 24 August 2023). </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i/>
          <w:iCs/>
          <w:color w:val="auto"/>
          <w:sz w:val="24"/>
          <w:szCs w:val="24"/>
        </w:rPr>
        <w:t>British Sign Language Act 2022 - legislation.gov.uk</w:t>
      </w:r>
      <w:r>
        <w:rPr>
          <w:rFonts w:cs="Times New Roman" w:ascii="Times New Roman" w:hAnsi="Times New Roman"/>
          <w:color w:val="auto"/>
          <w:sz w:val="24"/>
          <w:szCs w:val="24"/>
        </w:rPr>
        <w:t xml:space="preserve"> (2022) </w:t>
      </w:r>
      <w:r>
        <w:rPr>
          <w:rFonts w:cs="Times New Roman" w:ascii="Times New Roman" w:hAnsi="Times New Roman"/>
          <w:i/>
          <w:iCs/>
          <w:color w:val="auto"/>
          <w:sz w:val="24"/>
          <w:szCs w:val="24"/>
        </w:rPr>
        <w:t>Legislation</w:t>
      </w:r>
      <w:r>
        <w:rPr>
          <w:rFonts w:cs="Times New Roman" w:ascii="Times New Roman" w:hAnsi="Times New Roman"/>
          <w:color w:val="auto"/>
          <w:sz w:val="24"/>
          <w:szCs w:val="24"/>
        </w:rPr>
        <w:t xml:space="preserve">. Available at: https://www.legislation.gov.uk/ukpga/2022/34/section/4/enacted (Accessed: 19 January 2024). </w:t>
      </w:r>
    </w:p>
    <w:p>
      <w:pPr>
        <w:pStyle w:val="NormalWeb"/>
        <w:spacing w:before="100" w:after="100"/>
        <w:ind w:left="567" w:hanging="567"/>
        <w:rPr/>
      </w:pPr>
      <w:r>
        <w:rPr>
          <w:i/>
          <w:iCs/>
        </w:rPr>
        <w:t>Code of practice for victims of crime in England and Wales (victim's code)</w:t>
      </w:r>
      <w:r>
        <w:rPr/>
        <w:t xml:space="preserve"> (no date) </w:t>
      </w:r>
      <w:r>
        <w:rPr>
          <w:i/>
          <w:iCs/>
        </w:rPr>
        <w:t>GOV.UK</w:t>
      </w:r>
      <w:r>
        <w:rPr/>
        <w:t xml:space="preserve">. Available at: https://www.gov.uk/government/publications/the-code-of-practice-for-victims-of-crime/code-of-practice-for-victims-of-crime-in-england-and-wales-victims-code (Accessed: March 6, 2023). </w:t>
      </w:r>
    </w:p>
    <w:p>
      <w:pPr>
        <w:pStyle w:val="Normal"/>
        <w:rPr>
          <w:rFonts w:ascii="Times New Roman" w:hAnsi="Times New Roman" w:cs="Times New Roman"/>
          <w:sz w:val="24"/>
          <w:szCs w:val="24"/>
        </w:rPr>
      </w:pPr>
      <w:r>
        <w:rPr>
          <w:rFonts w:cs="Times New Roman" w:ascii="Times New Roman" w:hAnsi="Times New Roman"/>
          <w:i/>
          <w:iCs/>
          <w:sz w:val="24"/>
          <w:szCs w:val="24"/>
        </w:rPr>
        <w:t xml:space="preserve">Coercive controlling behaviour, Legislation 2015. </w:t>
      </w:r>
      <w:r>
        <w:rPr>
          <w:rFonts w:cs="Times New Roman" w:ascii="Times New Roman" w:hAnsi="Times New Roman"/>
          <w:sz w:val="24"/>
          <w:szCs w:val="24"/>
        </w:rPr>
        <w:t>Available at: https://www.legislation.gov.uk/ukpga/2015/9/section/76/enacted (Accessed 19 January 2024)</w:t>
      </w:r>
    </w:p>
    <w:p>
      <w:pPr>
        <w:pStyle w:val="NormalWeb"/>
        <w:spacing w:before="100" w:after="100"/>
        <w:ind w:left="567" w:hanging="567"/>
        <w:rPr/>
      </w:pPr>
      <w:r>
        <w:rPr/>
        <w:t xml:space="preserve">College of Policing (2023) </w:t>
      </w:r>
      <w:r>
        <w:rPr>
          <w:i/>
          <w:iCs/>
        </w:rPr>
        <w:t>Conflict management skills</w:t>
      </w:r>
      <w:r>
        <w:rPr/>
        <w:t xml:space="preserve">. Available at: https://www.college.police.uk/guidance/conflict-management/conflict-management-skills (Accessed: 11 May 2023). </w:t>
      </w:r>
    </w:p>
    <w:p>
      <w:pPr>
        <w:pStyle w:val="NormalWeb"/>
        <w:spacing w:before="100" w:after="100"/>
        <w:ind w:left="567" w:hanging="567"/>
        <w:rPr/>
      </w:pPr>
      <w:r>
        <w:rPr/>
        <w:t xml:space="preserve">College of policing (2023) </w:t>
      </w:r>
      <w:r>
        <w:rPr>
          <w:i/>
          <w:iCs/>
        </w:rPr>
        <w:t>National decision model</w:t>
      </w:r>
      <w:r>
        <w:rPr/>
        <w:t xml:space="preserve">. Available at: https://www.college.police.uk/app/national-decision-model/national-decision-model (Accessed: 15 May 2023). </w:t>
      </w:r>
    </w:p>
    <w:p>
      <w:pPr>
        <w:pStyle w:val="NormalWeb"/>
        <w:spacing w:before="100" w:after="100"/>
        <w:ind w:left="567" w:hanging="567"/>
        <w:rPr/>
      </w:pPr>
      <w:r>
        <w:rPr/>
        <w:t xml:space="preserve">College of Policing (2023) </w:t>
      </w:r>
      <w:r>
        <w:rPr>
          <w:i/>
          <w:iCs/>
        </w:rPr>
        <w:t>Rapport building</w:t>
      </w:r>
      <w:r>
        <w:rPr/>
        <w:t xml:space="preserve">. Available at: https://www.college.police.uk/guidance/obtaining-initial-accounts/rapport-building (Accessed: 11 May 2023). </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i/>
          <w:iCs/>
          <w:color w:val="auto"/>
          <w:sz w:val="24"/>
          <w:szCs w:val="24"/>
        </w:rPr>
        <w:t>Conflict management skills</w:t>
      </w:r>
      <w:r>
        <w:rPr>
          <w:rFonts w:cs="Times New Roman" w:ascii="Times New Roman" w:hAnsi="Times New Roman"/>
          <w:color w:val="auto"/>
          <w:sz w:val="24"/>
          <w:szCs w:val="24"/>
        </w:rPr>
        <w:t xml:space="preserve"> (2023) </w:t>
      </w:r>
      <w:r>
        <w:rPr>
          <w:rFonts w:cs="Times New Roman" w:ascii="Times New Roman" w:hAnsi="Times New Roman"/>
          <w:i/>
          <w:iCs/>
          <w:color w:val="auto"/>
          <w:sz w:val="24"/>
          <w:szCs w:val="24"/>
        </w:rPr>
        <w:t>College of Policing</w:t>
      </w:r>
      <w:r>
        <w:rPr>
          <w:rFonts w:cs="Times New Roman" w:ascii="Times New Roman" w:hAnsi="Times New Roman"/>
          <w:color w:val="auto"/>
          <w:sz w:val="24"/>
          <w:szCs w:val="24"/>
        </w:rPr>
        <w:t xml:space="preserve">. Available at: https://www.college.police.uk/guidance/conflict-management/conflict-management-skills (Accessed: 24 August 2023). </w:t>
      </w:r>
    </w:p>
    <w:p>
      <w:pPr>
        <w:pStyle w:val="NormalWeb"/>
        <w:spacing w:before="100" w:after="100"/>
        <w:ind w:left="567" w:hanging="567"/>
        <w:rPr/>
      </w:pPr>
      <w:r>
        <w:rPr/>
        <w:t xml:space="preserve">Crown prosecution service (2023) </w:t>
      </w:r>
      <w:r>
        <w:rPr>
          <w:i/>
          <w:iCs/>
        </w:rPr>
        <w:t>Special Measures | The Crown Prosecution Service</w:t>
      </w:r>
      <w:r>
        <w:rPr/>
        <w:t xml:space="preserve">. Available at: https://www.cps.gov.uk/legal-guidance/special-measures (Accessed: 11 May 2023). </w:t>
      </w:r>
    </w:p>
    <w:p>
      <w:pPr>
        <w:pStyle w:val="Normal"/>
        <w:rPr>
          <w:rFonts w:ascii="Times New Roman" w:hAnsi="Times New Roman" w:cs="Times New Roman"/>
          <w:sz w:val="24"/>
          <w:szCs w:val="24"/>
        </w:rPr>
      </w:pPr>
      <w:r>
        <w:rPr>
          <w:rFonts w:cs="Times New Roman" w:ascii="Times New Roman" w:hAnsi="Times New Roman"/>
          <w:sz w:val="24"/>
          <w:szCs w:val="24"/>
        </w:rPr>
        <w:t>https://womenagainstabuse.org/education-resources/learn-about-abuse/why-its-so-difficult-to-leave#:~:text=Leaving%20can%20be%20dangerous%3A%20Many%20people%20experiencing%20intimate,child%2C%20family%20member%20or%20pet%20if%20they%20leave. (Accessed 19</w:t>
      </w:r>
      <w:r>
        <w:rPr>
          <w:rFonts w:cs="Times New Roman" w:ascii="Times New Roman" w:hAnsi="Times New Roman"/>
          <w:sz w:val="24"/>
          <w:szCs w:val="24"/>
          <w:vertAlign w:val="superscript"/>
        </w:rPr>
        <w:t>th</w:t>
      </w:r>
      <w:r>
        <w:rPr>
          <w:rFonts w:cs="Times New Roman" w:ascii="Times New Roman" w:hAnsi="Times New Roman"/>
          <w:sz w:val="24"/>
          <w:szCs w:val="24"/>
        </w:rPr>
        <w:t xml:space="preserve"> January 2024)</w:t>
      </w:r>
    </w:p>
    <w:p>
      <w:pPr>
        <w:pStyle w:val="Normal"/>
        <w:rPr/>
      </w:pPr>
      <w:r>
        <w:rPr/>
        <w:t>https://www.gov.uk/government/publications/achieving-best-evidence-in-criminal-proceedings (Accessed 19th January 2024)</w:t>
      </w:r>
    </w:p>
    <w:p>
      <w:pPr>
        <w:pStyle w:val="Normal"/>
        <w:rPr/>
      </w:pPr>
      <w:r>
        <w:rPr/>
      </w:r>
    </w:p>
    <w:p>
      <w:pPr>
        <w:pStyle w:val="TextBody"/>
        <w:spacing w:before="0" w:after="283"/>
        <w:ind w:left="567" w:right="0" w:hanging="567"/>
        <w:rPr>
          <w:b w:val="false"/>
          <w:b w:val="false"/>
          <w:bCs w:val="false"/>
        </w:rPr>
      </w:pPr>
      <w:r>
        <w:rPr>
          <w:b w:val="false"/>
          <w:bCs w:val="false"/>
        </w:rPr>
        <w:t xml:space="preserve">DA service, O. (2021) </w:t>
      </w:r>
      <w:r>
        <w:rPr>
          <w:b w:val="false"/>
          <w:bCs w:val="false"/>
          <w:i/>
        </w:rPr>
        <w:t>Kelsi</w:t>
      </w:r>
      <w:r>
        <w:rPr>
          <w:b w:val="false"/>
          <w:bCs w:val="false"/>
        </w:rPr>
        <w:t xml:space="preserve">, </w:t>
      </w:r>
      <w:r>
        <w:rPr>
          <w:b w:val="false"/>
          <w:bCs w:val="false"/>
          <w:i/>
        </w:rPr>
        <w:t>KELSI DA teaching</w:t>
      </w:r>
      <w:r>
        <w:rPr>
          <w:b w:val="false"/>
          <w:bCs w:val="false"/>
        </w:rPr>
        <w:t xml:space="preserve">. Available at: https://www.kelsi.org.uk/__data/assets/pdf_file/0004/148360/Unstuck-teaching-resource.pdf (Accessed: 05 February 2024). </w:t>
      </w:r>
    </w:p>
    <w:p>
      <w:pPr>
        <w:pStyle w:val="Normal"/>
        <w:rPr>
          <w:b w:val="false"/>
          <w:b w:val="false"/>
          <w:bCs w:val="false"/>
        </w:rPr>
      </w:pPr>
      <w:r>
        <w:rPr>
          <w:b w:val="false"/>
          <w:bCs w:val="false"/>
        </w:rPr>
      </w:r>
    </w:p>
    <w:p>
      <w:pPr>
        <w:pStyle w:val="Normal"/>
        <w:rPr>
          <w:b w:val="false"/>
          <w:b w:val="false"/>
          <w:bCs w:val="false"/>
        </w:rPr>
      </w:pPr>
      <w:r>
        <w:rPr>
          <w:b w:val="false"/>
          <w:bCs w:val="false"/>
        </w:rPr>
      </w:r>
    </w:p>
    <w:p>
      <w:pPr>
        <w:pStyle w:val="TextBody"/>
        <w:spacing w:before="0" w:after="283"/>
        <w:ind w:left="567" w:right="0" w:hanging="567"/>
        <w:rPr>
          <w:b w:val="false"/>
          <w:b w:val="false"/>
          <w:bCs w:val="false"/>
        </w:rPr>
      </w:pPr>
      <w:r>
        <w:rPr>
          <w:b w:val="false"/>
          <w:bCs w:val="false"/>
        </w:rPr>
        <w:t xml:space="preserve">Group, T.D.A.S. (2024) </w:t>
      </w:r>
      <w:r>
        <w:rPr>
          <w:b w:val="false"/>
          <w:bCs w:val="false"/>
          <w:i/>
        </w:rPr>
        <w:t>Are you ok?</w:t>
      </w:r>
      <w:r>
        <w:rPr>
          <w:b w:val="false"/>
          <w:bCs w:val="false"/>
        </w:rPr>
        <w:t xml:space="preserve">, </w:t>
      </w:r>
      <w:r>
        <w:rPr>
          <w:b w:val="false"/>
          <w:bCs w:val="false"/>
          <w:i/>
        </w:rPr>
        <w:t>MARAC</w:t>
      </w:r>
      <w:r>
        <w:rPr>
          <w:b w:val="false"/>
          <w:bCs w:val="false"/>
        </w:rPr>
        <w:t xml:space="preserve">. Available at: https://www.areyouok.co.uk/im-a-professional/marac/ (Accessed: 05 February 2024). </w:t>
      </w:r>
    </w:p>
    <w:p>
      <w:pPr>
        <w:pStyle w:val="TextBody"/>
        <w:spacing w:before="0" w:after="283"/>
        <w:ind w:left="567" w:right="0" w:hanging="567"/>
        <w:rPr>
          <w:b w:val="false"/>
          <w:b w:val="false"/>
          <w:bCs w:val="false"/>
        </w:rPr>
      </w:pPr>
      <w:r>
        <w:rPr>
          <w:b w:val="false"/>
          <w:bCs w:val="false"/>
        </w:rPr>
      </w:r>
    </w:p>
    <w:p>
      <w:pPr>
        <w:pStyle w:val="Normal"/>
        <w:rPr/>
      </w:pPr>
      <w:r>
        <w:rPr/>
      </w:r>
    </w:p>
    <w:p>
      <w:pPr>
        <w:pStyle w:val="Normal"/>
        <w:rPr>
          <w:rFonts w:ascii="Times New Roman" w:hAnsi="Times New Roman" w:cs="Times New Roman"/>
          <w:sz w:val="24"/>
          <w:szCs w:val="24"/>
        </w:rPr>
      </w:pPr>
      <w:r>
        <w:rPr>
          <w:b w:val="false"/>
          <w:bCs w:val="false"/>
        </w:rPr>
      </w:r>
    </w:p>
    <w:p>
      <w:pPr>
        <w:pStyle w:val="TextBody"/>
        <w:spacing w:before="0" w:after="283"/>
        <w:ind w:left="567" w:right="0" w:hanging="567"/>
        <w:rPr>
          <w:b w:val="false"/>
          <w:b w:val="false"/>
          <w:bCs w:val="false"/>
        </w:rPr>
      </w:pPr>
      <w:r>
        <w:rPr>
          <w:rFonts w:cs="Times New Roman" w:ascii="Times New Roman" w:hAnsi="Times New Roman"/>
          <w:b w:val="false"/>
          <w:bCs w:val="false"/>
          <w:sz w:val="24"/>
          <w:szCs w:val="24"/>
        </w:rPr>
        <w:t xml:space="preserve">Richards, L. (2009) </w:t>
      </w:r>
      <w:r>
        <w:rPr>
          <w:rFonts w:cs="Times New Roman" w:ascii="Times New Roman" w:hAnsi="Times New Roman"/>
          <w:b w:val="false"/>
          <w:bCs w:val="false"/>
          <w:i/>
          <w:sz w:val="24"/>
          <w:szCs w:val="24"/>
        </w:rPr>
        <w:t>DASH RISK CHECKLIST</w:t>
      </w:r>
      <w:r>
        <w:rPr>
          <w:rFonts w:cs="Times New Roman" w:ascii="Times New Roman" w:hAnsi="Times New Roman"/>
          <w:b w:val="false"/>
          <w:bCs w:val="false"/>
          <w:sz w:val="24"/>
          <w:szCs w:val="24"/>
        </w:rPr>
        <w:t xml:space="preserve">, </w:t>
      </w:r>
      <w:r>
        <w:rPr>
          <w:rFonts w:cs="Times New Roman" w:ascii="Times New Roman" w:hAnsi="Times New Roman"/>
          <w:b w:val="false"/>
          <w:bCs w:val="false"/>
          <w:i/>
          <w:sz w:val="24"/>
          <w:szCs w:val="24"/>
        </w:rPr>
        <w:t>DASH Risk Checklist</w:t>
      </w:r>
      <w:r>
        <w:rPr>
          <w:rFonts w:cs="Times New Roman" w:ascii="Times New Roman" w:hAnsi="Times New Roman"/>
          <w:b w:val="false"/>
          <w:bCs w:val="false"/>
          <w:sz w:val="24"/>
          <w:szCs w:val="24"/>
        </w:rPr>
        <w:t xml:space="preserve">. Available at: https://www.dashriskchecklist.com/about (Accessed: 05 February 2024). </w:t>
      </w:r>
    </w:p>
    <w:p>
      <w:pPr>
        <w:pStyle w:val="Normal"/>
        <w:rPr>
          <w:rFonts w:ascii="Times New Roman" w:hAnsi="Times New Roman" w:cs="Times New Roman"/>
          <w:sz w:val="24"/>
          <w:szCs w:val="24"/>
        </w:rPr>
      </w:pPr>
      <w:r>
        <w:rPr>
          <w:b w:val="false"/>
          <w:bCs w:val="false"/>
        </w:rPr>
      </w:r>
    </w:p>
    <w:p>
      <w:pPr>
        <w:pStyle w:val="NormalWeb"/>
        <w:spacing w:before="100" w:after="100"/>
        <w:ind w:left="567" w:hanging="567"/>
        <w:rPr/>
      </w:pPr>
      <w:r>
        <w:rPr/>
        <w:t xml:space="preserve">Medical news today (2020) </w:t>
      </w:r>
      <w:r>
        <w:rPr>
          <w:i/>
          <w:iCs/>
        </w:rPr>
        <w:t>Coercive control: Definition, signs, and what to do</w:t>
      </w:r>
      <w:r>
        <w:rPr/>
        <w:t xml:space="preserve">. Available at: https://www.medicalnewstoday.com/articles/coercive-control#:~:text=Coercive%20control%20is%20a%20pattern%20of%20behaviors%20that,threats%2C%20exerting%20financial%20control%2C%20and%20using%20sexual%20coercion. (Accessed: 11 May 2023). </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i/>
          <w:iCs/>
          <w:color w:val="auto"/>
          <w:sz w:val="24"/>
          <w:szCs w:val="24"/>
        </w:rPr>
        <w:t>Multi-agency risk assessment conference (MARAC)</w:t>
      </w:r>
      <w:r>
        <w:rPr>
          <w:rFonts w:cs="Times New Roman" w:ascii="Times New Roman" w:hAnsi="Times New Roman"/>
          <w:color w:val="auto"/>
          <w:sz w:val="24"/>
          <w:szCs w:val="24"/>
        </w:rPr>
        <w:t xml:space="preserve"> (2023) </w:t>
      </w:r>
      <w:r>
        <w:rPr>
          <w:rFonts w:cs="Times New Roman" w:ascii="Times New Roman" w:hAnsi="Times New Roman"/>
          <w:i/>
          <w:iCs/>
          <w:color w:val="auto"/>
          <w:sz w:val="24"/>
          <w:szCs w:val="24"/>
        </w:rPr>
        <w:t>Domestic Abuse</w:t>
      </w:r>
      <w:r>
        <w:rPr>
          <w:rFonts w:cs="Times New Roman" w:ascii="Times New Roman" w:hAnsi="Times New Roman"/>
          <w:color w:val="auto"/>
          <w:sz w:val="24"/>
          <w:szCs w:val="24"/>
        </w:rPr>
        <w:t xml:space="preserve">. Available at: https://www.domesticabuseservices.org.uk/latest-news-articles-advice/marac/ (Accessed: 24 August 2023). </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Participation, E. (1978) </w:t>
      </w:r>
      <w:r>
        <w:rPr>
          <w:rFonts w:cs="Times New Roman" w:ascii="Times New Roman" w:hAnsi="Times New Roman"/>
          <w:i/>
          <w:iCs/>
          <w:color w:val="auto"/>
          <w:sz w:val="24"/>
          <w:szCs w:val="24"/>
        </w:rPr>
        <w:t>Offences against the Person Act 1861</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Legislation.gov.uk</w:t>
      </w:r>
      <w:r>
        <w:rPr>
          <w:rFonts w:cs="Times New Roman" w:ascii="Times New Roman" w:hAnsi="Times New Roman"/>
          <w:color w:val="auto"/>
          <w:sz w:val="24"/>
          <w:szCs w:val="24"/>
        </w:rPr>
        <w:t xml:space="preserve">. Available at: https://www.legislation.gov.uk/ukpga/Vict/24-25/100/section/47 (Accessed: 13 July 2023). </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Participation, E. (1978) </w:t>
      </w:r>
      <w:r>
        <w:rPr>
          <w:rFonts w:cs="Times New Roman" w:ascii="Times New Roman" w:hAnsi="Times New Roman"/>
          <w:i/>
          <w:iCs/>
          <w:color w:val="auto"/>
          <w:sz w:val="24"/>
          <w:szCs w:val="24"/>
        </w:rPr>
        <w:t>Offences against the Person Act 1861</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Legislation.gov.uk</w:t>
      </w:r>
      <w:r>
        <w:rPr>
          <w:rFonts w:cs="Times New Roman" w:ascii="Times New Roman" w:hAnsi="Times New Roman"/>
          <w:color w:val="auto"/>
          <w:sz w:val="24"/>
          <w:szCs w:val="24"/>
        </w:rPr>
        <w:t xml:space="preserve">. Available at: https://www.legislation.gov.uk/ukpga/Vict/24-25/100/section/47 (Accessed: 24 August 2023). </w:t>
      </w:r>
    </w:p>
    <w:p>
      <w:pPr>
        <w:pStyle w:val="Normal"/>
        <w:overflowPunct w:val="tru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Participation, E. (1978a) </w:t>
      </w:r>
      <w:r>
        <w:rPr>
          <w:rFonts w:cs="Times New Roman" w:ascii="Times New Roman" w:hAnsi="Times New Roman"/>
          <w:i/>
          <w:iCs/>
          <w:color w:val="auto"/>
          <w:sz w:val="24"/>
          <w:szCs w:val="24"/>
        </w:rPr>
        <w:t>Offences against the Person Act 1861</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Legislation.gov.uk</w:t>
      </w:r>
      <w:r>
        <w:rPr>
          <w:rFonts w:cs="Times New Roman" w:ascii="Times New Roman" w:hAnsi="Times New Roman"/>
          <w:color w:val="auto"/>
          <w:sz w:val="24"/>
          <w:szCs w:val="24"/>
        </w:rPr>
        <w:t xml:space="preserve">. Available at: https://www.legislation.gov.uk/ukpga/Vict/24-25/100/section/20 (Accessed: 24 August 2023). </w:t>
      </w:r>
    </w:p>
    <w:p>
      <w:pPr>
        <w:pStyle w:val="Normal"/>
        <w:rPr/>
      </w:pPr>
      <w:r>
        <w:rPr>
          <w:rFonts w:cs="Times New Roman" w:ascii="Times New Roman" w:hAnsi="Times New Roman"/>
          <w:i/>
          <w:iCs/>
          <w:sz w:val="24"/>
          <w:szCs w:val="24"/>
        </w:rPr>
        <w:t>Power and control wheel</w:t>
      </w:r>
      <w:r>
        <w:rPr>
          <w:i/>
          <w:iCs/>
        </w:rPr>
        <w:t xml:space="preserve"> </w:t>
      </w:r>
      <w:r>
        <w:rPr/>
        <w:t>– Crushedbutnotbroken 2024.Available at: https://www.crushedbutnotbroken.org/education-prevention/power-and-control-wheel/ (Accessed 19 January 2024).</w:t>
      </w:r>
    </w:p>
    <w:p>
      <w:pPr>
        <w:pStyle w:val="Normal"/>
        <w:rPr/>
      </w:pPr>
      <w:r>
        <w:rPr>
          <w:rFonts w:cs="Times New Roman" w:ascii="Times New Roman" w:hAnsi="Times New Roman"/>
          <w:i/>
          <w:iCs/>
          <w:sz w:val="24"/>
          <w:szCs w:val="24"/>
        </w:rPr>
        <w:t xml:space="preserve">Why it’s so difficult to leave , Women against Abuse , 2024. </w:t>
      </w:r>
      <w:r>
        <w:rPr>
          <w:rFonts w:cs="Times New Roman" w:ascii="Times New Roman" w:hAnsi="Times New Roman"/>
          <w:sz w:val="24"/>
          <w:szCs w:val="24"/>
        </w:rPr>
        <w:t>Available at:</w:t>
      </w:r>
    </w:p>
    <w:sectPr>
      <w:headerReference w:type="default" r:id="rId10"/>
      <w:footerReference w:type="default" r:id="rId11"/>
      <w:type w:val="nextPage"/>
      <w:pgSz w:w="11906" w:h="16838"/>
      <w:pgMar w:left="1440" w:right="1440" w:header="720" w:top="1440" w:footer="720" w:bottom="1440" w:gutter="0"/>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mbria">
    <w:charset w:val="00"/>
    <w:family w:val="roman"/>
    <w:pitch w:val="variable"/>
  </w:font>
  <w:font w:name="Tahoma">
    <w:charset w:val="00"/>
    <w:family w:val="roman"/>
    <w:pitch w:val="variable"/>
  </w:font>
  <w:font w:name="Calibri">
    <w:charset w:val="00"/>
    <w:family w:val="roman"/>
    <w:pitch w:val="variable"/>
  </w:font>
  <w:font w:name="Segoe UI">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pPr>
    <w:r>
      <w:rPr/>
      <w:fldChar w:fldCharType="begin"/>
    </w:r>
    <w:r>
      <w:rPr/>
      <w:instrText> PAGE </w:instrText>
    </w:r>
    <w:r>
      <w:rPr/>
      <w:fldChar w:fldCharType="separate"/>
    </w:r>
    <w:r>
      <w:rPr/>
      <w:t>21</w:t>
    </w:r>
    <w:r>
      <w:rPr/>
      <w:fldChar w:fldCharType="end"/>
    </w:r>
  </w:p>
  <w:p>
    <w:pPr>
      <w:pStyle w:val="Footer"/>
      <w:ind w:right="360" w:hanging="0"/>
      <w:jc w:val="cen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pPr>
    <w:r>
      <w:rPr/>
      <w:fldChar w:fldCharType="begin"/>
    </w:r>
    <w:r>
      <w:rPr/>
      <w:instrText> PAGE </w:instrText>
    </w:r>
    <w:r>
      <w:rPr/>
      <w:fldChar w:fldCharType="separate"/>
    </w:r>
    <w:r>
      <w:rPr/>
      <w:t>24</w:t>
    </w:r>
    <w:r>
      <w:rPr/>
      <w:fldChar w:fldCharType="end"/>
    </w:r>
  </w:p>
  <w:p>
    <w:pPr>
      <w:pStyle w:val="Footer"/>
      <w:ind w:right="360" w:hanging="0"/>
      <w:jc w:val="cen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bullet"/>
      <w:lvlText w:val=""/>
      <w:lvlJc w:val="left"/>
      <w:pPr>
        <w:ind w:left="720" w:hanging="360"/>
      </w:pPr>
      <w:rPr>
        <w:rFonts w:ascii="Symbol" w:hAnsi="Symbol" w:cs="Symbol" w:hint="default"/>
        <w:sz w:val="24"/>
        <w:rFonts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lvl w:ilvl="0">
      <w:start w:val="1"/>
      <w:numFmt w:val="bullet"/>
      <w:lvlText w:val=""/>
      <w:lvlJc w:val="left"/>
      <w:pPr>
        <w:ind w:left="720" w:hanging="360"/>
      </w:pPr>
      <w:rPr>
        <w:rFonts w:ascii="Symbol" w:hAnsi="Symbol" w:cs="Symbol" w:hint="default"/>
        <w:sz w:val="24"/>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4">
    <w:lvl w:ilvl="0">
      <w:start w:val="1"/>
      <w:numFmt w:val="bullet"/>
      <w:lvlText w:val=""/>
      <w:lvlJc w:val="left"/>
      <w:pPr>
        <w:ind w:left="720" w:hanging="360"/>
      </w:pPr>
      <w:rPr>
        <w:rFonts w:ascii="Symbol" w:hAnsi="Symbol" w:cs="Symbol" w:hint="default"/>
        <w:sz w:val="24"/>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5">
    <w:lvl w:ilvl="0">
      <w:start w:val="1"/>
      <w:numFmt w:val="bullet"/>
      <w:lvlText w:val=""/>
      <w:lvlJc w:val="left"/>
      <w:pPr>
        <w:ind w:left="720" w:hanging="360"/>
      </w:pPr>
      <w:rPr>
        <w:rFonts w:ascii="Symbol" w:hAnsi="Symbol" w:cs="Symbol" w:hint="default"/>
        <w:sz w:val="24"/>
        <w:rFonts w:cs="Symbol"/>
        <w:color w:val="auto"/>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6">
    <w:lvl w:ilvl="0">
      <w:start w:val="1"/>
      <w:numFmt w:val="bullet"/>
      <w:lvlText w:val=""/>
      <w:lvlJc w:val="left"/>
      <w:pPr>
        <w:ind w:left="720" w:hanging="360"/>
      </w:pPr>
      <w:rPr>
        <w:rFonts w:ascii="Symbol" w:hAnsi="Symbol" w:cs="Symbol" w:hint="default"/>
        <w:sz w:val="24"/>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58"/>
  <w:defaultTabStop w:val="720"/>
  <w:compat>
    <w:doNotExpandShiftReturn/>
  </w:compat>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TW"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zh-TW"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90074"/>
    <w:pPr>
      <w:widowControl/>
      <w:overflowPunct w:val="false"/>
      <w:bidi w:val="0"/>
      <w:jc w:val="left"/>
      <w:textAlignment w:val="baseline"/>
    </w:pPr>
    <w:rPr>
      <w:rFonts w:ascii="Arial" w:hAnsi="Arial" w:eastAsia="Times New Roman" w:cs="Arial"/>
      <w:color w:val="000000"/>
      <w:kern w:val="0"/>
      <w:sz w:val="20"/>
      <w:szCs w:val="20"/>
      <w:lang w:val="en-GB" w:eastAsia="en-GB" w:bidi="ar-SA"/>
    </w:rPr>
  </w:style>
  <w:style w:type="paragraph" w:styleId="Heading1">
    <w:name w:val="Heading 1"/>
    <w:basedOn w:val="Normal"/>
    <w:next w:val="Normal"/>
    <w:qFormat/>
    <w:pPr>
      <w:keepNext w:val="true"/>
      <w:spacing w:before="240" w:after="60"/>
      <w:outlineLvl w:val="0"/>
    </w:pPr>
    <w:rPr>
      <w:b/>
      <w:kern w:val="2"/>
      <w:sz w:val="28"/>
    </w:rPr>
  </w:style>
  <w:style w:type="paragraph" w:styleId="Heading2">
    <w:name w:val="Heading 2"/>
    <w:basedOn w:val="Normal"/>
    <w:next w:val="Normal"/>
    <w:link w:val="Heading2Char"/>
    <w:uiPriority w:val="9"/>
    <w:qFormat/>
    <w:rsid w:val="00f927a1"/>
    <w:pPr>
      <w:keepNext w:val="true"/>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qFormat/>
    <w:rPr/>
  </w:style>
  <w:style w:type="character" w:styleId="Pagenumber">
    <w:name w:val="page number"/>
    <w:semiHidden/>
    <w:qFormat/>
    <w:rPr/>
  </w:style>
  <w:style w:type="character" w:styleId="InternetLink">
    <w:name w:val="Internet Link"/>
    <w:rsid w:val="00ea4d48"/>
    <w:rPr>
      <w:color w:val="0000FF"/>
      <w:u w:val="single"/>
    </w:rPr>
  </w:style>
  <w:style w:type="character" w:styleId="Annotationreference">
    <w:name w:val="annotation reference"/>
    <w:uiPriority w:val="99"/>
    <w:semiHidden/>
    <w:unhideWhenUsed/>
    <w:qFormat/>
    <w:rsid w:val="0057780f"/>
    <w:rPr>
      <w:sz w:val="16"/>
      <w:szCs w:val="16"/>
    </w:rPr>
  </w:style>
  <w:style w:type="character" w:styleId="CommentTextChar" w:customStyle="1">
    <w:name w:val="Comment Text Char"/>
    <w:link w:val="CommentText"/>
    <w:uiPriority w:val="99"/>
    <w:semiHidden/>
    <w:qFormat/>
    <w:rsid w:val="0057780f"/>
    <w:rPr>
      <w:rFonts w:ascii="Arial" w:hAnsi="Arial" w:cs="Arial"/>
      <w:color w:val="000000"/>
    </w:rPr>
  </w:style>
  <w:style w:type="character" w:styleId="CommentSubjectChar" w:customStyle="1">
    <w:name w:val="Comment Subject Char"/>
    <w:link w:val="CommentSubject"/>
    <w:uiPriority w:val="99"/>
    <w:semiHidden/>
    <w:qFormat/>
    <w:rsid w:val="0057780f"/>
    <w:rPr>
      <w:rFonts w:ascii="Arial" w:hAnsi="Arial" w:cs="Arial"/>
      <w:b/>
      <w:bCs/>
      <w:color w:val="000000"/>
    </w:rPr>
  </w:style>
  <w:style w:type="character" w:styleId="Heading2Char" w:customStyle="1">
    <w:name w:val="Heading 2 Char"/>
    <w:link w:val="Heading2"/>
    <w:uiPriority w:val="9"/>
    <w:semiHidden/>
    <w:qFormat/>
    <w:rsid w:val="00f927a1"/>
    <w:rPr>
      <w:rFonts w:ascii="Cambria" w:hAnsi="Cambria" w:eastAsia="Times New Roman" w:cs="Times New Roman"/>
      <w:b/>
      <w:bCs/>
      <w:i/>
      <w:iCs/>
      <w:color w:val="000000"/>
      <w:sz w:val="28"/>
      <w:szCs w:val="28"/>
    </w:rPr>
  </w:style>
  <w:style w:type="character" w:styleId="BodyText3Char" w:customStyle="1">
    <w:name w:val="Body Text 3 Char"/>
    <w:link w:val="BodyText3"/>
    <w:uiPriority w:val="99"/>
    <w:semiHidden/>
    <w:qFormat/>
    <w:rsid w:val="00f927a1"/>
    <w:rPr>
      <w:rFonts w:ascii="Arial" w:hAnsi="Arial" w:cs="Arial"/>
      <w:color w:val="000000"/>
      <w:sz w:val="16"/>
      <w:szCs w:val="16"/>
    </w:rPr>
  </w:style>
  <w:style w:type="character" w:styleId="FooterChar" w:customStyle="1">
    <w:name w:val="Footer Char"/>
    <w:link w:val="Footer"/>
    <w:uiPriority w:val="99"/>
    <w:qFormat/>
    <w:rsid w:val="00727c4c"/>
    <w:rPr>
      <w:rFonts w:ascii="Arial" w:hAnsi="Arial" w:cs="Arial"/>
      <w:color w:val="000000"/>
    </w:rPr>
  </w:style>
  <w:style w:type="character" w:styleId="Normaltextrun" w:customStyle="1">
    <w:name w:val="normaltextrun"/>
    <w:basedOn w:val="DefaultParagraphFont"/>
    <w:qFormat/>
    <w:rsid w:val="00a221ab"/>
    <w:rPr/>
  </w:style>
  <w:style w:type="character" w:styleId="Eop" w:customStyle="1">
    <w:name w:val="eop"/>
    <w:basedOn w:val="DefaultParagraphFont"/>
    <w:qFormat/>
    <w:rsid w:val="00a221ab"/>
    <w:rPr/>
  </w:style>
  <w:style w:type="character" w:styleId="Contextualspellingandgrammarerror" w:customStyle="1">
    <w:name w:val="contextualspellingandgrammarerror"/>
    <w:basedOn w:val="DefaultParagraphFont"/>
    <w:qFormat/>
    <w:rsid w:val="00a221ab"/>
    <w:rPr/>
  </w:style>
  <w:style w:type="character" w:styleId="UnresolvedMention">
    <w:name w:val="Unresolved Mention"/>
    <w:basedOn w:val="DefaultParagraphFont"/>
    <w:uiPriority w:val="99"/>
    <w:semiHidden/>
    <w:unhideWhenUsed/>
    <w:qFormat/>
    <w:rsid w:val="00770792"/>
    <w:rPr>
      <w:color w:val="605E5C"/>
      <w:shd w:fill="E1DFDD" w:val="clear"/>
    </w:rPr>
  </w:style>
  <w:style w:type="character" w:styleId="FollowedHyperlink">
    <w:name w:val="FollowedHyperlink"/>
    <w:basedOn w:val="DefaultParagraphFont"/>
    <w:uiPriority w:val="99"/>
    <w:semiHidden/>
    <w:unhideWhenUsed/>
    <w:qFormat/>
    <w:rsid w:val="001d1809"/>
    <w:rPr>
      <w:color w:val="954F72" w:themeColor="followed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sz w:val="20"/>
      <w:szCs w:val="20"/>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sz w:val="20"/>
      <w:szCs w:val="20"/>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sz w:val="20"/>
      <w:szCs w:val="20"/>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cs="Courier New"/>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ListLabel67">
    <w:name w:val="ListLabel 67"/>
    <w:qFormat/>
    <w:rPr>
      <w:rFonts w:cs="Courier New"/>
    </w:rPr>
  </w:style>
  <w:style w:type="character" w:styleId="ListLabel68">
    <w:name w:val="ListLabel 68"/>
    <w:qFormat/>
    <w:rPr>
      <w:rFonts w:cs="Courier New"/>
    </w:rPr>
  </w:style>
  <w:style w:type="character" w:styleId="ListLabel69">
    <w:name w:val="ListLabel 69"/>
    <w:qFormat/>
    <w:rPr>
      <w:rFonts w:cs="Courier New"/>
    </w:rPr>
  </w:style>
  <w:style w:type="character" w:styleId="ListLabel70">
    <w:name w:val="ListLabel 70"/>
    <w:qFormat/>
    <w:rPr>
      <w:color w:val="auto"/>
      <w:sz w:val="24"/>
    </w:rPr>
  </w:style>
  <w:style w:type="character" w:styleId="ListLabel71">
    <w:name w:val="ListLabel 71"/>
    <w:qFormat/>
    <w:rPr>
      <w:rFonts w:cs="Courier New"/>
    </w:rPr>
  </w:style>
  <w:style w:type="character" w:styleId="ListLabel72">
    <w:name w:val="ListLabel 72"/>
    <w:qFormat/>
    <w:rPr>
      <w:rFonts w:cs="Courier New"/>
    </w:rPr>
  </w:style>
  <w:style w:type="character" w:styleId="ListLabel73">
    <w:name w:val="ListLabel 73"/>
    <w:qFormat/>
    <w:rPr>
      <w:rFonts w:cs="Courier New"/>
    </w:rPr>
  </w:style>
  <w:style w:type="character" w:styleId="ListLabel74">
    <w:name w:val="ListLabel 74"/>
    <w:qFormat/>
    <w:rPr>
      <w:color w:val="auto"/>
    </w:rPr>
  </w:style>
  <w:style w:type="character" w:styleId="ListLabel75">
    <w:name w:val="ListLabel 75"/>
    <w:qFormat/>
    <w:rPr>
      <w:rFonts w:cs="Courier New"/>
    </w:rPr>
  </w:style>
  <w:style w:type="character" w:styleId="ListLabel76">
    <w:name w:val="ListLabel 76"/>
    <w:qFormat/>
    <w:rPr>
      <w:rFonts w:cs="Courier New"/>
    </w:rPr>
  </w:style>
  <w:style w:type="character" w:styleId="ListLabel77">
    <w:name w:val="ListLabel 77"/>
    <w:qFormat/>
    <w:rPr>
      <w:rFonts w:cs="Courier New"/>
    </w:rPr>
  </w:style>
  <w:style w:type="character" w:styleId="ListLabel78">
    <w:name w:val="ListLabel 78"/>
    <w:qFormat/>
    <w:rPr>
      <w:color w:val="auto"/>
    </w:rPr>
  </w:style>
  <w:style w:type="character" w:styleId="ListLabel79">
    <w:name w:val="ListLabel 79"/>
    <w:qFormat/>
    <w:rPr>
      <w:rFonts w:cs="Courier New"/>
    </w:rPr>
  </w:style>
  <w:style w:type="character" w:styleId="ListLabel80">
    <w:name w:val="ListLabel 80"/>
    <w:qFormat/>
    <w:rPr>
      <w:rFonts w:cs="Courier New"/>
    </w:rPr>
  </w:style>
  <w:style w:type="character" w:styleId="ListLabel81">
    <w:name w:val="ListLabel 81"/>
    <w:qFormat/>
    <w:rPr>
      <w:rFonts w:cs="Courier New"/>
    </w:rPr>
  </w:style>
  <w:style w:type="character" w:styleId="ListLabel82">
    <w:name w:val="ListLabel 82"/>
    <w:qFormat/>
    <w:rPr>
      <w:color w:val="auto"/>
    </w:rPr>
  </w:style>
  <w:style w:type="character" w:styleId="ListLabel83">
    <w:name w:val="ListLabel 83"/>
    <w:qFormat/>
    <w:rPr>
      <w:rFonts w:cs="Courier New"/>
    </w:rPr>
  </w:style>
  <w:style w:type="character" w:styleId="ListLabel84">
    <w:name w:val="ListLabel 84"/>
    <w:qFormat/>
    <w:rPr>
      <w:rFonts w:cs="Courier New"/>
    </w:rPr>
  </w:style>
  <w:style w:type="character" w:styleId="ListLabel85">
    <w:name w:val="ListLabel 85"/>
    <w:qFormat/>
    <w:rPr>
      <w:rFonts w:cs="Courier New"/>
    </w:rPr>
  </w:style>
  <w:style w:type="character" w:styleId="ListLabel86">
    <w:name w:val="ListLabel 86"/>
    <w:qFormat/>
    <w:rPr>
      <w:rFonts w:cs="Courier New"/>
    </w:rPr>
  </w:style>
  <w:style w:type="character" w:styleId="ListLabel87">
    <w:name w:val="ListLabel 87"/>
    <w:qFormat/>
    <w:rPr>
      <w:rFonts w:cs="Courier New"/>
    </w:rPr>
  </w:style>
  <w:style w:type="character" w:styleId="ListLabel88">
    <w:name w:val="ListLabel 88"/>
    <w:qFormat/>
    <w:rPr>
      <w:rFonts w:cs="Courier New"/>
    </w:rPr>
  </w:style>
  <w:style w:type="character" w:styleId="ListLabel89">
    <w:name w:val="ListLabel 89"/>
    <w:qFormat/>
    <w:rPr>
      <w:rFonts w:cs="Courier New"/>
    </w:rPr>
  </w:style>
  <w:style w:type="character" w:styleId="ListLabel90">
    <w:name w:val="ListLabel 90"/>
    <w:qFormat/>
    <w:rPr>
      <w:rFonts w:cs="Courier New"/>
    </w:rPr>
  </w:style>
  <w:style w:type="character" w:styleId="ListLabel91">
    <w:name w:val="ListLabel 91"/>
    <w:qFormat/>
    <w:rPr>
      <w:rFonts w:cs="Courier New"/>
    </w:rPr>
  </w:style>
  <w:style w:type="character" w:styleId="ListLabel92">
    <w:name w:val="ListLabel 92"/>
    <w:qFormat/>
    <w:rPr>
      <w:rFonts w:cs="Courier New"/>
    </w:rPr>
  </w:style>
  <w:style w:type="character" w:styleId="ListLabel93">
    <w:name w:val="ListLabel 93"/>
    <w:qFormat/>
    <w:rPr>
      <w:rFonts w:cs="Courier New"/>
    </w:rPr>
  </w:style>
  <w:style w:type="character" w:styleId="ListLabel94">
    <w:name w:val="ListLabel 94"/>
    <w:qFormat/>
    <w:rPr>
      <w:rFonts w:cs="Courier New"/>
    </w:rPr>
  </w:style>
  <w:style w:type="character" w:styleId="ListLabel95">
    <w:name w:val="ListLabel 95"/>
    <w:qFormat/>
    <w:rPr>
      <w:rFonts w:cs="Courier New"/>
    </w:rPr>
  </w:style>
  <w:style w:type="character" w:styleId="ListLabel96">
    <w:name w:val="ListLabel 96"/>
    <w:qFormat/>
    <w:rPr>
      <w:rFonts w:cs="Courier New"/>
    </w:rPr>
  </w:style>
  <w:style w:type="character" w:styleId="ListLabel97">
    <w:name w:val="ListLabel 97"/>
    <w:qFormat/>
    <w:rPr>
      <w:rFonts w:cs="Courier New"/>
    </w:rPr>
  </w:style>
  <w:style w:type="character" w:styleId="ListLabel98">
    <w:name w:val="ListLabel 98"/>
    <w:qFormat/>
    <w:rPr>
      <w:rFonts w:cs="Courier New"/>
    </w:rPr>
  </w:style>
  <w:style w:type="character" w:styleId="ListLabel99">
    <w:name w:val="ListLabel 99"/>
    <w:qFormat/>
    <w:rPr>
      <w:rFonts w:cs="Courier New"/>
    </w:rPr>
  </w:style>
  <w:style w:type="character" w:styleId="ListLabel100">
    <w:name w:val="ListLabel 100"/>
    <w:qFormat/>
    <w:rPr>
      <w:rFonts w:eastAsia="Arial" w:cs="Arial"/>
      <w:w w:val="100"/>
      <w:sz w:val="22"/>
      <w:szCs w:val="22"/>
      <w:lang w:val="en-GB" w:eastAsia="en-GB" w:bidi="en-GB"/>
    </w:rPr>
  </w:style>
  <w:style w:type="character" w:styleId="ListLabel101">
    <w:name w:val="ListLabel 101"/>
    <w:qFormat/>
    <w:rPr>
      <w:lang w:val="en-GB" w:eastAsia="en-GB" w:bidi="en-GB"/>
    </w:rPr>
  </w:style>
  <w:style w:type="character" w:styleId="ListLabel102">
    <w:name w:val="ListLabel 102"/>
    <w:qFormat/>
    <w:rPr>
      <w:lang w:val="en-GB" w:eastAsia="en-GB" w:bidi="en-GB"/>
    </w:rPr>
  </w:style>
  <w:style w:type="character" w:styleId="ListLabel103">
    <w:name w:val="ListLabel 103"/>
    <w:qFormat/>
    <w:rPr>
      <w:lang w:val="en-GB" w:eastAsia="en-GB" w:bidi="en-GB"/>
    </w:rPr>
  </w:style>
  <w:style w:type="character" w:styleId="ListLabel104">
    <w:name w:val="ListLabel 104"/>
    <w:qFormat/>
    <w:rPr>
      <w:lang w:val="en-GB" w:eastAsia="en-GB" w:bidi="en-GB"/>
    </w:rPr>
  </w:style>
  <w:style w:type="character" w:styleId="ListLabel105">
    <w:name w:val="ListLabel 105"/>
    <w:qFormat/>
    <w:rPr>
      <w:lang w:val="en-GB" w:eastAsia="en-GB" w:bidi="en-GB"/>
    </w:rPr>
  </w:style>
  <w:style w:type="character" w:styleId="ListLabel106">
    <w:name w:val="ListLabel 106"/>
    <w:qFormat/>
    <w:rPr>
      <w:lang w:val="en-GB" w:eastAsia="en-GB" w:bidi="en-GB"/>
    </w:rPr>
  </w:style>
  <w:style w:type="character" w:styleId="ListLabel107">
    <w:name w:val="ListLabel 107"/>
    <w:qFormat/>
    <w:rPr>
      <w:lang w:val="en-GB" w:eastAsia="en-GB" w:bidi="en-GB"/>
    </w:rPr>
  </w:style>
  <w:style w:type="character" w:styleId="ListLabel108">
    <w:name w:val="ListLabel 108"/>
    <w:qFormat/>
    <w:rPr>
      <w:lang w:val="en-GB" w:eastAsia="en-GB" w:bidi="en-GB"/>
    </w:rPr>
  </w:style>
  <w:style w:type="character" w:styleId="ListLabel109">
    <w:name w:val="ListLabel 109"/>
    <w:qFormat/>
    <w:rPr>
      <w:rFonts w:cs="Courier New"/>
    </w:rPr>
  </w:style>
  <w:style w:type="character" w:styleId="ListLabel110">
    <w:name w:val="ListLabel 110"/>
    <w:qFormat/>
    <w:rPr>
      <w:rFonts w:cs="Courier New"/>
    </w:rPr>
  </w:style>
  <w:style w:type="character" w:styleId="ListLabel111">
    <w:name w:val="ListLabel 111"/>
    <w:qFormat/>
    <w:rPr>
      <w:rFonts w:cs="Courier New"/>
    </w:rPr>
  </w:style>
  <w:style w:type="character" w:styleId="ListLabel112">
    <w:name w:val="ListLabel 112"/>
    <w:qFormat/>
    <w:rPr>
      <w:rFonts w:eastAsia="Arial"/>
      <w:sz w:val="24"/>
      <w:szCs w:val="24"/>
    </w:rPr>
  </w:style>
  <w:style w:type="character" w:styleId="ListLabel113">
    <w:name w:val="ListLabel 113"/>
    <w:qFormat/>
    <w:rPr>
      <w:rFonts w:cs="Symbol"/>
      <w:sz w:val="24"/>
    </w:rPr>
  </w:style>
  <w:style w:type="character" w:styleId="ListLabel114">
    <w:name w:val="ListLabel 114"/>
    <w:qFormat/>
    <w:rPr>
      <w:rFonts w:cs="Symbol"/>
      <w:sz w:val="24"/>
    </w:rPr>
  </w:style>
  <w:style w:type="character" w:styleId="ListLabel115">
    <w:name w:val="ListLabel 115"/>
    <w:qFormat/>
    <w:rPr>
      <w:rFonts w:cs="Courier New"/>
    </w:rPr>
  </w:style>
  <w:style w:type="character" w:styleId="ListLabel116">
    <w:name w:val="ListLabel 116"/>
    <w:qFormat/>
    <w:rPr>
      <w:rFonts w:cs="Wingdings"/>
    </w:rPr>
  </w:style>
  <w:style w:type="character" w:styleId="ListLabel117">
    <w:name w:val="ListLabel 117"/>
    <w:qFormat/>
    <w:rPr>
      <w:rFonts w:cs="Symbol"/>
    </w:rPr>
  </w:style>
  <w:style w:type="character" w:styleId="ListLabel118">
    <w:name w:val="ListLabel 118"/>
    <w:qFormat/>
    <w:rPr>
      <w:rFonts w:cs="Courier New"/>
    </w:rPr>
  </w:style>
  <w:style w:type="character" w:styleId="ListLabel119">
    <w:name w:val="ListLabel 119"/>
    <w:qFormat/>
    <w:rPr>
      <w:rFonts w:cs="Wingdings"/>
    </w:rPr>
  </w:style>
  <w:style w:type="character" w:styleId="ListLabel120">
    <w:name w:val="ListLabel 120"/>
    <w:qFormat/>
    <w:rPr>
      <w:rFonts w:cs="Symbol"/>
    </w:rPr>
  </w:style>
  <w:style w:type="character" w:styleId="ListLabel121">
    <w:name w:val="ListLabel 121"/>
    <w:qFormat/>
    <w:rPr>
      <w:rFonts w:cs="Courier New"/>
    </w:rPr>
  </w:style>
  <w:style w:type="character" w:styleId="ListLabel122">
    <w:name w:val="ListLabel 122"/>
    <w:qFormat/>
    <w:rPr>
      <w:rFonts w:cs="Wingdings"/>
    </w:rPr>
  </w:style>
  <w:style w:type="character" w:styleId="ListLabel123">
    <w:name w:val="ListLabel 123"/>
    <w:qFormat/>
    <w:rPr>
      <w:rFonts w:cs="Symbol"/>
      <w:sz w:val="24"/>
    </w:rPr>
  </w:style>
  <w:style w:type="character" w:styleId="ListLabel124">
    <w:name w:val="ListLabel 124"/>
    <w:qFormat/>
    <w:rPr>
      <w:rFonts w:cs="Courier New"/>
    </w:rPr>
  </w:style>
  <w:style w:type="character" w:styleId="ListLabel125">
    <w:name w:val="ListLabel 125"/>
    <w:qFormat/>
    <w:rPr>
      <w:rFonts w:cs="Wingdings"/>
    </w:rPr>
  </w:style>
  <w:style w:type="character" w:styleId="ListLabel126">
    <w:name w:val="ListLabel 126"/>
    <w:qFormat/>
    <w:rPr>
      <w:rFonts w:cs="Symbol"/>
    </w:rPr>
  </w:style>
  <w:style w:type="character" w:styleId="ListLabel127">
    <w:name w:val="ListLabel 127"/>
    <w:qFormat/>
    <w:rPr>
      <w:rFonts w:cs="Courier New"/>
    </w:rPr>
  </w:style>
  <w:style w:type="character" w:styleId="ListLabel128">
    <w:name w:val="ListLabel 128"/>
    <w:qFormat/>
    <w:rPr>
      <w:rFonts w:cs="Wingdings"/>
    </w:rPr>
  </w:style>
  <w:style w:type="character" w:styleId="ListLabel129">
    <w:name w:val="ListLabel 129"/>
    <w:qFormat/>
    <w:rPr>
      <w:rFonts w:cs="Symbol"/>
    </w:rPr>
  </w:style>
  <w:style w:type="character" w:styleId="ListLabel130">
    <w:name w:val="ListLabel 130"/>
    <w:qFormat/>
    <w:rPr>
      <w:rFonts w:cs="Courier New"/>
    </w:rPr>
  </w:style>
  <w:style w:type="character" w:styleId="ListLabel131">
    <w:name w:val="ListLabel 131"/>
    <w:qFormat/>
    <w:rPr>
      <w:rFonts w:cs="Wingdings"/>
    </w:rPr>
  </w:style>
  <w:style w:type="character" w:styleId="ListLabel132">
    <w:name w:val="ListLabel 132"/>
    <w:qFormat/>
    <w:rPr>
      <w:rFonts w:cs="Symbol"/>
      <w:color w:val="auto"/>
      <w:sz w:val="24"/>
    </w:rPr>
  </w:style>
  <w:style w:type="character" w:styleId="ListLabel133">
    <w:name w:val="ListLabel 133"/>
    <w:qFormat/>
    <w:rPr>
      <w:rFonts w:cs="Courier New"/>
    </w:rPr>
  </w:style>
  <w:style w:type="character" w:styleId="ListLabel134">
    <w:name w:val="ListLabel 134"/>
    <w:qFormat/>
    <w:rPr>
      <w:rFonts w:cs="Wingdings"/>
    </w:rPr>
  </w:style>
  <w:style w:type="character" w:styleId="ListLabel135">
    <w:name w:val="ListLabel 135"/>
    <w:qFormat/>
    <w:rPr>
      <w:rFonts w:cs="Symbol"/>
    </w:rPr>
  </w:style>
  <w:style w:type="character" w:styleId="ListLabel136">
    <w:name w:val="ListLabel 136"/>
    <w:qFormat/>
    <w:rPr>
      <w:rFonts w:cs="Courier New"/>
    </w:rPr>
  </w:style>
  <w:style w:type="character" w:styleId="ListLabel137">
    <w:name w:val="ListLabel 137"/>
    <w:qFormat/>
    <w:rPr>
      <w:rFonts w:cs="Wingdings"/>
    </w:rPr>
  </w:style>
  <w:style w:type="character" w:styleId="ListLabel138">
    <w:name w:val="ListLabel 138"/>
    <w:qFormat/>
    <w:rPr>
      <w:rFonts w:cs="Symbol"/>
    </w:rPr>
  </w:style>
  <w:style w:type="character" w:styleId="ListLabel139">
    <w:name w:val="ListLabel 139"/>
    <w:qFormat/>
    <w:rPr>
      <w:rFonts w:cs="Courier New"/>
    </w:rPr>
  </w:style>
  <w:style w:type="character" w:styleId="ListLabel140">
    <w:name w:val="ListLabel 140"/>
    <w:qFormat/>
    <w:rPr>
      <w:rFonts w:cs="Wingdings"/>
    </w:rPr>
  </w:style>
  <w:style w:type="character" w:styleId="ListLabel141">
    <w:name w:val="ListLabel 141"/>
    <w:qFormat/>
    <w:rPr>
      <w:rFonts w:cs="Symbol"/>
      <w:sz w:val="24"/>
    </w:rPr>
  </w:style>
  <w:style w:type="character" w:styleId="ListLabel142">
    <w:name w:val="ListLabel 142"/>
    <w:qFormat/>
    <w:rPr>
      <w:rFonts w:cs="Courier New"/>
    </w:rPr>
  </w:style>
  <w:style w:type="character" w:styleId="ListLabel143">
    <w:name w:val="ListLabel 143"/>
    <w:qFormat/>
    <w:rPr>
      <w:rFonts w:cs="Wingdings"/>
    </w:rPr>
  </w:style>
  <w:style w:type="character" w:styleId="ListLabel144">
    <w:name w:val="ListLabel 144"/>
    <w:qFormat/>
    <w:rPr>
      <w:rFonts w:cs="Symbol"/>
    </w:rPr>
  </w:style>
  <w:style w:type="character" w:styleId="ListLabel145">
    <w:name w:val="ListLabel 145"/>
    <w:qFormat/>
    <w:rPr>
      <w:rFonts w:cs="Courier New"/>
    </w:rPr>
  </w:style>
  <w:style w:type="character" w:styleId="ListLabel146">
    <w:name w:val="ListLabel 146"/>
    <w:qFormat/>
    <w:rPr>
      <w:rFonts w:cs="Wingdings"/>
    </w:rPr>
  </w:style>
  <w:style w:type="character" w:styleId="ListLabel147">
    <w:name w:val="ListLabel 147"/>
    <w:qFormat/>
    <w:rPr>
      <w:rFonts w:cs="Symbol"/>
    </w:rPr>
  </w:style>
  <w:style w:type="character" w:styleId="ListLabel148">
    <w:name w:val="ListLabel 148"/>
    <w:qFormat/>
    <w:rPr>
      <w:rFonts w:cs="Courier New"/>
    </w:rPr>
  </w:style>
  <w:style w:type="character" w:styleId="ListLabel149">
    <w:name w:val="ListLabel 149"/>
    <w:qFormat/>
    <w:rPr>
      <w:rFonts w:cs="Wingdings"/>
    </w:rPr>
  </w:style>
  <w:style w:type="character" w:styleId="ListLabel150">
    <w:name w:val="ListLabel 150"/>
    <w:qFormat/>
    <w:rPr>
      <w:rFonts w:eastAsia="Arial"/>
      <w:sz w:val="24"/>
      <w:szCs w:val="24"/>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semiHidden/>
    <w:pPr/>
    <w:rPr>
      <w:b/>
      <w:sz w:val="24"/>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semiHidden/>
    <w:pPr>
      <w:tabs>
        <w:tab w:val="clear" w:pos="720"/>
        <w:tab w:val="center" w:pos="4320" w:leader="none"/>
        <w:tab w:val="right" w:pos="8640" w:leader="none"/>
      </w:tabs>
    </w:pPr>
    <w:rPr/>
  </w:style>
  <w:style w:type="paragraph" w:styleId="Footer">
    <w:name w:val="Footer"/>
    <w:basedOn w:val="Normal"/>
    <w:link w:val="FooterChar"/>
    <w:uiPriority w:val="99"/>
    <w:pPr>
      <w:tabs>
        <w:tab w:val="clear" w:pos="720"/>
        <w:tab w:val="center" w:pos="4320" w:leader="none"/>
        <w:tab w:val="right" w:pos="8640" w:leader="none"/>
      </w:tabs>
    </w:pPr>
    <w:rPr/>
  </w:style>
  <w:style w:type="paragraph" w:styleId="BalloonText">
    <w:name w:val="Balloon Text"/>
    <w:basedOn w:val="Normal"/>
    <w:semiHidden/>
    <w:qFormat/>
    <w:rsid w:val="00c3278b"/>
    <w:pPr/>
    <w:rPr>
      <w:rFonts w:ascii="Tahoma" w:hAnsi="Tahoma" w:cs="Tahoma"/>
      <w:sz w:val="16"/>
      <w:szCs w:val="16"/>
    </w:rPr>
  </w:style>
  <w:style w:type="paragraph" w:styleId="Annotationtext">
    <w:name w:val="annotation text"/>
    <w:basedOn w:val="Normal"/>
    <w:link w:val="CommentTextChar"/>
    <w:uiPriority w:val="99"/>
    <w:semiHidden/>
    <w:unhideWhenUsed/>
    <w:qFormat/>
    <w:rsid w:val="0057780f"/>
    <w:pPr/>
    <w:rPr/>
  </w:style>
  <w:style w:type="paragraph" w:styleId="Annotationsubject">
    <w:name w:val="annotation subject"/>
    <w:basedOn w:val="Annotationtext"/>
    <w:next w:val="Annotationtext"/>
    <w:link w:val="CommentSubjectChar"/>
    <w:uiPriority w:val="99"/>
    <w:semiHidden/>
    <w:unhideWhenUsed/>
    <w:qFormat/>
    <w:rsid w:val="0057780f"/>
    <w:pPr/>
    <w:rPr>
      <w:b/>
      <w:bCs/>
    </w:rPr>
  </w:style>
  <w:style w:type="paragraph" w:styleId="BodyText3">
    <w:name w:val="Body Text 3"/>
    <w:basedOn w:val="Normal"/>
    <w:link w:val="BodyText3Char"/>
    <w:uiPriority w:val="99"/>
    <w:semiHidden/>
    <w:unhideWhenUsed/>
    <w:qFormat/>
    <w:rsid w:val="00f927a1"/>
    <w:pPr>
      <w:spacing w:before="0" w:after="120"/>
    </w:pPr>
    <w:rPr>
      <w:sz w:val="16"/>
      <w:szCs w:val="16"/>
    </w:rPr>
  </w:style>
  <w:style w:type="paragraph" w:styleId="ColorfulShadingAccent11" w:customStyle="1">
    <w:name w:val="Colorful Shading - Accent 11"/>
    <w:uiPriority w:val="99"/>
    <w:semiHidden/>
    <w:qFormat/>
    <w:rsid w:val="004b6822"/>
    <w:pPr>
      <w:widowControl/>
      <w:bidi w:val="0"/>
      <w:jc w:val="left"/>
    </w:pPr>
    <w:rPr>
      <w:rFonts w:ascii="Arial" w:hAnsi="Arial" w:eastAsia="Times New Roman" w:cs="Arial"/>
      <w:color w:val="000000"/>
      <w:kern w:val="0"/>
      <w:sz w:val="20"/>
      <w:szCs w:val="20"/>
      <w:lang w:val="en-GB" w:eastAsia="en-GB" w:bidi="ar-SA"/>
    </w:rPr>
  </w:style>
  <w:style w:type="paragraph" w:styleId="ListParagraph">
    <w:name w:val="List Paragraph"/>
    <w:basedOn w:val="Normal"/>
    <w:uiPriority w:val="34"/>
    <w:qFormat/>
    <w:rsid w:val="00450c83"/>
    <w:pPr>
      <w:spacing w:before="0" w:after="0"/>
      <w:ind w:left="720" w:hanging="0"/>
      <w:contextualSpacing/>
    </w:pPr>
    <w:rPr/>
  </w:style>
  <w:style w:type="paragraph" w:styleId="TableParagraph" w:customStyle="1">
    <w:name w:val="Table Paragraph"/>
    <w:basedOn w:val="Normal"/>
    <w:uiPriority w:val="1"/>
    <w:qFormat/>
    <w:rsid w:val="003769f6"/>
    <w:pPr>
      <w:widowControl w:val="false"/>
      <w:overflowPunct w:val="true"/>
      <w:ind w:left="108" w:hanging="0"/>
      <w:textAlignment w:val="auto"/>
    </w:pPr>
    <w:rPr>
      <w:rFonts w:eastAsia="Arial"/>
      <w:color w:val="auto"/>
      <w:sz w:val="22"/>
      <w:szCs w:val="22"/>
      <w:lang w:bidi="en-GB"/>
    </w:rPr>
  </w:style>
  <w:style w:type="paragraph" w:styleId="Paragraph" w:customStyle="1">
    <w:name w:val="paragraph"/>
    <w:basedOn w:val="Normal"/>
    <w:qFormat/>
    <w:rsid w:val="00a221ab"/>
    <w:pPr>
      <w:overflowPunct w:val="true"/>
      <w:spacing w:beforeAutospacing="1"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qFormat/>
    <w:rsid w:val="00314e11"/>
    <w:pPr>
      <w:spacing w:beforeAutospacing="1" w:afterAutospacing="1"/>
      <w:textAlignment w:val="auto"/>
    </w:pPr>
    <w:rPr>
      <w:rFonts w:ascii="Times New Roman" w:hAnsi="Times New Roman" w:cs="Times New Roman"/>
      <w:color w:val="auto"/>
      <w:sz w:val="24"/>
      <w:szCs w:val="24"/>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uwtsd.ac.uk/media/uwtsd-website/content-assets/documents/academic-office/aqh-chapters/chapters---en/Chapter_07_Assessment_Taught_Programmes_Pages_72-79-UPDATED-05-11-2019.pdf" TargetMode="External"/><Relationship Id="rId4" Type="http://schemas.openxmlformats.org/officeDocument/2006/relationships/hyperlink" Target="https://moodle.uwtsd.ac.uk/pluginfile.php/298870/mod_resource/content/1/Reflective Practice for Policing Students - Selina Copley Chapter5.pdf" TargetMode="External"/><Relationship Id="rId5" Type="http://schemas.openxmlformats.org/officeDocument/2006/relationships/hyperlink" Target="mailto:k.andrews@uwtsd.ac.uk" TargetMode="External"/><Relationship Id="rId6" Type="http://schemas.openxmlformats.org/officeDocument/2006/relationships/image" Target="media/image2.png"/><Relationship Id="rId7" Type="http://schemas.openxmlformats.org/officeDocument/2006/relationships/image" Target="media/image3.gif"/><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header" Target="header2.xml"/><Relationship Id="rId11" Type="http://schemas.openxmlformats.org/officeDocument/2006/relationships/footer" Target="footer2.xm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Relationship Id="rId17" Type="http://schemas.openxmlformats.org/officeDocument/2006/relationships/customXml" Target="../customXml/item2.xml"/><Relationship Id="rId18" Type="http://schemas.openxmlformats.org/officeDocument/2006/relationships/customXml" Target="../customXml/item3.xml"/><Relationship Id="rId19"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2" ma:contentTypeDescription="Create a new document." ma:contentTypeScope="" ma:versionID="1a24bdfc6f69a2479d2a58d052d50fd5">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0b25eb4e6cc80b8e85c055958ae8bff5"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627e797c-4fb4-4db6-98ba-0b3275687411"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2B379B-057D-4DCB-BCF1-AD0F65CE09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a009ffaf-daef-4566-8b5a-5d730c96ca09"/>
    <ds:schemaRef ds:uri="627e797c-4fb4-4db6-98ba-0b3275687411"/>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930</TotalTime>
  <Application>Trio_Office/6.2.8.2$Windows_x86 LibreOffice_project/</Application>
  <Pages>24</Pages>
  <Words>6208</Words>
  <Characters>33499</Characters>
  <CharactersWithSpaces>39576</CharactersWithSpaces>
  <Paragraphs>230</Paragraphs>
  <Company>Powys County Council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2019-02-14T13:20:00Z</dcterms:created>
  <dc:creator>GC</dc:creator>
  <dc:description/>
  <dc:language>en-GB</dc:language>
  <cp:lastModifiedBy/>
  <cp:lastPrinted>2014-08-26T08:55:00Z</cp:lastPrinted>
  <dcterms:modified xsi:type="dcterms:W3CDTF">2024-02-05T16:11:37Z</dcterms:modified>
  <cp:revision>140</cp:revision>
  <dc:subject/>
  <dc:title>NORTH AND WEST WALES PQ1 PROGRAMME</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Powys County Council</vt:lpwstr>
  </property>
  <property fmtid="{D5CDD505-2E9C-101B-9397-08002B2CF9AE}" pid="4" name="ContentTypeId">
    <vt:lpwstr>0x01010001D4C16265B14C4FAC6CAB022E2163B3</vt:lpwstr>
  </property>
  <property fmtid="{D5CDD505-2E9C-101B-9397-08002B2CF9AE}" pid="5" name="DocSecurity">
    <vt:i4>0</vt:i4>
  </property>
  <property fmtid="{D5CDD505-2E9C-101B-9397-08002B2CF9AE}" pid="6" name="HyperlinksChanged">
    <vt:bool>0</vt:bool>
  </property>
  <property fmtid="{D5CDD505-2E9C-101B-9397-08002B2CF9AE}" pid="7" name="LinksUpToDate">
    <vt:bool>0</vt:bool>
  </property>
  <property fmtid="{D5CDD505-2E9C-101B-9397-08002B2CF9AE}" pid="8" name="MSIP_Label_f2acd28b-79a3-4a0f-b0ff-4b75658b1549_ActionId">
    <vt:lpwstr>fa702822-793a-43f1-8576-e7e1bf90b20f</vt:lpwstr>
  </property>
  <property fmtid="{D5CDD505-2E9C-101B-9397-08002B2CF9AE}" pid="9" name="MSIP_Label_f2acd28b-79a3-4a0f-b0ff-4b75658b154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Method">
    <vt:lpwstr>Standard</vt:lpwstr>
  </property>
  <property fmtid="{D5CDD505-2E9C-101B-9397-08002B2CF9AE}" pid="12" name="MSIP_Label_f2acd28b-79a3-4a0f-b0ff-4b75658b1549_Name">
    <vt:lpwstr>OFFICIAL</vt:lpwstr>
  </property>
  <property fmtid="{D5CDD505-2E9C-101B-9397-08002B2CF9AE}" pid="13" name="MSIP_Label_f2acd28b-79a3-4a0f-b0ff-4b75658b1549_SetDate">
    <vt:lpwstr>2023-07-13T11:12:14Z</vt:lpwstr>
  </property>
  <property fmtid="{D5CDD505-2E9C-101B-9397-08002B2CF9AE}" pid="14" name="MSIP_Label_f2acd28b-79a3-4a0f-b0ff-4b75658b1549_SiteId">
    <vt:lpwstr>e46c8472-ef5d-4b63-bc74-4a60db42c371</vt:lpwstr>
  </property>
  <property fmtid="{D5CDD505-2E9C-101B-9397-08002B2CF9AE}" pid="15" name="ScaleCrop">
    <vt:bool>0</vt:bool>
  </property>
  <property fmtid="{D5CDD505-2E9C-101B-9397-08002B2CF9AE}" pid="16" name="ShareDoc">
    <vt:bool>0</vt:bool>
  </property>
</Properties>
</file>