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bookmarkStart w:id="0" w:name="_Toc2102642560"/>
      <w:r>
        <w:rPr>
          <w:rFonts w:ascii="Arial" w:hAnsi="Arial" w:cs="Arial"/>
        </w:rPr>
        <w:drawing>
          <wp:anchor distT="0" distB="0" distL="114300" distR="114300" simplePos="0" relativeHeight="251659264" behindDoc="0" locked="0" layoutInCell="1" allowOverlap="1">
            <wp:simplePos x="0" y="0"/>
            <wp:positionH relativeFrom="column">
              <wp:posOffset>18415</wp:posOffset>
            </wp:positionH>
            <wp:positionV relativeFrom="paragraph">
              <wp:posOffset>-24765</wp:posOffset>
            </wp:positionV>
            <wp:extent cx="1541780" cy="524510"/>
            <wp:effectExtent l="0" t="0" r="7620" b="8255"/>
            <wp:wrapSquare wrapText="bothSides"/>
            <wp:docPr id="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7"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541780" cy="524510"/>
                    </a:xfrm>
                    <a:prstGeom prst="rect">
                      <a:avLst/>
                    </a:prstGeom>
                    <a:noFill/>
                    <a:ln>
                      <a:noFill/>
                    </a:ln>
                  </pic:spPr>
                </pic:pic>
              </a:graphicData>
            </a:graphic>
          </wp:anchor>
        </w:drawing>
      </w:r>
    </w:p>
    <w:p>
      <w:pPr>
        <w:pageBreakBefore w:val="0"/>
        <w:kinsoku/>
        <w:wordWrap/>
        <w:overflowPunct/>
        <w:topLinePunct w:val="0"/>
        <w:autoSpaceDE/>
        <w:autoSpaceDN/>
        <w:bidi w:val="0"/>
        <w:adjustRightInd/>
        <w:snapToGrid/>
        <w:spacing w:line="360" w:lineRule="auto"/>
        <w:ind w:right="0" w:rightChars="0" w:firstLine="0" w:firstLineChars="0"/>
        <w:jc w:val="right"/>
        <w:textAlignment w:val="auto"/>
        <w:rPr>
          <w:rFonts w:hint="default" w:ascii="Times New Roman" w:hAnsi="Times New Roman" w:cs="Times New Roman"/>
          <w:sz w:val="24"/>
          <w:szCs w:val="24"/>
        </w:rPr>
      </w:pPr>
      <w:r>
        <w:rPr>
          <w:rFonts w:hint="default" w:ascii="Times New Roman" w:hAnsi="Times New Roman" w:cs="Times New Roman"/>
          <w:b/>
          <w:sz w:val="24"/>
          <w:szCs w:val="24"/>
        </w:rPr>
        <w:t>APPENDIX GA36c</w:t>
      </w:r>
    </w:p>
    <w:tbl>
      <w:tblPr>
        <w:tblStyle w:val="12"/>
        <w:tblpPr w:leftFromText="180" w:rightFromText="180" w:vertAnchor="text" w:horzAnchor="page" w:tblpX="1698" w:tblpY="456"/>
        <w:tblOverlap w:val="never"/>
        <w:tblW w:w="880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CellMar>
          <w:top w:w="0" w:type="dxa"/>
          <w:left w:w="108" w:type="dxa"/>
          <w:bottom w:w="0" w:type="dxa"/>
          <w:right w:w="108" w:type="dxa"/>
        </w:tblCellMar>
      </w:tblPr>
      <w:tblGrid>
        <w:gridCol w:w="8800"/>
      </w:tblGrid>
      <w:tr>
        <w:tblPrEx>
          <w:tblLayout w:type="fixed"/>
        </w:tblPrEx>
        <w:trPr>
          <w:trHeight w:val="706" w:hRule="atLeast"/>
        </w:trPr>
        <w:tc>
          <w:tcPr>
            <w:tcW w:w="8800" w:type="dxa"/>
            <w:shd w:val="clear" w:color="auto" w:fill="C0C0C0"/>
          </w:tcPr>
          <w:p>
            <w:pPr>
              <w:pStyle w:val="5"/>
              <w:rPr>
                <w:rFonts w:ascii="Arial" w:hAnsi="Arial" w:cs="Arial"/>
                <w:b/>
              </w:rPr>
            </w:pPr>
            <w:r>
              <w:rPr>
                <w:rFonts w:ascii="Arial" w:hAnsi="Arial" w:cs="Arial"/>
                <w:b/>
              </w:rPr>
              <w:t xml:space="preserve">LEVEL 6 ASSESSMENT SPECIFICATION </w:t>
            </w:r>
          </w:p>
        </w:tc>
      </w:tr>
    </w:tbl>
    <w:tbl>
      <w:tblPr>
        <w:tblStyle w:val="12"/>
        <w:tblpPr w:leftFromText="180" w:rightFromText="180" w:vertAnchor="text" w:horzAnchor="page" w:tblpX="1123" w:tblpY="1218"/>
        <w:tblOverlap w:val="never"/>
        <w:tblW w:w="992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2"/>
        <w:gridCol w:w="2267"/>
        <w:gridCol w:w="1"/>
        <w:gridCol w:w="22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497"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Student name:</w:t>
            </w:r>
          </w:p>
        </w:tc>
        <w:tc>
          <w:tcPr>
            <w:tcW w:w="3292" w:type="dxa"/>
          </w:tcPr>
          <w:p>
            <w:pPr>
              <w:spacing w:before="120" w:after="120"/>
              <w:jc w:val="both"/>
              <w:rPr>
                <w:rFonts w:ascii="Arial" w:hAnsi="Arial" w:cs="Arial"/>
                <w:b/>
                <w:sz w:val="22"/>
                <w:szCs w:val="22"/>
              </w:rPr>
            </w:pPr>
            <w:r>
              <w:rPr>
                <w:rFonts w:ascii="Arial" w:hAnsi="Arial" w:cs="Arial"/>
                <w:b/>
                <w:sz w:val="22"/>
                <w:szCs w:val="22"/>
              </w:rPr>
              <w:t>WANG ZIPING</w:t>
            </w:r>
          </w:p>
        </w:tc>
        <w:tc>
          <w:tcPr>
            <w:tcW w:w="2267" w:type="dxa"/>
            <w:shd w:val="clear" w:color="auto" w:fill="D9D9D9"/>
          </w:tcPr>
          <w:p>
            <w:pPr>
              <w:spacing w:before="120" w:after="120"/>
              <w:jc w:val="both"/>
              <w:rPr>
                <w:rFonts w:ascii="Arial" w:hAnsi="Arial" w:cs="Arial"/>
                <w:b/>
                <w:sz w:val="22"/>
                <w:szCs w:val="22"/>
              </w:rPr>
            </w:pPr>
            <w:r>
              <w:rPr>
                <w:rFonts w:ascii="Arial" w:hAnsi="Arial" w:cs="Arial"/>
                <w:b/>
                <w:sz w:val="22"/>
                <w:szCs w:val="22"/>
              </w:rPr>
              <w:t>Student ID number:</w:t>
            </w:r>
          </w:p>
        </w:tc>
        <w:tc>
          <w:tcPr>
            <w:tcW w:w="2268" w:type="dxa"/>
            <w:gridSpan w:val="2"/>
          </w:tcPr>
          <w:p>
            <w:pPr>
              <w:spacing w:before="120" w:after="120"/>
              <w:jc w:val="both"/>
              <w:rPr>
                <w:rFonts w:ascii="Arial" w:hAnsi="Arial" w:cs="Arial"/>
                <w:b/>
                <w:sz w:val="22"/>
                <w:szCs w:val="22"/>
              </w:rPr>
            </w:pPr>
            <w:r>
              <w:rPr>
                <w:rFonts w:ascii="Arial" w:hAnsi="Arial" w:cs="Arial"/>
                <w:b/>
                <w:sz w:val="22"/>
                <w:szCs w:val="22"/>
              </w:rPr>
              <w:t>1900407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497"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Programme:</w:t>
            </w:r>
          </w:p>
        </w:tc>
        <w:tc>
          <w:tcPr>
            <w:tcW w:w="7827" w:type="dxa"/>
            <w:gridSpan w:val="4"/>
          </w:tcPr>
          <w:p>
            <w:pPr>
              <w:spacing w:before="120" w:after="120"/>
              <w:jc w:val="both"/>
              <w:rPr>
                <w:rFonts w:ascii="Arial" w:hAnsi="Arial" w:cs="Arial"/>
                <w:b/>
                <w:sz w:val="22"/>
                <w:szCs w:val="22"/>
              </w:rPr>
            </w:pPr>
            <w:r>
              <w:rPr>
                <w:rFonts w:ascii="Arial" w:hAnsi="Arial" w:cs="Arial"/>
                <w:b/>
                <w:sz w:val="22"/>
                <w:szCs w:val="22"/>
              </w:rPr>
              <w:t>BA Business Portfolio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497"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w:t>
            </w:r>
          </w:p>
        </w:tc>
        <w:tc>
          <w:tcPr>
            <w:tcW w:w="7827" w:type="dxa"/>
            <w:gridSpan w:val="4"/>
            <w:shd w:val="clear" w:color="auto" w:fill="auto"/>
          </w:tcPr>
          <w:p>
            <w:pPr>
              <w:spacing w:before="120" w:after="120"/>
              <w:jc w:val="both"/>
              <w:rPr>
                <w:rFonts w:ascii="Arial" w:hAnsi="Arial" w:cs="Arial"/>
                <w:b/>
                <w:sz w:val="22"/>
                <w:szCs w:val="22"/>
              </w:rPr>
            </w:pPr>
            <w:r>
              <w:rPr>
                <w:rFonts w:ascii="Arial" w:hAnsi="Arial" w:cs="Arial"/>
                <w:b/>
                <w:sz w:val="22"/>
                <w:szCs w:val="22"/>
              </w:rPr>
              <w:t>Contemporary Human Resource in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889"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Module code:</w:t>
            </w:r>
          </w:p>
        </w:tc>
        <w:tc>
          <w:tcPr>
            <w:tcW w:w="3292" w:type="dxa"/>
          </w:tcPr>
          <w:p>
            <w:pPr>
              <w:spacing w:before="120" w:after="120"/>
              <w:jc w:val="both"/>
              <w:rPr>
                <w:rFonts w:ascii="Arial" w:hAnsi="Arial" w:cs="Arial"/>
                <w:b/>
                <w:sz w:val="22"/>
                <w:szCs w:val="22"/>
              </w:rPr>
            </w:pPr>
            <w:r>
              <w:rPr>
                <w:rFonts w:ascii="Arial" w:hAnsi="Arial" w:cs="Arial"/>
                <w:b/>
                <w:sz w:val="22"/>
                <w:szCs w:val="22"/>
              </w:rPr>
              <w:t>M6X00873</w:t>
            </w:r>
          </w:p>
        </w:tc>
        <w:tc>
          <w:tcPr>
            <w:tcW w:w="2268" w:type="dxa"/>
            <w:gridSpan w:val="2"/>
            <w:shd w:val="clear" w:color="auto" w:fill="D9D9D9"/>
          </w:tcPr>
          <w:p>
            <w:pPr>
              <w:pStyle w:val="3"/>
              <w:rPr>
                <w:rFonts w:ascii="Arial" w:hAnsi="Arial" w:cs="Arial"/>
                <w:sz w:val="22"/>
                <w:szCs w:val="22"/>
              </w:rPr>
            </w:pPr>
            <w:r>
              <w:rPr>
                <w:rFonts w:ascii="Arial" w:hAnsi="Arial" w:cs="Arial"/>
                <w:sz w:val="22"/>
                <w:szCs w:val="22"/>
              </w:rPr>
              <w:t>Contribution to Overall Module Assessment (%):</w:t>
            </w:r>
          </w:p>
        </w:tc>
        <w:tc>
          <w:tcPr>
            <w:tcW w:w="2267" w:type="dxa"/>
          </w:tcPr>
          <w:p>
            <w:pPr>
              <w:spacing w:before="120" w:after="120"/>
              <w:jc w:val="both"/>
              <w:rPr>
                <w:rFonts w:ascii="Arial" w:hAnsi="Arial" w:cs="Arial"/>
                <w:b/>
                <w:sz w:val="22"/>
                <w:szCs w:val="22"/>
              </w:rPr>
            </w:pPr>
            <w:r>
              <w:rPr>
                <w:rFonts w:ascii="Arial" w:hAnsi="Arial" w:cs="Arial"/>
                <w:b/>
                <w:sz w:val="22"/>
                <w:szCs w:val="22"/>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772"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Lecturer:</w:t>
            </w:r>
          </w:p>
        </w:tc>
        <w:tc>
          <w:tcPr>
            <w:tcW w:w="3292" w:type="dxa"/>
          </w:tcPr>
          <w:p>
            <w:pPr>
              <w:spacing w:before="120" w:after="120"/>
              <w:jc w:val="both"/>
              <w:rPr>
                <w:rFonts w:ascii="Arial" w:hAnsi="Arial" w:cs="Arial"/>
                <w:b/>
                <w:sz w:val="22"/>
                <w:szCs w:val="22"/>
              </w:rPr>
            </w:pPr>
            <w:r>
              <w:rPr>
                <w:rFonts w:ascii="Arial" w:hAnsi="Arial" w:cs="Arial"/>
                <w:b/>
                <w:sz w:val="22"/>
                <w:szCs w:val="22"/>
              </w:rPr>
              <w:t>Julie Hayward</w:t>
            </w:r>
          </w:p>
        </w:tc>
        <w:tc>
          <w:tcPr>
            <w:tcW w:w="2268" w:type="dxa"/>
            <w:gridSpan w:val="2"/>
            <w:shd w:val="clear" w:color="auto" w:fill="D9D9D9"/>
          </w:tcPr>
          <w:p>
            <w:pPr>
              <w:spacing w:before="120" w:after="120"/>
              <w:jc w:val="both"/>
              <w:rPr>
                <w:rFonts w:ascii="Arial" w:hAnsi="Arial" w:cs="Arial"/>
                <w:b/>
                <w:sz w:val="22"/>
                <w:szCs w:val="22"/>
              </w:rPr>
            </w:pPr>
            <w:r>
              <w:rPr>
                <w:rFonts w:ascii="Arial" w:hAnsi="Arial" w:cs="Arial"/>
                <w:b/>
                <w:sz w:val="22"/>
                <w:szCs w:val="22"/>
              </w:rPr>
              <w:t>Internal Verifier:</w:t>
            </w:r>
          </w:p>
        </w:tc>
        <w:tc>
          <w:tcPr>
            <w:tcW w:w="2267" w:type="dxa"/>
          </w:tcPr>
          <w:p>
            <w:pPr>
              <w:spacing w:before="120" w:after="120"/>
              <w:rPr>
                <w:rFonts w:ascii="Arial" w:hAnsi="Arial" w:cs="Arial"/>
                <w:b/>
                <w:sz w:val="22"/>
                <w:szCs w:val="22"/>
              </w:rPr>
            </w:pPr>
            <w:r>
              <w:rPr>
                <w:rFonts w:ascii="Arial" w:hAnsi="Arial" w:cs="Arial"/>
                <w:b/>
                <w:sz w:val="22"/>
                <w:szCs w:val="22"/>
              </w:rPr>
              <w:t>Felicity Healy-Benson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772"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Assignment Title:</w:t>
            </w:r>
          </w:p>
        </w:tc>
        <w:tc>
          <w:tcPr>
            <w:tcW w:w="3292" w:type="dxa"/>
          </w:tcPr>
          <w:p>
            <w:pPr>
              <w:spacing w:before="120" w:after="120"/>
              <w:rPr>
                <w:rFonts w:ascii="Arial" w:hAnsi="Arial" w:cs="Arial"/>
                <w:b/>
                <w:sz w:val="22"/>
                <w:szCs w:val="22"/>
              </w:rPr>
            </w:pPr>
            <w:r>
              <w:rPr>
                <w:rFonts w:ascii="Arial" w:hAnsi="Arial" w:cs="Arial"/>
                <w:b/>
                <w:sz w:val="22"/>
                <w:szCs w:val="22"/>
              </w:rPr>
              <w:t>The Future of the HR Profession</w:t>
            </w:r>
          </w:p>
        </w:tc>
        <w:tc>
          <w:tcPr>
            <w:tcW w:w="2268" w:type="dxa"/>
            <w:gridSpan w:val="2"/>
            <w:shd w:val="pct10" w:color="auto" w:fill="auto"/>
          </w:tcPr>
          <w:p>
            <w:pPr>
              <w:spacing w:before="120" w:after="120"/>
              <w:jc w:val="both"/>
              <w:rPr>
                <w:rFonts w:ascii="Arial" w:hAnsi="Arial" w:cs="Arial"/>
                <w:b/>
                <w:sz w:val="22"/>
                <w:szCs w:val="22"/>
              </w:rPr>
            </w:pPr>
            <w:r>
              <w:rPr>
                <w:rFonts w:ascii="Arial" w:hAnsi="Arial" w:cs="Arial"/>
                <w:b/>
                <w:sz w:val="22"/>
                <w:szCs w:val="22"/>
              </w:rPr>
              <w:t>Word count (or equivalent):</w:t>
            </w:r>
          </w:p>
        </w:tc>
        <w:tc>
          <w:tcPr>
            <w:tcW w:w="2267" w:type="dxa"/>
          </w:tcPr>
          <w:p>
            <w:pPr>
              <w:spacing w:before="120" w:after="120"/>
              <w:jc w:val="both"/>
              <w:rPr>
                <w:rFonts w:ascii="Arial" w:hAnsi="Arial" w:cs="Arial"/>
                <w:b/>
                <w:sz w:val="22"/>
                <w:szCs w:val="22"/>
              </w:rPr>
            </w:pPr>
            <w:r>
              <w:rPr>
                <w:rFonts w:ascii="Arial" w:hAnsi="Arial" w:cs="Arial"/>
                <w:b/>
                <w:sz w:val="22"/>
                <w:szCs w:val="22"/>
              </w:rPr>
              <w:t>2500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047"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deadline:</w:t>
            </w:r>
          </w:p>
        </w:tc>
        <w:tc>
          <w:tcPr>
            <w:tcW w:w="3292" w:type="dxa"/>
            <w:shd w:val="clear" w:color="auto" w:fill="auto"/>
          </w:tcPr>
          <w:p>
            <w:pPr>
              <w:spacing w:before="120" w:after="120"/>
              <w:jc w:val="both"/>
              <w:rPr>
                <w:rFonts w:ascii="Arial" w:hAnsi="Arial" w:cs="Arial"/>
                <w:sz w:val="22"/>
                <w:szCs w:val="22"/>
              </w:rPr>
            </w:pPr>
            <w:r>
              <w:rPr>
                <w:rFonts w:ascii="Arial" w:hAnsi="Arial" w:cs="Arial"/>
                <w:color w:val="000000" w:themeColor="text1"/>
                <w:sz w:val="22"/>
                <w:szCs w:val="22"/>
                <w14:textFill>
                  <w14:solidFill>
                    <w14:schemeClr w14:val="tx1"/>
                  </w14:solidFill>
                </w14:textFill>
              </w:rPr>
              <w:t>15</w:t>
            </w:r>
            <w:r>
              <w:rPr>
                <w:rFonts w:ascii="Arial" w:hAnsi="Arial" w:cs="Arial"/>
                <w:color w:val="000000" w:themeColor="text1"/>
                <w:sz w:val="22"/>
                <w:szCs w:val="22"/>
                <w:vertAlign w:val="superscript"/>
                <w14:textFill>
                  <w14:solidFill>
                    <w14:schemeClr w14:val="tx1"/>
                  </w14:solidFill>
                </w14:textFill>
              </w:rPr>
              <w:t>th</w:t>
            </w:r>
            <w:r>
              <w:rPr>
                <w:rFonts w:ascii="Arial" w:hAnsi="Arial" w:cs="Arial"/>
                <w:color w:val="000000" w:themeColor="text1"/>
                <w:sz w:val="22"/>
                <w:szCs w:val="22"/>
                <w14:textFill>
                  <w14:solidFill>
                    <w14:schemeClr w14:val="tx1"/>
                  </w14:solidFill>
                </w14:textFill>
              </w:rPr>
              <w:t xml:space="preserve"> November 2019</w:t>
            </w:r>
          </w:p>
        </w:tc>
        <w:tc>
          <w:tcPr>
            <w:tcW w:w="2268" w:type="dxa"/>
            <w:gridSpan w:val="2"/>
            <w:shd w:val="pct10" w:color="auto" w:fill="auto"/>
          </w:tcPr>
          <w:p>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7" w:type="dxa"/>
          </w:tcPr>
          <w:p>
            <w:pPr>
              <w:spacing w:before="120" w:after="120"/>
              <w:jc w:val="both"/>
              <w:rPr>
                <w:rFonts w:ascii="Arial" w:hAnsi="Arial" w:cs="Arial"/>
                <w:color w:val="FF0000"/>
                <w:sz w:val="22"/>
                <w:szCs w:val="22"/>
              </w:rPr>
            </w:pPr>
            <w:r>
              <w:rPr>
                <w:rFonts w:ascii="Arial" w:hAnsi="Arial" w:cs="Arial"/>
                <w:color w:val="000000" w:themeColor="text1"/>
                <w:sz w:val="22"/>
                <w:szCs w:val="22"/>
                <w14:textFill>
                  <w14:solidFill>
                    <w14:schemeClr w14:val="tx1"/>
                  </w14:solidFill>
                </w14:textFill>
              </w:rPr>
              <w:t>13</w:t>
            </w:r>
            <w:r>
              <w:rPr>
                <w:rFonts w:ascii="Arial" w:hAnsi="Arial" w:cs="Arial"/>
                <w:color w:val="000000" w:themeColor="text1"/>
                <w:sz w:val="22"/>
                <w:szCs w:val="22"/>
                <w:vertAlign w:val="superscript"/>
                <w14:textFill>
                  <w14:solidFill>
                    <w14:schemeClr w14:val="tx1"/>
                  </w14:solidFill>
                </w14:textFill>
              </w:rPr>
              <w:t>th</w:t>
            </w:r>
            <w:r>
              <w:rPr>
                <w:rFonts w:ascii="Arial" w:hAnsi="Arial" w:cs="Arial"/>
                <w:color w:val="000000" w:themeColor="text1"/>
                <w:sz w:val="22"/>
                <w:szCs w:val="22"/>
                <w14:textFill>
                  <w14:solidFill>
                    <w14:schemeClr w14:val="tx1"/>
                  </w14:solidFill>
                </w14:textFill>
              </w:rPr>
              <w:t xml:space="preserve"> December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2806" w:hRule="atLeast"/>
        </w:trPr>
        <w:tc>
          <w:tcPr>
            <w:tcW w:w="2093" w:type="dxa"/>
            <w:shd w:val="pct10" w:color="auto" w:fill="auto"/>
          </w:tcPr>
          <w:p>
            <w:pPr>
              <w:spacing w:before="120" w:after="120"/>
              <w:jc w:val="both"/>
              <w:rPr>
                <w:rFonts w:ascii="Arial" w:hAnsi="Arial" w:cs="Arial"/>
                <w:b/>
                <w:sz w:val="22"/>
                <w:szCs w:val="22"/>
              </w:rPr>
            </w:pPr>
            <w:r>
              <w:rPr>
                <w:rFonts w:ascii="Arial" w:hAnsi="Arial" w:cs="Arial"/>
                <w:b/>
                <w:sz w:val="22"/>
                <w:szCs w:val="22"/>
              </w:rPr>
              <w:t>Submission method:</w:t>
            </w:r>
          </w:p>
        </w:tc>
        <w:tc>
          <w:tcPr>
            <w:tcW w:w="7827" w:type="dxa"/>
            <w:gridSpan w:val="4"/>
            <w:shd w:val="clear" w:color="auto" w:fill="auto"/>
          </w:tcPr>
          <w:p>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1332" w:hRule="atLeast"/>
        </w:trPr>
        <w:tc>
          <w:tcPr>
            <w:tcW w:w="2093" w:type="dxa"/>
            <w:shd w:val="pct10" w:color="auto" w:fill="auto"/>
          </w:tcPr>
          <w:p>
            <w:pPr>
              <w:spacing w:before="120" w:after="120"/>
              <w:rPr>
                <w:rFonts w:ascii="Arial" w:hAnsi="Arial" w:cs="Arial"/>
                <w:b/>
                <w:sz w:val="22"/>
                <w:szCs w:val="22"/>
              </w:rPr>
            </w:pPr>
            <w:r>
              <w:rPr>
                <w:rFonts w:ascii="Arial" w:hAnsi="Arial" w:cs="Arial"/>
                <w:b/>
                <w:sz w:val="22"/>
                <w:szCs w:val="22"/>
              </w:rPr>
              <w:t>Academic honesty / referencing:</w:t>
            </w:r>
          </w:p>
        </w:tc>
        <w:tc>
          <w:tcPr>
            <w:tcW w:w="7827" w:type="dxa"/>
            <w:gridSpan w:val="4"/>
            <w:shd w:val="clear" w:color="auto" w:fill="auto"/>
          </w:tcPr>
          <w:p>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Style w:val="12"/>
        <w:tblW w:w="862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6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632" w:hRule="atLeast"/>
        </w:trPr>
        <w:tc>
          <w:tcPr>
            <w:tcW w:w="8620" w:type="dxa"/>
            <w:shd w:val="pct10" w:color="auto" w:fill="auto"/>
          </w:tcPr>
          <w:p>
            <w:pPr>
              <w:rPr>
                <w:rFonts w:ascii="Arial" w:hAnsi="Arial" w:cs="Arial"/>
                <w:b/>
                <w:sz w:val="22"/>
                <w:szCs w:val="22"/>
              </w:rPr>
            </w:pPr>
            <w:r>
              <w:rPr>
                <w:rFonts w:ascii="Arial" w:hAnsi="Arial" w:cs="Arial"/>
                <w:b/>
                <w:sz w:val="22"/>
                <w:szCs w:val="22"/>
              </w:rPr>
              <w:t xml:space="preserve">Module Learning Outcomes </w:t>
            </w:r>
          </w:p>
          <w:p>
            <w:pPr>
              <w:rPr>
                <w:rFonts w:ascii="Arial" w:hAnsi="Arial" w:cs="Arial"/>
                <w:sz w:val="22"/>
                <w:szCs w:val="22"/>
              </w:rPr>
            </w:pPr>
            <w:r>
              <w:rPr>
                <w:rFonts w:ascii="Arial" w:hAnsi="Arial" w:cs="Arial"/>
                <w:b/>
                <w:sz w:val="22"/>
                <w:szCs w:val="22"/>
              </w:rPr>
              <w:t>(from module syllabus)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Ex>
        <w:trPr>
          <w:trHeight w:val="4371" w:hRule="atLeast"/>
        </w:trPr>
        <w:tc>
          <w:tcPr>
            <w:tcW w:w="8620" w:type="dxa"/>
          </w:tcPr>
          <w:p>
            <w:pPr>
              <w:ind w:left="360"/>
              <w:rPr>
                <w:rFonts w:ascii="Arial" w:hAnsi="Arial" w:cs="Arial"/>
                <w:sz w:val="22"/>
                <w:szCs w:val="22"/>
              </w:rPr>
            </w:pPr>
          </w:p>
          <w:p>
            <w:pPr>
              <w:pStyle w:val="15"/>
              <w:numPr>
                <w:ilvl w:val="0"/>
                <w:numId w:val="1"/>
              </w:numPr>
              <w:spacing w:line="360" w:lineRule="auto"/>
              <w:rPr>
                <w:rFonts w:cs="Arial"/>
                <w:b/>
              </w:rPr>
            </w:pPr>
            <w:r>
              <w:rPr>
                <w:rFonts w:cs="Arial"/>
                <w:b/>
              </w:rPr>
              <w:t>Systematically evaluate contemporary issues in human resource management in organisations</w:t>
            </w:r>
          </w:p>
          <w:p>
            <w:pPr>
              <w:pStyle w:val="15"/>
              <w:numPr>
                <w:ilvl w:val="0"/>
                <w:numId w:val="1"/>
              </w:numPr>
              <w:spacing w:line="360" w:lineRule="auto"/>
              <w:rPr>
                <w:rFonts w:cs="Arial"/>
              </w:rPr>
            </w:pPr>
            <w:r>
              <w:rPr>
                <w:rFonts w:cs="Arial"/>
              </w:rPr>
              <w:t xml:space="preserve">Design effective performance management policies and practices using appropriate performance management techniques, rewards and sanctions to improve organisational and employee performance </w:t>
            </w:r>
          </w:p>
          <w:p>
            <w:pPr>
              <w:pStyle w:val="15"/>
              <w:numPr>
                <w:ilvl w:val="0"/>
                <w:numId w:val="1"/>
              </w:numPr>
              <w:spacing w:line="360" w:lineRule="auto"/>
              <w:rPr>
                <w:rFonts w:cs="Arial"/>
              </w:rPr>
            </w:pPr>
            <w:r>
              <w:rPr>
                <w:rFonts w:cs="Arial"/>
              </w:rPr>
              <w:t xml:space="preserve">Explore the critical contribution of employee engagement as a route to strategic, reputational and competitive excellence within a high-performance working environment </w:t>
            </w:r>
          </w:p>
          <w:p>
            <w:pPr>
              <w:rPr>
                <w:rFonts w:ascii="Arial" w:hAnsi="Arial" w:cs="Arial"/>
                <w:sz w:val="22"/>
                <w:szCs w:val="22"/>
              </w:rPr>
            </w:pPr>
          </w:p>
        </w:tc>
      </w:tr>
    </w:tbl>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bookmarkStart w:id="15" w:name="_GoBack"/>
      <w:bookmarkEnd w:id="15"/>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sectPr>
          <w:footerReference r:id="rId3" w:type="default"/>
          <w:pgSz w:w="11906" w:h="16838"/>
          <w:pgMar w:top="1417" w:right="1417" w:bottom="1417" w:left="1417" w:header="851" w:footer="992" w:gutter="0"/>
          <w:paperSrc/>
          <w:cols w:space="0" w:num="1"/>
          <w:rtlGutter w:val="0"/>
          <w:docGrid w:type="lines" w:linePitch="312" w:charSpace="0"/>
        </w:sect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r>
        <w:rPr>
          <w:rFonts w:ascii="Arial" w:hAnsi="Arial" w:cs="Arial"/>
        </w:rPr>
        <w:drawing>
          <wp:anchor distT="0" distB="0" distL="114300" distR="114300" simplePos="0" relativeHeight="251658240" behindDoc="0" locked="0" layoutInCell="1" allowOverlap="1">
            <wp:simplePos x="0" y="0"/>
            <wp:positionH relativeFrom="column">
              <wp:posOffset>44450</wp:posOffset>
            </wp:positionH>
            <wp:positionV relativeFrom="paragraph">
              <wp:posOffset>-25400</wp:posOffset>
            </wp:positionV>
            <wp:extent cx="1809750" cy="723900"/>
            <wp:effectExtent l="0" t="0" r="19050" b="12065"/>
            <wp:wrapSquare wrapText="bothSides"/>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CONTEMPORARY HUMAN RESOURCE IN PRACTICE</w:t>
      </w: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8"/>
          <w:szCs w:val="28"/>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8"/>
          <w:szCs w:val="28"/>
        </w:rPr>
      </w:pPr>
      <w:r>
        <w:rPr>
          <w:rFonts w:hint="default" w:ascii="Times New Roman" w:hAnsi="Times New Roman" w:cs="Times New Roman"/>
          <w:b/>
          <w:bCs/>
          <w:sz w:val="28"/>
          <w:szCs w:val="28"/>
        </w:rPr>
        <w:t>Assessment 1 2019</w:t>
      </w:r>
    </w:p>
    <w:p>
      <w:pPr>
        <w:pageBreakBefore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b/>
          <w:bCs/>
          <w:sz w:val="24"/>
          <w:szCs w:val="24"/>
        </w:rPr>
      </w:pPr>
    </w:p>
    <w:p>
      <w:pPr>
        <w:pageBreakBefore w:val="0"/>
        <w:kinsoku/>
        <w:wordWrap/>
        <w:overflowPunct/>
        <w:topLinePunct w:val="0"/>
        <w:autoSpaceDE/>
        <w:autoSpaceDN/>
        <w:bidi w:val="0"/>
        <w:adjustRightInd/>
        <w:snapToGrid/>
        <w:spacing w:line="360" w:lineRule="auto"/>
        <w:ind w:right="0" w:rightChars="0" w:firstLine="0" w:firstLineChars="0"/>
        <w:jc w:val="center"/>
        <w:textAlignment w:val="auto"/>
        <w:rPr>
          <w:rFonts w:hint="default" w:ascii="Times New Roman" w:hAnsi="Times New Roman" w:cs="Times New Roman"/>
          <w:b/>
          <w:bCs/>
          <w:sz w:val="24"/>
          <w:szCs w:val="24"/>
        </w:rPr>
      </w:pPr>
    </w:p>
    <w:tbl>
      <w:tblPr>
        <w:tblStyle w:val="13"/>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4055"/>
        <w:gridCol w:w="5233"/>
      </w:tblGrid>
      <w:tr>
        <w:tblPrEx>
          <w:tblLayout w:type="fixed"/>
        </w:tblPrEx>
        <w:tc>
          <w:tcPr>
            <w:tcW w:w="4055"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bCs/>
                <w:sz w:val="24"/>
                <w:szCs w:val="24"/>
                <w:vertAlign w:val="baseline"/>
              </w:rPr>
            </w:pPr>
            <w:r>
              <w:rPr>
                <w:rFonts w:hint="default" w:ascii="Times New Roman" w:hAnsi="Times New Roman" w:cs="Times New Roman"/>
                <w:b/>
                <w:bCs/>
                <w:sz w:val="24"/>
                <w:szCs w:val="24"/>
                <w:vertAlign w:val="baseline"/>
              </w:rPr>
              <w:t>MODULE NAME</w:t>
            </w:r>
          </w:p>
        </w:tc>
        <w:tc>
          <w:tcPr>
            <w:tcW w:w="5233"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val="0"/>
                <w:bCs w:val="0"/>
                <w:sz w:val="24"/>
                <w:szCs w:val="24"/>
                <w:vertAlign w:val="baseline"/>
              </w:rPr>
            </w:pPr>
            <w:r>
              <w:rPr>
                <w:rFonts w:hint="default" w:ascii="Times New Roman" w:hAnsi="Times New Roman" w:cs="Times New Roman"/>
                <w:b w:val="0"/>
                <w:bCs w:val="0"/>
                <w:sz w:val="24"/>
                <w:szCs w:val="24"/>
                <w:vertAlign w:val="baseline"/>
              </w:rPr>
              <w:t>Contemporary Human Resource in practice</w:t>
            </w:r>
          </w:p>
        </w:tc>
      </w:tr>
      <w:tr>
        <w:tblPrEx>
          <w:tblLayout w:type="fixed"/>
        </w:tblPrEx>
        <w:tc>
          <w:tcPr>
            <w:tcW w:w="4055"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bCs/>
                <w:sz w:val="24"/>
                <w:szCs w:val="24"/>
                <w:vertAlign w:val="baseline"/>
              </w:rPr>
            </w:pPr>
            <w:r>
              <w:rPr>
                <w:rFonts w:hint="default" w:ascii="Times New Roman" w:hAnsi="Times New Roman" w:cs="Times New Roman"/>
                <w:b/>
                <w:bCs/>
                <w:sz w:val="24"/>
                <w:szCs w:val="24"/>
                <w:vertAlign w:val="baseline"/>
              </w:rPr>
              <w:t>MODULE CODE</w:t>
            </w:r>
          </w:p>
        </w:tc>
        <w:tc>
          <w:tcPr>
            <w:tcW w:w="5233"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val="0"/>
                <w:bCs w:val="0"/>
                <w:sz w:val="24"/>
                <w:szCs w:val="24"/>
                <w:vertAlign w:val="baseline"/>
              </w:rPr>
            </w:pPr>
            <w:r>
              <w:rPr>
                <w:rFonts w:hint="default" w:ascii="Times New Roman" w:hAnsi="Times New Roman" w:cs="Times New Roman"/>
                <w:b w:val="0"/>
                <w:bCs w:val="0"/>
                <w:sz w:val="24"/>
                <w:szCs w:val="24"/>
                <w:vertAlign w:val="baseline"/>
              </w:rPr>
              <w:t>M6X00873</w:t>
            </w:r>
          </w:p>
        </w:tc>
      </w:tr>
      <w:tr>
        <w:tblPrEx>
          <w:tblLayout w:type="fixed"/>
        </w:tblPrEx>
        <w:tc>
          <w:tcPr>
            <w:tcW w:w="4055"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bCs/>
                <w:sz w:val="24"/>
                <w:szCs w:val="24"/>
                <w:vertAlign w:val="baseline"/>
              </w:rPr>
            </w:pPr>
            <w:r>
              <w:rPr>
                <w:rFonts w:hint="default" w:ascii="Times New Roman" w:hAnsi="Times New Roman" w:cs="Times New Roman"/>
                <w:b/>
                <w:bCs/>
                <w:sz w:val="24"/>
                <w:szCs w:val="24"/>
                <w:vertAlign w:val="baseline"/>
              </w:rPr>
              <w:t>STUDENT NAME</w:t>
            </w:r>
          </w:p>
        </w:tc>
        <w:tc>
          <w:tcPr>
            <w:tcW w:w="5233"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val="0"/>
                <w:bCs w:val="0"/>
                <w:sz w:val="24"/>
                <w:szCs w:val="24"/>
                <w:vertAlign w:val="baseline"/>
              </w:rPr>
            </w:pPr>
            <w:r>
              <w:rPr>
                <w:rFonts w:hint="default" w:ascii="Times New Roman" w:hAnsi="Times New Roman" w:cs="Times New Roman"/>
                <w:b w:val="0"/>
                <w:bCs w:val="0"/>
                <w:sz w:val="24"/>
                <w:szCs w:val="24"/>
                <w:vertAlign w:val="baseline"/>
              </w:rPr>
              <w:t>ZIPING WANG</w:t>
            </w:r>
          </w:p>
        </w:tc>
      </w:tr>
      <w:tr>
        <w:tblPrEx>
          <w:tblLayout w:type="fixed"/>
        </w:tblPrEx>
        <w:tc>
          <w:tcPr>
            <w:tcW w:w="4055"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bCs/>
                <w:sz w:val="24"/>
                <w:szCs w:val="24"/>
                <w:vertAlign w:val="baseline"/>
              </w:rPr>
            </w:pPr>
            <w:r>
              <w:rPr>
                <w:rFonts w:hint="default" w:ascii="Times New Roman" w:hAnsi="Times New Roman" w:cs="Times New Roman"/>
                <w:b/>
                <w:bCs/>
                <w:sz w:val="24"/>
                <w:szCs w:val="24"/>
                <w:vertAlign w:val="baseline"/>
              </w:rPr>
              <w:t>STUDENT NUMBER</w:t>
            </w:r>
          </w:p>
        </w:tc>
        <w:tc>
          <w:tcPr>
            <w:tcW w:w="5233" w:type="dxa"/>
          </w:tcPr>
          <w:p>
            <w:pPr>
              <w:pageBreakBefore w:val="0"/>
              <w:kinsoku/>
              <w:wordWrap/>
              <w:overflowPunct/>
              <w:topLinePunct w:val="0"/>
              <w:autoSpaceDE/>
              <w:autoSpaceDN/>
              <w:bidi w:val="0"/>
              <w:adjustRightInd/>
              <w:snapToGrid/>
              <w:spacing w:line="360" w:lineRule="auto"/>
              <w:ind w:right="0" w:rightChars="0"/>
              <w:jc w:val="center"/>
              <w:textAlignment w:val="auto"/>
              <w:rPr>
                <w:rFonts w:hint="default" w:ascii="Times New Roman" w:hAnsi="Times New Roman" w:cs="Times New Roman"/>
                <w:b w:val="0"/>
                <w:bCs w:val="0"/>
                <w:sz w:val="24"/>
                <w:szCs w:val="24"/>
                <w:vertAlign w:val="baseline"/>
              </w:rPr>
            </w:pPr>
            <w:r>
              <w:rPr>
                <w:rFonts w:hint="default" w:ascii="Times New Roman" w:hAnsi="Times New Roman" w:cs="Times New Roman"/>
                <w:b w:val="0"/>
                <w:bCs w:val="0"/>
                <w:sz w:val="24"/>
                <w:szCs w:val="24"/>
                <w:vertAlign w:val="baseline"/>
              </w:rPr>
              <w:t>1900407</w:t>
            </w:r>
          </w:p>
        </w:tc>
      </w:tr>
    </w:tbl>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sectPr>
          <w:pgSz w:w="11906" w:h="16838"/>
          <w:pgMar w:top="1417" w:right="1417" w:bottom="1417" w:left="1417" w:header="851" w:footer="992" w:gutter="0"/>
          <w:paperSrc/>
          <w:cols w:space="0" w:num="1"/>
          <w:rtlGutter w:val="0"/>
          <w:docGrid w:type="lines" w:linePitch="312" w:charSpace="0"/>
        </w:sectPr>
      </w:pPr>
    </w:p>
    <w:sdt>
      <w:sdtPr>
        <w:rPr>
          <w:rFonts w:ascii="宋体" w:hAnsi="宋体" w:eastAsia="宋体" w:cstheme="minorBidi"/>
          <w:b/>
          <w:bCs/>
          <w:kern w:val="2"/>
          <w:sz w:val="21"/>
          <w:szCs w:val="24"/>
          <w:lang w:val="en-US" w:eastAsia="zh-CN" w:bidi="ar-SA"/>
        </w:rPr>
        <w:id w:val="598861537"/>
        <w15:color w:val="DBDBDB"/>
      </w:sdtPr>
      <w:sdtEndPr>
        <w:rPr>
          <w:rFonts w:hint="default" w:ascii="Times New Roman" w:hAnsi="Times New Roman" w:cs="Times New Roman" w:eastAsiaTheme="minorEastAsia"/>
          <w:kern w:val="2"/>
          <w:sz w:val="24"/>
          <w:szCs w:val="24"/>
          <w:lang w:val="en-US" w:eastAsia="zh-CN" w:bidi="ar-SA"/>
        </w:rPr>
      </w:sdtEndPr>
      <w:sdtContent>
        <w:p>
          <w:pPr>
            <w:pageBreakBefore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rPr>
              <w:rFonts w:hint="default" w:ascii="Times New Roman" w:hAnsi="Times New Roman" w:cs="Times New Roman"/>
              <w:b/>
              <w:bCs/>
              <w:sz w:val="28"/>
              <w:szCs w:val="28"/>
            </w:rPr>
          </w:pPr>
          <w:r>
            <w:rPr>
              <w:rFonts w:hint="default" w:ascii="Times New Roman" w:hAnsi="Times New Roman" w:eastAsia="宋体" w:cs="Times New Roman"/>
              <w:b/>
              <w:bCs/>
              <w:kern w:val="2"/>
              <w:sz w:val="28"/>
              <w:szCs w:val="28"/>
              <w:lang w:eastAsia="zh-CN" w:bidi="ar-SA"/>
            </w:rPr>
            <w:t>Contents</w:t>
          </w:r>
        </w:p>
        <w:p>
          <w:pPr>
            <w:pStyle w:val="9"/>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_Toc2102642560 </w:instrText>
          </w:r>
          <w:r>
            <w:rPr>
              <w:rFonts w:hint="default" w:ascii="Times New Roman" w:hAnsi="Times New Roman" w:cs="Times New Roman"/>
              <w:szCs w:val="24"/>
            </w:rPr>
            <w:fldChar w:fldCharType="separate"/>
          </w:r>
          <w:r>
            <w:rPr>
              <w:rFonts w:hint="default" w:ascii="Times New Roman" w:hAnsi="Times New Roman" w:cs="Times New Roman"/>
              <w:szCs w:val="28"/>
            </w:rPr>
            <w:t>1.0 Introduction</w:t>
          </w:r>
          <w:r>
            <w:tab/>
          </w:r>
          <w:r>
            <w:fldChar w:fldCharType="begin"/>
          </w:r>
          <w:r>
            <w:instrText xml:space="preserve"> PAGEREF _Toc2102642560 </w:instrText>
          </w:r>
          <w:r>
            <w:fldChar w:fldCharType="separate"/>
          </w:r>
          <w:r>
            <w:t>2</w:t>
          </w:r>
          <w:r>
            <w:fldChar w:fldCharType="end"/>
          </w:r>
          <w:r>
            <w:rPr>
              <w:rFonts w:hint="default" w:ascii="Times New Roman" w:hAnsi="Times New Roman" w:cs="Times New Roman"/>
              <w:szCs w:val="24"/>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_Toc122610888 </w:instrText>
          </w:r>
          <w:r>
            <w:rPr>
              <w:rFonts w:hint="default" w:ascii="Times New Roman" w:hAnsi="Times New Roman" w:cs="Times New Roman"/>
              <w:szCs w:val="24"/>
            </w:rPr>
            <w:fldChar w:fldCharType="separate"/>
          </w:r>
          <w:r>
            <w:rPr>
              <w:rFonts w:hint="default" w:ascii="Times New Roman" w:hAnsi="Times New Roman" w:cs="Times New Roman"/>
              <w:szCs w:val="28"/>
            </w:rPr>
            <w:t>2.0 Main body</w:t>
          </w:r>
          <w:r>
            <w:tab/>
          </w:r>
          <w:r>
            <w:fldChar w:fldCharType="begin"/>
          </w:r>
          <w:r>
            <w:instrText xml:space="preserve"> PAGEREF _Toc122610888 </w:instrText>
          </w:r>
          <w:r>
            <w:fldChar w:fldCharType="separate"/>
          </w:r>
          <w:r>
            <w:t>3</w:t>
          </w:r>
          <w:r>
            <w:fldChar w:fldCharType="end"/>
          </w:r>
          <w:r>
            <w:rPr>
              <w:rFonts w:hint="default" w:ascii="Times New Roman" w:hAnsi="Times New Roman" w:cs="Times New Roman"/>
              <w:szCs w:val="24"/>
            </w:rP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_Toc1284377143 </w:instrText>
          </w:r>
          <w:r>
            <w:rPr>
              <w:rFonts w:hint="default" w:ascii="Times New Roman" w:hAnsi="Times New Roman" w:cs="Times New Roman"/>
              <w:szCs w:val="24"/>
            </w:rPr>
            <w:fldChar w:fldCharType="separate"/>
          </w:r>
          <w:r>
            <w:rPr>
              <w:rFonts w:hint="default" w:ascii="Times New Roman" w:hAnsi="Times New Roman" w:cs="Times New Roman"/>
              <w:szCs w:val="24"/>
            </w:rPr>
            <w:t>2.1 The Megatrend and VUCA era</w:t>
          </w:r>
          <w:r>
            <w:tab/>
          </w:r>
          <w:r>
            <w:fldChar w:fldCharType="begin"/>
          </w:r>
          <w:r>
            <w:instrText xml:space="preserve"> PAGEREF _Toc1284377143 </w:instrText>
          </w:r>
          <w:r>
            <w:fldChar w:fldCharType="separate"/>
          </w:r>
          <w:r>
            <w:t>3</w:t>
          </w:r>
          <w:r>
            <w:fldChar w:fldCharType="end"/>
          </w:r>
          <w:r>
            <w:rPr>
              <w:rFonts w:hint="default" w:ascii="Times New Roman" w:hAnsi="Times New Roman" w:cs="Times New Roman"/>
              <w:szCs w:val="24"/>
            </w:rP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_Toc21022757 </w:instrText>
          </w:r>
          <w:r>
            <w:rPr>
              <w:rFonts w:hint="default" w:ascii="Times New Roman" w:hAnsi="Times New Roman" w:cs="Times New Roman"/>
              <w:szCs w:val="24"/>
            </w:rPr>
            <w:fldChar w:fldCharType="separate"/>
          </w:r>
          <w:r>
            <w:rPr>
              <w:rFonts w:hint="default" w:ascii="Times New Roman" w:hAnsi="Times New Roman" w:cs="Times New Roman"/>
              <w:szCs w:val="24"/>
            </w:rPr>
            <w:t>2.2 The Issues in Contemporary Human Resources Management</w:t>
          </w:r>
          <w:r>
            <w:tab/>
          </w:r>
          <w:r>
            <w:fldChar w:fldCharType="begin"/>
          </w:r>
          <w:r>
            <w:instrText xml:space="preserve"> PAGEREF _Toc21022757 </w:instrText>
          </w:r>
          <w:r>
            <w:fldChar w:fldCharType="separate"/>
          </w:r>
          <w:r>
            <w:t>3</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_Toc1142158791 </w:instrText>
          </w:r>
          <w:r>
            <w:rPr>
              <w:rFonts w:hint="default" w:ascii="Times New Roman" w:hAnsi="Times New Roman" w:cs="Times New Roman"/>
              <w:szCs w:val="24"/>
            </w:rPr>
            <w:fldChar w:fldCharType="separate"/>
          </w:r>
          <w:r>
            <w:rPr>
              <w:rFonts w:hint="default" w:ascii="Times New Roman" w:hAnsi="Times New Roman" w:cs="Times New Roman"/>
              <w:szCs w:val="24"/>
            </w:rPr>
            <w:t>2.2.1 Recruitment and Selection</w:t>
          </w:r>
          <w:r>
            <w:tab/>
          </w:r>
          <w:r>
            <w:fldChar w:fldCharType="begin"/>
          </w:r>
          <w:r>
            <w:instrText xml:space="preserve"> PAGEREF _Toc1142158791 </w:instrText>
          </w:r>
          <w:r>
            <w:fldChar w:fldCharType="separate"/>
          </w:r>
          <w:r>
            <w:t>4</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_Toc2053963451 </w:instrText>
          </w:r>
          <w:r>
            <w:rPr>
              <w:rFonts w:hint="default" w:ascii="Times New Roman" w:hAnsi="Times New Roman" w:cs="Times New Roman"/>
              <w:szCs w:val="24"/>
            </w:rPr>
            <w:fldChar w:fldCharType="separate"/>
          </w:r>
          <w:r>
            <w:rPr>
              <w:rFonts w:hint="default" w:ascii="Times New Roman" w:hAnsi="Times New Roman" w:cs="Times New Roman"/>
              <w:szCs w:val="24"/>
            </w:rPr>
            <w:t>2.2.2 Talent Retention (Training and Development)</w:t>
          </w:r>
          <w:r>
            <w:tab/>
          </w:r>
          <w:r>
            <w:fldChar w:fldCharType="begin"/>
          </w:r>
          <w:r>
            <w:instrText xml:space="preserve"> PAGEREF _Toc2053963451 </w:instrText>
          </w:r>
          <w:r>
            <w:fldChar w:fldCharType="separate"/>
          </w:r>
          <w:r>
            <w:t>4</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_Toc164095432 </w:instrText>
          </w:r>
          <w:r>
            <w:rPr>
              <w:rFonts w:hint="default" w:ascii="Times New Roman" w:hAnsi="Times New Roman" w:cs="Times New Roman"/>
              <w:szCs w:val="24"/>
            </w:rPr>
            <w:fldChar w:fldCharType="separate"/>
          </w:r>
          <w:r>
            <w:rPr>
              <w:rFonts w:hint="default" w:ascii="Times New Roman" w:hAnsi="Times New Roman" w:cs="Times New Roman"/>
              <w:szCs w:val="24"/>
            </w:rPr>
            <w:t>2.2.3 Management Framework</w:t>
          </w:r>
          <w:r>
            <w:tab/>
          </w:r>
          <w:r>
            <w:fldChar w:fldCharType="begin"/>
          </w:r>
          <w:r>
            <w:instrText xml:space="preserve"> PAGEREF _Toc164095432 </w:instrText>
          </w:r>
          <w:r>
            <w:fldChar w:fldCharType="separate"/>
          </w:r>
          <w:r>
            <w:t>5</w:t>
          </w:r>
          <w:r>
            <w:fldChar w:fldCharType="end"/>
          </w:r>
          <w:r>
            <w:rPr>
              <w:rFonts w:hint="default" w:ascii="Times New Roman" w:hAnsi="Times New Roman" w:cs="Times New Roman"/>
              <w:szCs w:val="24"/>
            </w:rPr>
            <w:fldChar w:fldCharType="end"/>
          </w:r>
        </w:p>
        <w:p>
          <w:pPr>
            <w:pStyle w:val="1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_Toc582922876 </w:instrText>
          </w:r>
          <w:r>
            <w:rPr>
              <w:rFonts w:hint="default" w:ascii="Times New Roman" w:hAnsi="Times New Roman" w:cs="Times New Roman"/>
              <w:szCs w:val="24"/>
            </w:rPr>
            <w:fldChar w:fldCharType="separate"/>
          </w:r>
          <w:r>
            <w:rPr>
              <w:rFonts w:hint="default" w:ascii="Times New Roman" w:hAnsi="Times New Roman" w:cs="Times New Roman"/>
              <w:szCs w:val="24"/>
            </w:rPr>
            <w:t>2.3 The skills needed in the future</w:t>
          </w:r>
          <w:r>
            <w:tab/>
          </w:r>
          <w:r>
            <w:fldChar w:fldCharType="begin"/>
          </w:r>
          <w:r>
            <w:instrText xml:space="preserve"> PAGEREF _Toc582922876 </w:instrText>
          </w:r>
          <w:r>
            <w:fldChar w:fldCharType="separate"/>
          </w:r>
          <w:r>
            <w:t>5</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_Toc364379318 </w:instrText>
          </w:r>
          <w:r>
            <w:rPr>
              <w:rFonts w:hint="default" w:ascii="Times New Roman" w:hAnsi="Times New Roman" w:cs="Times New Roman"/>
              <w:szCs w:val="24"/>
            </w:rPr>
            <w:fldChar w:fldCharType="separate"/>
          </w:r>
          <w:r>
            <w:rPr>
              <w:rFonts w:hint="default" w:ascii="Times New Roman" w:hAnsi="Times New Roman" w:cs="Times New Roman"/>
              <w:szCs w:val="24"/>
            </w:rPr>
            <w:t>2.3.1 Digital Skills</w:t>
          </w:r>
          <w:r>
            <w:tab/>
          </w:r>
          <w:r>
            <w:fldChar w:fldCharType="begin"/>
          </w:r>
          <w:r>
            <w:instrText xml:space="preserve"> PAGEREF _Toc364379318 </w:instrText>
          </w:r>
          <w:r>
            <w:fldChar w:fldCharType="separate"/>
          </w:r>
          <w:r>
            <w:t>6</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_Toc1647320029 </w:instrText>
          </w:r>
          <w:r>
            <w:rPr>
              <w:rFonts w:hint="default" w:ascii="Times New Roman" w:hAnsi="Times New Roman" w:cs="Times New Roman"/>
              <w:szCs w:val="24"/>
            </w:rPr>
            <w:fldChar w:fldCharType="separate"/>
          </w:r>
          <w:r>
            <w:rPr>
              <w:rFonts w:hint="default" w:ascii="Times New Roman" w:hAnsi="Times New Roman" w:cs="Times New Roman"/>
              <w:szCs w:val="24"/>
            </w:rPr>
            <w:t>2.3.2 Complex Problem Solving</w:t>
          </w:r>
          <w:r>
            <w:tab/>
          </w:r>
          <w:r>
            <w:fldChar w:fldCharType="begin"/>
          </w:r>
          <w:r>
            <w:instrText xml:space="preserve"> PAGEREF _Toc1647320029 </w:instrText>
          </w:r>
          <w:r>
            <w:fldChar w:fldCharType="separate"/>
          </w:r>
          <w:r>
            <w:t>6</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_Toc1148550279 </w:instrText>
          </w:r>
          <w:r>
            <w:rPr>
              <w:rFonts w:hint="default" w:ascii="Times New Roman" w:hAnsi="Times New Roman" w:cs="Times New Roman"/>
              <w:szCs w:val="24"/>
            </w:rPr>
            <w:fldChar w:fldCharType="separate"/>
          </w:r>
          <w:r>
            <w:rPr>
              <w:rFonts w:hint="default" w:ascii="Times New Roman" w:hAnsi="Times New Roman" w:cs="Times New Roman"/>
              <w:szCs w:val="24"/>
            </w:rPr>
            <w:t>2.3.3 Critical Thinking</w:t>
          </w:r>
          <w:r>
            <w:tab/>
          </w:r>
          <w:r>
            <w:fldChar w:fldCharType="begin"/>
          </w:r>
          <w:r>
            <w:instrText xml:space="preserve"> PAGEREF _Toc1148550279 </w:instrText>
          </w:r>
          <w:r>
            <w:fldChar w:fldCharType="separate"/>
          </w:r>
          <w:r>
            <w:t>6</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_Toc2101519917 </w:instrText>
          </w:r>
          <w:r>
            <w:rPr>
              <w:rFonts w:hint="default" w:ascii="Times New Roman" w:hAnsi="Times New Roman" w:cs="Times New Roman"/>
              <w:szCs w:val="24"/>
            </w:rPr>
            <w:fldChar w:fldCharType="separate"/>
          </w:r>
          <w:r>
            <w:rPr>
              <w:rFonts w:hint="default" w:ascii="Times New Roman" w:hAnsi="Times New Roman" w:cs="Times New Roman"/>
              <w:szCs w:val="24"/>
            </w:rPr>
            <w:t>2.3.4 Creative Thinking</w:t>
          </w:r>
          <w:r>
            <w:tab/>
          </w:r>
          <w:r>
            <w:fldChar w:fldCharType="begin"/>
          </w:r>
          <w:r>
            <w:instrText xml:space="preserve"> PAGEREF _Toc2101519917 </w:instrText>
          </w:r>
          <w:r>
            <w:fldChar w:fldCharType="separate"/>
          </w:r>
          <w:r>
            <w:t>7</w:t>
          </w:r>
          <w:r>
            <w:fldChar w:fldCharType="end"/>
          </w:r>
          <w:r>
            <w:rPr>
              <w:rFonts w:hint="default" w:ascii="Times New Roman" w:hAnsi="Times New Roman" w:cs="Times New Roman"/>
              <w:szCs w:val="24"/>
            </w:rPr>
            <w:fldChar w:fldCharType="end"/>
          </w:r>
        </w:p>
        <w:p>
          <w:pPr>
            <w:pStyle w:val="6"/>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_Toc581702810 </w:instrText>
          </w:r>
          <w:r>
            <w:rPr>
              <w:rFonts w:hint="default" w:ascii="Times New Roman" w:hAnsi="Times New Roman" w:cs="Times New Roman"/>
              <w:szCs w:val="24"/>
            </w:rPr>
            <w:fldChar w:fldCharType="separate"/>
          </w:r>
          <w:r>
            <w:rPr>
              <w:rFonts w:hint="default" w:ascii="Times New Roman" w:hAnsi="Times New Roman" w:cs="Times New Roman"/>
              <w:szCs w:val="24"/>
            </w:rPr>
            <w:t>2.3.5 Empathy and Emotion</w:t>
          </w:r>
          <w:r>
            <w:tab/>
          </w:r>
          <w:r>
            <w:fldChar w:fldCharType="begin"/>
          </w:r>
          <w:r>
            <w:instrText xml:space="preserve"> PAGEREF _Toc581702810 </w:instrText>
          </w:r>
          <w:r>
            <w:fldChar w:fldCharType="separate"/>
          </w:r>
          <w:r>
            <w:t>7</w:t>
          </w:r>
          <w:r>
            <w:fldChar w:fldCharType="end"/>
          </w:r>
          <w:r>
            <w:rPr>
              <w:rFonts w:hint="default" w:ascii="Times New Roman" w:hAnsi="Times New Roman" w:cs="Times New Roman"/>
              <w:szCs w:val="24"/>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_Toc1333566526 </w:instrText>
          </w:r>
          <w:r>
            <w:rPr>
              <w:rFonts w:hint="default" w:ascii="Times New Roman" w:hAnsi="Times New Roman" w:cs="Times New Roman"/>
              <w:szCs w:val="24"/>
            </w:rPr>
            <w:fldChar w:fldCharType="separate"/>
          </w:r>
          <w:r>
            <w:rPr>
              <w:rFonts w:hint="default" w:ascii="Times New Roman" w:hAnsi="Times New Roman" w:cs="Times New Roman"/>
              <w:szCs w:val="28"/>
            </w:rPr>
            <w:t>3.0 Conclusion</w:t>
          </w:r>
          <w:r>
            <w:tab/>
          </w:r>
          <w:r>
            <w:fldChar w:fldCharType="begin"/>
          </w:r>
          <w:r>
            <w:instrText xml:space="preserve"> PAGEREF _Toc1333566526 </w:instrText>
          </w:r>
          <w:r>
            <w:fldChar w:fldCharType="separate"/>
          </w:r>
          <w:r>
            <w:t>9</w:t>
          </w:r>
          <w:r>
            <w:fldChar w:fldCharType="end"/>
          </w:r>
          <w:r>
            <w:rPr>
              <w:rFonts w:hint="default" w:ascii="Times New Roman" w:hAnsi="Times New Roman" w:cs="Times New Roman"/>
              <w:szCs w:val="24"/>
            </w:rPr>
            <w:fldChar w:fldCharType="end"/>
          </w:r>
        </w:p>
        <w:p>
          <w:pPr>
            <w:pStyle w:val="9"/>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_Toc2113262390 </w:instrText>
          </w:r>
          <w:r>
            <w:rPr>
              <w:rFonts w:hint="default" w:ascii="Times New Roman" w:hAnsi="Times New Roman" w:cs="Times New Roman"/>
              <w:szCs w:val="24"/>
            </w:rPr>
            <w:fldChar w:fldCharType="separate"/>
          </w:r>
          <w:r>
            <w:rPr>
              <w:rFonts w:hint="default" w:ascii="Times New Roman" w:hAnsi="Times New Roman" w:cs="Times New Roman"/>
              <w:szCs w:val="28"/>
            </w:rPr>
            <w:t>4.0 Reference</w:t>
          </w:r>
          <w:r>
            <w:tab/>
          </w:r>
          <w:r>
            <w:fldChar w:fldCharType="begin"/>
          </w:r>
          <w:r>
            <w:instrText xml:space="preserve"> PAGEREF _Toc2113262390 </w:instrText>
          </w:r>
          <w:r>
            <w:fldChar w:fldCharType="separate"/>
          </w:r>
          <w:r>
            <w:t>10</w:t>
          </w:r>
          <w:r>
            <w:fldChar w:fldCharType="end"/>
          </w:r>
          <w:r>
            <w:rPr>
              <w:rFonts w:hint="default" w:ascii="Times New Roman" w:hAnsi="Times New Roman" w:cs="Times New Roman"/>
              <w:szCs w:val="24"/>
            </w:rPr>
            <w:fldChar w:fldCharType="end"/>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Cs w:val="24"/>
            </w:rPr>
            <w:fldChar w:fldCharType="end"/>
          </w:r>
        </w:p>
      </w:sdtContent>
    </w:sdt>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rPr>
        <w:sectPr>
          <w:footerReference r:id="rId4" w:type="default"/>
          <w:pgSz w:w="11906" w:h="16838"/>
          <w:pgMar w:top="1440" w:right="1800" w:bottom="1440" w:left="1800" w:header="851" w:footer="992" w:gutter="0"/>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8"/>
          <w:szCs w:val="28"/>
        </w:rPr>
      </w:pPr>
      <w:r>
        <w:rPr>
          <w:rFonts w:hint="default" w:ascii="Times New Roman" w:hAnsi="Times New Roman" w:cs="Times New Roman"/>
          <w:sz w:val="28"/>
          <w:szCs w:val="28"/>
        </w:rPr>
        <w:t>1.0 Introduction</w:t>
      </w:r>
      <w:bookmarkEnd w:id="0"/>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eastAsia="-webkit-standard" w:cs="Times New Roman"/>
          <w:i w:val="0"/>
          <w:caps w:val="0"/>
          <w:color w:val="000000"/>
          <w:spacing w:val="0"/>
          <w:kern w:val="0"/>
          <w:sz w:val="24"/>
          <w:szCs w:val="24"/>
          <w:u w:val="none"/>
          <w:shd w:val="clear" w:fill="FFFFFF"/>
          <w:vertAlign w:val="baseline"/>
          <w:lang w:eastAsia="zh-CN" w:bidi="ar"/>
        </w:rPr>
      </w:pPr>
      <w:r>
        <w:rPr>
          <w:rFonts w:hint="default" w:ascii="Times New Roman" w:hAnsi="Times New Roman" w:cs="Times New Roman"/>
          <w:sz w:val="24"/>
          <w:szCs w:val="24"/>
        </w:rPr>
        <w:t>The 4</w:t>
      </w:r>
      <w:r>
        <w:rPr>
          <w:rFonts w:hint="default" w:ascii="Times New Roman" w:hAnsi="Times New Roman" w:cs="Times New Roman"/>
          <w:sz w:val="24"/>
          <w:szCs w:val="24"/>
          <w:vertAlign w:val="superscript"/>
        </w:rPr>
        <w:t>th</w:t>
      </w:r>
      <w:r>
        <w:rPr>
          <w:rFonts w:hint="default" w:ascii="Times New Roman" w:hAnsi="Times New Roman" w:cs="Times New Roman"/>
          <w:sz w:val="24"/>
          <w:szCs w:val="24"/>
        </w:rPr>
        <w:t xml:space="preserve"> industry revolution has marked a significant turning point in the world. As </w:t>
      </w:r>
      <w:r>
        <w:rPr>
          <w:rFonts w:hint="default" w:ascii="Times New Roman" w:hAnsi="Times New Roman" w:eastAsia="-webkit-standard" w:cs="Times New Roman"/>
          <w:i w:val="0"/>
          <w:caps w:val="0"/>
          <w:color w:val="000000"/>
          <w:spacing w:val="0"/>
          <w:kern w:val="0"/>
          <w:sz w:val="24"/>
          <w:szCs w:val="24"/>
          <w:u w:val="none"/>
          <w:shd w:val="clear" w:fill="FFFFFF"/>
          <w:vertAlign w:val="baseline"/>
          <w:lang w:eastAsia="zh-CN" w:bidi="ar"/>
        </w:rPr>
        <w:t>described by Bonicu (2018) that the 4</w:t>
      </w:r>
      <w:r>
        <w:rPr>
          <w:rFonts w:hint="default" w:ascii="Times New Roman" w:hAnsi="Times New Roman" w:eastAsia="-webkit-standard" w:cs="Times New Roman"/>
          <w:i w:val="0"/>
          <w:caps w:val="0"/>
          <w:color w:val="000000"/>
          <w:spacing w:val="0"/>
          <w:kern w:val="0"/>
          <w:sz w:val="24"/>
          <w:szCs w:val="24"/>
          <w:u w:val="none"/>
          <w:shd w:val="clear" w:fill="FFFFFF"/>
          <w:vertAlign w:val="superscript"/>
          <w:lang w:eastAsia="zh-CN" w:bidi="ar"/>
        </w:rPr>
        <w:t>th</w:t>
      </w:r>
      <w:r>
        <w:rPr>
          <w:rFonts w:hint="default" w:ascii="Times New Roman" w:hAnsi="Times New Roman" w:eastAsia="-webkit-standard" w:cs="Times New Roman"/>
          <w:i w:val="0"/>
          <w:caps w:val="0"/>
          <w:color w:val="000000"/>
          <w:spacing w:val="0"/>
          <w:kern w:val="0"/>
          <w:sz w:val="24"/>
          <w:szCs w:val="24"/>
          <w:u w:val="none"/>
          <w:shd w:val="clear" w:fill="FFFFFF"/>
          <w:vertAlign w:val="baseline"/>
          <w:lang w:eastAsia="zh-CN" w:bidi="ar"/>
        </w:rPr>
        <w:t xml:space="preserve"> industrial revolution has the potential to eliminate not only physical jobs but also intellectual jobs. </w:t>
      </w:r>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eastAsia="-webkit-standard" w:cs="Times New Roman"/>
          <w:i w:val="0"/>
          <w:caps w:val="0"/>
          <w:color w:val="000000"/>
          <w:spacing w:val="0"/>
          <w:kern w:val="0"/>
          <w:sz w:val="24"/>
          <w:szCs w:val="24"/>
          <w:u w:val="none"/>
          <w:shd w:val="clear" w:fill="FFFFFF"/>
          <w:vertAlign w:val="baseline"/>
          <w:lang w:eastAsia="zh-CN" w:bidi="ar"/>
        </w:rPr>
      </w:pPr>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cs="Times New Roman"/>
          <w:sz w:val="24"/>
          <w:szCs w:val="24"/>
        </w:rPr>
      </w:pPr>
      <w:r>
        <w:rPr>
          <w:rFonts w:hint="default" w:ascii="Times New Roman" w:hAnsi="Times New Roman" w:eastAsia="-webkit-standard" w:cs="Times New Roman"/>
          <w:i w:val="0"/>
          <w:color w:val="000000"/>
          <w:spacing w:val="0"/>
          <w:kern w:val="0"/>
          <w:sz w:val="24"/>
          <w:szCs w:val="24"/>
          <w:u w:val="none"/>
          <w:shd w:val="clear" w:fill="FFFFFF"/>
          <w:vertAlign w:val="baseline"/>
          <w:lang w:eastAsia="zh-CN" w:bidi="ar"/>
        </w:rPr>
        <w:t xml:space="preserve">Nowadays, artificial intelligence has enabled fully automatic, driver-less vehicles, as well as, music creation. </w:t>
      </w:r>
      <w:r>
        <w:rPr>
          <w:rFonts w:hint="default" w:ascii="Times New Roman" w:hAnsi="Times New Roman" w:cs="Times New Roman"/>
          <w:sz w:val="24"/>
          <w:szCs w:val="24"/>
        </w:rPr>
        <w:t>Considerable changes will occur with the rise of new technology, and the megatrend includes globalization, mobility, millennials &amp; changing demographics, new behaviours, and technology.</w:t>
      </w:r>
    </w:p>
    <w:p>
      <w:pPr>
        <w:keepNext w:val="0"/>
        <w:keepLines w:val="0"/>
        <w:pageBreakBefore w:val="0"/>
        <w:widowControl/>
        <w:suppressLineNumbers w:val="0"/>
        <w:kinsoku/>
        <w:wordWrap/>
        <w:overflowPunct/>
        <w:topLinePunct w:val="0"/>
        <w:autoSpaceDE/>
        <w:autoSpaceDN/>
        <w:bidi w:val="0"/>
        <w:adjustRightInd/>
        <w:snapToGrid/>
        <w:spacing w:line="360" w:lineRule="auto"/>
        <w:ind w:right="0" w:rightChars="0" w:firstLine="0" w:firstLineChars="0"/>
        <w:jc w:val="both"/>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evolution of contemporary society is unpredictable because of variable megatrends, which mark the entry of society into the VUCA era - volatility, uncertainty, complexity and ambiguity. VUCA is often ill-defined because there are no ideas as to what new technology will replace existing in the near future and whether the new thing</w:t>
      </w:r>
      <w:r>
        <w:rPr>
          <w:rFonts w:hint="default" w:ascii="Times New Roman" w:hAnsi="Times New Roman" w:cs="Times New Roman"/>
          <w:i w:val="0"/>
          <w:iCs w:val="0"/>
          <w:sz w:val="24"/>
          <w:szCs w:val="24"/>
        </w:rPr>
        <w:t>s will appear immediately again (Millar, Groth, &amp;Mahon, 2018).</w:t>
      </w:r>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alternative speed of society far exceeds that which is acceptable to people. Meanwhile, it forces a paradigm shift in the enterprise according to the needs of development (Silvio and Enrico, 2018). For instance, the emergence of the gig economy indicates a new behaviour in employment, and the digital workplace represents the usage of technology.</w:t>
      </w:r>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leftChars="0"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However, it is essential for the human resource management department to improve appropriate abilities so as to meet the contemporary business/social needs. This essay draws attention to the fact that the external environment is volatile, uncertain, complex and ambiguous to articulate the impact of the new environment on human resources and the skills they will require in the future.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1" w:name="_Toc122610888"/>
      <w:r>
        <w:rPr>
          <w:rFonts w:hint="default" w:ascii="Times New Roman" w:hAnsi="Times New Roman" w:cs="Times New Roman"/>
          <w:b/>
          <w:sz w:val="28"/>
          <w:szCs w:val="28"/>
        </w:rPr>
        <w:t>2.0 Main body</w:t>
      </w:r>
      <w:bookmarkEnd w:id="1"/>
    </w:p>
    <w:p>
      <w:pPr>
        <w:pStyle w:val="3"/>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2" w:name="_Toc1284377143"/>
      <w:r>
        <w:rPr>
          <w:rFonts w:hint="default" w:ascii="Times New Roman" w:hAnsi="Times New Roman" w:cs="Times New Roman"/>
          <w:sz w:val="24"/>
          <w:szCs w:val="24"/>
        </w:rPr>
        <w:t>2.1 The Megatrend and VUCA era</w:t>
      </w:r>
      <w:bookmarkEnd w:id="2"/>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Megatrends come into, and influence, global businesses, societies and personal lives. The prospect of technology is no longer limited to automation, such as simple and repetitive operation, but is more creative. E.g., the physical condition can be recorded by sensory devices, 3D printing has come into sight, big data analysis is obtaining mainstream acceptance. The usage of technology is commonplace, and fills every corner of daily life (Efrat, 2014).</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business field has been affected by megatrends as well. An increasing number of people are willing to broaden their horizon by accepting different cultures, rather than being stinted, since the enormous transformation of concepts has appeared in the millennials’ generation (Susskind &amp; Susskind, 2018). Meanwhile, technology provides a huge convenience for people, like a communication and travel tool, so that they can do everything they want. A significant sample is the gig economy, with a new behaviour of employment that is more flexible and controllable. In addition, the development of B2B, which is an e-commerce model, has stimulated the communication between business partners (Mencarelli &amp; Riviere, 2015).</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Contemporary society is in a VUCA environment with rapid variation (Davie, 2013), which is forcing companies, and the way of people work in business, to adapt to the change as well. The demand for technological talent in the information age is growing rapidly, as is the human resources management department, which is expected to be equipped with the skills of automated and digital technology to attract talent, generating revenue for the company (CIPD, 2019).</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3" w:name="_Toc21022757"/>
      <w:r>
        <w:rPr>
          <w:rFonts w:hint="default" w:ascii="Times New Roman" w:hAnsi="Times New Roman" w:cs="Times New Roman"/>
          <w:b/>
          <w:sz w:val="24"/>
          <w:szCs w:val="24"/>
        </w:rPr>
        <w:t>2.2 The Issues in Contemporary Human Resources Management</w:t>
      </w:r>
      <w:bookmarkEnd w:id="3"/>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impact of the fourth Industrial Revolution on the world has been disruptive, indicating many traditional thoughts and approaches are no longer suitable in the present workplace. To a certain extent, it has changed and affected the function of human resources management.</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statistics known that there is a negative outlook for office and administrative employment, which are expected to drop by 4,759 thousand employees (WEF, 2016), hinting that human resources management faces an acute challenge as it is the main responsibility of the HR occupation.</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Besides this, there are other work areas threatened by megatrends including recruitment and selection, talents retention, and management frameworks.</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4" w:name="_Toc1142158791"/>
      <w:r>
        <w:rPr>
          <w:rFonts w:hint="default" w:ascii="Times New Roman" w:hAnsi="Times New Roman" w:cs="Times New Roman"/>
          <w:sz w:val="24"/>
          <w:szCs w:val="24"/>
        </w:rPr>
        <w:t>2.2.1 Recruitment and Selection</w:t>
      </w:r>
      <w:bookmarkEnd w:id="4"/>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AI has been adopted by many companies as a recruitment system for internal operations. Adding the HR filter seeks out the appropriate resumes by means of the keywords, effectively reducing the time spent on repeated operations (Gavin, 2018).</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Likewise, AI is objective without any bias during the selection, as it is focused on the keywords that are input, such as character, qualification, and skills when the system is operating, which enables it to avoid discrimination, and that decreases the proportion of the judgment errors.</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Nonetheless, consider the following counter - one candidate was lost by the recruitment software called Application Tracking System (ATS) simply because there was a keyword in the candidate's answer that was asymmetrical with the information imparted in the recruitment software (Bhatia, 2018).</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It is essential for HR to take that issue into account, that is, that the AI tasks cannot be executed in the right way if people cannot clear compose a clear set of instructions for a machine to follow. Thus, HR should to consider how to use technology as a capable tool rather than a hindrance to the enterprise, even though the usage of data and technology is common in the workplace.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5" w:name="_Toc2053963451"/>
      <w:r>
        <w:rPr>
          <w:rFonts w:hint="default" w:ascii="Times New Roman" w:hAnsi="Times New Roman" w:cs="Times New Roman"/>
          <w:b/>
          <w:sz w:val="24"/>
          <w:szCs w:val="24"/>
        </w:rPr>
        <w:t>2.2.2 Talent Retention (Training and Development)</w:t>
      </w:r>
      <w:bookmarkEnd w:id="5"/>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information given by a report indicates that the main reason for employee turnover is lack of development and learning opportunities within the organization (Deloitte Insights, 2019), big date's technology aggravates the urgency of organizational learning. As a result, training and development are playing a crucial role in the talents retention and is a constant process (Wilson, 2019).</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described, the work concept and patterns have varied dramatically in the millennials’ generation (</w:t>
      </w:r>
      <w:r>
        <w:rPr>
          <w:rFonts w:hint="default" w:ascii="Times New Roman" w:hAnsi="Times New Roman" w:cs="Times New Roman"/>
          <w:i w:val="0"/>
          <w:iCs w:val="0"/>
          <w:sz w:val="24"/>
          <w:szCs w:val="24"/>
        </w:rPr>
        <w:t>Jie, Alastair. Morrison &amp; Zhang, 2019</w:t>
      </w:r>
      <w:r>
        <w:rPr>
          <w:rFonts w:hint="default" w:ascii="Times New Roman" w:hAnsi="Times New Roman" w:cs="Times New Roman"/>
          <w:sz w:val="24"/>
          <w:szCs w:val="24"/>
        </w:rPr>
        <w:t>). The zero-job economy, as an example, represents the traditional method of managing full-time employees, and may not be suitable for this part of the workforce. The new training approach needs to be introduced like a personalized learning programs, designed on the website.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Moreover, how to quickly capture the change in the external environment, in the variable environment, so as to better segmentation date used in talent populations, and placing right people in the right place, is also something that the HR should to consider (CIPD, 2019).</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While the number of talented people in a modern society is always more than the required for corporate positions, HR still needs to think about how to attract more sophisticated talent and retain it. The better method is that the enterprise masters the ability to develop new talent within the organization, which requires HR to know the effective way to achieve this goal.</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6" w:name="_Toc164095432"/>
      <w:r>
        <w:rPr>
          <w:rFonts w:hint="default" w:ascii="Times New Roman" w:hAnsi="Times New Roman" w:cs="Times New Roman"/>
          <w:b/>
          <w:sz w:val="24"/>
          <w:szCs w:val="24"/>
        </w:rPr>
        <w:t>2.2.3 Management Framework</w:t>
      </w:r>
      <w:bookmarkEnd w:id="6"/>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the VUCA environment, employees can work in various locations, and even the working hours are staggered from those of others, meaning HR needs a more flexible method to regulate, in supporting the innovation (GOV.UK, 2019).</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Therefore, the challenge faced by HR is how to evaluate effectively the employees of all types of work, and to balance the difference between work types, of the new and the traditional, by applying an appropriate management approach, so as to make the employees more harmonious in the enterprise.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Additionally, the change in the Millennium generation’s concept drives the traditional management model transformation. In the past, employees may be inspired by enough salaries and bonuses, while for employees in the new era, they may be more focused on the realization of self-worth and the pursuit of spiritual satisfaction on the basis of already being able to maintain food and clothing (Armstrong &amp; Taylor, 2017).</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Consequently, what human resources need to think about is how to better motivate employees during the management, and how to build a perfect management framework to better allocate employees to appropriate positions in order to improve the efficiency of the enterprise.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b/>
          <w:sz w:val="24"/>
          <w:szCs w:val="24"/>
        </w:rPr>
      </w:pPr>
      <w:bookmarkStart w:id="7" w:name="_Toc582922876"/>
      <w:r>
        <w:rPr>
          <w:rFonts w:hint="default" w:ascii="Times New Roman" w:hAnsi="Times New Roman" w:cs="Times New Roman"/>
          <w:b/>
          <w:sz w:val="24"/>
          <w:szCs w:val="24"/>
        </w:rPr>
        <w:t>2.3 The skills needed in the future</w:t>
      </w:r>
      <w:bookmarkEnd w:id="7"/>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importance of labour will be weakened with the emergence of new technologies in which robots replace artificial. Therefore, in order to cater for the development of the times, HR needs to master new skills to be eliminated by the times. This section divides the skills required by the Human Resources Department in the future into five points as follows:</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b/>
          <w:sz w:val="24"/>
          <w:szCs w:val="24"/>
        </w:rPr>
      </w:pPr>
      <w:bookmarkStart w:id="8" w:name="_Toc364379318"/>
      <w:r>
        <w:rPr>
          <w:rFonts w:hint="default" w:ascii="Times New Roman" w:hAnsi="Times New Roman" w:cs="Times New Roman"/>
          <w:b/>
          <w:sz w:val="24"/>
          <w:szCs w:val="24"/>
        </w:rPr>
        <w:t>2.3.1 Digital Skills</w:t>
      </w:r>
      <w:bookmarkEnd w:id="8"/>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internet has become the most effective way to widely disseminate human resources information, because of its unique characteristics - global, interactive and real-time. The implementation involves the E-recruitment, E-training, E-learning and the E-evaluation (Carlos Fernando Torres Oviedo, 2015).</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Hence, it is crucial for HR to master digital skills, since the future workplace will be progressively digital and automated. Technology not only seeps into the workplace but also reshapes the ability of individuals to work.</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Taking the E-training as an example. HR can greatly reduce repetitive operations and improve productivity by publishing job ads on social media and screening candidates' qualifications through a professional system (</w:t>
      </w:r>
      <w:r>
        <w:rPr>
          <w:rFonts w:hint="default" w:ascii="Times New Roman" w:hAnsi="Times New Roman" w:cs="Times New Roman"/>
          <w:i w:val="0"/>
          <w:iCs w:val="0"/>
          <w:sz w:val="24"/>
          <w:szCs w:val="24"/>
        </w:rPr>
        <w:t>Mackenzie, 2016</w:t>
      </w:r>
      <w:r>
        <w:rPr>
          <w:rFonts w:hint="default" w:ascii="Times New Roman" w:hAnsi="Times New Roman" w:cs="Times New Roman"/>
          <w:sz w:val="24"/>
          <w:szCs w:val="24"/>
        </w:rPr>
        <w:t>). Additionally, it is easy to be eliminated by the times if HR cannot skillfully use data to support better decisions within the enterprise in a high-speed society.</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9" w:name="_Toc1647320029"/>
      <w:r>
        <w:rPr>
          <w:rFonts w:hint="default" w:ascii="Times New Roman" w:hAnsi="Times New Roman" w:cs="Times New Roman"/>
          <w:b/>
          <w:sz w:val="24"/>
          <w:szCs w:val="24"/>
        </w:rPr>
        <w:t>2.3.2 Complex Problem Solving</w:t>
      </w:r>
      <w:bookmarkEnd w:id="9"/>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the era of information explosion, the relationship between people has become closer, and problems are no longer displayed in a single-dimension form. Likewise, the rapid development of the world has made the elements of the workplace more diverse.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Discrimination, for instance, has been a common topic in the modern society, but the discrimination in the workplace is no longer just referring to sexual discrimination or racial discrimination, which includes ‘microaggression’, that is, discrimination based on the consequences of subconsciousness (Stafford, 2016). Likewise the gig economy poses challenges to the different regulatory regimes in the multiple legal forms, like Tax and Employment Law (Adams, Freedman, &amp; Prassl, 2018).</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Besides this, the environment faced by enterprises is increasingly complex, such as transnational corporations, economic globalization and the labor relations of the supply chain, which complicate the problems and require HR to equip itself with the resilience to solve complex problems.</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b/>
          <w:sz w:val="24"/>
          <w:szCs w:val="24"/>
        </w:rPr>
      </w:pPr>
      <w:bookmarkStart w:id="10" w:name="_Toc1148550279"/>
      <w:r>
        <w:rPr>
          <w:rFonts w:hint="default" w:ascii="Times New Roman" w:hAnsi="Times New Roman" w:cs="Times New Roman"/>
          <w:b/>
          <w:sz w:val="24"/>
          <w:szCs w:val="24"/>
        </w:rPr>
        <w:t>2.3.3 Critical Thinking</w:t>
      </w:r>
      <w:bookmarkEnd w:id="10"/>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Linder Elder has described critical thinking as thinking without being biased or irrational, that is, the ability to analyze information objectively and make reasonable judgment (Doyle, 2019).</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complexity of society was demanding more from management (Shanahan, 2019). Critical thinking encourages people to remain curious, thus, it can support HR, and allow them to thought and critical analysis independently, as well as the ability to question and challenge internal decision-making (Mcdonnell &amp; Sikaner, 2017).</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Besides, critical thinking can help HR quickly detect possible problems within the enterprise and the changes that may occur outside the enterprise (</w:t>
      </w:r>
      <w:r>
        <w:rPr>
          <w:rFonts w:hint="default" w:ascii="Times New Roman" w:hAnsi="Times New Roman" w:cs="Times New Roman"/>
          <w:i w:val="0"/>
          <w:iCs w:val="0"/>
          <w:sz w:val="24"/>
          <w:szCs w:val="24"/>
        </w:rPr>
        <w:t>Rosenblum, 2017</w:t>
      </w:r>
      <w:r>
        <w:rPr>
          <w:rFonts w:hint="default" w:ascii="Times New Roman" w:hAnsi="Times New Roman" w:cs="Times New Roman"/>
          <w:sz w:val="24"/>
          <w:szCs w:val="24"/>
        </w:rPr>
        <w:t>), to help companies make plans to cater for changes in the future.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Owing to the pluralistic development of society, many things have different sides, everyone views things from different angles and starting points (Anon, 2019), and this will affect people's judgment of things, so there will be some deviation in the process of dealing with things.</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11" w:name="_Toc2101519917"/>
      <w:r>
        <w:rPr>
          <w:rFonts w:hint="default" w:ascii="Times New Roman" w:hAnsi="Times New Roman" w:cs="Times New Roman"/>
          <w:b/>
          <w:sz w:val="24"/>
          <w:szCs w:val="24"/>
        </w:rPr>
        <w:t>2.3.4 Creative Thinking</w:t>
      </w:r>
      <w:bookmarkEnd w:id="11"/>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When enterprises are facing huge competitors, innovative thinking has becomes the top priority of the enterprises (Francis, 2016). HR needs to consider how to use a unique management model to stand out from the competitors, and even make the human resources management of enterprises become the logo of enterprises.</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For instance, although the main products of Huawei, a Chinese enterprises, are electronic goods, when people refer to Huawei, people always think of their famous and unique human resources management. A number of companies are even following the management model of Huawei (Schuler &amp; Jackson, 2014).</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Therefore, creative thinking can not only help enterprises attract better talents, but also help enterprises to establish an outstanding image to become a leader in the industry.</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bookmarkStart w:id="12" w:name="_Toc581702810"/>
      <w:r>
        <w:rPr>
          <w:rFonts w:hint="default" w:ascii="Times New Roman" w:hAnsi="Times New Roman" w:cs="Times New Roman"/>
          <w:b/>
          <w:sz w:val="24"/>
          <w:szCs w:val="24"/>
        </w:rPr>
        <w:t>2.3.5 Empathy and Emotion</w:t>
      </w:r>
      <w:bookmarkEnd w:id="12"/>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Empathy refers to the ability to understand the experiences and emotions of others, which also is a sign of respect and concern to colleagues in the workplace (</w:t>
      </w:r>
      <w:r>
        <w:rPr>
          <w:rFonts w:hint="default" w:ascii="Times New Roman" w:hAnsi="Times New Roman" w:cs="Times New Roman"/>
          <w:i w:val="0"/>
          <w:iCs w:val="0"/>
          <w:sz w:val="24"/>
          <w:szCs w:val="24"/>
        </w:rPr>
        <w:t>Krishnan, 2017</w:t>
      </w:r>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ability to empathize and to be emotionally perceptive can help the HR to better understand the employee and to build a more compact relationship (</w:t>
      </w:r>
      <w:r>
        <w:rPr>
          <w:rFonts w:hint="default" w:ascii="Times New Roman" w:hAnsi="Times New Roman" w:cs="Times New Roman"/>
          <w:i w:val="0"/>
          <w:iCs w:val="0"/>
          <w:sz w:val="24"/>
          <w:szCs w:val="24"/>
        </w:rPr>
        <w:t>Mathur &amp; Sareen, 2013</w:t>
      </w:r>
      <w:r>
        <w:rPr>
          <w:rFonts w:hint="default" w:ascii="Times New Roman" w:hAnsi="Times New Roman" w:cs="Times New Roman"/>
          <w:sz w:val="24"/>
          <w:szCs w:val="24"/>
        </w:rPr>
        <w:t>). The management style of deep empathy can increase the sense of belonging in the enterprise and improve the productivity and loyalty (</w:t>
      </w:r>
      <w:r>
        <w:rPr>
          <w:rFonts w:hint="default" w:ascii="Times New Roman" w:hAnsi="Times New Roman" w:cs="Times New Roman"/>
          <w:i w:val="0"/>
          <w:iCs w:val="0"/>
          <w:sz w:val="24"/>
          <w:szCs w:val="24"/>
        </w:rPr>
        <w:t>Kultalahti &amp; Viitala, 2014</w:t>
      </w:r>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Likewise, management scientists point out that the effect of face to face communication cannot be substituted by the network (</w:t>
      </w:r>
      <w:r>
        <w:rPr>
          <w:rFonts w:hint="default" w:ascii="Times New Roman" w:hAnsi="Times New Roman" w:cs="Times New Roman"/>
          <w:i w:val="0"/>
          <w:iCs w:val="0"/>
          <w:sz w:val="24"/>
          <w:szCs w:val="24"/>
        </w:rPr>
        <w:t>Mathur &amp; Sareen, 2013</w:t>
      </w:r>
      <w:r>
        <w:rPr>
          <w:rFonts w:hint="default" w:ascii="Times New Roman" w:hAnsi="Times New Roman" w:cs="Times New Roman"/>
          <w:sz w:val="24"/>
          <w:szCs w:val="24"/>
        </w:rPr>
        <w:t>). Although the Internet brings great convenience to people's communication, face-to-face communication can help HR to capture the subtle emotions of employees (</w:t>
      </w:r>
      <w:r>
        <w:rPr>
          <w:rFonts w:hint="default" w:ascii="Times New Roman" w:hAnsi="Times New Roman" w:cs="Times New Roman"/>
          <w:i w:val="0"/>
          <w:iCs w:val="0"/>
          <w:sz w:val="24"/>
          <w:szCs w:val="24"/>
        </w:rPr>
        <w:t>Jack &amp; Schyns, 2017</w:t>
      </w:r>
      <w:r>
        <w:rPr>
          <w:rFonts w:hint="default" w:ascii="Times New Roman" w:hAnsi="Times New Roman" w:cs="Times New Roman"/>
          <w:sz w:val="24"/>
          <w:szCs w:val="24"/>
        </w:rPr>
        <w:t>). Hence, the role of empathy and emotional perception is particularly important at this time.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b/>
          <w:sz w:val="28"/>
          <w:szCs w:val="28"/>
        </w:rPr>
      </w:pPr>
      <w:bookmarkStart w:id="13" w:name="_Toc1333566526"/>
      <w:r>
        <w:rPr>
          <w:rFonts w:hint="default" w:ascii="Times New Roman" w:hAnsi="Times New Roman" w:cs="Times New Roman"/>
          <w:b/>
          <w:sz w:val="28"/>
          <w:szCs w:val="28"/>
        </w:rPr>
        <w:t>3.0 Conclusion</w:t>
      </w:r>
      <w:bookmarkEnd w:id="13"/>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4</w:t>
      </w:r>
      <w:r>
        <w:rPr>
          <w:rFonts w:hint="default" w:ascii="Times New Roman" w:hAnsi="Times New Roman" w:cs="Times New Roman"/>
          <w:sz w:val="24"/>
          <w:szCs w:val="24"/>
          <w:vertAlign w:val="superscript"/>
        </w:rPr>
        <w:t>th</w:t>
      </w:r>
      <w:r>
        <w:rPr>
          <w:rFonts w:hint="default" w:ascii="Times New Roman" w:hAnsi="Times New Roman" w:cs="Times New Roman"/>
          <w:sz w:val="24"/>
          <w:szCs w:val="24"/>
        </w:rPr>
        <w:t xml:space="preserve"> Industry Revolution has radically enhanced the transformation of the way people live and think. Not only are people's daily lives facing huge variation, but many traditional models in business are beginning to change.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changing VUCA environment and the Megatrend, which are constantly adding new elements, are constantly exerting an impact on contemporary society, such as, gradually digitalized workplaces, automated assembly lines, and data-based information (</w:t>
      </w:r>
      <w:r>
        <w:rPr>
          <w:rFonts w:hint="default" w:ascii="Times New Roman" w:hAnsi="Times New Roman" w:cs="Times New Roman"/>
          <w:i w:val="0"/>
          <w:iCs w:val="0"/>
          <w:sz w:val="24"/>
          <w:szCs w:val="24"/>
        </w:rPr>
        <w:t>Fleming, 2018</w:t>
      </w:r>
      <w:r>
        <w:rPr>
          <w:rFonts w:hint="default" w:ascii="Times New Roman" w:hAnsi="Times New Roman" w:cs="Times New Roman"/>
          <w:sz w:val="24"/>
          <w:szCs w:val="24"/>
        </w:rPr>
        <w:t>). People need to be vigilant to detect if new changes occur in the external environment, so that can adjustments can be made to respond to these changes in time.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for the HRM, it should identify the technical skills it needs in its industry, and, as described, optimizing technology can assist HR in recruitment, development, training, and performance (Anon, 2014). In addition, HR also needs to master critical thinking and creative thinking in the current environment.</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Lastly, at the time of information, the best result is that people can get along with science and technology and balance the division of labour (Anon, 2018). In other words, HR should make full use of the convenience of the technology, but also remember not to ignore the power of connection between people.</w:t>
      </w: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b/>
          <w:sz w:val="28"/>
          <w:szCs w:val="28"/>
        </w:rPr>
      </w:pPr>
      <w:bookmarkStart w:id="14" w:name="_Toc2113262390"/>
      <w:r>
        <w:rPr>
          <w:rFonts w:hint="default" w:ascii="Times New Roman" w:hAnsi="Times New Roman" w:cs="Times New Roman"/>
          <w:b/>
          <w:sz w:val="28"/>
          <w:szCs w:val="28"/>
        </w:rPr>
        <w:t>4.0 Reference</w:t>
      </w:r>
      <w:bookmarkEnd w:id="14"/>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Adams, A., Freedman, J. &amp; Prassl, J., 2018. </w:t>
      </w:r>
      <w:r>
        <w:rPr>
          <w:rFonts w:hint="default" w:ascii="Times New Roman" w:hAnsi="Times New Roman" w:cs="Times New Roman"/>
          <w:i/>
          <w:iCs/>
          <w:sz w:val="24"/>
          <w:szCs w:val="24"/>
        </w:rPr>
        <w:t>Rethinking legal taxonomies for the gig economy</w:t>
      </w:r>
      <w:r>
        <w:rPr>
          <w:rFonts w:hint="default" w:ascii="Times New Roman" w:hAnsi="Times New Roman" w:cs="Times New Roman"/>
          <w:sz w:val="24"/>
          <w:szCs w:val="24"/>
        </w:rPr>
        <w:t>. Oxford Review of Economic Policy, 34(3), pp.475–494.</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Anon, 2018. AI future now on our doorstep. </w:t>
      </w:r>
      <w:r>
        <w:rPr>
          <w:rFonts w:hint="default" w:ascii="Times New Roman" w:hAnsi="Times New Roman" w:cs="Times New Roman"/>
          <w:i/>
          <w:iCs/>
          <w:sz w:val="24"/>
          <w:szCs w:val="24"/>
        </w:rPr>
        <w:t>The New Zealand Herald,</w:t>
      </w:r>
      <w:r>
        <w:rPr>
          <w:rFonts w:hint="default" w:ascii="Times New Roman" w:hAnsi="Times New Roman" w:cs="Times New Roman"/>
          <w:sz w:val="24"/>
          <w:szCs w:val="24"/>
        </w:rPr>
        <w:t xml:space="preserve"> pp.The New Zealand Herald, 2018–01-04.</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Anon, 2014. Global Leaders Discuss the Future of Asset Performance Management at Meridium Conference 2014. </w:t>
      </w:r>
      <w:r>
        <w:rPr>
          <w:rFonts w:hint="default" w:ascii="Times New Roman" w:hAnsi="Times New Roman" w:cs="Times New Roman"/>
          <w:i/>
          <w:iCs/>
          <w:sz w:val="24"/>
          <w:szCs w:val="24"/>
        </w:rPr>
        <w:t>PR Newswire</w:t>
      </w:r>
      <w:r>
        <w:rPr>
          <w:rFonts w:hint="default" w:ascii="Times New Roman" w:hAnsi="Times New Roman" w:cs="Times New Roman"/>
          <w:sz w:val="24"/>
          <w:szCs w:val="24"/>
        </w:rPr>
        <w:t>, pp.PR Newswire, 2014–03-31.</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Anon, 2019. Business - Engineering Management; Studies from University of Kansas Provide New Data on Engineering Management (Differentiation of Evaluation Criteria in Design-Build and Construction Manager at Risk Procurements).</w:t>
      </w:r>
      <w:r>
        <w:rPr>
          <w:rFonts w:hint="default" w:ascii="Times New Roman" w:hAnsi="Times New Roman" w:cs="Times New Roman"/>
          <w:i/>
          <w:iCs/>
          <w:sz w:val="24"/>
          <w:szCs w:val="24"/>
        </w:rPr>
        <w:t xml:space="preserve"> Journal of Engineering</w:t>
      </w:r>
      <w:r>
        <w:rPr>
          <w:rFonts w:hint="default" w:ascii="Times New Roman" w:hAnsi="Times New Roman" w:cs="Times New Roman"/>
          <w:sz w:val="24"/>
          <w:szCs w:val="24"/>
        </w:rPr>
        <w:t>, p.3424.</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Armstrong, M. &amp; Taylor, S., 2017. </w:t>
      </w:r>
      <w:r>
        <w:rPr>
          <w:rFonts w:hint="default" w:ascii="Times New Roman" w:hAnsi="Times New Roman" w:cs="Times New Roman"/>
          <w:i/>
          <w:iCs/>
          <w:sz w:val="24"/>
          <w:szCs w:val="24"/>
        </w:rPr>
        <w:t>Armstrong's handbook of human resource management practice</w:t>
      </w:r>
      <w:r>
        <w:rPr>
          <w:rFonts w:hint="default" w:ascii="Times New Roman" w:hAnsi="Times New Roman" w:cs="Times New Roman"/>
          <w:sz w:val="24"/>
          <w:szCs w:val="24"/>
        </w:rPr>
        <w:t xml:space="preserve"> 14th ed.,</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Bhatia, T., 2018. </w:t>
      </w:r>
      <w:r>
        <w:rPr>
          <w:rFonts w:hint="default" w:ascii="Times New Roman" w:hAnsi="Times New Roman" w:cs="Times New Roman"/>
          <w:i/>
          <w:iCs/>
          <w:sz w:val="24"/>
          <w:szCs w:val="24"/>
        </w:rPr>
        <w:t>Artificial Intelligence In HR</w:t>
      </w:r>
      <w:r>
        <w:rPr>
          <w:rFonts w:hint="default" w:ascii="Times New Roman" w:hAnsi="Times New Roman" w:cs="Times New Roman"/>
          <w:sz w:val="24"/>
          <w:szCs w:val="24"/>
        </w:rPr>
        <w:t>. HR Strategy and Planning Excellence Essentials, .</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Brondoni, S.M. &amp; Zaninotto, E., 2018, "Ouverture de 'The 4th Industrial Revolution. Business Model Innovation &amp; Global Competition' *", </w:t>
      </w:r>
      <w:r>
        <w:rPr>
          <w:rFonts w:hint="default" w:ascii="Times New Roman" w:hAnsi="Times New Roman" w:cs="Times New Roman"/>
          <w:i/>
          <w:iCs/>
          <w:sz w:val="24"/>
          <w:szCs w:val="24"/>
        </w:rPr>
        <w:t>Symphonya</w:t>
      </w:r>
      <w:r>
        <w:rPr>
          <w:rFonts w:hint="default" w:ascii="Times New Roman" w:hAnsi="Times New Roman" w:cs="Times New Roman"/>
          <w:sz w:val="24"/>
          <w:szCs w:val="24"/>
        </w:rPr>
        <w:t>, , no. 2, pp. 1-7.</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Carlos Fernando Torres Oviedo, 2015. Contemporary careers management: critical challenges for human resource management. </w:t>
      </w:r>
      <w:r>
        <w:rPr>
          <w:rFonts w:hint="default" w:ascii="Times New Roman" w:hAnsi="Times New Roman" w:cs="Times New Roman"/>
          <w:i/>
          <w:iCs/>
          <w:sz w:val="24"/>
          <w:szCs w:val="24"/>
        </w:rPr>
        <w:t>Apuntes de</w:t>
      </w:r>
      <w:r>
        <w:rPr>
          <w:rFonts w:hint="default" w:ascii="Times New Roman" w:hAnsi="Times New Roman" w:cs="Times New Roman"/>
          <w:i w:val="0"/>
          <w:iCs w:val="0"/>
          <w:sz w:val="24"/>
          <w:szCs w:val="24"/>
        </w:rPr>
        <w:t xml:space="preserve">l </w:t>
      </w:r>
      <w:r>
        <w:rPr>
          <w:rFonts w:hint="default" w:ascii="Times New Roman" w:hAnsi="Times New Roman" w:cs="Times New Roman"/>
          <w:i/>
          <w:iCs/>
          <w:sz w:val="24"/>
          <w:szCs w:val="24"/>
        </w:rPr>
        <w:t>CENES</w:t>
      </w:r>
      <w:r>
        <w:rPr>
          <w:rFonts w:hint="default" w:ascii="Times New Roman" w:hAnsi="Times New Roman" w:cs="Times New Roman"/>
          <w:sz w:val="24"/>
          <w:szCs w:val="24"/>
        </w:rPr>
        <w:t>, 34(59), pp.207–220.</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Chartered Institute of Personnel and Development, 2019 </w:t>
      </w:r>
      <w:r>
        <w:rPr>
          <w:rFonts w:hint="default" w:ascii="Times New Roman" w:hAnsi="Times New Roman" w:cs="Times New Roman"/>
          <w:i/>
          <w:iCs/>
          <w:sz w:val="24"/>
          <w:szCs w:val="24"/>
        </w:rPr>
        <w:t>The new Profession Map</w:t>
      </w:r>
      <w:r>
        <w:rPr>
          <w:rFonts w:hint="default" w:ascii="Times New Roman" w:hAnsi="Times New Roman" w:cs="Times New Roman"/>
          <w:sz w:val="24"/>
          <w:szCs w:val="24"/>
        </w:rPr>
        <w:t>, peopleprofession.cipd.org.</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Doyle, A., 2019 </w:t>
      </w:r>
      <w:r>
        <w:rPr>
          <w:rFonts w:hint="default" w:ascii="Times New Roman" w:hAnsi="Times New Roman" w:cs="Times New Roman"/>
          <w:i/>
          <w:iCs/>
          <w:sz w:val="24"/>
          <w:szCs w:val="24"/>
        </w:rPr>
        <w:t>Critical Thinking Definition, Skills, and Examples</w:t>
      </w:r>
      <w:r>
        <w:rPr>
          <w:rFonts w:hint="default" w:ascii="Times New Roman" w:hAnsi="Times New Roman" w:cs="Times New Roman"/>
          <w:sz w:val="24"/>
          <w:szCs w:val="24"/>
        </w:rPr>
        <w:t xml:space="preserve">, Available at: </w:t>
      </w:r>
      <w:r>
        <w:rPr>
          <w:rFonts w:hint="default" w:ascii="Times New Roman" w:hAnsi="Times New Roman" w:cs="Times New Roman"/>
          <w:i/>
          <w:iCs/>
          <w:sz w:val="24"/>
          <w:szCs w:val="24"/>
        </w:rPr>
        <w:t xml:space="preserve">https://www.thebalancecareers.com/critical-thinking-definition-with-examples-2063745 </w:t>
      </w:r>
      <w:r>
        <w:rPr>
          <w:rFonts w:hint="default" w:ascii="Times New Roman" w:hAnsi="Times New Roman" w:cs="Times New Roman"/>
          <w:sz w:val="24"/>
          <w:szCs w:val="24"/>
        </w:rPr>
        <w:t>(Accessed: 12th November 2019).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rPr>
      </w:pPr>
      <w:r>
        <w:rPr>
          <w:rFonts w:hint="default" w:ascii="Times New Roman" w:hAnsi="Times New Roman" w:cs="Times New Roman"/>
          <w:sz w:val="24"/>
          <w:szCs w:val="24"/>
        </w:rPr>
        <w:t xml:space="preserve">Efrat, Z., 2014 </w:t>
      </w:r>
      <w:r>
        <w:rPr>
          <w:rFonts w:hint="default" w:ascii="Times New Roman" w:hAnsi="Times New Roman" w:cs="Times New Roman"/>
          <w:i/>
          <w:iCs/>
          <w:sz w:val="24"/>
          <w:szCs w:val="24"/>
        </w:rPr>
        <w:t>'World’s Top Global Mega Trends To 2020 and Implications to Business, Society and Cultures'</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Frost \＆Sullivan</w:t>
      </w:r>
      <w:r>
        <w:rPr>
          <w:rFonts w:hint="default" w:ascii="Times New Roman" w:hAnsi="Times New Roman" w:cs="Times New Roman"/>
          <w:sz w:val="24"/>
          <w:szCs w:val="24"/>
        </w:rPr>
        <w:t>, pp. p1-30.</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rPr>
      </w:pPr>
      <w:r>
        <w:rPr>
          <w:rFonts w:hint="default" w:ascii="Times New Roman" w:hAnsi="Times New Roman" w:cs="Times New Roman"/>
          <w:sz w:val="24"/>
          <w:szCs w:val="24"/>
        </w:rPr>
        <w:t xml:space="preserve">Featured Research Summary - The State of Artificial Intelligence In HR. 2017. </w:t>
      </w:r>
      <w:r>
        <w:rPr>
          <w:rFonts w:hint="default" w:ascii="Times New Roman" w:hAnsi="Times New Roman" w:cs="Times New Roman"/>
          <w:i/>
          <w:iCs/>
          <w:sz w:val="24"/>
          <w:szCs w:val="24"/>
        </w:rPr>
        <w:t>HR Strategy and Planning Excellence Essentials, .</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Fleming, G., 2018. Reskilling for a digital workplace. </w:t>
      </w:r>
      <w:r>
        <w:rPr>
          <w:rFonts w:hint="default" w:ascii="Times New Roman" w:hAnsi="Times New Roman" w:cs="Times New Roman"/>
          <w:i/>
          <w:iCs/>
          <w:sz w:val="24"/>
          <w:szCs w:val="24"/>
        </w:rPr>
        <w:t>The New Zealand Herald</w:t>
      </w:r>
      <w:r>
        <w:rPr>
          <w:rFonts w:hint="default" w:ascii="Times New Roman" w:hAnsi="Times New Roman" w:cs="Times New Roman"/>
          <w:i w:val="0"/>
          <w:iCs w:val="0"/>
          <w:sz w:val="24"/>
          <w:szCs w:val="24"/>
        </w:rPr>
        <w:t>, pp.The New Zealand Herald, 2018–10-24.</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rPr>
      </w:pPr>
      <w:r>
        <w:rPr>
          <w:rFonts w:hint="default" w:ascii="Times New Roman" w:hAnsi="Times New Roman" w:cs="Times New Roman"/>
          <w:sz w:val="24"/>
          <w:szCs w:val="24"/>
        </w:rPr>
        <w:t xml:space="preserve">Francis, N., 2016 </w:t>
      </w:r>
      <w:r>
        <w:rPr>
          <w:rFonts w:hint="default" w:ascii="Times New Roman" w:hAnsi="Times New Roman" w:cs="Times New Roman"/>
          <w:i/>
          <w:iCs/>
          <w:sz w:val="24"/>
          <w:szCs w:val="24"/>
        </w:rPr>
        <w:t>Here's how to foster creativity at work</w:t>
      </w:r>
      <w:r>
        <w:rPr>
          <w:rFonts w:hint="default" w:ascii="Times New Roman" w:hAnsi="Times New Roman" w:cs="Times New Roman"/>
          <w:sz w:val="24"/>
          <w:szCs w:val="24"/>
        </w:rPr>
        <w:t xml:space="preserve">, Available at: </w:t>
      </w:r>
      <w:r>
        <w:rPr>
          <w:rFonts w:hint="default" w:ascii="Times New Roman" w:hAnsi="Times New Roman" w:cs="Times New Roman"/>
          <w:i/>
          <w:iCs/>
          <w:sz w:val="24"/>
          <w:szCs w:val="24"/>
        </w:rPr>
        <w:t xml:space="preserve">https://www.hrmonline.com.au/section/strategic-hr/heres-foster-creativity-work/ </w:t>
      </w:r>
      <w:r>
        <w:rPr>
          <w:rFonts w:hint="default" w:ascii="Times New Roman" w:hAnsi="Times New Roman" w:cs="Times New Roman"/>
          <w:sz w:val="24"/>
          <w:szCs w:val="24"/>
        </w:rPr>
        <w:t>(Accessed: 12th November 2019).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iCs/>
          <w:sz w:val="24"/>
          <w:szCs w:val="24"/>
        </w:rPr>
      </w:pPr>
      <w:r>
        <w:rPr>
          <w:rFonts w:hint="default" w:ascii="Times New Roman" w:hAnsi="Times New Roman" w:cs="Times New Roman"/>
          <w:i w:val="0"/>
          <w:iCs w:val="0"/>
          <w:sz w:val="24"/>
          <w:szCs w:val="24"/>
        </w:rPr>
        <w:t xml:space="preserve">Hans, D. and Yvonne, B., 2003 'HRM and organizational change: An emotional </w:t>
      </w:r>
      <w:r>
        <w:rPr>
          <w:rFonts w:hint="default" w:ascii="Times New Roman" w:hAnsi="Times New Roman" w:cs="Times New Roman"/>
          <w:sz w:val="24"/>
          <w:szCs w:val="24"/>
        </w:rPr>
        <w:t xml:space="preserve">endeavor', </w:t>
      </w:r>
      <w:r>
        <w:rPr>
          <w:rFonts w:hint="default" w:ascii="Times New Roman" w:hAnsi="Times New Roman" w:cs="Times New Roman"/>
          <w:i/>
          <w:iCs/>
          <w:sz w:val="24"/>
          <w:szCs w:val="24"/>
        </w:rPr>
        <w:t>Journal of Organizational Change Management</w:t>
      </w:r>
      <w:r>
        <w:rPr>
          <w:rFonts w:hint="default" w:ascii="Times New Roman" w:hAnsi="Times New Roman" w:cs="Times New Roman"/>
          <w:sz w:val="24"/>
          <w:szCs w:val="24"/>
        </w:rPr>
        <w:t xml:space="preserve">, 16(3), pp. 272 [Online]. Available at: </w:t>
      </w:r>
      <w:r>
        <w:rPr>
          <w:rFonts w:hint="default" w:ascii="Times New Roman" w:hAnsi="Times New Roman" w:cs="Times New Roman"/>
          <w:i/>
          <w:iCs/>
          <w:sz w:val="24"/>
          <w:szCs w:val="24"/>
        </w:rPr>
        <w:t xml:space="preserve">https://search-proquest-com.ezproxy.uwtsd.ac.uk/docview/197601785?accountid=130472&amp;rfr_id=info%3Axri%2Fsid%3Aprimo </w:t>
      </w:r>
      <w:r>
        <w:rPr>
          <w:rFonts w:hint="default" w:ascii="Times New Roman" w:hAnsi="Times New Roman" w:cs="Times New Roman"/>
          <w:sz w:val="24"/>
          <w:szCs w:val="24"/>
        </w:rPr>
        <w:t>(Accessed: 12th November 2019).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Jie He, Alastair M. Morrison &amp; Hao Zhang, 2019. Improving Millennial Employee Well-Being and Task Performance in the Hospitality Industry: The Interactive Effects of HRM and Responsible Leadership. </w:t>
      </w:r>
      <w:r>
        <w:rPr>
          <w:rFonts w:hint="default" w:ascii="Times New Roman" w:hAnsi="Times New Roman" w:cs="Times New Roman"/>
          <w:i/>
          <w:iCs/>
          <w:sz w:val="24"/>
          <w:szCs w:val="24"/>
        </w:rPr>
        <w:t>Sustainability</w:t>
      </w:r>
      <w:r>
        <w:rPr>
          <w:rFonts w:hint="default" w:ascii="Times New Roman" w:hAnsi="Times New Roman" w:cs="Times New Roman"/>
          <w:i w:val="0"/>
          <w:iCs w:val="0"/>
          <w:sz w:val="24"/>
          <w:szCs w:val="24"/>
        </w:rPr>
        <w:t>, 11(16), p.4410.</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Jack, R. &amp; Schyns, P., 2017. Toward a Social Psychophysics of Face Communication. </w:t>
      </w:r>
      <w:r>
        <w:rPr>
          <w:rFonts w:hint="default" w:ascii="Times New Roman" w:hAnsi="Times New Roman" w:cs="Times New Roman"/>
          <w:i/>
          <w:iCs/>
          <w:sz w:val="24"/>
          <w:szCs w:val="24"/>
        </w:rPr>
        <w:t>Annual Review of Psychology</w:t>
      </w:r>
      <w:r>
        <w:rPr>
          <w:rFonts w:hint="default" w:ascii="Times New Roman" w:hAnsi="Times New Roman" w:cs="Times New Roman"/>
          <w:i w:val="0"/>
          <w:iCs w:val="0"/>
          <w:sz w:val="24"/>
          <w:szCs w:val="24"/>
        </w:rPr>
        <w:t>, 68(1), pp.269–297.</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Kultalahti, S. &amp; Viitala, R., 2014. Sufficient challenges and a weekend ahead – Generation Y describing motivation at work. </w:t>
      </w:r>
      <w:r>
        <w:rPr>
          <w:rFonts w:hint="default" w:ascii="Times New Roman" w:hAnsi="Times New Roman" w:cs="Times New Roman"/>
          <w:i/>
          <w:iCs/>
          <w:sz w:val="24"/>
          <w:szCs w:val="24"/>
        </w:rPr>
        <w:t>Journal of Organizational Change Management</w:t>
      </w:r>
      <w:r>
        <w:rPr>
          <w:rFonts w:hint="default" w:ascii="Times New Roman" w:hAnsi="Times New Roman" w:cs="Times New Roman"/>
          <w:i w:val="0"/>
          <w:iCs w:val="0"/>
          <w:sz w:val="24"/>
          <w:szCs w:val="24"/>
        </w:rPr>
        <w:t>, 27(4), pp.569–582.</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Krishnan, A., 2017. Don't get into HR if you lack empathy. </w:t>
      </w:r>
      <w:r>
        <w:rPr>
          <w:rFonts w:hint="default" w:ascii="Times New Roman" w:hAnsi="Times New Roman" w:cs="Times New Roman"/>
          <w:i/>
          <w:iCs/>
          <w:sz w:val="24"/>
          <w:szCs w:val="24"/>
        </w:rPr>
        <w:t>DNA : Daily News &amp; Analysis,</w:t>
      </w:r>
      <w:r>
        <w:rPr>
          <w:rFonts w:hint="default" w:ascii="Times New Roman" w:hAnsi="Times New Roman" w:cs="Times New Roman"/>
          <w:i w:val="0"/>
          <w:iCs w:val="0"/>
          <w:sz w:val="24"/>
          <w:szCs w:val="24"/>
        </w:rPr>
        <w:t xml:space="preserve"> pp.DNA : Daily News &amp; Analysis, 2017–07-13.</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Millar, C.C.J.M., Groth, O. &amp; Mahon, J.F., 2018. </w:t>
      </w:r>
      <w:r>
        <w:rPr>
          <w:rFonts w:hint="default" w:ascii="Times New Roman" w:hAnsi="Times New Roman" w:cs="Times New Roman"/>
          <w:i/>
          <w:iCs/>
          <w:sz w:val="24"/>
          <w:szCs w:val="24"/>
        </w:rPr>
        <w:t>Management Innovation in a VUCA World: Challenges and Recommendations</w:t>
      </w:r>
      <w:r>
        <w:rPr>
          <w:rFonts w:hint="default" w:ascii="Times New Roman" w:hAnsi="Times New Roman" w:cs="Times New Roman"/>
          <w:i w:val="0"/>
          <w:iCs w:val="0"/>
          <w:sz w:val="24"/>
          <w:szCs w:val="24"/>
        </w:rPr>
        <w:t>. California Management Review, 61(1), pp.5–14.</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Mathur, G. &amp; Sareen, P., 2013. Role of Emotional Intelligence in Managing Occupational Stress.</w:t>
      </w:r>
      <w:r>
        <w:rPr>
          <w:rFonts w:hint="default" w:ascii="Times New Roman" w:hAnsi="Times New Roman" w:cs="Times New Roman"/>
          <w:i/>
          <w:iCs/>
          <w:sz w:val="24"/>
          <w:szCs w:val="24"/>
        </w:rPr>
        <w:t xml:space="preserve"> Review of HRM</w:t>
      </w:r>
      <w:r>
        <w:rPr>
          <w:rFonts w:hint="default" w:ascii="Times New Roman" w:hAnsi="Times New Roman" w:cs="Times New Roman"/>
          <w:i w:val="0"/>
          <w:iCs w:val="0"/>
          <w:sz w:val="24"/>
          <w:szCs w:val="24"/>
        </w:rPr>
        <w:t>, 2, pp.121–129.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Mcdonnell, L. &amp; Sikander, A., 2017. Skills and Competencies for the Contemporary Human Resource Practitioner: A Synthesis of the Academic, Industry and Employer’s Perspectives. </w:t>
      </w:r>
      <w:r>
        <w:rPr>
          <w:rFonts w:hint="default" w:ascii="Times New Roman" w:hAnsi="Times New Roman" w:cs="Times New Roman"/>
          <w:i/>
          <w:iCs/>
          <w:sz w:val="24"/>
          <w:szCs w:val="24"/>
        </w:rPr>
        <w:t>The Journal of Developing Areas</w:t>
      </w:r>
      <w:r>
        <w:rPr>
          <w:rFonts w:hint="default" w:ascii="Times New Roman" w:hAnsi="Times New Roman" w:cs="Times New Roman"/>
          <w:i w:val="0"/>
          <w:iCs w:val="0"/>
          <w:sz w:val="24"/>
          <w:szCs w:val="24"/>
        </w:rPr>
        <w:t>, pp.83–101.</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sz w:val="24"/>
          <w:szCs w:val="24"/>
        </w:rPr>
        <w:t>Mencarelli, R. and Rivière, A., 2015 ‘Perceived value in B2B and B2C: A comparative approach and cross-fertilization’, Marketing Theory, 15(2), pp. 201–220.</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Mackenzie, A., 2016. Staff E-training: Addressing Weaknesses. </w:t>
      </w:r>
      <w:r>
        <w:rPr>
          <w:rFonts w:hint="default" w:ascii="Times New Roman" w:hAnsi="Times New Roman" w:cs="Times New Roman"/>
          <w:i/>
          <w:iCs/>
          <w:sz w:val="24"/>
          <w:szCs w:val="24"/>
        </w:rPr>
        <w:t>Academy Magazine</w:t>
      </w:r>
      <w:r>
        <w:rPr>
          <w:rFonts w:hint="default" w:ascii="Times New Roman" w:hAnsi="Times New Roman" w:cs="Times New Roman"/>
          <w:i w:val="0"/>
          <w:iCs w:val="0"/>
          <w:sz w:val="24"/>
          <w:szCs w:val="24"/>
        </w:rPr>
        <w:t>, pp.54–55.</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Rosenblum, G., 2017. Critical thinking in critically short supply. </w:t>
      </w:r>
      <w:r>
        <w:rPr>
          <w:rFonts w:hint="default" w:ascii="Times New Roman" w:hAnsi="Times New Roman" w:cs="Times New Roman"/>
          <w:i/>
          <w:iCs/>
          <w:sz w:val="24"/>
          <w:szCs w:val="24"/>
        </w:rPr>
        <w:t xml:space="preserve">Star Tribune (Minneapolis, MN), </w:t>
      </w:r>
      <w:r>
        <w:rPr>
          <w:rFonts w:hint="default" w:ascii="Times New Roman" w:hAnsi="Times New Roman" w:cs="Times New Roman"/>
          <w:i w:val="0"/>
          <w:iCs w:val="0"/>
          <w:sz w:val="24"/>
          <w:szCs w:val="24"/>
        </w:rPr>
        <w:t>p.1.</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Susskind, R. &amp; Susskind, D., 2015. </w:t>
      </w:r>
      <w:r>
        <w:rPr>
          <w:rFonts w:hint="default" w:ascii="Times New Roman" w:hAnsi="Times New Roman" w:cs="Times New Roman"/>
          <w:i/>
          <w:iCs/>
          <w:sz w:val="24"/>
          <w:szCs w:val="24"/>
        </w:rPr>
        <w:t>The Future of the Professions: How Technology Will Transform the Work of Human Experts</w:t>
      </w:r>
      <w:r>
        <w:rPr>
          <w:rFonts w:hint="default" w:ascii="Times New Roman" w:hAnsi="Times New Roman" w:cs="Times New Roman"/>
          <w:sz w:val="24"/>
          <w:szCs w:val="24"/>
        </w:rPr>
        <w:t>. Oxford: Oxford University Press.</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Shanahan, D., 2019. Critical thinking key to conveying message.</w:t>
      </w:r>
      <w:r>
        <w:rPr>
          <w:rFonts w:hint="default" w:ascii="Times New Roman" w:hAnsi="Times New Roman" w:cs="Times New Roman"/>
          <w:i/>
          <w:iCs/>
          <w:sz w:val="24"/>
          <w:szCs w:val="24"/>
        </w:rPr>
        <w:t xml:space="preserve"> The Australian (National, Australia)</w:t>
      </w:r>
      <w:r>
        <w:rPr>
          <w:rFonts w:hint="default" w:ascii="Times New Roman" w:hAnsi="Times New Roman" w:cs="Times New Roman"/>
          <w:sz w:val="24"/>
          <w:szCs w:val="24"/>
        </w:rPr>
        <w:t>, p.25.</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Stafford, T., 2016 </w:t>
      </w:r>
      <w:r>
        <w:rPr>
          <w:rFonts w:hint="default" w:ascii="Times New Roman" w:hAnsi="Times New Roman" w:cs="Times New Roman"/>
          <w:i/>
          <w:iCs/>
          <w:sz w:val="24"/>
          <w:szCs w:val="24"/>
        </w:rPr>
        <w:t>Prejudice is not always overt. It's called ‘microaggression’</w:t>
      </w:r>
      <w:r>
        <w:rPr>
          <w:rFonts w:hint="default" w:ascii="Times New Roman" w:hAnsi="Times New Roman" w:cs="Times New Roman"/>
          <w:sz w:val="24"/>
          <w:szCs w:val="24"/>
        </w:rPr>
        <w:t xml:space="preserve">, Available at: </w:t>
      </w:r>
      <w:r>
        <w:rPr>
          <w:rFonts w:hint="default" w:ascii="Times New Roman" w:hAnsi="Times New Roman" w:cs="Times New Roman"/>
          <w:i/>
          <w:iCs/>
          <w:sz w:val="24"/>
          <w:szCs w:val="24"/>
        </w:rPr>
        <w:t>https://www.bbc.com/future/article/20160608-the-true-impact-of-tiny-microaggressions</w:t>
      </w:r>
      <w:r>
        <w:rPr>
          <w:rFonts w:hint="default" w:ascii="Times New Roman" w:hAnsi="Times New Roman" w:cs="Times New Roman"/>
          <w:sz w:val="24"/>
          <w:szCs w:val="24"/>
        </w:rPr>
        <w:t xml:space="preserve"> (Accessed: 12th November 2019).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Schuler, R. &amp; Jackson, S., 2014. </w:t>
      </w:r>
      <w:r>
        <w:rPr>
          <w:rFonts w:hint="default" w:ascii="Times New Roman" w:hAnsi="Times New Roman" w:cs="Times New Roman"/>
          <w:i/>
          <w:iCs/>
          <w:sz w:val="24"/>
          <w:szCs w:val="24"/>
        </w:rPr>
        <w:t>Human resource management and organizational effectiveness: yesterday and today</w:t>
      </w:r>
      <w:r>
        <w:rPr>
          <w:rFonts w:hint="default" w:ascii="Times New Roman" w:hAnsi="Times New Roman" w:cs="Times New Roman"/>
          <w:sz w:val="24"/>
          <w:szCs w:val="24"/>
        </w:rPr>
        <w:t>. Journal of Organizational Effectiveness, 1(1), pp.35–55.</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Secretary of State for Business, Energy and Industrial Strategy, 2019 </w:t>
      </w:r>
      <w:r>
        <w:rPr>
          <w:rFonts w:hint="default" w:ascii="Times New Roman" w:hAnsi="Times New Roman" w:cs="Times New Roman"/>
          <w:i/>
          <w:iCs/>
          <w:sz w:val="24"/>
          <w:szCs w:val="24"/>
        </w:rPr>
        <w:t>Regulation for the Fourth Industrial Revolution</w:t>
      </w:r>
      <w:r>
        <w:rPr>
          <w:rFonts w:hint="default" w:ascii="Times New Roman" w:hAnsi="Times New Roman" w:cs="Times New Roman"/>
          <w:sz w:val="24"/>
          <w:szCs w:val="24"/>
        </w:rPr>
        <w:t xml:space="preserve">, Available at: </w:t>
      </w:r>
      <w:r>
        <w:rPr>
          <w:rFonts w:hint="default" w:ascii="Times New Roman" w:hAnsi="Times New Roman" w:cs="Times New Roman"/>
          <w:i/>
          <w:iCs/>
          <w:sz w:val="24"/>
          <w:szCs w:val="24"/>
        </w:rPr>
        <w:t>https://www.gov.uk/government/publications/regulation-for-the-fourth-industrial-revolution/regulation-for-the-fourth-industrial-revolution</w:t>
      </w:r>
      <w:r>
        <w:rPr>
          <w:rFonts w:hint="default" w:ascii="Times New Roman" w:hAnsi="Times New Roman" w:cs="Times New Roman"/>
          <w:sz w:val="24"/>
          <w:szCs w:val="24"/>
        </w:rPr>
        <w:t xml:space="preserve"> (Accessed: 11th November 2019).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Wilson, R., 2019 </w:t>
      </w:r>
      <w:r>
        <w:rPr>
          <w:rFonts w:hint="default" w:ascii="Times New Roman" w:hAnsi="Times New Roman" w:cs="Times New Roman"/>
          <w:i/>
          <w:iCs/>
          <w:sz w:val="24"/>
          <w:szCs w:val="24"/>
        </w:rPr>
        <w:t>What the fourth industrial revolution means for talent management</w:t>
      </w:r>
      <w:r>
        <w:rPr>
          <w:rFonts w:hint="default" w:ascii="Times New Roman" w:hAnsi="Times New Roman" w:cs="Times New Roman"/>
          <w:sz w:val="24"/>
          <w:szCs w:val="24"/>
        </w:rPr>
        <w:t xml:space="preserve">, Available at: </w:t>
      </w:r>
      <w:r>
        <w:rPr>
          <w:rFonts w:hint="default" w:ascii="Times New Roman" w:hAnsi="Times New Roman" w:cs="Times New Roman"/>
          <w:i/>
          <w:iCs/>
          <w:sz w:val="24"/>
          <w:szCs w:val="24"/>
        </w:rPr>
        <w:t>https://www.recruitment-international.co.uk/blog/2019/08/what-the-fourth-industrial-revolution-means-for-talent-management</w:t>
      </w:r>
      <w:r>
        <w:rPr>
          <w:rFonts w:hint="default" w:ascii="Times New Roman" w:hAnsi="Times New Roman" w:cs="Times New Roman"/>
          <w:sz w:val="24"/>
          <w:szCs w:val="24"/>
        </w:rPr>
        <w:t xml:space="preserve"> (Accessed: 5th November 2019).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White, G., 2018 </w:t>
      </w:r>
      <w:r>
        <w:rPr>
          <w:rFonts w:hint="default" w:ascii="Times New Roman" w:hAnsi="Times New Roman" w:cs="Times New Roman"/>
          <w:i/>
          <w:iCs/>
          <w:sz w:val="24"/>
          <w:szCs w:val="24"/>
        </w:rPr>
        <w:t>The Impact of Technology on Recruitment: How to Improve your Hiring Process</w:t>
      </w:r>
      <w:r>
        <w:rPr>
          <w:rFonts w:hint="default" w:ascii="Times New Roman" w:hAnsi="Times New Roman" w:cs="Times New Roman"/>
          <w:sz w:val="24"/>
          <w:szCs w:val="24"/>
        </w:rPr>
        <w:t xml:space="preserve">, Available at: </w:t>
      </w:r>
      <w:r>
        <w:rPr>
          <w:rFonts w:hint="default" w:ascii="Times New Roman" w:hAnsi="Times New Roman" w:cs="Times New Roman"/>
          <w:i/>
          <w:iCs/>
          <w:sz w:val="24"/>
          <w:szCs w:val="24"/>
        </w:rPr>
        <w:t xml:space="preserve">https://www.hrtechnologist.com/articles/recruitment-onboarding/the-impact-of-technology-on-recruitment-how-to-improve-your-hiring-process/ </w:t>
      </w:r>
      <w:r>
        <w:rPr>
          <w:rFonts w:hint="default" w:ascii="Times New Roman" w:hAnsi="Times New Roman" w:cs="Times New Roman"/>
          <w:sz w:val="24"/>
          <w:szCs w:val="24"/>
        </w:rPr>
        <w:t>(Accessed: 11th November 2019).</w:t>
      </w:r>
    </w:p>
    <w:p>
      <w:pPr>
        <w:pageBreakBefore w:val="0"/>
        <w:numPr>
          <w:ilvl w:val="0"/>
          <w:numId w:val="2"/>
        </w:numPr>
        <w:kinsoku/>
        <w:wordWrap/>
        <w:overflowPunct/>
        <w:topLinePunct w:val="0"/>
        <w:autoSpaceDE/>
        <w:autoSpaceDN/>
        <w:bidi w:val="0"/>
        <w:adjustRightInd/>
        <w:snapToGrid/>
        <w:spacing w:line="360" w:lineRule="auto"/>
        <w:ind w:right="0" w:righ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WEF, 2016. </w:t>
      </w:r>
      <w:r>
        <w:rPr>
          <w:rFonts w:hint="default" w:ascii="Times New Roman" w:hAnsi="Times New Roman" w:cs="Times New Roman"/>
          <w:i/>
          <w:iCs/>
          <w:sz w:val="24"/>
          <w:szCs w:val="24"/>
        </w:rPr>
        <w:t>The Future of Jobs: Employment, Skills and the Workforce Strategy for the Fourth Industrial Revolution</w:t>
      </w:r>
      <w:r>
        <w:rPr>
          <w:rFonts w:hint="default" w:ascii="Times New Roman" w:hAnsi="Times New Roman" w:cs="Times New Roman"/>
          <w:sz w:val="24"/>
          <w:szCs w:val="24"/>
        </w:rPr>
        <w:t>. Geneva: WEF</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Wingdings">
    <w:panose1 w:val="05000000000000000000"/>
    <w:charset w:val="00"/>
    <w:family w:val="auto"/>
    <w:pitch w:val="default"/>
    <w:sig w:usb0="00000000" w:usb1="00000000" w:usb2="00000000" w:usb3="00000000" w:csb0="80000000" w:csb1="00000000"/>
  </w:font>
  <w:font w:name="凌慧体-简">
    <w:panose1 w:val="03050602040302020204"/>
    <w:charset w:val="86"/>
    <w:family w:val="auto"/>
    <w:pitch w:val="default"/>
    <w:sig w:usb0="A00002FF" w:usb1="7ACF7CFB" w:usb2="0000001E" w:usb3="00000000" w:csb0="00040001" w:csb1="00000000"/>
  </w:font>
  <w:font w:name="儷宋 Pro">
    <w:panose1 w:val="02020300000000000000"/>
    <w:charset w:val="88"/>
    <w:family w:val="auto"/>
    <w:pitch w:val="default"/>
    <w:sig w:usb0="80000001" w:usb1="28091800" w:usb2="00000016" w:usb3="00000000" w:csb0="00100000" w:csb1="00000000"/>
  </w:font>
  <w:font w:name="圆体-简">
    <w:panose1 w:val="02010600040101010101"/>
    <w:charset w:val="86"/>
    <w:family w:val="auto"/>
    <w:pitch w:val="default"/>
    <w:sig w:usb0="80000287" w:usb1="280F3C52" w:usb2="00000016" w:usb3="00000000" w:csb0="0004001F" w:csb1="00000000"/>
  </w:font>
  <w:font w:name="凌慧体-繁">
    <w:panose1 w:val="03050602040302020204"/>
    <w:charset w:val="86"/>
    <w:family w:val="auto"/>
    <w:pitch w:val="default"/>
    <w:sig w:usb0="A00002FF" w:usb1="7ACFFCFB" w:usb2="0000001E" w:usb3="00000000" w:csb0="20140183"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webkit-standard">
    <w:altName w:val="苹方-简"/>
    <w:panose1 w:val="00000000000000000000"/>
    <w:charset w:val="00"/>
    <w:family w:val="auto"/>
    <w:pitch w:val="default"/>
    <w:sig w:usb0="00000000" w:usb1="00000000" w:usb2="00000000" w:usb3="00000000" w:csb0="00000000" w:csb1="00000000"/>
  </w:font>
  <w:font w:name="Diwan Thuluth">
    <w:panose1 w:val="00000400000000000000"/>
    <w:charset w:val="00"/>
    <w:family w:val="auto"/>
    <w:pitch w:val="default"/>
    <w:sig w:usb0="00000003" w:usb1="00000000" w:usb2="00000000" w:usb3="00000000" w:csb0="00000001" w:csb1="00000000"/>
  </w:font>
  <w:font w:name="宋体-简">
    <w:panose1 w:val="02010800040101010101"/>
    <w:charset w:val="86"/>
    <w:family w:val="auto"/>
    <w:pitch w:val="default"/>
    <w:sig w:usb0="00000001" w:usb1="080F0000" w:usb2="00000000" w:usb3="00000000" w:csb0="00040000" w:csb1="00000000"/>
  </w:font>
  <w:font w:name="GB18030 Bitmap">
    <w:panose1 w:val="00000000000000000000"/>
    <w:charset w:val="00"/>
    <w:family w:val="auto"/>
    <w:pitch w:val="default"/>
    <w:sig w:usb0="00000000" w:usb1="00000000" w:usb2="00000000" w:usb3="00000000" w:csb0="00000000" w:csb1="00000000"/>
  </w:font>
  <w:font w:name="Waseem">
    <w:panose1 w:val="00000400000000000000"/>
    <w:charset w:val="00"/>
    <w:family w:val="auto"/>
    <w:pitch w:val="default"/>
    <w:sig w:usb0="00000000" w:usb1="00000000" w:usb2="00000000" w:usb3="00000000" w:csb0="00000040" w:csb1="20000000"/>
  </w:font>
  <w:font w:name="Arial">
    <w:panose1 w:val="020B0604020202090204"/>
    <w:charset w:val="00"/>
    <w:family w:val="auto"/>
    <w:pitch w:val="default"/>
    <w:sig w:usb0="E0000AFF" w:usb1="00007843" w:usb2="00000001" w:usb3="00000000" w:csb0="400001BF" w:csb1="DFF70000"/>
  </w:font>
  <w:font w:name="ReithSerif">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Rubik">
    <w:altName w:val="苹方-简"/>
    <w:panose1 w:val="00000000000000000000"/>
    <w:charset w:val="00"/>
    <w:family w:val="auto"/>
    <w:pitch w:val="default"/>
    <w:sig w:usb0="00000000" w:usb1="00000000" w:usb2="00000000" w:usb3="00000000" w:csb0="00000000" w:csb1="00000000"/>
  </w:font>
  <w:font w:name="Source Sans Pro">
    <w:altName w:val="苹方-简"/>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Verdana">
    <w:panose1 w:val="020B0604030504040204"/>
    <w:charset w:val="00"/>
    <w:family w:val="swiss"/>
    <w:pitch w:val="default"/>
    <w:sig w:usb0="A10006FF" w:usb1="4000205B" w:usb2="00000010" w:usb3="00000000" w:csb0="2000019F" w:csb1="00000000"/>
  </w:font>
  <w:font w:name="CG Times (WN)">
    <w:altName w:val="苹方-简"/>
    <w:panose1 w:val="00000000000000000000"/>
    <w:charset w:val="00"/>
    <w:family w:val="roman"/>
    <w:pitch w:val="default"/>
    <w:sig w:usb0="00000000" w:usb1="00000000" w:usb2="0000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roman"/>
    <w:pitch w:val="default"/>
    <w:sig w:usb0="00000000" w:usb1="00000000" w:usb2="00000010" w:usb3="00000000" w:csb0="00020000" w:csb1="00000000"/>
  </w:font>
  <w:font w:name="Hiragino Sans">
    <w:panose1 w:val="020B0300000000000000"/>
    <w:charset w:val="80"/>
    <w:family w:val="auto"/>
    <w:pitch w:val="default"/>
    <w:sig w:usb0="E00002FF" w:usb1="7AE7FFFF" w:usb2="00000012" w:usb3="00000000" w:csb0="0002000D" w:csb1="00000000"/>
  </w:font>
  <w:font w:name="圆体-繁">
    <w:panose1 w:val="02010600040101010101"/>
    <w:charset w:val="86"/>
    <w:family w:val="auto"/>
    <w:pitch w:val="default"/>
    <w:sig w:usb0="80000287" w:usb1="280F3C52" w:usb2="00000016" w:usb3="00000000" w:csb0="0004001F" w:csb1="00000000"/>
  </w:font>
  <w:font w:name="Tamil Sangam MN">
    <w:panose1 w:val="02000400000000000000"/>
    <w:charset w:val="00"/>
    <w:family w:val="auto"/>
    <w:pitch w:val="default"/>
    <w:sig w:usb0="801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BYAAABkcnMvUEsBAhQAFAAAAAgAh07iQLNJWO7Q&#10;AAAABQEAAA8AAAAAAAAAAQAgAAAAOAAAAGRycy9kb3ducmV2LnhtbFBLAQIUABQAAAAIAIdO4kBK&#10;283/EgIAABMEAAAOAAAAAAAAAAEAIAAAADUBAABkcnMvZTJvRG9jLnhtbFBLBQYAAAAABgAGAFkB&#10;AAC5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B13B1F"/>
    <w:multiLevelType w:val="multilevel"/>
    <w:tmpl w:val="07B13B1F"/>
    <w:lvl w:ilvl="0" w:tentative="0">
      <w:start w:val="1"/>
      <w:numFmt w:val="bullet"/>
      <w:lvlText w:val=""/>
      <w:lvlJc w:val="left"/>
      <w:pPr>
        <w:ind w:left="360" w:hanging="360"/>
      </w:pPr>
      <w:rPr>
        <w:rFonts w:hint="default" w:ascii="Symbol" w:hAnsi="Symbol"/>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1">
    <w:nsid w:val="5DC1383B"/>
    <w:multiLevelType w:val="singleLevel"/>
    <w:tmpl w:val="5DC1383B"/>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7DDB94B"/>
    <w:rsid w:val="08D8395D"/>
    <w:rsid w:val="0B49C026"/>
    <w:rsid w:val="0CFD2D1A"/>
    <w:rsid w:val="0D7EE14F"/>
    <w:rsid w:val="0DCD4571"/>
    <w:rsid w:val="0E74013C"/>
    <w:rsid w:val="0F3B841B"/>
    <w:rsid w:val="0FEB9A7F"/>
    <w:rsid w:val="1558E03E"/>
    <w:rsid w:val="15CD183C"/>
    <w:rsid w:val="174109D3"/>
    <w:rsid w:val="17ADA9F5"/>
    <w:rsid w:val="1B56E8C2"/>
    <w:rsid w:val="1B6BB07A"/>
    <w:rsid w:val="1BDF5D40"/>
    <w:rsid w:val="1BE79AD1"/>
    <w:rsid w:val="1BEE9F7A"/>
    <w:rsid w:val="1DD7A6CA"/>
    <w:rsid w:val="1EEED2C7"/>
    <w:rsid w:val="1EFF05C6"/>
    <w:rsid w:val="1F5F16BA"/>
    <w:rsid w:val="1F7EF4B7"/>
    <w:rsid w:val="1FEBE568"/>
    <w:rsid w:val="1FF9B95B"/>
    <w:rsid w:val="1FFDFA23"/>
    <w:rsid w:val="21FF1DFE"/>
    <w:rsid w:val="27BEBE1C"/>
    <w:rsid w:val="27FE7698"/>
    <w:rsid w:val="29FD68AC"/>
    <w:rsid w:val="2BDDC409"/>
    <w:rsid w:val="2BFEB50F"/>
    <w:rsid w:val="2D3BE522"/>
    <w:rsid w:val="2DF37B3A"/>
    <w:rsid w:val="2E5FA1F6"/>
    <w:rsid w:val="2EE5205A"/>
    <w:rsid w:val="2EFD0D1D"/>
    <w:rsid w:val="2EFF3BC9"/>
    <w:rsid w:val="2FA316C6"/>
    <w:rsid w:val="2FBE76D3"/>
    <w:rsid w:val="2FBEAAE7"/>
    <w:rsid w:val="2FDDCEC2"/>
    <w:rsid w:val="2FE7AA08"/>
    <w:rsid w:val="2FFF6C02"/>
    <w:rsid w:val="31ECDA1F"/>
    <w:rsid w:val="32F32E17"/>
    <w:rsid w:val="3377053D"/>
    <w:rsid w:val="35DFC636"/>
    <w:rsid w:val="35FDD73D"/>
    <w:rsid w:val="36B759EE"/>
    <w:rsid w:val="372B826A"/>
    <w:rsid w:val="37BBDD74"/>
    <w:rsid w:val="37BFAC36"/>
    <w:rsid w:val="37EB5D9E"/>
    <w:rsid w:val="3B7C8054"/>
    <w:rsid w:val="3B9E0AD5"/>
    <w:rsid w:val="3BDCB619"/>
    <w:rsid w:val="3BDDBEC7"/>
    <w:rsid w:val="3BDFFA52"/>
    <w:rsid w:val="3BE7D40B"/>
    <w:rsid w:val="3BFBCEED"/>
    <w:rsid w:val="3CDFFBDC"/>
    <w:rsid w:val="3CFEC550"/>
    <w:rsid w:val="3D635277"/>
    <w:rsid w:val="3DA76E66"/>
    <w:rsid w:val="3DBD0E3A"/>
    <w:rsid w:val="3E7E222B"/>
    <w:rsid w:val="3E7F558B"/>
    <w:rsid w:val="3ED91D18"/>
    <w:rsid w:val="3EEE9A1E"/>
    <w:rsid w:val="3F75AFAB"/>
    <w:rsid w:val="3F7D4D90"/>
    <w:rsid w:val="3F7F3370"/>
    <w:rsid w:val="3F8DF509"/>
    <w:rsid w:val="3FBFA636"/>
    <w:rsid w:val="3FCEEA44"/>
    <w:rsid w:val="3FEF5E6C"/>
    <w:rsid w:val="3FEF63B9"/>
    <w:rsid w:val="3FFF0623"/>
    <w:rsid w:val="45EABA69"/>
    <w:rsid w:val="45F749EB"/>
    <w:rsid w:val="469FB030"/>
    <w:rsid w:val="47DF8DFE"/>
    <w:rsid w:val="4B8F01E3"/>
    <w:rsid w:val="4BCF0D15"/>
    <w:rsid w:val="4BF323A4"/>
    <w:rsid w:val="4C7CFE47"/>
    <w:rsid w:val="4DFF28CA"/>
    <w:rsid w:val="4E5AD590"/>
    <w:rsid w:val="4EBF55CE"/>
    <w:rsid w:val="4F168BE7"/>
    <w:rsid w:val="4FBFFF74"/>
    <w:rsid w:val="4FEF2079"/>
    <w:rsid w:val="4FFADEF3"/>
    <w:rsid w:val="535D99D7"/>
    <w:rsid w:val="53EF92BF"/>
    <w:rsid w:val="55BF430E"/>
    <w:rsid w:val="56AF9EB4"/>
    <w:rsid w:val="56DF5B0A"/>
    <w:rsid w:val="56DFFCE0"/>
    <w:rsid w:val="56FEB662"/>
    <w:rsid w:val="56FFB5ED"/>
    <w:rsid w:val="575D7963"/>
    <w:rsid w:val="57EB94B2"/>
    <w:rsid w:val="57F6AEDC"/>
    <w:rsid w:val="59F60365"/>
    <w:rsid w:val="59FB24CE"/>
    <w:rsid w:val="5ADADB38"/>
    <w:rsid w:val="5B496D72"/>
    <w:rsid w:val="5B7F38FF"/>
    <w:rsid w:val="5BBB4431"/>
    <w:rsid w:val="5BEF6E83"/>
    <w:rsid w:val="5BFB68D3"/>
    <w:rsid w:val="5BFD82E8"/>
    <w:rsid w:val="5CEBE932"/>
    <w:rsid w:val="5CEF8F13"/>
    <w:rsid w:val="5DEEF7B0"/>
    <w:rsid w:val="5DFFC186"/>
    <w:rsid w:val="5EEED7B7"/>
    <w:rsid w:val="5EFC30B3"/>
    <w:rsid w:val="5F0BAD15"/>
    <w:rsid w:val="5F0F062B"/>
    <w:rsid w:val="5F362A5D"/>
    <w:rsid w:val="5F535F69"/>
    <w:rsid w:val="5F592619"/>
    <w:rsid w:val="5F6F9919"/>
    <w:rsid w:val="5F6FE691"/>
    <w:rsid w:val="5F779C9A"/>
    <w:rsid w:val="5F7B91FB"/>
    <w:rsid w:val="5F7F7A41"/>
    <w:rsid w:val="5F9FF7E3"/>
    <w:rsid w:val="5FAF284D"/>
    <w:rsid w:val="5FBC1491"/>
    <w:rsid w:val="5FC9F93A"/>
    <w:rsid w:val="5FCF2A49"/>
    <w:rsid w:val="5FCFFFC5"/>
    <w:rsid w:val="5FD74A7C"/>
    <w:rsid w:val="5FEB749E"/>
    <w:rsid w:val="5FEB80A9"/>
    <w:rsid w:val="5FF51E15"/>
    <w:rsid w:val="5FF99DB7"/>
    <w:rsid w:val="5FFC12F8"/>
    <w:rsid w:val="5FFE836F"/>
    <w:rsid w:val="5FFF5D28"/>
    <w:rsid w:val="5FFF770E"/>
    <w:rsid w:val="5FFF91D9"/>
    <w:rsid w:val="60D68D6D"/>
    <w:rsid w:val="61E77ABD"/>
    <w:rsid w:val="626C7E6A"/>
    <w:rsid w:val="62BF5976"/>
    <w:rsid w:val="637715AC"/>
    <w:rsid w:val="639B8DD8"/>
    <w:rsid w:val="63ADFBEB"/>
    <w:rsid w:val="63B43ADC"/>
    <w:rsid w:val="63FBBF9F"/>
    <w:rsid w:val="658F8D82"/>
    <w:rsid w:val="65DF5934"/>
    <w:rsid w:val="66DF12DF"/>
    <w:rsid w:val="674FE45B"/>
    <w:rsid w:val="676B60AE"/>
    <w:rsid w:val="67F31BE3"/>
    <w:rsid w:val="67FD88B6"/>
    <w:rsid w:val="697FFAB0"/>
    <w:rsid w:val="69B4323D"/>
    <w:rsid w:val="69BA3CF2"/>
    <w:rsid w:val="6A5ECDB9"/>
    <w:rsid w:val="6A9F1AF2"/>
    <w:rsid w:val="6B71F2E2"/>
    <w:rsid w:val="6BB22B9F"/>
    <w:rsid w:val="6BB7AFC0"/>
    <w:rsid w:val="6BD5961F"/>
    <w:rsid w:val="6BEF4A62"/>
    <w:rsid w:val="6BFE0D36"/>
    <w:rsid w:val="6BFF611F"/>
    <w:rsid w:val="6C7CBE04"/>
    <w:rsid w:val="6CF4B7E1"/>
    <w:rsid w:val="6D1FDFC2"/>
    <w:rsid w:val="6D5BCAF4"/>
    <w:rsid w:val="6D7FFD57"/>
    <w:rsid w:val="6DB92947"/>
    <w:rsid w:val="6DDB0A19"/>
    <w:rsid w:val="6DDEBE7E"/>
    <w:rsid w:val="6DEFCED5"/>
    <w:rsid w:val="6DF72DF9"/>
    <w:rsid w:val="6DFD5012"/>
    <w:rsid w:val="6DFFDE5C"/>
    <w:rsid w:val="6E762289"/>
    <w:rsid w:val="6EF787E6"/>
    <w:rsid w:val="6EFD2F58"/>
    <w:rsid w:val="6EFFD06C"/>
    <w:rsid w:val="6F271E80"/>
    <w:rsid w:val="6F5BE6CA"/>
    <w:rsid w:val="6F5E241F"/>
    <w:rsid w:val="6F6A1550"/>
    <w:rsid w:val="6F7D1105"/>
    <w:rsid w:val="6F7ED7F6"/>
    <w:rsid w:val="6F9F4DB8"/>
    <w:rsid w:val="6FABDF31"/>
    <w:rsid w:val="6FB7710D"/>
    <w:rsid w:val="6FBB1740"/>
    <w:rsid w:val="6FBF2F68"/>
    <w:rsid w:val="6FBFA7C4"/>
    <w:rsid w:val="6FDF3342"/>
    <w:rsid w:val="6FEF6335"/>
    <w:rsid w:val="6FEF7D63"/>
    <w:rsid w:val="6FEFA2D4"/>
    <w:rsid w:val="6FF3726B"/>
    <w:rsid w:val="6FFA72F0"/>
    <w:rsid w:val="6FFE5B6F"/>
    <w:rsid w:val="6FFE74FE"/>
    <w:rsid w:val="6FFF1206"/>
    <w:rsid w:val="6FFFB3E4"/>
    <w:rsid w:val="6FFFFD75"/>
    <w:rsid w:val="70CF1EFF"/>
    <w:rsid w:val="739ADC16"/>
    <w:rsid w:val="73DD3CA8"/>
    <w:rsid w:val="73FBC33B"/>
    <w:rsid w:val="74B7F326"/>
    <w:rsid w:val="756FFBE8"/>
    <w:rsid w:val="75BDEF9E"/>
    <w:rsid w:val="75E8BB66"/>
    <w:rsid w:val="75F7AD91"/>
    <w:rsid w:val="75FD2DF1"/>
    <w:rsid w:val="75FF51FB"/>
    <w:rsid w:val="75FFA987"/>
    <w:rsid w:val="76741474"/>
    <w:rsid w:val="767F7A2A"/>
    <w:rsid w:val="76EF7177"/>
    <w:rsid w:val="76F646A6"/>
    <w:rsid w:val="772472EE"/>
    <w:rsid w:val="776AD46C"/>
    <w:rsid w:val="77754095"/>
    <w:rsid w:val="7777C32A"/>
    <w:rsid w:val="777F0B4E"/>
    <w:rsid w:val="77BBCF8E"/>
    <w:rsid w:val="77BDBDFA"/>
    <w:rsid w:val="77D2CCB8"/>
    <w:rsid w:val="77DFF74B"/>
    <w:rsid w:val="77EE6CB3"/>
    <w:rsid w:val="77F47DA5"/>
    <w:rsid w:val="77F50C18"/>
    <w:rsid w:val="77F53D9C"/>
    <w:rsid w:val="77F7721F"/>
    <w:rsid w:val="77FEBF26"/>
    <w:rsid w:val="77FF01B0"/>
    <w:rsid w:val="77FF4F87"/>
    <w:rsid w:val="77FFE5A4"/>
    <w:rsid w:val="78451312"/>
    <w:rsid w:val="797F3199"/>
    <w:rsid w:val="79D5C343"/>
    <w:rsid w:val="79FBB84F"/>
    <w:rsid w:val="79FFACF6"/>
    <w:rsid w:val="7A14A9E5"/>
    <w:rsid w:val="7A6FB9C8"/>
    <w:rsid w:val="7A7576BC"/>
    <w:rsid w:val="7A7B199A"/>
    <w:rsid w:val="7AF3D355"/>
    <w:rsid w:val="7AF5F3A3"/>
    <w:rsid w:val="7AF75E4E"/>
    <w:rsid w:val="7AFDE010"/>
    <w:rsid w:val="7B658451"/>
    <w:rsid w:val="7B7B31A0"/>
    <w:rsid w:val="7B7F38CE"/>
    <w:rsid w:val="7B7F74CC"/>
    <w:rsid w:val="7B8A8877"/>
    <w:rsid w:val="7B8D4515"/>
    <w:rsid w:val="7BB995E7"/>
    <w:rsid w:val="7BBBE62B"/>
    <w:rsid w:val="7BBD7952"/>
    <w:rsid w:val="7BC8004B"/>
    <w:rsid w:val="7BCC952E"/>
    <w:rsid w:val="7BEBCC5F"/>
    <w:rsid w:val="7BEF2894"/>
    <w:rsid w:val="7BF709B7"/>
    <w:rsid w:val="7BF7CA6F"/>
    <w:rsid w:val="7BFB2020"/>
    <w:rsid w:val="7BFB3890"/>
    <w:rsid w:val="7BFFA17D"/>
    <w:rsid w:val="7BFFE1A2"/>
    <w:rsid w:val="7CC48B7B"/>
    <w:rsid w:val="7CD98E2A"/>
    <w:rsid w:val="7D1F8335"/>
    <w:rsid w:val="7D27268D"/>
    <w:rsid w:val="7D3426C9"/>
    <w:rsid w:val="7D37F931"/>
    <w:rsid w:val="7D6ECCBF"/>
    <w:rsid w:val="7D7DA1DB"/>
    <w:rsid w:val="7D7FEA1A"/>
    <w:rsid w:val="7D9D9EDF"/>
    <w:rsid w:val="7DDFE64F"/>
    <w:rsid w:val="7DE56577"/>
    <w:rsid w:val="7DEB2A84"/>
    <w:rsid w:val="7DED04D1"/>
    <w:rsid w:val="7DEFE72C"/>
    <w:rsid w:val="7DF74E31"/>
    <w:rsid w:val="7DFB0598"/>
    <w:rsid w:val="7DFBD2C4"/>
    <w:rsid w:val="7DFC01D5"/>
    <w:rsid w:val="7DFDAEA5"/>
    <w:rsid w:val="7DFFB301"/>
    <w:rsid w:val="7DFFEC99"/>
    <w:rsid w:val="7E6F6F35"/>
    <w:rsid w:val="7E7A6ADA"/>
    <w:rsid w:val="7EBB11F2"/>
    <w:rsid w:val="7EDE79D3"/>
    <w:rsid w:val="7EE506DB"/>
    <w:rsid w:val="7EE72A1F"/>
    <w:rsid w:val="7EED79D4"/>
    <w:rsid w:val="7EF7B015"/>
    <w:rsid w:val="7EFB6A5A"/>
    <w:rsid w:val="7EFC1E0D"/>
    <w:rsid w:val="7EFE0816"/>
    <w:rsid w:val="7EFE3E5C"/>
    <w:rsid w:val="7EFF62E4"/>
    <w:rsid w:val="7F07F980"/>
    <w:rsid w:val="7F0DFC84"/>
    <w:rsid w:val="7F1DB07F"/>
    <w:rsid w:val="7F35317D"/>
    <w:rsid w:val="7F3AAAFD"/>
    <w:rsid w:val="7F43E810"/>
    <w:rsid w:val="7F5A7A86"/>
    <w:rsid w:val="7F634964"/>
    <w:rsid w:val="7F731D62"/>
    <w:rsid w:val="7F7419F0"/>
    <w:rsid w:val="7F77C4C0"/>
    <w:rsid w:val="7F77DFA7"/>
    <w:rsid w:val="7F79CCA9"/>
    <w:rsid w:val="7F7B9E0D"/>
    <w:rsid w:val="7F7D28E1"/>
    <w:rsid w:val="7F7FF433"/>
    <w:rsid w:val="7F8FADD3"/>
    <w:rsid w:val="7FAE4BAD"/>
    <w:rsid w:val="7FB77B80"/>
    <w:rsid w:val="7FBFC933"/>
    <w:rsid w:val="7FBFDF0F"/>
    <w:rsid w:val="7FBFE655"/>
    <w:rsid w:val="7FC1264C"/>
    <w:rsid w:val="7FCD18E3"/>
    <w:rsid w:val="7FCE237B"/>
    <w:rsid w:val="7FD5EC6B"/>
    <w:rsid w:val="7FD69B17"/>
    <w:rsid w:val="7FDE2BC4"/>
    <w:rsid w:val="7FDF2C6C"/>
    <w:rsid w:val="7FDF87BE"/>
    <w:rsid w:val="7FDFB373"/>
    <w:rsid w:val="7FE59842"/>
    <w:rsid w:val="7FE75F7E"/>
    <w:rsid w:val="7FEA9DFF"/>
    <w:rsid w:val="7FEB4DD6"/>
    <w:rsid w:val="7FEE4F5B"/>
    <w:rsid w:val="7FF17B18"/>
    <w:rsid w:val="7FF1826E"/>
    <w:rsid w:val="7FF32298"/>
    <w:rsid w:val="7FF5A670"/>
    <w:rsid w:val="7FF7EEED"/>
    <w:rsid w:val="7FFD3F6E"/>
    <w:rsid w:val="7FFD5DE0"/>
    <w:rsid w:val="7FFEF511"/>
    <w:rsid w:val="7FFF0ED7"/>
    <w:rsid w:val="7FFF2367"/>
    <w:rsid w:val="7FFF2CAA"/>
    <w:rsid w:val="7FFFB4D9"/>
    <w:rsid w:val="7FFFC1D0"/>
    <w:rsid w:val="83FFA8DA"/>
    <w:rsid w:val="8BEDC053"/>
    <w:rsid w:val="8BFA5A51"/>
    <w:rsid w:val="8E9BEF39"/>
    <w:rsid w:val="8F794577"/>
    <w:rsid w:val="8FF61F28"/>
    <w:rsid w:val="93FE50EF"/>
    <w:rsid w:val="97EFF5BE"/>
    <w:rsid w:val="9BBFB179"/>
    <w:rsid w:val="9D3D823D"/>
    <w:rsid w:val="9D5BE6C1"/>
    <w:rsid w:val="9DE35AA7"/>
    <w:rsid w:val="9DFE7872"/>
    <w:rsid w:val="9EF72829"/>
    <w:rsid w:val="9FC5914A"/>
    <w:rsid w:val="9FF38813"/>
    <w:rsid w:val="9FF7256B"/>
    <w:rsid w:val="A3E334B2"/>
    <w:rsid w:val="A3FEC9F3"/>
    <w:rsid w:val="A6BAD003"/>
    <w:rsid w:val="A7676202"/>
    <w:rsid w:val="A7773FC5"/>
    <w:rsid w:val="A7E65160"/>
    <w:rsid w:val="A7F35808"/>
    <w:rsid w:val="A8D53309"/>
    <w:rsid w:val="A8FF3FC1"/>
    <w:rsid w:val="A9DFC9EC"/>
    <w:rsid w:val="AA7BDF00"/>
    <w:rsid w:val="AB9F0BD4"/>
    <w:rsid w:val="ADBE1333"/>
    <w:rsid w:val="AEBFD64A"/>
    <w:rsid w:val="AEFB2E68"/>
    <w:rsid w:val="AF7F9DB8"/>
    <w:rsid w:val="AFE7252C"/>
    <w:rsid w:val="AFFC4104"/>
    <w:rsid w:val="B0DF45B6"/>
    <w:rsid w:val="B23804A3"/>
    <w:rsid w:val="B2B55AE9"/>
    <w:rsid w:val="B3BA9F1E"/>
    <w:rsid w:val="B3DDDF43"/>
    <w:rsid w:val="B3FED5D9"/>
    <w:rsid w:val="B4953833"/>
    <w:rsid w:val="B5FFF7E4"/>
    <w:rsid w:val="B69FF45B"/>
    <w:rsid w:val="B7377553"/>
    <w:rsid w:val="B7DF38D3"/>
    <w:rsid w:val="B7EEA620"/>
    <w:rsid w:val="B8EF895A"/>
    <w:rsid w:val="BB77089A"/>
    <w:rsid w:val="BBBC4550"/>
    <w:rsid w:val="BBEFC696"/>
    <w:rsid w:val="BBFFBE83"/>
    <w:rsid w:val="BC7FDA9D"/>
    <w:rsid w:val="BCB7D109"/>
    <w:rsid w:val="BCB87ACF"/>
    <w:rsid w:val="BCBBC783"/>
    <w:rsid w:val="BCFF8008"/>
    <w:rsid w:val="BD252AE3"/>
    <w:rsid w:val="BDED5158"/>
    <w:rsid w:val="BDFBCDCA"/>
    <w:rsid w:val="BEBC0360"/>
    <w:rsid w:val="BEDF7341"/>
    <w:rsid w:val="BEEE172D"/>
    <w:rsid w:val="BEF76440"/>
    <w:rsid w:val="BEF8733D"/>
    <w:rsid w:val="BEFFD216"/>
    <w:rsid w:val="BEFFFA31"/>
    <w:rsid w:val="BF3C9C0F"/>
    <w:rsid w:val="BF7EBEED"/>
    <w:rsid w:val="BFAFDB35"/>
    <w:rsid w:val="BFBD5986"/>
    <w:rsid w:val="BFCE37CD"/>
    <w:rsid w:val="BFDFE329"/>
    <w:rsid w:val="BFEEC9EB"/>
    <w:rsid w:val="BFEF5D71"/>
    <w:rsid w:val="BFF23619"/>
    <w:rsid w:val="BFF64D48"/>
    <w:rsid w:val="BFFB86B8"/>
    <w:rsid w:val="BFFD6E5D"/>
    <w:rsid w:val="BFFF2AA5"/>
    <w:rsid w:val="C2BEA43D"/>
    <w:rsid w:val="C37BF85D"/>
    <w:rsid w:val="C6B110A5"/>
    <w:rsid w:val="C6DB8CB9"/>
    <w:rsid w:val="C7BD0051"/>
    <w:rsid w:val="C7EB0FAB"/>
    <w:rsid w:val="C7FAFE45"/>
    <w:rsid w:val="C9E51F15"/>
    <w:rsid w:val="CB7B8A3C"/>
    <w:rsid w:val="CC6E3081"/>
    <w:rsid w:val="CC7D1716"/>
    <w:rsid w:val="CCFFCA04"/>
    <w:rsid w:val="CE3F7984"/>
    <w:rsid w:val="CEFE82AB"/>
    <w:rsid w:val="CF7F53E7"/>
    <w:rsid w:val="CFB69A30"/>
    <w:rsid w:val="CFE7DB65"/>
    <w:rsid w:val="CFF90EE8"/>
    <w:rsid w:val="CFFB7AB8"/>
    <w:rsid w:val="CFFD3912"/>
    <w:rsid w:val="CFFF51A7"/>
    <w:rsid w:val="CFFF7710"/>
    <w:rsid w:val="CFFFD179"/>
    <w:rsid w:val="D1FDFFA9"/>
    <w:rsid w:val="D35BBE61"/>
    <w:rsid w:val="D3BC412B"/>
    <w:rsid w:val="D3EFB00F"/>
    <w:rsid w:val="D3F7976A"/>
    <w:rsid w:val="D4F5EAC6"/>
    <w:rsid w:val="D6D5431E"/>
    <w:rsid w:val="D6EF4071"/>
    <w:rsid w:val="D7B71268"/>
    <w:rsid w:val="D7EDED27"/>
    <w:rsid w:val="D7FFE1B6"/>
    <w:rsid w:val="D87CA7D2"/>
    <w:rsid w:val="D9EAF236"/>
    <w:rsid w:val="DB561367"/>
    <w:rsid w:val="DB5AE6DC"/>
    <w:rsid w:val="DB7D9291"/>
    <w:rsid w:val="DBADC534"/>
    <w:rsid w:val="DBAF9147"/>
    <w:rsid w:val="DBDBEEB4"/>
    <w:rsid w:val="DBDD72D0"/>
    <w:rsid w:val="DBE5753C"/>
    <w:rsid w:val="DBEB36FE"/>
    <w:rsid w:val="DC9F6A7B"/>
    <w:rsid w:val="DD1EBBCE"/>
    <w:rsid w:val="DD6E1D84"/>
    <w:rsid w:val="DD7B07F5"/>
    <w:rsid w:val="DDBEED80"/>
    <w:rsid w:val="DDBF7EEC"/>
    <w:rsid w:val="DDEFDB2E"/>
    <w:rsid w:val="DDFFC014"/>
    <w:rsid w:val="DE7F64AA"/>
    <w:rsid w:val="DEAF849A"/>
    <w:rsid w:val="DEBD048D"/>
    <w:rsid w:val="DEBD674F"/>
    <w:rsid w:val="DEDF8C2C"/>
    <w:rsid w:val="DEED259E"/>
    <w:rsid w:val="DEF3D010"/>
    <w:rsid w:val="DEF53625"/>
    <w:rsid w:val="DEFF2EE5"/>
    <w:rsid w:val="DF4F7B60"/>
    <w:rsid w:val="DF6DF2CD"/>
    <w:rsid w:val="DF7D514A"/>
    <w:rsid w:val="DF7E7945"/>
    <w:rsid w:val="DF9D73CC"/>
    <w:rsid w:val="DFADFFD0"/>
    <w:rsid w:val="DFB6A9BD"/>
    <w:rsid w:val="DFBA0B31"/>
    <w:rsid w:val="DFBE51D5"/>
    <w:rsid w:val="DFDA350C"/>
    <w:rsid w:val="DFDDA186"/>
    <w:rsid w:val="DFDFE404"/>
    <w:rsid w:val="DFE329C7"/>
    <w:rsid w:val="DFEF67E0"/>
    <w:rsid w:val="DFF4BFA0"/>
    <w:rsid w:val="DFF5A717"/>
    <w:rsid w:val="DFFDC7B2"/>
    <w:rsid w:val="E36FAEF2"/>
    <w:rsid w:val="E4EF6259"/>
    <w:rsid w:val="E4EF8D97"/>
    <w:rsid w:val="E5EF80EA"/>
    <w:rsid w:val="E5FEA1B5"/>
    <w:rsid w:val="E6DB15AB"/>
    <w:rsid w:val="E6DBB8C6"/>
    <w:rsid w:val="E6EFA448"/>
    <w:rsid w:val="E737817B"/>
    <w:rsid w:val="E76C2F65"/>
    <w:rsid w:val="E7BFA8CE"/>
    <w:rsid w:val="E7E3BF72"/>
    <w:rsid w:val="E7E59B49"/>
    <w:rsid w:val="E7F7399E"/>
    <w:rsid w:val="E8DEC751"/>
    <w:rsid w:val="E8F36608"/>
    <w:rsid w:val="E9AB4E0B"/>
    <w:rsid w:val="E9FFA77F"/>
    <w:rsid w:val="EABBE770"/>
    <w:rsid w:val="EAFFFF38"/>
    <w:rsid w:val="EB6CB0BE"/>
    <w:rsid w:val="EBBD29CB"/>
    <w:rsid w:val="EBBD84F8"/>
    <w:rsid w:val="EBFE5C31"/>
    <w:rsid w:val="EC9CB1FB"/>
    <w:rsid w:val="ED6F08E3"/>
    <w:rsid w:val="EDED6A54"/>
    <w:rsid w:val="EDF1C828"/>
    <w:rsid w:val="EDFB1F37"/>
    <w:rsid w:val="EDFFBAFF"/>
    <w:rsid w:val="EE36CE20"/>
    <w:rsid w:val="EE6D7C5C"/>
    <w:rsid w:val="EE9AE126"/>
    <w:rsid w:val="EEF9C69D"/>
    <w:rsid w:val="EEFAF46C"/>
    <w:rsid w:val="EEFE9299"/>
    <w:rsid w:val="EF0B8EB4"/>
    <w:rsid w:val="EF2F3A50"/>
    <w:rsid w:val="EF5B3505"/>
    <w:rsid w:val="EF7F1765"/>
    <w:rsid w:val="EF7F5B86"/>
    <w:rsid w:val="EF9C77BE"/>
    <w:rsid w:val="EFAD40A6"/>
    <w:rsid w:val="EFBF7D46"/>
    <w:rsid w:val="EFC7C056"/>
    <w:rsid w:val="EFCF3620"/>
    <w:rsid w:val="EFCFA023"/>
    <w:rsid w:val="EFD73ECF"/>
    <w:rsid w:val="EFE5FD02"/>
    <w:rsid w:val="EFEE92E4"/>
    <w:rsid w:val="EFF29E8B"/>
    <w:rsid w:val="EFFE5C77"/>
    <w:rsid w:val="EFFF4138"/>
    <w:rsid w:val="EFFFBFEB"/>
    <w:rsid w:val="F0AF22F8"/>
    <w:rsid w:val="F14AE9FC"/>
    <w:rsid w:val="F1592782"/>
    <w:rsid w:val="F165ADDD"/>
    <w:rsid w:val="F37F0C1E"/>
    <w:rsid w:val="F387F64B"/>
    <w:rsid w:val="F3BDA126"/>
    <w:rsid w:val="F3BFD3D3"/>
    <w:rsid w:val="F3D663C3"/>
    <w:rsid w:val="F3FD52E6"/>
    <w:rsid w:val="F3FFCE3F"/>
    <w:rsid w:val="F3FFEF0F"/>
    <w:rsid w:val="F4A6DC3E"/>
    <w:rsid w:val="F55B4D8E"/>
    <w:rsid w:val="F57E2DDE"/>
    <w:rsid w:val="F5AAA014"/>
    <w:rsid w:val="F5AB23EC"/>
    <w:rsid w:val="F5B73C8F"/>
    <w:rsid w:val="F5BDE607"/>
    <w:rsid w:val="F5BFAB81"/>
    <w:rsid w:val="F5D3B01F"/>
    <w:rsid w:val="F5EB0488"/>
    <w:rsid w:val="F5F51950"/>
    <w:rsid w:val="F698C08A"/>
    <w:rsid w:val="F6A79798"/>
    <w:rsid w:val="F6BFA7EC"/>
    <w:rsid w:val="F6C98239"/>
    <w:rsid w:val="F6D7EA61"/>
    <w:rsid w:val="F6FBFF14"/>
    <w:rsid w:val="F6FF4526"/>
    <w:rsid w:val="F6FF70BE"/>
    <w:rsid w:val="F75CE78D"/>
    <w:rsid w:val="F79F4747"/>
    <w:rsid w:val="F7CD7F78"/>
    <w:rsid w:val="F7CD8F54"/>
    <w:rsid w:val="F7CFD513"/>
    <w:rsid w:val="F7D7D35A"/>
    <w:rsid w:val="F7DD5F50"/>
    <w:rsid w:val="F7DDB94B"/>
    <w:rsid w:val="F7EB4304"/>
    <w:rsid w:val="F7EF5A3D"/>
    <w:rsid w:val="F7EFA755"/>
    <w:rsid w:val="F7FC6703"/>
    <w:rsid w:val="F7FE2185"/>
    <w:rsid w:val="F7FF2D6A"/>
    <w:rsid w:val="F7FF99A4"/>
    <w:rsid w:val="F969AC63"/>
    <w:rsid w:val="F96F1579"/>
    <w:rsid w:val="F9D3C6B9"/>
    <w:rsid w:val="F9F6525B"/>
    <w:rsid w:val="F9FF2479"/>
    <w:rsid w:val="FA3A034D"/>
    <w:rsid w:val="FABB557A"/>
    <w:rsid w:val="FADF357C"/>
    <w:rsid w:val="FADFC338"/>
    <w:rsid w:val="FAEF735D"/>
    <w:rsid w:val="FAF78062"/>
    <w:rsid w:val="FAFD84FF"/>
    <w:rsid w:val="FAFDBFAF"/>
    <w:rsid w:val="FAFE7B9D"/>
    <w:rsid w:val="FB3D1AEC"/>
    <w:rsid w:val="FB57639B"/>
    <w:rsid w:val="FB6E2753"/>
    <w:rsid w:val="FB736A1A"/>
    <w:rsid w:val="FB8EE151"/>
    <w:rsid w:val="FB9D6B74"/>
    <w:rsid w:val="FB9F3BC4"/>
    <w:rsid w:val="FBB26B4C"/>
    <w:rsid w:val="FBBB22C2"/>
    <w:rsid w:val="FBDE7476"/>
    <w:rsid w:val="FBED7D9C"/>
    <w:rsid w:val="FBF84758"/>
    <w:rsid w:val="FBFDEFDC"/>
    <w:rsid w:val="FBFE3B05"/>
    <w:rsid w:val="FC0B32BB"/>
    <w:rsid w:val="FCD3A992"/>
    <w:rsid w:val="FCE1B73B"/>
    <w:rsid w:val="FCE3AA5C"/>
    <w:rsid w:val="FD5A71E6"/>
    <w:rsid w:val="FDBFCBF2"/>
    <w:rsid w:val="FDCF2B55"/>
    <w:rsid w:val="FDEE723C"/>
    <w:rsid w:val="FDF19171"/>
    <w:rsid w:val="FDF39D50"/>
    <w:rsid w:val="FDF3D2F1"/>
    <w:rsid w:val="FDF4414A"/>
    <w:rsid w:val="FDFB67C1"/>
    <w:rsid w:val="FDFD03AF"/>
    <w:rsid w:val="FDFF2369"/>
    <w:rsid w:val="FDFF67CC"/>
    <w:rsid w:val="FDFF7C36"/>
    <w:rsid w:val="FDFFA353"/>
    <w:rsid w:val="FE3FF355"/>
    <w:rsid w:val="FE7F682A"/>
    <w:rsid w:val="FE7FDCB5"/>
    <w:rsid w:val="FE9B31AD"/>
    <w:rsid w:val="FEA79171"/>
    <w:rsid w:val="FEEFDFEB"/>
    <w:rsid w:val="FEEFEF48"/>
    <w:rsid w:val="FEEFF615"/>
    <w:rsid w:val="FEFD448E"/>
    <w:rsid w:val="FEFE77EA"/>
    <w:rsid w:val="FF194158"/>
    <w:rsid w:val="FF1F5858"/>
    <w:rsid w:val="FF34DAB8"/>
    <w:rsid w:val="FF3CD64E"/>
    <w:rsid w:val="FF3F36E8"/>
    <w:rsid w:val="FF6F7012"/>
    <w:rsid w:val="FF7BB502"/>
    <w:rsid w:val="FF7E3933"/>
    <w:rsid w:val="FF7EEC51"/>
    <w:rsid w:val="FF7F666E"/>
    <w:rsid w:val="FF7F9B9D"/>
    <w:rsid w:val="FF7FF584"/>
    <w:rsid w:val="FF9FFC44"/>
    <w:rsid w:val="FFABF6EA"/>
    <w:rsid w:val="FFAF50CD"/>
    <w:rsid w:val="FFB10812"/>
    <w:rsid w:val="FFBB682E"/>
    <w:rsid w:val="FFBE3A79"/>
    <w:rsid w:val="FFBE82FC"/>
    <w:rsid w:val="FFBF056A"/>
    <w:rsid w:val="FFC346C8"/>
    <w:rsid w:val="FFC598EF"/>
    <w:rsid w:val="FFC7E9E2"/>
    <w:rsid w:val="FFD930BD"/>
    <w:rsid w:val="FFDFE433"/>
    <w:rsid w:val="FFEBAC7B"/>
    <w:rsid w:val="FFEF4B71"/>
    <w:rsid w:val="FFF23759"/>
    <w:rsid w:val="FFF37CCF"/>
    <w:rsid w:val="FFF595C8"/>
    <w:rsid w:val="FFF6B32E"/>
    <w:rsid w:val="FFF7211C"/>
    <w:rsid w:val="FFF79945"/>
    <w:rsid w:val="FFF7EC1D"/>
    <w:rsid w:val="FFFA20A3"/>
    <w:rsid w:val="FFFBC26E"/>
    <w:rsid w:val="FFFBE45A"/>
    <w:rsid w:val="FFFE0B60"/>
    <w:rsid w:val="FFFF0791"/>
    <w:rsid w:val="FFFF3EF2"/>
    <w:rsid w:val="FFFF55F1"/>
    <w:rsid w:val="FFFFCB1B"/>
    <w:rsid w:val="FFFFF2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spacing w:before="120" w:after="120"/>
      <w:jc w:val="center"/>
      <w:outlineLvl w:val="3"/>
    </w:pPr>
    <w:rPr>
      <w:sz w:val="40"/>
    </w:rPr>
  </w:style>
  <w:style w:type="character" w:default="1" w:styleId="11">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6">
    <w:name w:val="toc 3"/>
    <w:basedOn w:val="1"/>
    <w:next w:val="1"/>
    <w:qFormat/>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table" w:styleId="13">
    <w:name w:val="Table Grid"/>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4">
    <w:name w:val="WPSOffice手动目录 1"/>
    <w:qFormat/>
    <w:uiPriority w:val="0"/>
    <w:pPr>
      <w:ind w:leftChars="0"/>
    </w:pPr>
    <w:rPr>
      <w:rFonts w:asciiTheme="minorHAnsi" w:hAnsiTheme="minorHAnsi" w:eastAsiaTheme="minorEastAsia" w:cstheme="minorBidi"/>
      <w:sz w:val="20"/>
      <w:szCs w:val="20"/>
    </w:rPr>
  </w:style>
  <w:style w:type="paragraph" w:customStyle="1" w:styleId="15">
    <w:name w:val="Style1"/>
    <w:basedOn w:val="1"/>
    <w:uiPriority w:val="0"/>
    <w:pPr>
      <w:overflowPunct w:val="0"/>
      <w:autoSpaceDE w:val="0"/>
      <w:autoSpaceDN w:val="0"/>
      <w:adjustRightInd w:val="0"/>
      <w:textAlignment w:val="baseline"/>
    </w:pPr>
    <w:rPr>
      <w:rFonts w:ascii="Arial" w:hAnsi="Arial"/>
      <w:sz w:val="24"/>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Office_1.7.0.2619_F1E327BC-269C-435d-A152-05C5408002CA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2019-10-30T05:23:00Z</dcterms:created>
  <dc:creator>pin</dc:creator>
  <cp:lastModifiedBy>pin</cp:lastModifiedBy>
  <dcterms:modified xsi:type="dcterms:W3CDTF">2019-11-15T14:15:42Z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2052-1.7.0.2619</vt:lpwstr>
  </property>
</Properties>
</file>