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E13B14" w:rsidR="00613B1F" w:rsidP="54B3E25C" w:rsidRDefault="00E13B14" w14:paraId="0FC54B3F" w14:noSpellErr="1" w14:textId="1FADD813">
      <w:pPr>
        <w:pStyle w:val="paragraph"/>
        <w:spacing w:line="480" w:lineRule="auto"/>
        <w:contextualSpacing/>
        <w:rPr>
          <w:rStyle w:val="normaltextrun"/>
          <w:rFonts w:ascii="Times New Roman" w:hAnsi="Times New Roman" w:eastAsia="Times New Roman" w:cs="Times New Roman"/>
          <w:b w:val="1"/>
          <w:bCs w:val="1"/>
          <w:sz w:val="24"/>
          <w:szCs w:val="24"/>
        </w:rPr>
      </w:pPr>
      <w:r w:rsidRPr="54B3E25C" w:rsidR="54B3E25C">
        <w:rPr>
          <w:rStyle w:val="normaltextrun"/>
          <w:rFonts w:ascii="Times New Roman" w:hAnsi="Times New Roman" w:eastAsia="Times New Roman" w:cs="Times New Roman"/>
          <w:b w:val="1"/>
          <w:bCs w:val="1"/>
          <w:sz w:val="24"/>
          <w:szCs w:val="24"/>
        </w:rPr>
        <w:t>Critically discuss the importance of Charles Taylor’s theory of Recognition as it applies to working with people who define themselves as gender and sexually diverse</w:t>
      </w:r>
      <w:r w:rsidRPr="54B3E25C" w:rsidR="54B3E25C">
        <w:rPr>
          <w:rStyle w:val="normaltextrun"/>
          <w:rFonts w:ascii="Times New Roman" w:hAnsi="Times New Roman" w:eastAsia="Times New Roman" w:cs="Times New Roman"/>
          <w:b w:val="1"/>
          <w:bCs w:val="1"/>
          <w:sz w:val="24"/>
          <w:szCs w:val="24"/>
        </w:rPr>
        <w:t xml:space="preserve"> - 1803506</w:t>
      </w:r>
    </w:p>
    <w:p w:rsidR="54B3E25C" w:rsidP="54B3E25C" w:rsidRDefault="54B3E25C" w14:noSpellErr="1" w14:paraId="198A8AC6" w14:textId="1C8A5344">
      <w:pPr>
        <w:pStyle w:val="paragraph"/>
        <w:spacing w:line="480" w:lineRule="auto"/>
        <w:rPr>
          <w:rStyle w:val="normaltextrun"/>
          <w:rFonts w:ascii="Times New Roman" w:hAnsi="Times New Roman" w:eastAsia="Times New Roman" w:cs="Times New Roman"/>
          <w:b w:val="1"/>
          <w:bCs w:val="1"/>
          <w:sz w:val="24"/>
          <w:szCs w:val="24"/>
        </w:rPr>
      </w:pPr>
    </w:p>
    <w:p w:rsidR="00602B93" w:rsidP="3D81C607" w:rsidRDefault="00602B93" w14:paraId="20724279" w14:textId="00351723" w14:noSpellErr="1">
      <w:pPr>
        <w:pStyle w:val="paragraph"/>
        <w:spacing w:line="480" w:lineRule="auto"/>
        <w:textAlignment w:val="baseline"/>
        <w:rPr>
          <w:rStyle w:val="eop"/>
          <w:rFonts w:ascii="Times New Roman" w:hAnsi="Times New Roman" w:eastAsia="Times New Roman" w:cs="Times New Roman"/>
          <w:sz w:val="24"/>
          <w:szCs w:val="24"/>
        </w:rPr>
      </w:pPr>
      <w:r w:rsidRPr="3D81C607" w:rsidR="3D81C607">
        <w:rPr>
          <w:rStyle w:val="normaltextrun"/>
          <w:rFonts w:ascii="Times New Roman" w:hAnsi="Times New Roman" w:eastAsia="Times New Roman" w:cs="Times New Roman"/>
          <w:sz w:val="24"/>
          <w:szCs w:val="24"/>
        </w:rPr>
        <w:t>In this essay, Charles Taylor’s theory of recognition will be explored and its importance in relation to individuals who identify as sexually and gender diverse will be discussed. The essay will also be examining the strengths and shortcomings of this theory using research and evidence from the last ten years.</w:t>
      </w:r>
      <w:r w:rsidRPr="3D81C607" w:rsidR="3D81C607">
        <w:rPr>
          <w:rStyle w:val="eop"/>
          <w:rFonts w:ascii="Times New Roman" w:hAnsi="Times New Roman" w:eastAsia="Times New Roman" w:cs="Times New Roman"/>
          <w:sz w:val="24"/>
          <w:szCs w:val="24"/>
        </w:rPr>
        <w:t> </w:t>
      </w:r>
    </w:p>
    <w:p w:rsidR="00602B93" w:rsidP="3D81C607" w:rsidRDefault="00602B93" w14:paraId="5A6CD4FA" w14:noSpellErr="1" w14:textId="7778D345">
      <w:pPr>
        <w:pStyle w:val="paragraph"/>
        <w:spacing w:line="480" w:lineRule="auto"/>
        <w:textAlignment w:val="baseline"/>
        <w:rPr>
          <w:rStyle w:val="eop"/>
          <w:rFonts w:ascii="Times New Roman" w:hAnsi="Times New Roman" w:eastAsia="Times New Roman" w:cs="Times New Roman"/>
          <w:sz w:val="24"/>
          <w:szCs w:val="24"/>
        </w:rPr>
      </w:pPr>
      <w:r w:rsidRPr="3D81C607" w:rsidR="3D81C607">
        <w:rPr>
          <w:rStyle w:val="normaltextrun"/>
          <w:rFonts w:ascii="Times New Roman" w:hAnsi="Times New Roman" w:eastAsia="Times New Roman" w:cs="Times New Roman"/>
          <w:sz w:val="24"/>
          <w:szCs w:val="24"/>
        </w:rPr>
        <w:t xml:space="preserve">In Taylors’s 1994 essay ‘Multiculturalism and the Politics of Recognition’, he wrote about the human need, or even demand, for recognition, and its importance in relation to identity. He defined identity as ‘a person’s understanding of who they are’ and claimed that nonrecognition could lead to ‘imprisoning someone in a false, distorted, and reduced mode of being’ (Taylor, 1994: 25) and can even </w:t>
      </w:r>
      <w:r w:rsidRPr="3D81C607" w:rsidR="3D81C607">
        <w:rPr>
          <w:rStyle w:val="normaltextrun"/>
          <w:rFonts w:ascii="Times New Roman" w:hAnsi="Times New Roman" w:eastAsia="Times New Roman" w:cs="Times New Roman"/>
          <w:sz w:val="24"/>
          <w:szCs w:val="24"/>
        </w:rPr>
        <w:t>cause</w:t>
      </w:r>
      <w:r w:rsidRPr="3D81C607" w:rsidR="3D81C607">
        <w:rPr>
          <w:rStyle w:val="normaltextrun"/>
          <w:rFonts w:ascii="Times New Roman" w:hAnsi="Times New Roman" w:eastAsia="Times New Roman" w:cs="Times New Roman"/>
          <w:sz w:val="24"/>
          <w:szCs w:val="24"/>
        </w:rPr>
        <w:t xml:space="preserve"> feelings of oppression. </w:t>
      </w:r>
    </w:p>
    <w:p w:rsidR="00602B93" w:rsidP="7D82B2F3" w:rsidRDefault="00602B93" w14:paraId="1C3368EE" w14:noSpellErr="1" w14:textId="3B1AACBF">
      <w:pPr>
        <w:pStyle w:val="paragraph"/>
        <w:spacing w:line="480" w:lineRule="auto"/>
        <w:textAlignment w:val="baseline"/>
        <w:rPr>
          <w:rStyle w:val="normaltextrun"/>
          <w:rFonts w:ascii="Times New Roman" w:hAnsi="Times New Roman" w:eastAsia="Times New Roman" w:cs="Times New Roman"/>
          <w:sz w:val="24"/>
          <w:szCs w:val="24"/>
        </w:rPr>
      </w:pPr>
      <w:r w:rsidRPr="7D82B2F3" w:rsidR="7D82B2F3">
        <w:rPr>
          <w:rStyle w:val="normaltextrun"/>
          <w:rFonts w:ascii="Times New Roman" w:hAnsi="Times New Roman" w:eastAsia="Times New Roman" w:cs="Times New Roman"/>
          <w:sz w:val="24"/>
          <w:szCs w:val="24"/>
        </w:rPr>
        <w:t xml:space="preserve">Group identities including racial, ethnic, gender, religious and sexual, etc. can be essential to the essence of a person because individuals’ core identities are developed in relation to others; not just introspectively (Gutmann, 2018). However, our core self is more than the sum of our group identities and it is therefore imperative for society to recognise and respect an individual’s freedom to choose their own set of identities. For example, someone may want to be recognised as a woman, </w:t>
      </w:r>
      <w:r w:rsidRPr="7D82B2F3" w:rsidR="7D82B2F3">
        <w:rPr>
          <w:rStyle w:val="normaltextrun"/>
          <w:rFonts w:ascii="Times New Roman" w:hAnsi="Times New Roman" w:eastAsia="Times New Roman" w:cs="Times New Roman"/>
          <w:sz w:val="24"/>
          <w:szCs w:val="24"/>
        </w:rPr>
        <w:t xml:space="preserve">a </w:t>
      </w:r>
      <w:r w:rsidRPr="7D82B2F3" w:rsidR="7D82B2F3">
        <w:rPr>
          <w:rStyle w:val="normaltextrun"/>
          <w:rFonts w:ascii="Times New Roman" w:hAnsi="Times New Roman" w:eastAsia="Times New Roman" w:cs="Times New Roman"/>
          <w:sz w:val="24"/>
          <w:szCs w:val="24"/>
        </w:rPr>
        <w:t xml:space="preserve">partner, </w:t>
      </w:r>
      <w:r w:rsidRPr="7D82B2F3" w:rsidR="7D82B2F3">
        <w:rPr>
          <w:rStyle w:val="normaltextrun"/>
          <w:rFonts w:ascii="Times New Roman" w:hAnsi="Times New Roman" w:eastAsia="Times New Roman" w:cs="Times New Roman"/>
          <w:sz w:val="24"/>
          <w:szCs w:val="24"/>
        </w:rPr>
        <w:t xml:space="preserve">a </w:t>
      </w:r>
      <w:r w:rsidRPr="7D82B2F3" w:rsidR="7D82B2F3">
        <w:rPr>
          <w:rStyle w:val="normaltextrun"/>
          <w:rFonts w:ascii="Times New Roman" w:hAnsi="Times New Roman" w:eastAsia="Times New Roman" w:cs="Times New Roman"/>
          <w:sz w:val="24"/>
          <w:szCs w:val="24"/>
        </w:rPr>
        <w:t>Welsh citizen, but also as many other things. </w:t>
      </w:r>
    </w:p>
    <w:p w:rsidR="00602B93" w:rsidP="7D82B2F3" w:rsidRDefault="00602B93" w14:paraId="45475BDB" w14:noSpellErr="1" w14:textId="57A155C6">
      <w:pPr>
        <w:pStyle w:val="paragraph"/>
        <w:spacing w:line="480" w:lineRule="auto"/>
        <w:textAlignment w:val="baseline"/>
        <w:rPr>
          <w:rStyle w:val="eop"/>
          <w:rFonts w:ascii="Times New Roman" w:hAnsi="Times New Roman" w:eastAsia="Times New Roman" w:cs="Times New Roman"/>
          <w:sz w:val="24"/>
          <w:szCs w:val="24"/>
        </w:rPr>
      </w:pPr>
      <w:r w:rsidRPr="7D82B2F3" w:rsidR="7D82B2F3">
        <w:rPr>
          <w:rStyle w:val="normaltextrun"/>
          <w:rFonts w:ascii="Times New Roman" w:hAnsi="Times New Roman" w:eastAsia="Times New Roman" w:cs="Times New Roman"/>
          <w:sz w:val="24"/>
          <w:szCs w:val="24"/>
        </w:rPr>
        <w:t xml:space="preserve">One of the purposes of self-formation and identity, according to Taylor, is to restructure inequalities in modern life and to promote social justice (Teles de Pontes, 2012). Identity defines the social agents and the transformation of their self and recognises how one’s identity can be influenced by external factors. The formation of identity can be realised through the struggle for equality and dignity and the value of individuals as equals, and the feeling that you have a place in your group. </w:t>
      </w:r>
      <w:r w:rsidRPr="7D82B2F3" w:rsidR="7D82B2F3">
        <w:rPr>
          <w:rStyle w:val="contextualspellingandgrammarerror"/>
          <w:rFonts w:ascii="Times New Roman" w:hAnsi="Times New Roman" w:eastAsia="Times New Roman" w:cs="Times New Roman"/>
          <w:sz w:val="24"/>
          <w:szCs w:val="24"/>
        </w:rPr>
        <w:t xml:space="preserve">However, </w:t>
      </w:r>
      <w:r w:rsidRPr="7D82B2F3" w:rsidR="7D82B2F3">
        <w:rPr>
          <w:rStyle w:val="contextualspellingandgrammarerror"/>
          <w:rFonts w:ascii="Times New Roman" w:hAnsi="Times New Roman" w:eastAsia="Times New Roman" w:cs="Times New Roman"/>
          <w:sz w:val="24"/>
          <w:szCs w:val="24"/>
        </w:rPr>
        <w:t>Taylor’s theory of recognition has been criticised by Teles de Pontes for the notion of authenticity having no meaning in practice – due to an individual’s sense of identity being simply a product of interactions with others, rather than deep moral values. </w:t>
      </w:r>
    </w:p>
    <w:p w:rsidR="00880E88" w:rsidP="54B3E25C" w:rsidRDefault="00880E88" w14:paraId="4F2F2C10" w14:textId="0083CFAC">
      <w:pPr>
        <w:pStyle w:val="paragraph"/>
        <w:spacing w:line="480" w:lineRule="auto"/>
        <w:rPr>
          <w:rStyle w:val="normaltextrun"/>
          <w:rFonts w:ascii="Times New Roman" w:hAnsi="Times New Roman" w:eastAsia="Times New Roman" w:cs="Times New Roman"/>
          <w:sz w:val="24"/>
          <w:szCs w:val="24"/>
        </w:rPr>
      </w:pPr>
      <w:r w:rsidRPr="54B3E25C" w:rsidR="54B3E25C">
        <w:rPr>
          <w:rStyle w:val="normaltextrun"/>
          <w:rFonts w:ascii="Times New Roman" w:hAnsi="Times New Roman" w:eastAsia="Times New Roman" w:cs="Times New Roman"/>
          <w:sz w:val="24"/>
          <w:szCs w:val="24"/>
        </w:rPr>
        <w:t xml:space="preserve">In instances where feelings of oppression have developed due to misrecognition, Taylor’s theory states that recognition is a vital component of repairing the harm done in the process of rebuilding the victim’s self-respect and dignity (Abbey, 1999 within </w:t>
      </w:r>
      <w:proofErr w:type="spellStart"/>
      <w:r w:rsidRPr="54B3E25C" w:rsidR="54B3E25C">
        <w:rPr>
          <w:rStyle w:val="spellingerror"/>
          <w:rFonts w:ascii="Times New Roman" w:hAnsi="Times New Roman" w:eastAsia="Times New Roman" w:cs="Times New Roman"/>
          <w:sz w:val="24"/>
          <w:szCs w:val="24"/>
        </w:rPr>
        <w:t>Petoukhov</w:t>
      </w:r>
      <w:proofErr w:type="spellEnd"/>
      <w:r w:rsidRPr="54B3E25C" w:rsidR="54B3E25C">
        <w:rPr>
          <w:rStyle w:val="normaltextrun"/>
          <w:rFonts w:ascii="Times New Roman" w:hAnsi="Times New Roman" w:eastAsia="Times New Roman" w:cs="Times New Roman"/>
          <w:sz w:val="24"/>
          <w:szCs w:val="24"/>
        </w:rPr>
        <w:t xml:space="preserve">, 2012). A vital component of identity for many people is that of racial recognition – </w:t>
      </w:r>
      <w:proofErr w:type="spellStart"/>
      <w:r w:rsidRPr="54B3E25C" w:rsidR="54B3E25C">
        <w:rPr>
          <w:rStyle w:val="normaltextrun"/>
          <w:rFonts w:ascii="Times New Roman" w:hAnsi="Times New Roman" w:eastAsia="Times New Roman" w:cs="Times New Roman"/>
          <w:sz w:val="24"/>
          <w:szCs w:val="24"/>
        </w:rPr>
        <w:t>Kymlicka</w:t>
      </w:r>
      <w:proofErr w:type="spellEnd"/>
      <w:r w:rsidRPr="54B3E25C" w:rsidR="54B3E25C">
        <w:rPr>
          <w:rStyle w:val="normaltextrun"/>
          <w:rFonts w:ascii="Times New Roman" w:hAnsi="Times New Roman" w:eastAsia="Times New Roman" w:cs="Times New Roman"/>
          <w:sz w:val="24"/>
          <w:szCs w:val="24"/>
        </w:rPr>
        <w:t xml:space="preserve"> (1995) goes as far to say that if a culture is not respected, the self-respect and dignity of its group members is compromised.</w:t>
      </w:r>
    </w:p>
    <w:p w:rsidR="00CF4334" w:rsidP="54B3E25C" w:rsidRDefault="00602B93" w14:paraId="65B99FA2" w14:textId="1051249C">
      <w:pPr>
        <w:spacing w:line="480" w:lineRule="auto"/>
        <w:rPr>
          <w:rFonts w:ascii="Times New Roman" w:hAnsi="Times New Roman" w:eastAsia="Times New Roman" w:cs="Times New Roman"/>
          <w:sz w:val="24"/>
          <w:szCs w:val="24"/>
        </w:rPr>
      </w:pPr>
      <w:r w:rsidRPr="54B3E25C" w:rsidR="54B3E25C">
        <w:rPr>
          <w:rFonts w:ascii="Times New Roman" w:hAnsi="Times New Roman" w:eastAsia="Times New Roman" w:cs="Times New Roman"/>
          <w:sz w:val="24"/>
          <w:szCs w:val="24"/>
        </w:rPr>
        <w:t xml:space="preserve">Recognition is important in the context of counselling because it shows basic respect for the patient as a person, on behalf of the counsellor. </w:t>
      </w:r>
      <w:proofErr w:type="spellStart"/>
      <w:r w:rsidRPr="54B3E25C" w:rsidR="54B3E25C">
        <w:rPr>
          <w:rFonts w:ascii="Times New Roman" w:hAnsi="Times New Roman" w:eastAsia="Times New Roman" w:cs="Times New Roman"/>
          <w:sz w:val="24"/>
          <w:szCs w:val="24"/>
        </w:rPr>
        <w:t>Schibbye</w:t>
      </w:r>
      <w:proofErr w:type="spellEnd"/>
      <w:r w:rsidRPr="54B3E25C" w:rsidR="54B3E25C">
        <w:rPr>
          <w:rFonts w:ascii="Times New Roman" w:hAnsi="Times New Roman" w:eastAsia="Times New Roman" w:cs="Times New Roman"/>
          <w:sz w:val="24"/>
          <w:szCs w:val="24"/>
        </w:rPr>
        <w:t xml:space="preserve"> (1993, within </w:t>
      </w:r>
      <w:proofErr w:type="spellStart"/>
      <w:r w:rsidRPr="54B3E25C" w:rsidR="54B3E25C">
        <w:rPr>
          <w:rFonts w:ascii="Times New Roman" w:hAnsi="Times New Roman" w:eastAsia="Times New Roman" w:cs="Times New Roman"/>
          <w:sz w:val="24"/>
          <w:szCs w:val="24"/>
        </w:rPr>
        <w:t>Steihaug</w:t>
      </w:r>
      <w:proofErr w:type="spellEnd"/>
      <w:r w:rsidRPr="54B3E25C" w:rsidR="54B3E25C">
        <w:rPr>
          <w:rFonts w:ascii="Times New Roman" w:hAnsi="Times New Roman" w:eastAsia="Times New Roman" w:cs="Times New Roman"/>
          <w:sz w:val="24"/>
          <w:szCs w:val="24"/>
        </w:rPr>
        <w:t>, Gulbrandsen &amp; Werner, 2012) characterized recognising behaviour as actively listening, expressing understanding and tolerance, and confirmation. Listening facilitates the patient’s willingness to be moved and be receptive while understanding involves entering another person’s world as they see it, but always remembering that that person’s feelings and experiences belong to them and no one else. Tolerance demonstrates that the counsellor accepts the patient’s right to their feelings and confirmation entitles the patient validity of their feelings and to know that they are reasonable.</w:t>
      </w:r>
    </w:p>
    <w:p w:rsidR="54B3E25C" w:rsidP="54B3E25C" w:rsidRDefault="54B3E25C" w14:noSpellErr="1" w14:paraId="53CFA491" w14:textId="7D7FA778">
      <w:pPr>
        <w:pStyle w:val="Normal"/>
        <w:spacing w:line="480" w:lineRule="auto"/>
        <w:rPr>
          <w:rFonts w:ascii="Times New Roman" w:hAnsi="Times New Roman" w:eastAsia="Times New Roman" w:cs="Times New Roman"/>
          <w:sz w:val="24"/>
          <w:szCs w:val="24"/>
        </w:rPr>
      </w:pPr>
      <w:r w:rsidRPr="54B3E25C" w:rsidR="54B3E25C">
        <w:rPr>
          <w:rFonts w:ascii="Times New Roman" w:hAnsi="Times New Roman" w:eastAsia="Times New Roman" w:cs="Times New Roman"/>
          <w:sz w:val="24"/>
          <w:szCs w:val="24"/>
        </w:rPr>
        <w:t>A pioneer in gender theory and challenging the conventional notions of gender is philosopher Judith Butler, who argues that gender is a ‘performance’ and can be simplified to a repetition of acts and behaviours associated with being male or female (Butler, 1988). In her book, Imitation and Gender Insubordination, Butler discussed the creation of identities such as ‘heterosexual’ and ‘homosexual’ and the limiting nature of such identity groups, pointing out that the idea of gender is seen as natural rather than constructed, one’s body becomes its gender through consolidating a series of acts, seen as either male or female, through time.</w:t>
      </w:r>
    </w:p>
    <w:p w:rsidR="008679B1" w:rsidP="54B3E25C" w:rsidRDefault="008679B1" w14:paraId="53EABB73" w14:noSpellErr="1" w14:textId="6E76AC9A">
      <w:pPr>
        <w:spacing w:line="480" w:lineRule="auto"/>
        <w:rPr>
          <w:rFonts w:ascii="Times New Roman" w:hAnsi="Times New Roman" w:eastAsia="Times New Roman" w:cs="Times New Roman"/>
          <w:sz w:val="24"/>
          <w:szCs w:val="24"/>
        </w:rPr>
      </w:pPr>
      <w:r w:rsidRPr="54B3E25C" w:rsidR="54B3E25C">
        <w:rPr>
          <w:rFonts w:ascii="Times New Roman" w:hAnsi="Times New Roman" w:eastAsia="Times New Roman" w:cs="Times New Roman"/>
          <w:sz w:val="24"/>
          <w:szCs w:val="24"/>
        </w:rPr>
        <w:t>Ford (2011) examined the premise of ‘bodily misrecognition’ which refers to stereotypical assumptions about race and gender</w:t>
      </w:r>
      <w:proofErr w:type="gramStart"/>
      <w:r w:rsidRPr="54B3E25C" w:rsidR="54B3E25C">
        <w:rPr>
          <w:rFonts w:ascii="Times New Roman" w:hAnsi="Times New Roman" w:eastAsia="Times New Roman" w:cs="Times New Roman"/>
          <w:sz w:val="24"/>
          <w:szCs w:val="24"/>
        </w:rPr>
        <w:t>, in particular, women</w:t>
      </w:r>
      <w:proofErr w:type="gramEnd"/>
      <w:r w:rsidRPr="54B3E25C" w:rsidR="54B3E25C">
        <w:rPr>
          <w:rFonts w:ascii="Times New Roman" w:hAnsi="Times New Roman" w:eastAsia="Times New Roman" w:cs="Times New Roman"/>
          <w:sz w:val="24"/>
          <w:szCs w:val="24"/>
        </w:rPr>
        <w:t xml:space="preserve"> of colour, that were made regarding their actions in a classroom setting. For example, assuming incompetence, falling short of acknowledging the complexity of their identities – social, personal and professional or simply pigeonholing their identities. The study explored the experience of women of colour employed at a university and the ways in which their experience was impacted by their social identities. The study claims that gender is constructed socially and culturally in a binary format e.g. woman or man, to maintain hegemonic power and privilege, citing the work of Butler (1990) who argued that gender is an identity insubstantially formed in time, rather than a stable, objective status. Gender roles constructed by society tend to produce relationships or dominance and subordinance that appear instinctual, and this was reflected in the experiences of the participants, one of whom reported difficulty maintaining an authoritative role in the classroom, due in part to her identity as a woman of colour.</w:t>
      </w:r>
    </w:p>
    <w:p w:rsidR="00655909" w:rsidP="54B3E25C" w:rsidRDefault="00655909" w14:paraId="3D1D4C77" w14:textId="7C188672">
      <w:pPr>
        <w:spacing w:line="480" w:lineRule="auto"/>
        <w:rPr>
          <w:rStyle w:val="normaltextrun"/>
          <w:rFonts w:ascii="Times New Roman" w:hAnsi="Times New Roman" w:eastAsia="Times New Roman" w:cs="Times New Roman"/>
          <w:sz w:val="24"/>
          <w:szCs w:val="24"/>
        </w:rPr>
      </w:pPr>
      <w:r w:rsidRPr="54B3E25C" w:rsidR="54B3E25C">
        <w:rPr>
          <w:rStyle w:val="normaltextrun"/>
          <w:rFonts w:ascii="Times New Roman" w:hAnsi="Times New Roman" w:eastAsia="Times New Roman" w:cs="Times New Roman"/>
          <w:sz w:val="24"/>
          <w:szCs w:val="24"/>
        </w:rPr>
        <w:t xml:space="preserve">The Universal Declaration of Human Rights was introduced in 1948 to protect the rights of individuals who identify as members of specific group identities from discrimination and oppression and to achieve equality in society. Despite the </w:t>
      </w:r>
      <w:r w:rsidRPr="54B3E25C" w:rsidR="54B3E25C">
        <w:rPr>
          <w:rStyle w:val="spellingerror"/>
          <w:rFonts w:ascii="Times New Roman" w:hAnsi="Times New Roman" w:eastAsia="Times New Roman" w:cs="Times New Roman"/>
          <w:sz w:val="24"/>
          <w:szCs w:val="24"/>
        </w:rPr>
        <w:t>sign</w:t>
      </w:r>
      <w:r w:rsidRPr="54B3E25C" w:rsidR="54B3E25C">
        <w:rPr>
          <w:rStyle w:val="spellingerror"/>
          <w:rFonts w:ascii="Times New Roman" w:hAnsi="Times New Roman" w:eastAsia="Times New Roman" w:cs="Times New Roman"/>
          <w:sz w:val="24"/>
          <w:szCs w:val="24"/>
        </w:rPr>
        <w:t>i</w:t>
      </w:r>
      <w:r w:rsidRPr="54B3E25C" w:rsidR="54B3E25C">
        <w:rPr>
          <w:rStyle w:val="spellingerror"/>
          <w:rFonts w:ascii="Times New Roman" w:hAnsi="Times New Roman" w:eastAsia="Times New Roman" w:cs="Times New Roman"/>
          <w:sz w:val="24"/>
          <w:szCs w:val="24"/>
        </w:rPr>
        <w:t>ficant</w:t>
      </w:r>
      <w:r w:rsidRPr="54B3E25C" w:rsidR="54B3E25C">
        <w:rPr>
          <w:rStyle w:val="normaltextrun"/>
          <w:rFonts w:ascii="Times New Roman" w:hAnsi="Times New Roman" w:eastAsia="Times New Roman" w:cs="Times New Roman"/>
          <w:sz w:val="24"/>
          <w:szCs w:val="24"/>
        </w:rPr>
        <w:t xml:space="preserve"> progress </w:t>
      </w:r>
      <w:r w:rsidRPr="54B3E25C" w:rsidR="54B3E25C">
        <w:rPr>
          <w:rStyle w:val="normaltextrun"/>
          <w:rFonts w:ascii="Times New Roman" w:hAnsi="Times New Roman" w:eastAsia="Times New Roman" w:cs="Times New Roman"/>
          <w:sz w:val="24"/>
          <w:szCs w:val="24"/>
        </w:rPr>
        <w:t xml:space="preserve">the </w:t>
      </w:r>
      <w:r w:rsidRPr="54B3E25C" w:rsidR="54B3E25C">
        <w:rPr>
          <w:rStyle w:val="normaltextrun"/>
          <w:rFonts w:ascii="Times New Roman" w:hAnsi="Times New Roman" w:eastAsia="Times New Roman" w:cs="Times New Roman"/>
          <w:sz w:val="24"/>
          <w:szCs w:val="24"/>
        </w:rPr>
        <w:t>legislation</w:t>
      </w:r>
      <w:r w:rsidRPr="54B3E25C" w:rsidR="54B3E25C">
        <w:rPr>
          <w:rStyle w:val="normaltextrun"/>
          <w:rFonts w:ascii="Times New Roman" w:hAnsi="Times New Roman" w:eastAsia="Times New Roman" w:cs="Times New Roman"/>
          <w:sz w:val="24"/>
          <w:szCs w:val="24"/>
        </w:rPr>
        <w:t xml:space="preserve"> </w:t>
      </w:r>
      <w:r w:rsidRPr="54B3E25C" w:rsidR="54B3E25C">
        <w:rPr>
          <w:rStyle w:val="normaltextrun"/>
          <w:rFonts w:ascii="Times New Roman" w:hAnsi="Times New Roman" w:eastAsia="Times New Roman" w:cs="Times New Roman"/>
          <w:sz w:val="24"/>
          <w:szCs w:val="24"/>
        </w:rPr>
        <w:t>has made</w:t>
      </w:r>
      <w:r w:rsidRPr="54B3E25C" w:rsidR="54B3E25C">
        <w:rPr>
          <w:rStyle w:val="normaltextrun"/>
          <w:rFonts w:ascii="Times New Roman" w:hAnsi="Times New Roman" w:eastAsia="Times New Roman" w:cs="Times New Roman"/>
          <w:sz w:val="24"/>
          <w:szCs w:val="24"/>
        </w:rPr>
        <w:t>, there are still a struggle against homophobia and transphobia (Cumming-Potvin &amp; Martino, 2009).</w:t>
      </w:r>
      <w:r w:rsidRPr="54B3E25C" w:rsidR="54B3E25C">
        <w:rPr>
          <w:rStyle w:val="normaltextrun"/>
          <w:rFonts w:ascii="Times New Roman" w:hAnsi="Times New Roman" w:eastAsia="Times New Roman" w:cs="Times New Roman"/>
          <w:sz w:val="24"/>
          <w:szCs w:val="24"/>
        </w:rPr>
        <w:t xml:space="preserve"> Some </w:t>
      </w:r>
      <w:r w:rsidRPr="54B3E25C" w:rsidR="54B3E25C">
        <w:rPr>
          <w:rStyle w:val="normaltextrun"/>
          <w:rFonts w:ascii="Times New Roman" w:hAnsi="Times New Roman" w:eastAsia="Times New Roman" w:cs="Times New Roman"/>
          <w:sz w:val="24"/>
          <w:szCs w:val="24"/>
        </w:rPr>
        <w:t xml:space="preserve">laws </w:t>
      </w:r>
      <w:r w:rsidRPr="54B3E25C" w:rsidR="54B3E25C">
        <w:rPr>
          <w:rStyle w:val="normaltextrun"/>
          <w:rFonts w:ascii="Times New Roman" w:hAnsi="Times New Roman" w:eastAsia="Times New Roman" w:cs="Times New Roman"/>
          <w:sz w:val="24"/>
          <w:szCs w:val="24"/>
        </w:rPr>
        <w:t>prohibit non-adherence to a traditional gender identity</w:t>
      </w:r>
      <w:r w:rsidRPr="54B3E25C" w:rsidR="54B3E25C">
        <w:rPr>
          <w:rStyle w:val="normaltextrun"/>
          <w:rFonts w:ascii="Times New Roman" w:hAnsi="Times New Roman" w:eastAsia="Times New Roman" w:cs="Times New Roman"/>
          <w:sz w:val="24"/>
          <w:szCs w:val="24"/>
        </w:rPr>
        <w:t xml:space="preserve"> based on male/female b</w:t>
      </w:r>
      <w:r w:rsidRPr="54B3E25C" w:rsidR="54B3E25C">
        <w:rPr>
          <w:rStyle w:val="normaltextrun"/>
          <w:rFonts w:ascii="Times New Roman" w:hAnsi="Times New Roman" w:eastAsia="Times New Roman" w:cs="Times New Roman"/>
          <w:sz w:val="24"/>
          <w:szCs w:val="24"/>
        </w:rPr>
        <w:t>inary</w:t>
      </w:r>
      <w:r w:rsidRPr="54B3E25C" w:rsidR="54B3E25C">
        <w:rPr>
          <w:rStyle w:val="normaltextrun"/>
          <w:rFonts w:ascii="Times New Roman" w:hAnsi="Times New Roman" w:eastAsia="Times New Roman" w:cs="Times New Roman"/>
          <w:sz w:val="24"/>
          <w:szCs w:val="24"/>
        </w:rPr>
        <w:t xml:space="preserve"> and forbid behaviour such as “imitating the appearance of the opposite sex”</w:t>
      </w:r>
      <w:r w:rsidRPr="54B3E25C" w:rsidR="54B3E25C">
        <w:rPr>
          <w:rStyle w:val="normaltextrun"/>
          <w:rFonts w:ascii="Times New Roman" w:hAnsi="Times New Roman" w:eastAsia="Times New Roman" w:cs="Times New Roman"/>
          <w:sz w:val="24"/>
          <w:szCs w:val="24"/>
        </w:rPr>
        <w:t xml:space="preserve">, which have been interpreted by the United Nations as </w:t>
      </w:r>
      <w:r w:rsidRPr="54B3E25C" w:rsidR="54B3E25C">
        <w:rPr>
          <w:rStyle w:val="normaltextrun"/>
          <w:rFonts w:ascii="Times New Roman" w:hAnsi="Times New Roman" w:eastAsia="Times New Roman" w:cs="Times New Roman"/>
          <w:sz w:val="24"/>
          <w:szCs w:val="24"/>
        </w:rPr>
        <w:t xml:space="preserve">a breach of human rights to equality, </w:t>
      </w:r>
      <w:r w:rsidRPr="54B3E25C" w:rsidR="54B3E25C">
        <w:rPr>
          <w:rStyle w:val="normaltextrun"/>
          <w:rFonts w:ascii="Times New Roman" w:hAnsi="Times New Roman" w:eastAsia="Times New Roman" w:cs="Times New Roman"/>
          <w:sz w:val="24"/>
          <w:szCs w:val="24"/>
        </w:rPr>
        <w:t xml:space="preserve">privacy and </w:t>
      </w:r>
      <w:r w:rsidRPr="54B3E25C" w:rsidR="54B3E25C">
        <w:rPr>
          <w:rStyle w:val="normaltextrun"/>
          <w:rFonts w:ascii="Times New Roman" w:hAnsi="Times New Roman" w:eastAsia="Times New Roman" w:cs="Times New Roman"/>
          <w:sz w:val="24"/>
          <w:szCs w:val="24"/>
        </w:rPr>
        <w:t>freedom from discrimination</w:t>
      </w:r>
      <w:r w:rsidRPr="54B3E25C" w:rsidR="54B3E25C">
        <w:rPr>
          <w:rStyle w:val="normaltextrun"/>
          <w:rFonts w:ascii="Times New Roman" w:hAnsi="Times New Roman" w:eastAsia="Times New Roman" w:cs="Times New Roman"/>
          <w:sz w:val="24"/>
          <w:szCs w:val="24"/>
        </w:rPr>
        <w:t xml:space="preserve"> (</w:t>
      </w:r>
      <w:proofErr w:type="spellStart"/>
      <w:r w:rsidRPr="54B3E25C" w:rsidR="54B3E25C">
        <w:rPr>
          <w:rStyle w:val="normaltextrun"/>
          <w:rFonts w:ascii="Times New Roman" w:hAnsi="Times New Roman" w:eastAsia="Times New Roman" w:cs="Times New Roman"/>
          <w:sz w:val="24"/>
          <w:szCs w:val="24"/>
        </w:rPr>
        <w:t>Bejzyk</w:t>
      </w:r>
      <w:proofErr w:type="spellEnd"/>
      <w:r w:rsidRPr="54B3E25C" w:rsidR="54B3E25C">
        <w:rPr>
          <w:rStyle w:val="normaltextrun"/>
          <w:rFonts w:ascii="Times New Roman" w:hAnsi="Times New Roman" w:eastAsia="Times New Roman" w:cs="Times New Roman"/>
          <w:sz w:val="24"/>
          <w:szCs w:val="24"/>
        </w:rPr>
        <w:t>, 2017).</w:t>
      </w:r>
      <w:r w:rsidRPr="54B3E25C" w:rsidR="54B3E25C">
        <w:rPr>
          <w:rStyle w:val="normaltextrun"/>
          <w:rFonts w:ascii="Times New Roman" w:hAnsi="Times New Roman" w:eastAsia="Times New Roman" w:cs="Times New Roman"/>
          <w:sz w:val="24"/>
          <w:szCs w:val="24"/>
        </w:rPr>
        <w:t xml:space="preserve"> Such discriminatory laws</w:t>
      </w:r>
      <w:r w:rsidRPr="54B3E25C" w:rsidR="54B3E25C">
        <w:rPr>
          <w:rStyle w:val="normaltextrun"/>
          <w:rFonts w:ascii="Times New Roman" w:hAnsi="Times New Roman" w:eastAsia="Times New Roman" w:cs="Times New Roman"/>
          <w:sz w:val="24"/>
          <w:szCs w:val="24"/>
        </w:rPr>
        <w:t xml:space="preserve"> reinforce the stigmatization of </w:t>
      </w:r>
      <w:r w:rsidRPr="54B3E25C" w:rsidR="54B3E25C">
        <w:rPr>
          <w:rStyle w:val="normaltextrun"/>
          <w:rFonts w:ascii="Times New Roman" w:hAnsi="Times New Roman" w:eastAsia="Times New Roman" w:cs="Times New Roman"/>
          <w:sz w:val="24"/>
          <w:szCs w:val="24"/>
        </w:rPr>
        <w:t>those who identify themselves as gender and sexually diverse</w:t>
      </w:r>
      <w:r w:rsidRPr="54B3E25C" w:rsidR="54B3E25C">
        <w:rPr>
          <w:rStyle w:val="normaltextrun"/>
          <w:rFonts w:ascii="Times New Roman" w:hAnsi="Times New Roman" w:eastAsia="Times New Roman" w:cs="Times New Roman"/>
          <w:sz w:val="24"/>
          <w:szCs w:val="24"/>
        </w:rPr>
        <w:t xml:space="preserve"> and increases their </w:t>
      </w:r>
      <w:r w:rsidRPr="54B3E25C" w:rsidR="54B3E25C">
        <w:rPr>
          <w:rStyle w:val="normaltextrun"/>
          <w:rFonts w:ascii="Times New Roman" w:hAnsi="Times New Roman" w:eastAsia="Times New Roman" w:cs="Times New Roman"/>
          <w:sz w:val="24"/>
          <w:szCs w:val="24"/>
        </w:rPr>
        <w:t>su</w:t>
      </w:r>
      <w:r w:rsidRPr="54B3E25C" w:rsidR="54B3E25C">
        <w:rPr>
          <w:rStyle w:val="normaltextrun"/>
          <w:rFonts w:ascii="Times New Roman" w:hAnsi="Times New Roman" w:eastAsia="Times New Roman" w:cs="Times New Roman"/>
          <w:sz w:val="24"/>
          <w:szCs w:val="24"/>
        </w:rPr>
        <w:t xml:space="preserve">sceptibility to </w:t>
      </w:r>
      <w:r w:rsidRPr="54B3E25C" w:rsidR="54B3E25C">
        <w:rPr>
          <w:rStyle w:val="normaltextrun"/>
          <w:rFonts w:ascii="Times New Roman" w:hAnsi="Times New Roman" w:eastAsia="Times New Roman" w:cs="Times New Roman"/>
          <w:sz w:val="24"/>
          <w:szCs w:val="24"/>
        </w:rPr>
        <w:t>degrading and malignant treatment</w:t>
      </w:r>
      <w:r w:rsidRPr="54B3E25C" w:rsidR="54B3E25C">
        <w:rPr>
          <w:rStyle w:val="normaltextrun"/>
          <w:rFonts w:ascii="Times New Roman" w:hAnsi="Times New Roman" w:eastAsia="Times New Roman" w:cs="Times New Roman"/>
          <w:sz w:val="24"/>
          <w:szCs w:val="24"/>
        </w:rPr>
        <w:t xml:space="preserve"> and are increasingly being challenged </w:t>
      </w:r>
      <w:r w:rsidRPr="54B3E25C" w:rsidR="54B3E25C">
        <w:rPr>
          <w:rStyle w:val="normaltextrun"/>
          <w:rFonts w:ascii="Times New Roman" w:hAnsi="Times New Roman" w:eastAsia="Times New Roman" w:cs="Times New Roman"/>
          <w:sz w:val="24"/>
          <w:szCs w:val="24"/>
        </w:rPr>
        <w:t>before the United Nations courts</w:t>
      </w:r>
      <w:r w:rsidRPr="54B3E25C" w:rsidR="54B3E25C">
        <w:rPr>
          <w:rStyle w:val="normaltextrun"/>
          <w:rFonts w:ascii="Times New Roman" w:hAnsi="Times New Roman" w:eastAsia="Times New Roman" w:cs="Times New Roman"/>
          <w:sz w:val="24"/>
          <w:szCs w:val="24"/>
        </w:rPr>
        <w:t xml:space="preserve"> on the grounds that the laws</w:t>
      </w:r>
      <w:r w:rsidRPr="54B3E25C" w:rsidR="54B3E25C">
        <w:rPr>
          <w:rStyle w:val="normaltextrun"/>
          <w:rFonts w:ascii="Times New Roman" w:hAnsi="Times New Roman" w:eastAsia="Times New Roman" w:cs="Times New Roman"/>
          <w:sz w:val="24"/>
          <w:szCs w:val="24"/>
        </w:rPr>
        <w:t xml:space="preserve"> violate the rights of lesbian, gay</w:t>
      </w:r>
      <w:r w:rsidRPr="54B3E25C" w:rsidR="54B3E25C">
        <w:rPr>
          <w:rStyle w:val="normaltextrun"/>
          <w:rFonts w:ascii="Times New Roman" w:hAnsi="Times New Roman" w:eastAsia="Times New Roman" w:cs="Times New Roman"/>
          <w:sz w:val="24"/>
          <w:szCs w:val="24"/>
        </w:rPr>
        <w:t>, bisexual</w:t>
      </w:r>
      <w:r w:rsidRPr="54B3E25C" w:rsidR="54B3E25C">
        <w:rPr>
          <w:rStyle w:val="normaltextrun"/>
          <w:rFonts w:ascii="Times New Roman" w:hAnsi="Times New Roman" w:eastAsia="Times New Roman" w:cs="Times New Roman"/>
          <w:sz w:val="24"/>
          <w:szCs w:val="24"/>
        </w:rPr>
        <w:t>, transgender and intersex (LGBTI) individuals.</w:t>
      </w:r>
      <w:r w:rsidRPr="54B3E25C" w:rsidR="54B3E25C">
        <w:rPr>
          <w:rStyle w:val="normaltextrun"/>
          <w:rFonts w:ascii="Times New Roman" w:hAnsi="Times New Roman" w:eastAsia="Times New Roman" w:cs="Times New Roman"/>
          <w:sz w:val="24"/>
          <w:szCs w:val="24"/>
        </w:rPr>
        <w:t xml:space="preserve"> </w:t>
      </w:r>
      <w:bookmarkStart w:name="_GoBack" w:id="0"/>
      <w:bookmarkEnd w:id="0"/>
    </w:p>
    <w:p w:rsidR="54B3E25C" w:rsidP="54B3E25C" w:rsidRDefault="54B3E25C" w14:paraId="6B483DFA" w14:textId="6E1131FF">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sz w:val="24"/>
          <w:szCs w:val="24"/>
          <w:lang w:val="en-GB"/>
        </w:rPr>
        <w:t xml:space="preserve">Conversion therapy was used as a remedy to homosexuality, which was documented as a mental illness in the </w:t>
      </w:r>
      <w:r w:rsidRPr="54B3E25C" w:rsidR="54B3E25C">
        <w:rPr>
          <w:rFonts w:ascii="Times New Roman" w:hAnsi="Times New Roman" w:eastAsia="Times New Roman" w:cs="Times New Roman"/>
          <w:b w:val="0"/>
          <w:bCs w:val="0"/>
          <w:i w:val="1"/>
          <w:iCs w:val="1"/>
          <w:noProof w:val="0"/>
          <w:sz w:val="24"/>
          <w:szCs w:val="24"/>
          <w:lang w:val="en-GB"/>
        </w:rPr>
        <w:t xml:space="preserve">Diagnostic and Statistical Manual of Mental Disorders </w:t>
      </w:r>
      <w:r w:rsidRPr="54B3E25C" w:rsidR="54B3E25C">
        <w:rPr>
          <w:rFonts w:ascii="Times New Roman" w:hAnsi="Times New Roman" w:eastAsia="Times New Roman" w:cs="Times New Roman"/>
          <w:b w:val="0"/>
          <w:bCs w:val="0"/>
          <w:i w:val="0"/>
          <w:iCs w:val="0"/>
          <w:noProof w:val="0"/>
          <w:sz w:val="24"/>
          <w:szCs w:val="24"/>
          <w:lang w:val="en-GB"/>
        </w:rPr>
        <w:t>(</w:t>
      </w:r>
      <w:hyperlink r:id="R2121c5e31ce249cf">
        <w:r w:rsidRPr="54B3E25C" w:rsidR="54B3E25C">
          <w:rPr>
            <w:rStyle w:val="Hyperlink"/>
            <w:rFonts w:ascii="Times New Roman" w:hAnsi="Times New Roman" w:eastAsia="Times New Roman" w:cs="Times New Roman"/>
            <w:b w:val="0"/>
            <w:bCs w:val="0"/>
            <w:i w:val="0"/>
            <w:iCs w:val="0"/>
            <w:noProof w:val="0"/>
            <w:color w:val="auto"/>
            <w:sz w:val="24"/>
            <w:szCs w:val="24"/>
            <w:u w:val="none"/>
            <w:lang w:val="en-GB"/>
          </w:rPr>
          <w:t>American Psychiatric Association, 1968</w:t>
        </w:r>
      </w:hyperlink>
      <w:r w:rsidRPr="54B3E25C" w:rsidR="54B3E25C">
        <w:rPr>
          <w:rFonts w:ascii="Times New Roman" w:hAnsi="Times New Roman" w:eastAsia="Times New Roman" w:cs="Times New Roman"/>
          <w:b w:val="0"/>
          <w:bCs w:val="0"/>
          <w:i w:val="0"/>
          <w:iCs w:val="0"/>
          <w:noProof w:val="0"/>
          <w:color w:val="auto"/>
          <w:sz w:val="24"/>
          <w:szCs w:val="24"/>
          <w:u w:val="none"/>
          <w:lang w:val="en-GB"/>
        </w:rPr>
        <w:t>) until 1973. The American Psychiatric Association (2000) declared their opposition of the practice of conversion therapy due to its assumption that homosexuality is an illness requiring treatment and in 2012 the state of California passed a law banning the practice of conversion therapy on minors (State of California, 2012). Conversion therapy is a highly debated topic, although much research documents the harmful effects of this practice on LGBTQI subjects, including symptoms of depression, suicidal thoughts, feelings of isolation and low self-esteem (</w:t>
      </w:r>
      <w:proofErr w:type="spellStart"/>
      <w:r w:rsidRPr="54B3E25C" w:rsidR="54B3E25C">
        <w:rPr>
          <w:rFonts w:ascii="Times New Roman" w:hAnsi="Times New Roman" w:eastAsia="Times New Roman" w:cs="Times New Roman"/>
          <w:b w:val="0"/>
          <w:bCs w:val="0"/>
          <w:i w:val="0"/>
          <w:iCs w:val="0"/>
          <w:noProof w:val="0"/>
          <w:sz w:val="24"/>
          <w:szCs w:val="24"/>
          <w:lang w:val="en-GB"/>
        </w:rPr>
        <w:t>Serovich</w:t>
      </w:r>
      <w:proofErr w:type="spellEnd"/>
      <w:r w:rsidRPr="54B3E25C" w:rsidR="54B3E25C">
        <w:rPr>
          <w:rFonts w:ascii="Times New Roman" w:hAnsi="Times New Roman" w:eastAsia="Times New Roman" w:cs="Times New Roman"/>
          <w:b w:val="0"/>
          <w:bCs w:val="0"/>
          <w:i w:val="0"/>
          <w:iCs w:val="0"/>
          <w:noProof w:val="0"/>
          <w:sz w:val="24"/>
          <w:szCs w:val="24"/>
          <w:lang w:val="en-GB"/>
        </w:rPr>
        <w:t xml:space="preserve"> et al, 2008). </w:t>
      </w:r>
    </w:p>
    <w:p w:rsidR="54B3E25C" w:rsidP="54B3E25C" w:rsidRDefault="54B3E25C" w14:noSpellErr="1" w14:paraId="1FA333CF" w14:textId="74D1743D">
      <w:pPr>
        <w:pStyle w:val="Normal"/>
        <w:spacing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sz w:val="24"/>
          <w:szCs w:val="24"/>
          <w:lang w:val="en-GB"/>
        </w:rPr>
        <w:t>Despite the increasing lack of support for the ethics and credibility of the use of conversion therapy, experimenters continue to conduct studies into this practice (Jones &amp; Yarhouse, 2011). This longitudinal study claimed that change of sexual orientation from homosexual to heterosexual is possible and on average, psychological distress did not increase for patients involved, despite much evidence to the contrary. Fritz (2006) argued that neither children nor adults should be ‘treated’ for something that is fundamental to their identity and outside their control and stated that conversion therapy often leads to increased family dysfunction and strain. It was even estimated that suicide rates are eight times higher for LGBTQ teenagers who are estranged from their families than their peers whose families accept their sexual orientation.</w:t>
      </w:r>
    </w:p>
    <w:p w:rsidR="003E07E5" w:rsidP="3D81C607" w:rsidRDefault="001D32A1" w14:paraId="18C156B6" w14:textId="3D81DE18" w14:noSpellErr="1">
      <w:pPr>
        <w:spacing w:line="480" w:lineRule="auto"/>
        <w:rPr>
          <w:rStyle w:val="normaltextrun"/>
          <w:rFonts w:ascii="Times New Roman" w:hAnsi="Times New Roman" w:eastAsia="Times New Roman" w:cs="Times New Roman"/>
          <w:sz w:val="24"/>
          <w:szCs w:val="24"/>
        </w:rPr>
      </w:pPr>
      <w:r w:rsidRPr="3D81C607" w:rsidR="3D81C607">
        <w:rPr>
          <w:rStyle w:val="normaltextrun"/>
          <w:rFonts w:ascii="Times New Roman" w:hAnsi="Times New Roman" w:eastAsia="Times New Roman" w:cs="Times New Roman"/>
          <w:sz w:val="24"/>
          <w:szCs w:val="24"/>
        </w:rPr>
        <w:t>In the landmark</w:t>
      </w:r>
      <w:r w:rsidRPr="3D81C607" w:rsidR="3D81C607">
        <w:rPr>
          <w:rStyle w:val="normaltextrun"/>
          <w:rFonts w:ascii="Times New Roman" w:hAnsi="Times New Roman" w:eastAsia="Times New Roman" w:cs="Times New Roman"/>
          <w:sz w:val="24"/>
          <w:szCs w:val="24"/>
        </w:rPr>
        <w:t xml:space="preserve"> case </w:t>
      </w:r>
      <w:r w:rsidRPr="3D81C607" w:rsidR="3D81C607">
        <w:rPr>
          <w:rStyle w:val="normaltextrun"/>
          <w:rFonts w:ascii="Times New Roman" w:hAnsi="Times New Roman" w:eastAsia="Times New Roman" w:cs="Times New Roman"/>
          <w:sz w:val="24"/>
          <w:szCs w:val="24"/>
        </w:rPr>
        <w:t>Naz</w:t>
      </w:r>
      <w:r w:rsidRPr="3D81C607" w:rsidR="3D81C607">
        <w:rPr>
          <w:rStyle w:val="normaltextrun"/>
          <w:rFonts w:ascii="Times New Roman" w:hAnsi="Times New Roman" w:eastAsia="Times New Roman" w:cs="Times New Roman"/>
          <w:sz w:val="24"/>
          <w:szCs w:val="24"/>
        </w:rPr>
        <w:t xml:space="preserve"> Foundation v. Government of NCT of Delhi</w:t>
      </w:r>
      <w:r w:rsidRPr="3D81C607" w:rsidR="3D81C607">
        <w:rPr>
          <w:rStyle w:val="normaltextrun"/>
          <w:rFonts w:ascii="Times New Roman" w:hAnsi="Times New Roman" w:eastAsia="Times New Roman" w:cs="Times New Roman"/>
          <w:sz w:val="24"/>
          <w:szCs w:val="24"/>
        </w:rPr>
        <w:t xml:space="preserve"> (2009), </w:t>
      </w:r>
      <w:r w:rsidRPr="3D81C607" w:rsidR="3D81C607">
        <w:rPr>
          <w:rStyle w:val="normaltextrun"/>
          <w:rFonts w:ascii="Times New Roman" w:hAnsi="Times New Roman" w:eastAsia="Times New Roman" w:cs="Times New Roman"/>
          <w:sz w:val="24"/>
          <w:szCs w:val="24"/>
        </w:rPr>
        <w:t>The High Court of Delhi held that</w:t>
      </w:r>
      <w:r w:rsidRPr="3D81C607" w:rsidR="3D81C607">
        <w:rPr>
          <w:rStyle w:val="normaltextrun"/>
          <w:rFonts w:ascii="Times New Roman" w:hAnsi="Times New Roman" w:eastAsia="Times New Roman" w:cs="Times New Roman"/>
          <w:sz w:val="24"/>
          <w:szCs w:val="24"/>
        </w:rPr>
        <w:t xml:space="preserve"> criminalizing consensual sexual acts between </w:t>
      </w:r>
      <w:r w:rsidRPr="3D81C607" w:rsidR="3D81C607">
        <w:rPr>
          <w:rStyle w:val="normaltextrun"/>
          <w:rFonts w:ascii="Times New Roman" w:hAnsi="Times New Roman" w:eastAsia="Times New Roman" w:cs="Times New Roman"/>
          <w:sz w:val="24"/>
          <w:szCs w:val="24"/>
        </w:rPr>
        <w:t>same sex partners was unconstitutional as it</w:t>
      </w:r>
      <w:r w:rsidRPr="3D81C607" w:rsidR="3D81C607">
        <w:rPr>
          <w:rStyle w:val="normaltextrun"/>
          <w:rFonts w:ascii="Times New Roman" w:hAnsi="Times New Roman" w:eastAsia="Times New Roman" w:cs="Times New Roman"/>
          <w:sz w:val="24"/>
          <w:szCs w:val="24"/>
        </w:rPr>
        <w:t xml:space="preserve"> infringed upon their</w:t>
      </w:r>
      <w:r w:rsidRPr="3D81C607" w:rsidR="3D81C607">
        <w:rPr>
          <w:rStyle w:val="normaltextrun"/>
          <w:rFonts w:ascii="Times New Roman" w:hAnsi="Times New Roman" w:eastAsia="Times New Roman" w:cs="Times New Roman"/>
          <w:sz w:val="24"/>
          <w:szCs w:val="24"/>
        </w:rPr>
        <w:t xml:space="preserve"> rights to freedom from discrimination</w:t>
      </w:r>
      <w:r w:rsidRPr="3D81C607" w:rsidR="3D81C607">
        <w:rPr>
          <w:rStyle w:val="normaltextrun"/>
          <w:rFonts w:ascii="Times New Roman" w:hAnsi="Times New Roman" w:eastAsia="Times New Roman" w:cs="Times New Roman"/>
          <w:sz w:val="24"/>
          <w:szCs w:val="24"/>
        </w:rPr>
        <w:t xml:space="preserve"> and </w:t>
      </w:r>
      <w:r w:rsidRPr="3D81C607" w:rsidR="3D81C607">
        <w:rPr>
          <w:rStyle w:val="normaltextrun"/>
          <w:rFonts w:ascii="Times New Roman" w:hAnsi="Times New Roman" w:eastAsia="Times New Roman" w:cs="Times New Roman"/>
          <w:sz w:val="24"/>
          <w:szCs w:val="24"/>
        </w:rPr>
        <w:t>produced a stigma attached to</w:t>
      </w:r>
      <w:r w:rsidRPr="3D81C607" w:rsidR="3D81C607">
        <w:rPr>
          <w:rStyle w:val="normaltextrun"/>
          <w:rFonts w:ascii="Times New Roman" w:hAnsi="Times New Roman" w:eastAsia="Times New Roman" w:cs="Times New Roman"/>
          <w:sz w:val="24"/>
          <w:szCs w:val="24"/>
        </w:rPr>
        <w:t xml:space="preserve"> identities that</w:t>
      </w:r>
      <w:r w:rsidRPr="3D81C607" w:rsidR="3D81C607">
        <w:rPr>
          <w:rStyle w:val="normaltextrun"/>
          <w:rFonts w:ascii="Times New Roman" w:hAnsi="Times New Roman" w:eastAsia="Times New Roman" w:cs="Times New Roman"/>
          <w:sz w:val="24"/>
          <w:szCs w:val="24"/>
        </w:rPr>
        <w:t xml:space="preserve"> the individuals subscribed to</w:t>
      </w:r>
      <w:r w:rsidRPr="3D81C607" w:rsidR="3D81C607">
        <w:rPr>
          <w:rStyle w:val="normaltextrun"/>
          <w:rFonts w:ascii="Times New Roman" w:hAnsi="Times New Roman" w:eastAsia="Times New Roman" w:cs="Times New Roman"/>
          <w:sz w:val="24"/>
          <w:szCs w:val="24"/>
        </w:rPr>
        <w:t xml:space="preserve"> (Das, 2009).</w:t>
      </w:r>
      <w:r w:rsidRPr="3D81C607" w:rsidR="3D81C607">
        <w:rPr>
          <w:rStyle w:val="normaltextrun"/>
          <w:rFonts w:ascii="Times New Roman" w:hAnsi="Times New Roman" w:eastAsia="Times New Roman" w:cs="Times New Roman"/>
          <w:sz w:val="24"/>
          <w:szCs w:val="24"/>
        </w:rPr>
        <w:t xml:space="preserve"> </w:t>
      </w:r>
      <w:r w:rsidRPr="3D81C607" w:rsidR="3D81C607">
        <w:rPr>
          <w:rStyle w:val="normaltextrun"/>
          <w:rFonts w:ascii="Times New Roman" w:hAnsi="Times New Roman" w:eastAsia="Times New Roman" w:cs="Times New Roman"/>
          <w:sz w:val="24"/>
          <w:szCs w:val="24"/>
        </w:rPr>
        <w:t xml:space="preserve">Taylor’s claim that misrecognition of an individual’s identity is supported </w:t>
      </w:r>
      <w:r w:rsidRPr="3D81C607" w:rsidR="3D81C607">
        <w:rPr>
          <w:rStyle w:val="normaltextrun"/>
          <w:rFonts w:ascii="Times New Roman" w:hAnsi="Times New Roman" w:eastAsia="Times New Roman" w:cs="Times New Roman"/>
          <w:sz w:val="24"/>
          <w:szCs w:val="24"/>
        </w:rPr>
        <w:t>by numerous cases of abuse inflicted o</w:t>
      </w:r>
      <w:r w:rsidRPr="3D81C607" w:rsidR="3D81C607">
        <w:rPr>
          <w:rStyle w:val="normaltextrun"/>
          <w:rFonts w:ascii="Times New Roman" w:hAnsi="Times New Roman" w:eastAsia="Times New Roman" w:cs="Times New Roman"/>
          <w:sz w:val="24"/>
          <w:szCs w:val="24"/>
        </w:rPr>
        <w:t>n</w:t>
      </w:r>
      <w:r w:rsidRPr="3D81C607" w:rsidR="3D81C607">
        <w:rPr>
          <w:rStyle w:val="normaltextrun"/>
          <w:rFonts w:ascii="Times New Roman" w:hAnsi="Times New Roman" w:eastAsia="Times New Roman" w:cs="Times New Roman"/>
          <w:sz w:val="24"/>
          <w:szCs w:val="24"/>
        </w:rPr>
        <w:t xml:space="preserve"> LGBTI </w:t>
      </w:r>
      <w:r w:rsidRPr="3D81C607" w:rsidR="3D81C607">
        <w:rPr>
          <w:rStyle w:val="normaltextrun"/>
          <w:rFonts w:ascii="Times New Roman" w:hAnsi="Times New Roman" w:eastAsia="Times New Roman" w:cs="Times New Roman"/>
          <w:sz w:val="24"/>
          <w:szCs w:val="24"/>
        </w:rPr>
        <w:t xml:space="preserve">individuals purely due to their </w:t>
      </w:r>
      <w:r w:rsidRPr="3D81C607" w:rsidR="3D81C607">
        <w:rPr>
          <w:rStyle w:val="normaltextrun"/>
          <w:rFonts w:ascii="Times New Roman" w:hAnsi="Times New Roman" w:eastAsia="Times New Roman" w:cs="Times New Roman"/>
          <w:sz w:val="24"/>
          <w:szCs w:val="24"/>
        </w:rPr>
        <w:t>perceived or actual gender identity or sexual orientation (</w:t>
      </w:r>
      <w:r w:rsidRPr="3D81C607" w:rsidR="3D81C607">
        <w:rPr>
          <w:rStyle w:val="normaltextrun"/>
          <w:rFonts w:ascii="Times New Roman" w:hAnsi="Times New Roman" w:eastAsia="Times New Roman" w:cs="Times New Roman"/>
          <w:sz w:val="24"/>
          <w:szCs w:val="24"/>
        </w:rPr>
        <w:t>IACHR</w:t>
      </w:r>
      <w:r w:rsidRPr="3D81C607" w:rsidR="3D81C607">
        <w:rPr>
          <w:rStyle w:val="normaltextrun"/>
          <w:rFonts w:ascii="Times New Roman" w:hAnsi="Times New Roman" w:eastAsia="Times New Roman" w:cs="Times New Roman"/>
          <w:sz w:val="24"/>
          <w:szCs w:val="24"/>
        </w:rPr>
        <w:t>, 2014).</w:t>
      </w:r>
    </w:p>
    <w:p w:rsidR="252DA4C1" w:rsidP="54B3E25C" w:rsidRDefault="252DA4C1" w14:paraId="4DA8F3A2" w14:textId="3B53A71E">
      <w:pPr>
        <w:spacing w:line="480" w:lineRule="auto"/>
        <w:rPr>
          <w:rFonts w:ascii="Times New Roman" w:hAnsi="Times New Roman" w:eastAsia="Times New Roman" w:cs="Times New Roman"/>
          <w:sz w:val="24"/>
          <w:szCs w:val="24"/>
        </w:rPr>
      </w:pPr>
      <w:r w:rsidRPr="54B3E25C" w:rsidR="54B3E25C">
        <w:rPr>
          <w:rFonts w:ascii="Times New Roman" w:hAnsi="Times New Roman" w:eastAsia="Times New Roman" w:cs="Times New Roman"/>
          <w:sz w:val="24"/>
          <w:szCs w:val="24"/>
        </w:rPr>
        <w:t xml:space="preserve">Sexual reassignment surgery is legal in Iran despite homosexuality remaining punishable by imprisonment or death. Jafari expressed that this “is a way to force non-heteronormative genders to fit into categories of male and female in order to prevent acts that fall outside gender binaries” (Jafari, </w:t>
      </w:r>
      <w:hyperlink r:id="R2443f68999b8406f">
        <w:r w:rsidRPr="54B3E25C" w:rsidR="54B3E25C">
          <w:rPr>
            <w:rStyle w:val="Hyperlink"/>
            <w:rFonts w:ascii="Times New Roman" w:hAnsi="Times New Roman" w:eastAsia="Times New Roman" w:cs="Times New Roman"/>
            <w:color w:val="auto"/>
            <w:sz w:val="24"/>
            <w:szCs w:val="24"/>
            <w:u w:val="none"/>
          </w:rPr>
          <w:t>2014</w:t>
        </w:r>
      </w:hyperlink>
      <w:r w:rsidRPr="54B3E25C" w:rsidR="54B3E25C">
        <w:rPr>
          <w:rFonts w:ascii="Times New Roman" w:hAnsi="Times New Roman" w:eastAsia="Times New Roman" w:cs="Times New Roman"/>
          <w:color w:val="auto"/>
          <w:sz w:val="24"/>
          <w:szCs w:val="24"/>
          <w:u w:val="none"/>
        </w:rPr>
        <w:t>, 33) and that the purpose of legalizing sex-change surgery is to allow the Iranian state to manipulate gender and sexuality (</w:t>
      </w:r>
      <w:proofErr w:type="spellStart"/>
      <w:r w:rsidRPr="54B3E25C" w:rsidR="54B3E25C">
        <w:rPr>
          <w:rFonts w:ascii="Times New Roman" w:hAnsi="Times New Roman" w:eastAsia="Times New Roman" w:cs="Times New Roman"/>
          <w:color w:val="auto"/>
          <w:sz w:val="24"/>
          <w:szCs w:val="24"/>
          <w:u w:val="none"/>
        </w:rPr>
        <w:t>Najmabadi</w:t>
      </w:r>
      <w:proofErr w:type="spellEnd"/>
      <w:r w:rsidRPr="54B3E25C" w:rsidR="54B3E25C">
        <w:rPr>
          <w:rFonts w:ascii="Times New Roman" w:hAnsi="Times New Roman" w:eastAsia="Times New Roman" w:cs="Times New Roman"/>
          <w:color w:val="auto"/>
          <w:sz w:val="24"/>
          <w:szCs w:val="24"/>
          <w:u w:val="none"/>
        </w:rPr>
        <w:t xml:space="preserve">, </w:t>
      </w:r>
      <w:hyperlink r:id="R21a1093bae474efd">
        <w:r w:rsidRPr="54B3E25C" w:rsidR="54B3E25C">
          <w:rPr>
            <w:rStyle w:val="Hyperlink"/>
            <w:rFonts w:ascii="Times New Roman" w:hAnsi="Times New Roman" w:eastAsia="Times New Roman" w:cs="Times New Roman"/>
            <w:color w:val="auto"/>
            <w:sz w:val="24"/>
            <w:szCs w:val="24"/>
            <w:u w:val="none"/>
          </w:rPr>
          <w:t>2014</w:t>
        </w:r>
      </w:hyperlink>
      <w:r w:rsidRPr="54B3E25C" w:rsidR="54B3E25C">
        <w:rPr>
          <w:rFonts w:ascii="Times New Roman" w:hAnsi="Times New Roman" w:eastAsia="Times New Roman" w:cs="Times New Roman"/>
          <w:color w:val="auto"/>
          <w:sz w:val="24"/>
          <w:szCs w:val="24"/>
          <w:u w:val="none"/>
        </w:rPr>
        <w:t xml:space="preserve">). A study by </w:t>
      </w:r>
      <w:proofErr w:type="spellStart"/>
      <w:r w:rsidRPr="54B3E25C" w:rsidR="54B3E25C">
        <w:rPr>
          <w:rFonts w:ascii="Times New Roman" w:hAnsi="Times New Roman" w:eastAsia="Times New Roman" w:cs="Times New Roman"/>
          <w:sz w:val="24"/>
          <w:szCs w:val="24"/>
        </w:rPr>
        <w:t>Saeidzadeh</w:t>
      </w:r>
      <w:proofErr w:type="spellEnd"/>
      <w:r w:rsidRPr="54B3E25C" w:rsidR="54B3E25C">
        <w:rPr>
          <w:rFonts w:ascii="Times New Roman" w:hAnsi="Times New Roman" w:eastAsia="Times New Roman" w:cs="Times New Roman"/>
          <w:sz w:val="24"/>
          <w:szCs w:val="24"/>
        </w:rPr>
        <w:t xml:space="preserve"> (2016) sought to investigate how transsexual people in Iran understand their gender and struggle to overcome misrecognition through resisting the heteronormative perceptions of sexuality. </w:t>
      </w:r>
      <w:proofErr w:type="spellStart"/>
      <w:r w:rsidRPr="54B3E25C" w:rsidR="54B3E25C">
        <w:rPr>
          <w:rFonts w:ascii="Times New Roman" w:hAnsi="Times New Roman" w:eastAsia="Times New Roman" w:cs="Times New Roman"/>
          <w:sz w:val="24"/>
          <w:szCs w:val="24"/>
        </w:rPr>
        <w:t>Najmabadi</w:t>
      </w:r>
      <w:proofErr w:type="spellEnd"/>
      <w:r w:rsidRPr="54B3E25C" w:rsidR="54B3E25C">
        <w:rPr>
          <w:rFonts w:ascii="Times New Roman" w:hAnsi="Times New Roman" w:eastAsia="Times New Roman" w:cs="Times New Roman"/>
          <w:sz w:val="24"/>
          <w:szCs w:val="24"/>
        </w:rPr>
        <w:t xml:space="preserve"> (2014) argued that different actions such as putting on makeup, heavy lifting or doing the laundry, produce a sense of being either a man or woman rather than having a specific set of genitalia.</w:t>
      </w:r>
    </w:p>
    <w:p w:rsidRPr="00B662C1" w:rsidR="006D39C2" w:rsidP="3D81C607" w:rsidRDefault="006D39C2" w14:paraId="3C7684A4" w14:textId="62FC8A31">
      <w:pPr>
        <w:spacing w:line="480" w:lineRule="auto"/>
        <w:rPr>
          <w:rFonts w:ascii="Times New Roman" w:hAnsi="Times New Roman" w:eastAsia="Times New Roman" w:cs="Times New Roman"/>
          <w:sz w:val="24"/>
          <w:szCs w:val="24"/>
        </w:rPr>
      </w:pPr>
      <w:r w:rsidRPr="3D81C607" w:rsidR="3D81C607">
        <w:rPr>
          <w:rFonts w:ascii="Times New Roman" w:hAnsi="Times New Roman" w:eastAsia="Times New Roman" w:cs="Times New Roman"/>
          <w:sz w:val="24"/>
          <w:szCs w:val="24"/>
        </w:rPr>
        <w:t>A number of</w:t>
      </w:r>
      <w:r w:rsidRPr="3D81C607" w:rsidR="3D81C607">
        <w:rPr>
          <w:rFonts w:ascii="Times New Roman" w:hAnsi="Times New Roman" w:eastAsia="Times New Roman" w:cs="Times New Roman"/>
          <w:sz w:val="24"/>
          <w:szCs w:val="24"/>
        </w:rPr>
        <w:t xml:space="preserve"> studies have reported higher incidences of mental disorders and suicidal feelings among those who identify as sexually diverse, compared to heterosexuals, such as King et al (2008), who reported that the risk of suffering from depression, anxiety or alcohol and substance dependency was at least 1.5 times higher in gay, lesbian and bisexual people</w:t>
      </w:r>
      <w:r w:rsidRPr="3D81C607" w:rsidR="3D81C607">
        <w:rPr>
          <w:rFonts w:ascii="Times New Roman" w:hAnsi="Times New Roman" w:eastAsia="Times New Roman" w:cs="Times New Roman"/>
          <w:sz w:val="24"/>
          <w:szCs w:val="24"/>
        </w:rPr>
        <w:t>,</w:t>
      </w:r>
      <w:r w:rsidRPr="3D81C607" w:rsidR="3D81C607">
        <w:rPr>
          <w:rFonts w:ascii="Times New Roman" w:hAnsi="Times New Roman" w:eastAsia="Times New Roman" w:cs="Times New Roman"/>
          <w:sz w:val="24"/>
          <w:szCs w:val="24"/>
        </w:rPr>
        <w:t xml:space="preserve"> </w:t>
      </w:r>
      <w:r w:rsidRPr="3D81C607" w:rsidR="3D81C607">
        <w:rPr>
          <w:rFonts w:ascii="Times New Roman" w:hAnsi="Times New Roman" w:eastAsia="Times New Roman" w:cs="Times New Roman"/>
          <w:sz w:val="24"/>
          <w:szCs w:val="24"/>
        </w:rPr>
        <w:t>due</w:t>
      </w:r>
      <w:r w:rsidRPr="3D81C607" w:rsidR="3D81C607">
        <w:rPr>
          <w:rFonts w:ascii="Times New Roman" w:hAnsi="Times New Roman" w:eastAsia="Times New Roman" w:cs="Times New Roman"/>
          <w:sz w:val="24"/>
          <w:szCs w:val="24"/>
        </w:rPr>
        <w:t xml:space="preserve"> </w:t>
      </w:r>
      <w:r w:rsidRPr="3D81C607" w:rsidR="3D81C607">
        <w:rPr>
          <w:rFonts w:ascii="Times New Roman" w:hAnsi="Times New Roman" w:eastAsia="Times New Roman" w:cs="Times New Roman"/>
          <w:sz w:val="24"/>
          <w:szCs w:val="24"/>
        </w:rPr>
        <w:t xml:space="preserve">to stressors such as stigma, social hostility and discrimination that they face. </w:t>
      </w:r>
      <w:r w:rsidRPr="3D81C607" w:rsidR="3D81C607">
        <w:rPr>
          <w:rFonts w:ascii="Times New Roman" w:hAnsi="Times New Roman" w:eastAsia="Times New Roman" w:cs="Times New Roman"/>
          <w:sz w:val="24"/>
          <w:szCs w:val="24"/>
        </w:rPr>
        <w:t xml:space="preserve">Despite the sample size being large (data was collected on 214,344 heterosexual and 11,971 people who identified as sexually diverse) the study had methodological limitations including variations in the definitions of sexual orientation and mental illness and failure to recognise confounding factors (Bolton &amp; </w:t>
      </w:r>
      <w:proofErr w:type="spellStart"/>
      <w:r w:rsidRPr="3D81C607" w:rsidR="3D81C607">
        <w:rPr>
          <w:rFonts w:ascii="Times New Roman" w:hAnsi="Times New Roman" w:eastAsia="Times New Roman" w:cs="Times New Roman"/>
          <w:sz w:val="24"/>
          <w:szCs w:val="24"/>
        </w:rPr>
        <w:t>Sareen</w:t>
      </w:r>
      <w:proofErr w:type="spellEnd"/>
      <w:r w:rsidRPr="3D81C607" w:rsidR="3D81C607">
        <w:rPr>
          <w:rFonts w:ascii="Times New Roman" w:hAnsi="Times New Roman" w:eastAsia="Times New Roman" w:cs="Times New Roman"/>
          <w:sz w:val="24"/>
          <w:szCs w:val="24"/>
        </w:rPr>
        <w:t>, 2011).</w:t>
      </w:r>
    </w:p>
    <w:p w:rsidR="252DA4C1" w:rsidP="54B3E25C" w:rsidRDefault="252DA4C1" w14:paraId="15572BDC" w14:noSpellErr="1" w14:textId="12054AC6">
      <w:pPr>
        <w:spacing w:line="480" w:lineRule="auto"/>
        <w:rPr>
          <w:rFonts w:ascii="Times New Roman" w:hAnsi="Times New Roman" w:eastAsia="Times New Roman" w:cs="Times New Roman"/>
          <w:sz w:val="24"/>
          <w:szCs w:val="24"/>
        </w:rPr>
      </w:pPr>
      <w:r w:rsidRPr="54B3E25C" w:rsidR="54B3E25C">
        <w:rPr>
          <w:rFonts w:ascii="Times New Roman" w:hAnsi="Times New Roman" w:eastAsia="Times New Roman" w:cs="Times New Roman"/>
          <w:sz w:val="24"/>
          <w:szCs w:val="24"/>
        </w:rPr>
        <w:t xml:space="preserve">Possible factors in a higher incidence of poor mental health among the sexually diverse are, the degree to which an identity is positively or negatively perceived by others, known as identity valence, or the extent to which multiple identities are accepted as single merging identity, referred to as identity complexity (Ashmore et al, 2004). </w:t>
      </w:r>
    </w:p>
    <w:p w:rsidR="252DA4C1" w:rsidP="3D81C607" w:rsidRDefault="252DA4C1" w14:paraId="33C0742B" w14:noSpellErr="1" w14:textId="22FFA75E">
      <w:pPr>
        <w:spacing w:line="480" w:lineRule="auto"/>
        <w:rPr>
          <w:rFonts w:ascii="Times New Roman" w:hAnsi="Times New Roman" w:eastAsia="Times New Roman" w:cs="Times New Roman"/>
          <w:sz w:val="24"/>
          <w:szCs w:val="24"/>
        </w:rPr>
      </w:pPr>
      <w:r w:rsidRPr="3D81C607" w:rsidR="3D81C607">
        <w:rPr>
          <w:rFonts w:ascii="Times New Roman" w:hAnsi="Times New Roman" w:eastAsia="Times New Roman" w:cs="Times New Roman"/>
          <w:sz w:val="24"/>
          <w:szCs w:val="24"/>
        </w:rPr>
        <w:t xml:space="preserve">La Roi, Meyer &amp; Frost (2019) examined the direct impact of sexual identity on mental health and whether the differing sexual identities of bisexual and other sexually diverse individuals may give an insight into why people who identify as bisexual suffer a higher risk of mental health problems than other sexual minority individuals. The results found that </w:t>
      </w:r>
      <w:r w:rsidRPr="3D81C607" w:rsidR="3D81C607">
        <w:rPr>
          <w:rFonts w:ascii="Times New Roman" w:hAnsi="Times New Roman" w:eastAsia="Times New Roman" w:cs="Times New Roman"/>
          <w:sz w:val="24"/>
          <w:szCs w:val="24"/>
        </w:rPr>
        <w:t xml:space="preserve">fewer </w:t>
      </w:r>
      <w:r w:rsidRPr="3D81C607" w:rsidR="3D81C607">
        <w:rPr>
          <w:rFonts w:ascii="Times New Roman" w:hAnsi="Times New Roman" w:eastAsia="Times New Roman" w:cs="Times New Roman"/>
          <w:sz w:val="24"/>
          <w:szCs w:val="24"/>
        </w:rPr>
        <w:t>bisexual individuals had come out to their families and had higher levels of internalized homophobia than other sexual minority participants. Both groups of participants considered their sexual identities as important, but bisexual participants were more likely than other sexual minority participants to view their sexuality negatively, suggesting that their bisexual identity was less integrated with other identities, such as social and personal. The findings of this study demonstrate the importance of recognition of the identities of sexually diverse individuals; however, these findings are limited due to the data used being ten years old, which may no longer reflect the identity of bisexuality as viewed by society.</w:t>
      </w:r>
    </w:p>
    <w:p w:rsidR="252DA4C1" w:rsidP="3D81C607" w:rsidRDefault="252DA4C1" w14:paraId="383EFCC0" w14:textId="2C572E6E">
      <w:pPr>
        <w:pStyle w:val="Normal"/>
        <w:spacing w:line="480" w:lineRule="auto"/>
        <w:rPr>
          <w:rFonts w:ascii="Times New Roman" w:hAnsi="Times New Roman" w:eastAsia="Times New Roman" w:cs="Times New Roman"/>
          <w:sz w:val="24"/>
          <w:szCs w:val="24"/>
        </w:rPr>
      </w:pPr>
      <w:r w:rsidRPr="3D81C607" w:rsidR="3D81C607">
        <w:rPr>
          <w:rFonts w:ascii="Times New Roman" w:hAnsi="Times New Roman" w:eastAsia="Times New Roman" w:cs="Times New Roman"/>
          <w:sz w:val="24"/>
          <w:szCs w:val="24"/>
        </w:rPr>
        <w:t xml:space="preserve">The identity and self-image of an individual can also be negatively impacted by a disability due to the potential stigma </w:t>
      </w:r>
      <w:r w:rsidRPr="3D81C607" w:rsidR="3D81C607">
        <w:rPr>
          <w:rFonts w:ascii="Times New Roman" w:hAnsi="Times New Roman" w:eastAsia="Times New Roman" w:cs="Times New Roman"/>
          <w:sz w:val="24"/>
          <w:szCs w:val="24"/>
        </w:rPr>
        <w:t>attached, and often not being able to choose when they disclose their disability to sexual partners, coupled with the anxiety of experiencing rejection by said partners (</w:t>
      </w:r>
      <w:proofErr w:type="spellStart"/>
      <w:r w:rsidRPr="3D81C607" w:rsidR="3D81C607">
        <w:rPr>
          <w:rFonts w:ascii="Times New Roman" w:hAnsi="Times New Roman" w:eastAsia="Times New Roman" w:cs="Times New Roman"/>
          <w:sz w:val="24"/>
          <w:szCs w:val="24"/>
        </w:rPr>
        <w:t>Esmail</w:t>
      </w:r>
      <w:proofErr w:type="spellEnd"/>
      <w:r w:rsidRPr="3D81C607" w:rsidR="3D81C607">
        <w:rPr>
          <w:rFonts w:ascii="Times New Roman" w:hAnsi="Times New Roman" w:eastAsia="Times New Roman" w:cs="Times New Roman"/>
          <w:sz w:val="24"/>
          <w:szCs w:val="24"/>
        </w:rPr>
        <w:t xml:space="preserve">, et al, 2010). However, a study found a common trend among the experiences of participants with a disability, of </w:t>
      </w:r>
      <w:r w:rsidRPr="3D81C607" w:rsidR="3D81C607">
        <w:rPr>
          <w:rFonts w:ascii="Times New Roman" w:hAnsi="Times New Roman" w:eastAsia="Times New Roman" w:cs="Times New Roman"/>
          <w:sz w:val="24"/>
          <w:szCs w:val="24"/>
        </w:rPr>
        <w:t>enhanc</w:t>
      </w:r>
      <w:r w:rsidRPr="3D81C607" w:rsidR="3D81C607">
        <w:rPr>
          <w:rFonts w:ascii="Times New Roman" w:hAnsi="Times New Roman" w:eastAsia="Times New Roman" w:cs="Times New Roman"/>
          <w:sz w:val="24"/>
          <w:szCs w:val="24"/>
        </w:rPr>
        <w:t>ed sexual communication following disclosure of their disability to a partner (</w:t>
      </w:r>
      <w:proofErr w:type="spellStart"/>
      <w:r w:rsidRPr="3D81C607" w:rsidR="3D81C607">
        <w:rPr>
          <w:rFonts w:ascii="Times New Roman" w:hAnsi="Times New Roman" w:eastAsia="Times New Roman" w:cs="Times New Roman"/>
          <w:sz w:val="24"/>
          <w:szCs w:val="24"/>
        </w:rPr>
        <w:t>Kattari</w:t>
      </w:r>
      <w:proofErr w:type="spellEnd"/>
      <w:r w:rsidRPr="3D81C607" w:rsidR="3D81C607">
        <w:rPr>
          <w:rFonts w:ascii="Times New Roman" w:hAnsi="Times New Roman" w:eastAsia="Times New Roman" w:cs="Times New Roman"/>
          <w:sz w:val="24"/>
          <w:szCs w:val="24"/>
        </w:rPr>
        <w:t>, 2015).</w:t>
      </w:r>
    </w:p>
    <w:p w:rsidR="3D81C607" w:rsidP="54B3E25C" w:rsidRDefault="3D81C607" w14:paraId="7FFACBC3" w14:textId="201D305A">
      <w:pPr>
        <w:pStyle w:val="Normal"/>
        <w:spacing w:line="480" w:lineRule="auto"/>
        <w:ind/>
        <w:rPr>
          <w:rFonts w:ascii="Times New Roman" w:hAnsi="Times New Roman" w:eastAsia="Times New Roman" w:cs="Times New Roman"/>
          <w:sz w:val="24"/>
          <w:szCs w:val="24"/>
        </w:rPr>
      </w:pPr>
      <w:r w:rsidRPr="54B3E25C" w:rsidR="54B3E25C">
        <w:rPr>
          <w:rFonts w:ascii="Times New Roman" w:hAnsi="Times New Roman" w:eastAsia="Times New Roman" w:cs="Times New Roman"/>
          <w:sz w:val="24"/>
          <w:szCs w:val="24"/>
        </w:rPr>
        <w:t>Bartholomew et al (2018) explored the prior counselling experiences of cisgender and transgender participants using regression models to evaluate the relationship between gender identity and prior mental health problems. Knowing how to effectively counsel individuals who identify as sexually diverse is more important than ever, as many therapists will work with at least one transgender client during their careers (Chavez-</w:t>
      </w:r>
      <w:proofErr w:type="spellStart"/>
      <w:r w:rsidRPr="54B3E25C" w:rsidR="54B3E25C">
        <w:rPr>
          <w:rFonts w:ascii="Times New Roman" w:hAnsi="Times New Roman" w:eastAsia="Times New Roman" w:cs="Times New Roman"/>
          <w:sz w:val="24"/>
          <w:szCs w:val="24"/>
        </w:rPr>
        <w:t>Korell</w:t>
      </w:r>
      <w:proofErr w:type="spellEnd"/>
      <w:r w:rsidRPr="54B3E25C" w:rsidR="54B3E25C">
        <w:rPr>
          <w:rFonts w:ascii="Times New Roman" w:hAnsi="Times New Roman" w:eastAsia="Times New Roman" w:cs="Times New Roman"/>
          <w:sz w:val="24"/>
          <w:szCs w:val="24"/>
        </w:rPr>
        <w:t xml:space="preserve"> &amp; Lorah, 2007) and transgender patients with a history of previous counselling and medication typically experience a slower recovery than those without (Boswell et al, 2012). Common struggles faced by such individuals can include traumatic experiences, depression, substance abuse and harassment, with suicidal ideation reaching 84% among transgender people who do not seek treatment (Bailey, Ellis &amp; McNeil, 2014). This study had an advantage of using a larger sample, of 200,000 participants seeking university counselling services, than previous studies, and highlighted the importance of a nuanced, personalised approach to their treatment from the therapist. However, it also presented limitations including the few choices participants had on the form to identify their gender (the only options were: man, woman, transgender or self-identify) and those who selected ‘self-identify’ were omitted from the study, rendering the research unable to be generalized to all transgender clients in varying stages of their journey.</w:t>
      </w:r>
    </w:p>
    <w:p w:rsidR="3D81C607" w:rsidP="7D82B2F3" w:rsidRDefault="3D81C607" w14:paraId="50D2564B" w14:textId="1C6D7C9B">
      <w:pPr>
        <w:pStyle w:val="Normal"/>
        <w:spacing w:line="480" w:lineRule="auto"/>
        <w:ind w:left="0"/>
        <w:rPr>
          <w:rFonts w:ascii="Times New Roman" w:hAnsi="Times New Roman" w:eastAsia="Times New Roman" w:cs="Times New Roman"/>
          <w:noProof w:val="0"/>
          <w:sz w:val="24"/>
          <w:szCs w:val="24"/>
          <w:lang w:val="en-GB"/>
        </w:rPr>
      </w:pPr>
      <w:r w:rsidRPr="7D82B2F3" w:rsidR="7D82B2F3">
        <w:rPr>
          <w:rFonts w:ascii="Times New Roman" w:hAnsi="Times New Roman" w:eastAsia="Times New Roman" w:cs="Times New Roman"/>
          <w:noProof w:val="0"/>
          <w:sz w:val="24"/>
          <w:szCs w:val="24"/>
          <w:lang w:val="en-GB"/>
        </w:rPr>
        <w:t xml:space="preserve">It is generally </w:t>
      </w:r>
      <w:r w:rsidRPr="7D82B2F3" w:rsidR="7D82B2F3">
        <w:rPr>
          <w:rFonts w:ascii="Times New Roman" w:hAnsi="Times New Roman" w:eastAsia="Times New Roman" w:cs="Times New Roman"/>
          <w:noProof w:val="0"/>
          <w:sz w:val="24"/>
          <w:szCs w:val="24"/>
          <w:lang w:val="en-GB"/>
        </w:rPr>
        <w:t>believed</w:t>
      </w:r>
      <w:r w:rsidRPr="7D82B2F3" w:rsidR="7D82B2F3">
        <w:rPr>
          <w:rFonts w:ascii="Times New Roman" w:hAnsi="Times New Roman" w:eastAsia="Times New Roman" w:cs="Times New Roman"/>
          <w:noProof w:val="0"/>
          <w:sz w:val="24"/>
          <w:szCs w:val="24"/>
          <w:lang w:val="en-GB"/>
        </w:rPr>
        <w:t xml:space="preserve"> that </w:t>
      </w:r>
      <w:r w:rsidRPr="7D82B2F3" w:rsidR="7D82B2F3">
        <w:rPr>
          <w:rFonts w:ascii="Times New Roman" w:hAnsi="Times New Roman" w:eastAsia="Times New Roman" w:cs="Times New Roman"/>
          <w:noProof w:val="0"/>
          <w:sz w:val="24"/>
          <w:szCs w:val="24"/>
          <w:lang w:val="en-GB"/>
        </w:rPr>
        <w:t>t</w:t>
      </w:r>
      <w:r w:rsidRPr="7D82B2F3" w:rsidR="7D82B2F3">
        <w:rPr>
          <w:rFonts w:ascii="Times New Roman" w:hAnsi="Times New Roman" w:eastAsia="Times New Roman" w:cs="Times New Roman"/>
          <w:noProof w:val="0"/>
          <w:sz w:val="24"/>
          <w:szCs w:val="24"/>
          <w:lang w:val="en-GB"/>
        </w:rPr>
        <w:t>he</w:t>
      </w:r>
      <w:r w:rsidRPr="7D82B2F3" w:rsidR="7D82B2F3">
        <w:rPr>
          <w:rFonts w:ascii="Times New Roman" w:hAnsi="Times New Roman" w:eastAsia="Times New Roman" w:cs="Times New Roman"/>
          <w:noProof w:val="0"/>
          <w:sz w:val="24"/>
          <w:szCs w:val="24"/>
          <w:lang w:val="en-GB"/>
        </w:rPr>
        <w:t xml:space="preserve"> relationship between the therapist and the patient has a crucial impact on treatment effectiveness and outcome, and can be viewed as a working alliance, where both parties make their own contribution to the work (</w:t>
      </w:r>
      <w:proofErr w:type="spellStart"/>
      <w:r w:rsidRPr="7D82B2F3" w:rsidR="7D82B2F3">
        <w:rPr>
          <w:rFonts w:ascii="Times New Roman" w:hAnsi="Times New Roman" w:eastAsia="Times New Roman" w:cs="Times New Roman"/>
          <w:noProof w:val="0"/>
          <w:sz w:val="24"/>
          <w:szCs w:val="24"/>
          <w:lang w:val="en-GB"/>
        </w:rPr>
        <w:t>Gelso</w:t>
      </w:r>
      <w:proofErr w:type="spellEnd"/>
      <w:r w:rsidRPr="7D82B2F3" w:rsidR="7D82B2F3">
        <w:rPr>
          <w:rFonts w:ascii="Times New Roman" w:hAnsi="Times New Roman" w:eastAsia="Times New Roman" w:cs="Times New Roman"/>
          <w:noProof w:val="0"/>
          <w:sz w:val="24"/>
          <w:szCs w:val="24"/>
          <w:lang w:val="en-GB"/>
        </w:rPr>
        <w:t xml:space="preserve">, 2004, within Kelley, 2015). It is common for </w:t>
      </w:r>
      <w:r w:rsidRPr="7D82B2F3" w:rsidR="7D82B2F3">
        <w:rPr>
          <w:rFonts w:ascii="Times New Roman" w:hAnsi="Times New Roman" w:eastAsia="Times New Roman" w:cs="Times New Roman"/>
          <w:noProof w:val="0"/>
          <w:sz w:val="24"/>
          <w:szCs w:val="24"/>
          <w:lang w:val="en-GB"/>
        </w:rPr>
        <w:t>many</w:t>
      </w:r>
      <w:r w:rsidRPr="7D82B2F3" w:rsidR="7D82B2F3">
        <w:rPr>
          <w:rFonts w:ascii="Times New Roman" w:hAnsi="Times New Roman" w:eastAsia="Times New Roman" w:cs="Times New Roman"/>
          <w:noProof w:val="0"/>
          <w:sz w:val="24"/>
          <w:szCs w:val="24"/>
          <w:lang w:val="en-GB"/>
        </w:rPr>
        <w:t xml:space="preserve"> sexually diverse clients to experience negative or unhelpful therapeutic practice, where therapists have shown lack of knowledge about their </w:t>
      </w:r>
      <w:r w:rsidRPr="7D82B2F3" w:rsidR="7D82B2F3">
        <w:rPr>
          <w:rFonts w:ascii="Times New Roman" w:hAnsi="Times New Roman" w:eastAsia="Times New Roman" w:cs="Times New Roman"/>
          <w:noProof w:val="0"/>
          <w:sz w:val="24"/>
          <w:szCs w:val="24"/>
          <w:lang w:val="en-GB"/>
        </w:rPr>
        <w:t xml:space="preserve">client’s sexual identity, heterosexual bias, or even attempted to change their sexual orientation (Israel et al, 2008). This study found that aspects contributing to a positive therapy experience included respect, trust, listening and confidentiality on behalf of the therapist, while having a therapist who </w:t>
      </w:r>
      <w:r w:rsidRPr="7D82B2F3" w:rsidR="7D82B2F3">
        <w:rPr>
          <w:rFonts w:ascii="Times New Roman" w:hAnsi="Times New Roman" w:eastAsia="Times New Roman" w:cs="Times New Roman"/>
          <w:noProof w:val="0"/>
          <w:sz w:val="24"/>
          <w:szCs w:val="24"/>
          <w:lang w:val="en-GB"/>
        </w:rPr>
        <w:t>was perceived as</w:t>
      </w:r>
      <w:r w:rsidRPr="7D82B2F3" w:rsidR="7D82B2F3">
        <w:rPr>
          <w:rFonts w:ascii="Times New Roman" w:hAnsi="Times New Roman" w:eastAsia="Times New Roman" w:cs="Times New Roman"/>
          <w:noProof w:val="0"/>
          <w:sz w:val="24"/>
          <w:szCs w:val="24"/>
          <w:lang w:val="en-GB"/>
        </w:rPr>
        <w:t xml:space="preserve"> cold, disengaged and uncaring was likely to result in an unhelpful therapy experience.</w:t>
      </w:r>
    </w:p>
    <w:p w:rsidR="3D81C607" w:rsidP="54B3E25C" w:rsidRDefault="3D81C607" w14:paraId="3E1FCD49" w14:textId="49670C05">
      <w:pPr>
        <w:pStyle w:val="Normal"/>
        <w:spacing w:after="160" w:line="480" w:lineRule="auto"/>
        <w:ind w:left="0"/>
        <w:rPr>
          <w:rFonts w:ascii="Times New Roman" w:hAnsi="Times New Roman" w:eastAsia="Times New Roman" w:cs="Times New Roman"/>
          <w:noProof w:val="0"/>
          <w:sz w:val="24"/>
          <w:szCs w:val="24"/>
          <w:lang w:val="en-GB"/>
        </w:rPr>
      </w:pPr>
      <w:r w:rsidRPr="54B3E25C" w:rsidR="54B3E25C">
        <w:rPr>
          <w:rFonts w:ascii="Times New Roman" w:hAnsi="Times New Roman" w:eastAsia="Times New Roman" w:cs="Times New Roman"/>
          <w:noProof w:val="0"/>
          <w:sz w:val="24"/>
          <w:szCs w:val="24"/>
          <w:lang w:val="en-GB"/>
        </w:rPr>
        <w:t xml:space="preserve">According to Sue &amp; Sue (2008) counselling the culturally diverse involves three competencies; first, the helper (or therapist) </w:t>
      </w:r>
      <w:proofErr w:type="gramStart"/>
      <w:r w:rsidRPr="54B3E25C" w:rsidR="54B3E25C">
        <w:rPr>
          <w:rFonts w:ascii="Times New Roman" w:hAnsi="Times New Roman" w:eastAsia="Times New Roman" w:cs="Times New Roman"/>
          <w:noProof w:val="0"/>
          <w:sz w:val="24"/>
          <w:szCs w:val="24"/>
          <w:lang w:val="en-GB"/>
        </w:rPr>
        <w:t>has to</w:t>
      </w:r>
      <w:proofErr w:type="gramEnd"/>
      <w:r w:rsidRPr="54B3E25C" w:rsidR="54B3E25C">
        <w:rPr>
          <w:rFonts w:ascii="Times New Roman" w:hAnsi="Times New Roman" w:eastAsia="Times New Roman" w:cs="Times New Roman"/>
          <w:noProof w:val="0"/>
          <w:sz w:val="24"/>
          <w:szCs w:val="24"/>
          <w:lang w:val="en-GB"/>
        </w:rPr>
        <w:t xml:space="preserve"> actively become aware of their own assumptions and biases about human behaviour and second, they will attempt to understand the worldview of their client, who may be culturally different. Finally, the helper must apply appropriate intervention strategies and develop goals that integrate with the cultural values and experience of the client. One approach to counselling will not fit all and </w:t>
      </w:r>
      <w:proofErr w:type="spellStart"/>
      <w:r w:rsidRPr="54B3E25C" w:rsidR="54B3E25C">
        <w:rPr>
          <w:rFonts w:ascii="Times New Roman" w:hAnsi="Times New Roman" w:eastAsia="Times New Roman" w:cs="Times New Roman"/>
          <w:noProof w:val="0"/>
          <w:sz w:val="24"/>
          <w:szCs w:val="24"/>
          <w:lang w:val="en-GB"/>
        </w:rPr>
        <w:t>and</w:t>
      </w:r>
      <w:proofErr w:type="spellEnd"/>
      <w:r w:rsidRPr="54B3E25C" w:rsidR="54B3E25C">
        <w:rPr>
          <w:rFonts w:ascii="Times New Roman" w:hAnsi="Times New Roman" w:eastAsia="Times New Roman" w:cs="Times New Roman"/>
          <w:noProof w:val="0"/>
          <w:sz w:val="24"/>
          <w:szCs w:val="24"/>
          <w:lang w:val="en-GB"/>
        </w:rPr>
        <w:t xml:space="preserve"> applying the same techniques to every client may </w:t>
      </w:r>
      <w:proofErr w:type="gramStart"/>
      <w:r w:rsidRPr="54B3E25C" w:rsidR="54B3E25C">
        <w:rPr>
          <w:rFonts w:ascii="Times New Roman" w:hAnsi="Times New Roman" w:eastAsia="Times New Roman" w:cs="Times New Roman"/>
          <w:noProof w:val="0"/>
          <w:sz w:val="24"/>
          <w:szCs w:val="24"/>
          <w:lang w:val="en-GB"/>
        </w:rPr>
        <w:t>actually be</w:t>
      </w:r>
      <w:proofErr w:type="gramEnd"/>
      <w:r w:rsidRPr="54B3E25C" w:rsidR="54B3E25C">
        <w:rPr>
          <w:rFonts w:ascii="Times New Roman" w:hAnsi="Times New Roman" w:eastAsia="Times New Roman" w:cs="Times New Roman"/>
          <w:noProof w:val="0"/>
          <w:sz w:val="24"/>
          <w:szCs w:val="24"/>
          <w:lang w:val="en-GB"/>
        </w:rPr>
        <w:t xml:space="preserve"> discriminatory because the approach is based on the assumption that each client shares the same values and experiences.</w:t>
      </w:r>
    </w:p>
    <w:p w:rsidR="3D81C607" w:rsidP="54B3E25C" w:rsidRDefault="3D81C607" w14:paraId="16DCC94E" w14:textId="7C8589AD">
      <w:pPr>
        <w:pStyle w:val="Normal"/>
        <w:spacing w:line="480" w:lineRule="auto"/>
        <w:ind w:left="0"/>
        <w:rPr>
          <w:rFonts w:ascii="Times New Roman" w:hAnsi="Times New Roman" w:eastAsia="Times New Roman" w:cs="Times New Roman"/>
          <w:sz w:val="24"/>
          <w:szCs w:val="24"/>
        </w:rPr>
      </w:pPr>
      <w:r w:rsidRPr="54B3E25C" w:rsidR="54B3E25C">
        <w:rPr>
          <w:rFonts w:ascii="Times New Roman" w:hAnsi="Times New Roman" w:eastAsia="Times New Roman" w:cs="Times New Roman"/>
          <w:sz w:val="24"/>
          <w:szCs w:val="24"/>
        </w:rPr>
        <w:t xml:space="preserve">In conclusion, Charles Taylor’s theory of Recognition is important in application to working with people who define themselves and gender or sexually diverse for </w:t>
      </w:r>
      <w:proofErr w:type="gramStart"/>
      <w:r w:rsidRPr="54B3E25C" w:rsidR="54B3E25C">
        <w:rPr>
          <w:rFonts w:ascii="Times New Roman" w:hAnsi="Times New Roman" w:eastAsia="Times New Roman" w:cs="Times New Roman"/>
          <w:sz w:val="24"/>
          <w:szCs w:val="24"/>
        </w:rPr>
        <w:t>a number of</w:t>
      </w:r>
      <w:proofErr w:type="gramEnd"/>
      <w:r w:rsidRPr="54B3E25C" w:rsidR="54B3E25C">
        <w:rPr>
          <w:rFonts w:ascii="Times New Roman" w:hAnsi="Times New Roman" w:eastAsia="Times New Roman" w:cs="Times New Roman"/>
          <w:sz w:val="24"/>
          <w:szCs w:val="24"/>
        </w:rPr>
        <w:t xml:space="preserve"> reasons. According to Taylor, person’s identity is an understanding of who they are, and misrecognition of their identity can lead to psychological damage. This claim has been supported in several studies explored in this essay </w:t>
      </w:r>
      <w:r w:rsidRPr="54B3E25C" w:rsidR="54B3E25C">
        <w:rPr>
          <w:rFonts w:ascii="Times New Roman" w:hAnsi="Times New Roman" w:eastAsia="Times New Roman" w:cs="Times New Roman"/>
          <w:sz w:val="24"/>
          <w:szCs w:val="24"/>
        </w:rPr>
        <w:t xml:space="preserve">and Taylor’s theory of recognition has influenced </w:t>
      </w:r>
      <w:r w:rsidRPr="54B3E25C" w:rsidR="54B3E25C">
        <w:rPr>
          <w:rFonts w:ascii="Times New Roman" w:hAnsi="Times New Roman" w:eastAsia="Times New Roman" w:cs="Times New Roman"/>
          <w:sz w:val="24"/>
          <w:szCs w:val="24"/>
        </w:rPr>
        <w:t xml:space="preserve">other significant figures in the field, such as philosophers Fraser and </w:t>
      </w:r>
      <w:proofErr w:type="spellStart"/>
      <w:r w:rsidRPr="54B3E25C" w:rsidR="54B3E25C">
        <w:rPr>
          <w:rFonts w:ascii="Times New Roman" w:hAnsi="Times New Roman" w:eastAsia="Times New Roman" w:cs="Times New Roman"/>
          <w:sz w:val="24"/>
          <w:szCs w:val="24"/>
        </w:rPr>
        <w:t>Honneth</w:t>
      </w:r>
      <w:proofErr w:type="spellEnd"/>
      <w:r w:rsidRPr="54B3E25C" w:rsidR="54B3E25C">
        <w:rPr>
          <w:rFonts w:ascii="Times New Roman" w:hAnsi="Times New Roman" w:eastAsia="Times New Roman" w:cs="Times New Roman"/>
          <w:sz w:val="24"/>
          <w:szCs w:val="24"/>
        </w:rPr>
        <w:t xml:space="preserve"> (Martineau, Meer &amp; Thompson, 2012). However, Fraser and </w:t>
      </w:r>
      <w:proofErr w:type="spellStart"/>
      <w:r w:rsidRPr="54B3E25C" w:rsidR="54B3E25C">
        <w:rPr>
          <w:rFonts w:ascii="Times New Roman" w:hAnsi="Times New Roman" w:eastAsia="Times New Roman" w:cs="Times New Roman"/>
          <w:sz w:val="24"/>
          <w:szCs w:val="24"/>
        </w:rPr>
        <w:t>Honneth</w:t>
      </w:r>
      <w:proofErr w:type="spellEnd"/>
      <w:r w:rsidRPr="54B3E25C" w:rsidR="54B3E25C">
        <w:rPr>
          <w:rFonts w:ascii="Times New Roman" w:hAnsi="Times New Roman" w:eastAsia="Times New Roman" w:cs="Times New Roman"/>
          <w:sz w:val="24"/>
          <w:szCs w:val="24"/>
        </w:rPr>
        <w:t xml:space="preserve"> (2003) disagree</w:t>
      </w:r>
      <w:r w:rsidRPr="54B3E25C" w:rsidR="54B3E25C">
        <w:rPr>
          <w:rFonts w:ascii="Times New Roman" w:hAnsi="Times New Roman" w:eastAsia="Times New Roman" w:cs="Times New Roman"/>
          <w:sz w:val="24"/>
          <w:szCs w:val="24"/>
        </w:rPr>
        <w:t xml:space="preserve"> with Taylor’s emphasis on the importance of the cultural identity of a group, arguing that while we can recognise the contribution a group makes to the collective good, their identity is not to be valued.</w:t>
      </w:r>
    </w:p>
    <w:p w:rsidR="3D81C607" w:rsidP="54B3E25C" w:rsidRDefault="3D81C607" w14:paraId="239A1F0E" w14:noSpellErr="1" w14:textId="3079627C">
      <w:pPr>
        <w:pStyle w:val="Normal"/>
        <w:spacing w:line="480" w:lineRule="auto"/>
        <w:rPr>
          <w:rFonts w:ascii="Times New Roman" w:hAnsi="Times New Roman" w:eastAsia="Times New Roman" w:cs="Times New Roman"/>
          <w:sz w:val="24"/>
          <w:szCs w:val="24"/>
        </w:rPr>
      </w:pPr>
      <w:r w:rsidRPr="54B3E25C" w:rsidR="54B3E25C">
        <w:rPr>
          <w:rFonts w:ascii="Times New Roman" w:hAnsi="Times New Roman" w:eastAsia="Times New Roman" w:cs="Times New Roman"/>
          <w:sz w:val="24"/>
          <w:szCs w:val="24"/>
        </w:rPr>
        <w:t>The</w:t>
      </w:r>
      <w:r w:rsidRPr="54B3E25C" w:rsidR="54B3E25C">
        <w:rPr>
          <w:rFonts w:ascii="Times New Roman" w:hAnsi="Times New Roman" w:eastAsia="Times New Roman" w:cs="Times New Roman"/>
          <w:sz w:val="24"/>
          <w:szCs w:val="24"/>
        </w:rPr>
        <w:t xml:space="preserve"> stigma attached to the identity for gender and sexually diverse can be interpreted as misrecognition of one’s identity and mental health problems as a result, such as depression, suicide ideation and substance misuse, is widely documented in the research. Recognising another person’s identity as a therapist, is displaying basic respect for that person as a patient, and that patient is more likely to have a positive therapy experience if their therapist displays behaviours of respectfulness, active listening and acceptance. </w:t>
      </w:r>
    </w:p>
    <w:p w:rsidR="3D81C607" w:rsidP="3D81C607" w:rsidRDefault="3D81C607" w14:noSpellErr="1" w14:paraId="001E6D87" w14:textId="352AF9A1">
      <w:pPr>
        <w:pStyle w:val="Normal"/>
        <w:spacing w:line="480" w:lineRule="auto"/>
        <w:rPr>
          <w:rFonts w:ascii="Times New Roman" w:hAnsi="Times New Roman" w:eastAsia="Times New Roman" w:cs="Times New Roman"/>
          <w:sz w:val="24"/>
          <w:szCs w:val="24"/>
        </w:rPr>
      </w:pPr>
      <w:r w:rsidRPr="3D81C607" w:rsidR="3D81C607">
        <w:rPr>
          <w:rFonts w:ascii="Times New Roman" w:hAnsi="Times New Roman" w:eastAsia="Times New Roman" w:cs="Times New Roman"/>
          <w:sz w:val="24"/>
          <w:szCs w:val="24"/>
        </w:rPr>
        <w:t>Conversion therapy is now largely renounced as an outdated practice that can lead to problems such as family strain and increased risk of suicide; this can also be interpreted as an effect of misrecognition.</w:t>
      </w:r>
    </w:p>
    <w:p w:rsidR="3D81C607" w:rsidP="54B3E25C" w:rsidRDefault="3D81C607" w14:paraId="3BA44CB6" w14:noSpellErr="1" w14:textId="24CBF5E1">
      <w:pPr>
        <w:pStyle w:val="Normal"/>
        <w:spacing w:line="480" w:lineRule="auto"/>
        <w:rPr>
          <w:rFonts w:ascii="Times New Roman" w:hAnsi="Times New Roman" w:eastAsia="Times New Roman" w:cs="Times New Roman"/>
          <w:sz w:val="24"/>
          <w:szCs w:val="24"/>
        </w:rPr>
      </w:pPr>
      <w:r w:rsidRPr="54B3E25C" w:rsidR="54B3E25C">
        <w:rPr>
          <w:rFonts w:ascii="Times New Roman" w:hAnsi="Times New Roman" w:eastAsia="Times New Roman" w:cs="Times New Roman"/>
          <w:sz w:val="24"/>
          <w:szCs w:val="24"/>
        </w:rPr>
        <w:t>In summary, the application of Charles Taylor’s theory of Recognition to working with gender and sexually diverse individuals can be very useful, however the findings from the research have methodological limitations including variations in the definitions of sexual orientation and mental illness and failure to recognise confounding factors and the use of data which is old and/or not representative.</w:t>
      </w:r>
    </w:p>
    <w:p w:rsidR="54B3E25C" w:rsidP="54B3E25C" w:rsidRDefault="54B3E25C" w14:noSpellErr="1" w14:paraId="0924B781" w14:textId="095E61D3">
      <w:pPr>
        <w:pStyle w:val="Normal"/>
        <w:spacing w:line="480" w:lineRule="auto"/>
        <w:rPr>
          <w:rFonts w:ascii="Times New Roman" w:hAnsi="Times New Roman" w:eastAsia="Times New Roman" w:cs="Times New Roman"/>
          <w:sz w:val="24"/>
          <w:szCs w:val="24"/>
        </w:rPr>
      </w:pPr>
    </w:p>
    <w:p w:rsidR="54B3E25C" w:rsidP="54B3E25C" w:rsidRDefault="54B3E25C" w14:noSpellErr="1" w14:paraId="116CCF4D" w14:textId="1BFF6564">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1"/>
          <w:bCs w:val="1"/>
          <w:i w:val="0"/>
          <w:iCs w:val="0"/>
          <w:noProof w:val="0"/>
          <w:color w:val="000000" w:themeColor="text1" w:themeTint="FF" w:themeShade="FF"/>
          <w:sz w:val="24"/>
          <w:szCs w:val="24"/>
          <w:lang w:val="en-GB"/>
        </w:rPr>
        <w:t>References</w:t>
      </w:r>
    </w:p>
    <w:p w:rsidR="54B3E25C" w:rsidP="54B3E25C" w:rsidRDefault="54B3E25C" w14:noSpellErr="1" w14:paraId="7F10E193" w14:textId="2BD5DABD">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American Psychiatric Association. (1968)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Diagnostic and statistical manual of mental disorders</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(2nd ed). Washington, DC: Author.</w:t>
      </w:r>
    </w:p>
    <w:p w:rsidR="54B3E25C" w:rsidP="54B3E25C" w:rsidRDefault="54B3E25C" w14:noSpellErr="1" w14:paraId="6BFE1724" w14:textId="76EC3778">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American Psychological Association. (2000)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Guidelines for psychotherapy with lesbian, gay, and bisexual clients’,</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Retrieved 30 December 2018 from </w:t>
      </w:r>
      <w:hyperlink r:id="R2827a34611434672">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http://www.apa.org/pi/lgbt/resources/guidelines.aspx</w:t>
        </w:r>
      </w:hyperlink>
    </w:p>
    <w:p w:rsidR="54B3E25C" w:rsidP="54B3E25C" w:rsidRDefault="54B3E25C" w14:noSpellErr="1" w14:paraId="1A2D5AFC" w14:textId="5325BF85">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Bailey, L., J. Ellis, S., &amp; McNeil, J. (2014)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Suicide risk in the UK trans population and the role of gender transition in decreasing suicidal ideation and suicide attempt’, </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Mental Health Review Journal (19) pp. 209–220</w:t>
      </w:r>
    </w:p>
    <w:p w:rsidR="54B3E25C" w:rsidP="54B3E25C" w:rsidRDefault="54B3E25C" w14:paraId="3DBA4EF0" w14:textId="6FB6DEE2">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Bartholomew, T. T.,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Gundel</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B. E., Sullivan, J. W., Pérez‐Rojas, A. E. and Lockard, A. J. (2018)</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proofErr w:type="spellStart"/>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Pretreatment</w:t>
      </w:r>
      <w:proofErr w:type="spellEnd"/>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w:t>
      </w:r>
      <w:proofErr w:type="spellStart"/>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counseling</w:t>
      </w:r>
      <w:proofErr w:type="spellEnd"/>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experiences, stressors, and support differences between transgender and cisgender university students seeking mental healthcare’,</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Journal of Clinical Psychology, 0 (0), pp. 1–25</w:t>
      </w:r>
    </w:p>
    <w:p w:rsidR="54B3E25C" w:rsidP="54B3E25C" w:rsidRDefault="54B3E25C" w14:paraId="3B3A6AFD" w14:textId="2341791B">
      <w:pPr>
        <w:spacing w:before="40" w:after="0" w:line="480" w:lineRule="auto"/>
        <w:rPr>
          <w:rFonts w:ascii="Times New Roman" w:hAnsi="Times New Roman" w:eastAsia="Times New Roman" w:cs="Times New Roman"/>
          <w:b w:val="0"/>
          <w:bCs w:val="0"/>
          <w:i w:val="0"/>
          <w:iCs w:val="0"/>
          <w:noProof w:val="0"/>
          <w:color w:val="1F3763" w:themeColor="accent1" w:themeTint="FF" w:themeShade="7F"/>
          <w:sz w:val="24"/>
          <w:szCs w:val="24"/>
          <w:lang w:val="en-GB"/>
        </w:rPr>
      </w:pP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Bejzyk</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M. (2017)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Criminalization </w:t>
      </w:r>
      <w:proofErr w:type="gramStart"/>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on the Basis of</w:t>
      </w:r>
      <w:proofErr w:type="gramEnd"/>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Sexual Orientation and Gender Identity: Reframing the Dominant Human Rights Discourse to include Freedom from Torture and Inhuman and Degrading Treatment’,</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Canadian Journal of Women &amp; the Law, 29 (2), pp. 375-401</w:t>
      </w:r>
    </w:p>
    <w:p w:rsidR="54B3E25C" w:rsidP="54B3E25C" w:rsidRDefault="54B3E25C" w14:paraId="0129D2FF" w14:textId="05108E8F">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Bolton &amp;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Sareen</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(2011)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Sexual Orientation and Its Relation to Mental Disorders and Suicide Attempts: Findings </w:t>
      </w:r>
      <w:proofErr w:type="gramStart"/>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From</w:t>
      </w:r>
      <w:proofErr w:type="gramEnd"/>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a Nationally Representative Sample’,</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hyperlink r:id="R0adc872613564081">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Canadian Journal of Psychiatry</w:t>
        </w:r>
      </w:hyperlink>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w:t>
      </w:r>
      <w:hyperlink r:id="R38ac7ca8997e490b">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 xml:space="preserve"> 56 (1), pp.</w:t>
        </w:r>
      </w:hyperlink>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35-43. </w:t>
      </w:r>
    </w:p>
    <w:p w:rsidR="54B3E25C" w:rsidP="54B3E25C" w:rsidRDefault="54B3E25C" w14:paraId="2D4EAF01" w14:textId="6F75753B">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Boswell, J. F.,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McAleavey</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A. A., Castonguay, L. G., Hayes, J. A., &amp; Locke, B. D. (2012)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Previous mental health service utilization and change in clients' depressive symptoms’,</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Journal of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Counseling</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Psychology, 59, pp. 368–378.</w:t>
      </w:r>
    </w:p>
    <w:p w:rsidR="54B3E25C" w:rsidP="54B3E25C" w:rsidRDefault="54B3E25C" w14:noSpellErr="1" w14:paraId="5986621F" w14:textId="7A4511DD">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Butler, Judith (1988) ‘Performative Acts and Gender Constitution: An Essay in Phenomenology and Feminist Theory’, </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Theatre Journal. 40 (4), pp. 519–531.</w:t>
      </w:r>
    </w:p>
    <w:p w:rsidR="54B3E25C" w:rsidP="54B3E25C" w:rsidRDefault="54B3E25C" w14:paraId="1A9FD2F4" w14:textId="774738C9">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sz w:val="24"/>
          <w:szCs w:val="24"/>
          <w:lang w:val="en-GB"/>
        </w:rPr>
        <w:t>Chavez‐</w:t>
      </w:r>
      <w:proofErr w:type="spellStart"/>
      <w:r w:rsidRPr="54B3E25C" w:rsidR="54B3E25C">
        <w:rPr>
          <w:rFonts w:ascii="Times New Roman" w:hAnsi="Times New Roman" w:eastAsia="Times New Roman" w:cs="Times New Roman"/>
          <w:b w:val="0"/>
          <w:bCs w:val="0"/>
          <w:i w:val="0"/>
          <w:iCs w:val="0"/>
          <w:noProof w:val="0"/>
          <w:sz w:val="24"/>
          <w:szCs w:val="24"/>
          <w:lang w:val="en-GB"/>
        </w:rPr>
        <w:t>Korell</w:t>
      </w:r>
      <w:proofErr w:type="spellEnd"/>
      <w:r w:rsidRPr="54B3E25C" w:rsidR="54B3E25C">
        <w:rPr>
          <w:rFonts w:ascii="Times New Roman" w:hAnsi="Times New Roman" w:eastAsia="Times New Roman" w:cs="Times New Roman"/>
          <w:b w:val="0"/>
          <w:bCs w:val="0"/>
          <w:i w:val="0"/>
          <w:iCs w:val="0"/>
          <w:noProof w:val="0"/>
          <w:sz w:val="24"/>
          <w:szCs w:val="24"/>
          <w:lang w:val="en-GB"/>
        </w:rPr>
        <w:t>, S., &amp; Lorah, P. (2007) ‘</w:t>
      </w:r>
      <w:r w:rsidRPr="54B3E25C" w:rsidR="54B3E25C">
        <w:rPr>
          <w:rFonts w:ascii="Times New Roman" w:hAnsi="Times New Roman" w:eastAsia="Times New Roman" w:cs="Times New Roman"/>
          <w:b w:val="0"/>
          <w:bCs w:val="0"/>
          <w:i w:val="1"/>
          <w:iCs w:val="1"/>
          <w:noProof w:val="0"/>
          <w:sz w:val="24"/>
          <w:szCs w:val="24"/>
          <w:lang w:val="en-GB"/>
        </w:rPr>
        <w:t xml:space="preserve">An overview of affirmative psychotherapy and </w:t>
      </w:r>
      <w:proofErr w:type="spellStart"/>
      <w:r w:rsidRPr="54B3E25C" w:rsidR="54B3E25C">
        <w:rPr>
          <w:rFonts w:ascii="Times New Roman" w:hAnsi="Times New Roman" w:eastAsia="Times New Roman" w:cs="Times New Roman"/>
          <w:b w:val="0"/>
          <w:bCs w:val="0"/>
          <w:i w:val="1"/>
          <w:iCs w:val="1"/>
          <w:noProof w:val="0"/>
          <w:sz w:val="24"/>
          <w:szCs w:val="24"/>
          <w:lang w:val="en-GB"/>
        </w:rPr>
        <w:t>counseling</w:t>
      </w:r>
      <w:proofErr w:type="spellEnd"/>
      <w:r w:rsidRPr="54B3E25C" w:rsidR="54B3E25C">
        <w:rPr>
          <w:rFonts w:ascii="Times New Roman" w:hAnsi="Times New Roman" w:eastAsia="Times New Roman" w:cs="Times New Roman"/>
          <w:b w:val="0"/>
          <w:bCs w:val="0"/>
          <w:i w:val="1"/>
          <w:iCs w:val="1"/>
          <w:noProof w:val="0"/>
          <w:sz w:val="24"/>
          <w:szCs w:val="24"/>
          <w:lang w:val="en-GB"/>
        </w:rPr>
        <w:t xml:space="preserve"> with transgender clients</w:t>
      </w:r>
      <w:r w:rsidRPr="54B3E25C" w:rsidR="54B3E25C">
        <w:rPr>
          <w:rFonts w:ascii="Times New Roman" w:hAnsi="Times New Roman" w:eastAsia="Times New Roman" w:cs="Times New Roman"/>
          <w:b w:val="0"/>
          <w:bCs w:val="0"/>
          <w:i w:val="0"/>
          <w:iCs w:val="0"/>
          <w:noProof w:val="0"/>
          <w:sz w:val="24"/>
          <w:szCs w:val="24"/>
          <w:lang w:val="en-GB"/>
        </w:rPr>
        <w:t xml:space="preserve">’, In ‘Bieschke, K. J., Perez, R. M., &amp; </w:t>
      </w:r>
      <w:proofErr w:type="spellStart"/>
      <w:r w:rsidRPr="54B3E25C" w:rsidR="54B3E25C">
        <w:rPr>
          <w:rFonts w:ascii="Times New Roman" w:hAnsi="Times New Roman" w:eastAsia="Times New Roman" w:cs="Times New Roman"/>
          <w:b w:val="0"/>
          <w:bCs w:val="0"/>
          <w:i w:val="0"/>
          <w:iCs w:val="0"/>
          <w:noProof w:val="0"/>
          <w:sz w:val="24"/>
          <w:szCs w:val="24"/>
          <w:lang w:val="en-GB"/>
        </w:rPr>
        <w:t>DeBord</w:t>
      </w:r>
      <w:proofErr w:type="spellEnd"/>
      <w:r w:rsidRPr="54B3E25C" w:rsidR="54B3E25C">
        <w:rPr>
          <w:rFonts w:ascii="Times New Roman" w:hAnsi="Times New Roman" w:eastAsia="Times New Roman" w:cs="Times New Roman"/>
          <w:b w:val="0"/>
          <w:bCs w:val="0"/>
          <w:i w:val="0"/>
          <w:iCs w:val="0"/>
          <w:noProof w:val="0"/>
          <w:sz w:val="24"/>
          <w:szCs w:val="24"/>
          <w:lang w:val="en-GB"/>
        </w:rPr>
        <w:t xml:space="preserve">, K. A. (2007) </w:t>
      </w:r>
      <w:r w:rsidRPr="54B3E25C" w:rsidR="54B3E25C">
        <w:rPr>
          <w:rFonts w:ascii="Times New Roman" w:hAnsi="Times New Roman" w:eastAsia="Times New Roman" w:cs="Times New Roman"/>
          <w:b w:val="0"/>
          <w:bCs w:val="0"/>
          <w:i w:val="1"/>
          <w:iCs w:val="1"/>
          <w:noProof w:val="0"/>
          <w:sz w:val="24"/>
          <w:szCs w:val="24"/>
          <w:lang w:val="en-GB"/>
        </w:rPr>
        <w:t xml:space="preserve">‘Handbook of </w:t>
      </w:r>
      <w:proofErr w:type="spellStart"/>
      <w:r w:rsidRPr="54B3E25C" w:rsidR="54B3E25C">
        <w:rPr>
          <w:rFonts w:ascii="Times New Roman" w:hAnsi="Times New Roman" w:eastAsia="Times New Roman" w:cs="Times New Roman"/>
          <w:b w:val="0"/>
          <w:bCs w:val="0"/>
          <w:i w:val="1"/>
          <w:iCs w:val="1"/>
          <w:noProof w:val="0"/>
          <w:sz w:val="24"/>
          <w:szCs w:val="24"/>
          <w:lang w:val="en-GB"/>
        </w:rPr>
        <w:t>counseling</w:t>
      </w:r>
      <w:proofErr w:type="spellEnd"/>
      <w:r w:rsidRPr="54B3E25C" w:rsidR="54B3E25C">
        <w:rPr>
          <w:rFonts w:ascii="Times New Roman" w:hAnsi="Times New Roman" w:eastAsia="Times New Roman" w:cs="Times New Roman"/>
          <w:b w:val="0"/>
          <w:bCs w:val="0"/>
          <w:i w:val="1"/>
          <w:iCs w:val="1"/>
          <w:noProof w:val="0"/>
          <w:sz w:val="24"/>
          <w:szCs w:val="24"/>
          <w:lang w:val="en-GB"/>
        </w:rPr>
        <w:t xml:space="preserve"> and psychotherapy with lesbian, gay, </w:t>
      </w:r>
      <w:proofErr w:type="spellStart"/>
      <w:r w:rsidRPr="54B3E25C" w:rsidR="54B3E25C">
        <w:rPr>
          <w:rFonts w:ascii="Times New Roman" w:hAnsi="Times New Roman" w:eastAsia="Times New Roman" w:cs="Times New Roman"/>
          <w:b w:val="0"/>
          <w:bCs w:val="0"/>
          <w:i w:val="1"/>
          <w:iCs w:val="1"/>
          <w:noProof w:val="0"/>
          <w:sz w:val="24"/>
          <w:szCs w:val="24"/>
          <w:lang w:val="en-GB"/>
        </w:rPr>
        <w:t>bisexual,and</w:t>
      </w:r>
      <w:proofErr w:type="spellEnd"/>
      <w:r w:rsidRPr="54B3E25C" w:rsidR="54B3E25C">
        <w:rPr>
          <w:rFonts w:ascii="Times New Roman" w:hAnsi="Times New Roman" w:eastAsia="Times New Roman" w:cs="Times New Roman"/>
          <w:b w:val="0"/>
          <w:bCs w:val="0"/>
          <w:i w:val="1"/>
          <w:iCs w:val="1"/>
          <w:noProof w:val="0"/>
          <w:sz w:val="24"/>
          <w:szCs w:val="24"/>
          <w:lang w:val="en-GB"/>
        </w:rPr>
        <w:t xml:space="preserve"> transgender clients’</w:t>
      </w:r>
      <w:r w:rsidRPr="54B3E25C" w:rsidR="54B3E25C">
        <w:rPr>
          <w:rFonts w:ascii="Times New Roman" w:hAnsi="Times New Roman" w:eastAsia="Times New Roman" w:cs="Times New Roman"/>
          <w:b w:val="0"/>
          <w:bCs w:val="0"/>
          <w:i w:val="0"/>
          <w:iCs w:val="0"/>
          <w:noProof w:val="0"/>
          <w:sz w:val="24"/>
          <w:szCs w:val="24"/>
          <w:lang w:val="en-GB"/>
        </w:rPr>
        <w:t xml:space="preserve"> (2nd ed) pp. 271–288, Washington, DC: American Psychological Association</w:t>
      </w:r>
    </w:p>
    <w:p w:rsidR="54B3E25C" w:rsidP="54B3E25C" w:rsidRDefault="54B3E25C" w14:paraId="5A64FF31" w14:textId="7AAD695E">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Cumming-Potvin, Wendy </w:t>
      </w:r>
      <w:proofErr w:type="gram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M. ;</w:t>
      </w:r>
      <w:proofErr w:type="gram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Martino, Wayne (2008)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‘Countering heteronormativity and </w:t>
      </w:r>
      <w:proofErr w:type="spellStart"/>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cisnormativity</w:t>
      </w:r>
      <w:proofErr w:type="spellEnd"/>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in Australian schools: Examining English teachers' reflections on gender and sexual diversity in the classroom.’</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hyperlink r:id="R3f38409ea8c94df6">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Teaching and Teacher Education</w:t>
        </w:r>
      </w:hyperlink>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74, pp. 35-48</w:t>
      </w:r>
    </w:p>
    <w:p w:rsidR="54B3E25C" w:rsidP="54B3E25C" w:rsidRDefault="54B3E25C" w14:noSpellErr="1" w14:paraId="3E00C3EF" w14:textId="520E3528">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Das, A. (2010)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‘Gay and Transgender Rights in India: Naz Foundation V. Government of NCT of Delhi’</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(Unpublished) Retrieved 17 January 2019 at </w:t>
      </w:r>
      <w:hyperlink r:id="Rc7df7dfd16414af2">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https://papers.ssrn.com/sol3/papers.cfm?abstract_id=1701077</w:t>
        </w:r>
      </w:hyperlink>
    </w:p>
    <w:p w:rsidR="54B3E25C" w:rsidP="54B3E25C" w:rsidRDefault="54B3E25C" w14:paraId="00B6A279" w14:textId="2F32C9AE">
      <w:pPr>
        <w:spacing w:after="160" w:line="480" w:lineRule="auto"/>
        <w:rPr>
          <w:rFonts w:ascii="Times New Roman" w:hAnsi="Times New Roman" w:eastAsia="Times New Roman" w:cs="Times New Roman"/>
          <w:b w:val="0"/>
          <w:bCs w:val="0"/>
          <w:i w:val="0"/>
          <w:iCs w:val="0"/>
          <w:noProof w:val="0"/>
          <w:sz w:val="24"/>
          <w:szCs w:val="24"/>
          <w:lang w:val="en-GB"/>
        </w:rPr>
      </w:pP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Esmail</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 Darry, K., Walter, A., &amp; Knupp, H. (2010)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‘Attitudes and perceptions towards disability and Sexuality</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Disability and Rehabilitation, 32 (14), pp. 1148–1155</w:t>
      </w:r>
    </w:p>
    <w:p w:rsidR="54B3E25C" w:rsidP="54B3E25C" w:rsidRDefault="54B3E25C" w14:paraId="3018400D" w14:textId="6A2A9341">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Ford, K. A. (2011)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‘Race, Gender, and Bodily (Mis)Recognitions: Women of </w:t>
      </w:r>
      <w:proofErr w:type="spellStart"/>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Color</w:t>
      </w:r>
      <w:proofErr w:type="spellEnd"/>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Faculty Experiences with White Students in the College Classroom’</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The Journal of Higher Education, 82 (4), pp. 444-478</w:t>
      </w:r>
    </w:p>
    <w:p w:rsidR="54B3E25C" w:rsidP="54B3E25C" w:rsidRDefault="54B3E25C" w14:paraId="60832200" w14:textId="02824383">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sz w:val="24"/>
          <w:szCs w:val="24"/>
          <w:lang w:val="en-GB"/>
        </w:rPr>
        <w:t xml:space="preserve">Fraser, N., and </w:t>
      </w:r>
      <w:proofErr w:type="spellStart"/>
      <w:r w:rsidRPr="54B3E25C" w:rsidR="54B3E25C">
        <w:rPr>
          <w:rFonts w:ascii="Times New Roman" w:hAnsi="Times New Roman" w:eastAsia="Times New Roman" w:cs="Times New Roman"/>
          <w:b w:val="0"/>
          <w:bCs w:val="0"/>
          <w:i w:val="0"/>
          <w:iCs w:val="0"/>
          <w:noProof w:val="0"/>
          <w:sz w:val="24"/>
          <w:szCs w:val="24"/>
          <w:lang w:val="en-GB"/>
        </w:rPr>
        <w:t>Honneth</w:t>
      </w:r>
      <w:proofErr w:type="spellEnd"/>
      <w:r w:rsidRPr="54B3E25C" w:rsidR="54B3E25C">
        <w:rPr>
          <w:rFonts w:ascii="Times New Roman" w:hAnsi="Times New Roman" w:eastAsia="Times New Roman" w:cs="Times New Roman"/>
          <w:b w:val="0"/>
          <w:bCs w:val="0"/>
          <w:i w:val="0"/>
          <w:iCs w:val="0"/>
          <w:noProof w:val="0"/>
          <w:sz w:val="24"/>
          <w:szCs w:val="24"/>
          <w:lang w:val="en-GB"/>
        </w:rPr>
        <w:t xml:space="preserve">, A. (2003) </w:t>
      </w:r>
      <w:r w:rsidRPr="54B3E25C" w:rsidR="54B3E25C">
        <w:rPr>
          <w:rFonts w:ascii="Times New Roman" w:hAnsi="Times New Roman" w:eastAsia="Times New Roman" w:cs="Times New Roman"/>
          <w:b w:val="0"/>
          <w:bCs w:val="0"/>
          <w:i w:val="1"/>
          <w:iCs w:val="1"/>
          <w:noProof w:val="0"/>
          <w:sz w:val="24"/>
          <w:szCs w:val="24"/>
          <w:lang w:val="en-GB"/>
        </w:rPr>
        <w:t>Redistribution or recognition? A political-philosophical exchange</w:t>
      </w:r>
      <w:r w:rsidRPr="54B3E25C" w:rsidR="54B3E25C">
        <w:rPr>
          <w:rFonts w:ascii="Times New Roman" w:hAnsi="Times New Roman" w:eastAsia="Times New Roman" w:cs="Times New Roman"/>
          <w:b w:val="0"/>
          <w:bCs w:val="0"/>
          <w:i w:val="0"/>
          <w:iCs w:val="0"/>
          <w:noProof w:val="0"/>
          <w:sz w:val="24"/>
          <w:szCs w:val="24"/>
          <w:lang w:val="en-GB"/>
        </w:rPr>
        <w:t>. London: Verso.</w:t>
      </w:r>
    </w:p>
    <w:p w:rsidR="54B3E25C" w:rsidP="54B3E25C" w:rsidRDefault="54B3E25C" w14:paraId="43E853F4" w14:textId="5965C34F">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Fritz, G. K. (2016)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'Conversion therapy' and homosexuality - never an appropriate treatment for children or adolescents’</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Brown University Child &amp; Adolescent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Behavior</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Letter, 32 (3), pp. 8 - 9</w:t>
      </w:r>
    </w:p>
    <w:p w:rsidR="54B3E25C" w:rsidP="54B3E25C" w:rsidRDefault="54B3E25C" w14:paraId="02901161" w14:textId="16DBA16F">
      <w:pPr>
        <w:spacing w:after="160" w:line="480" w:lineRule="auto"/>
        <w:rPr>
          <w:rFonts w:ascii="Times New Roman" w:hAnsi="Times New Roman" w:eastAsia="Times New Roman" w:cs="Times New Roman"/>
          <w:b w:val="0"/>
          <w:bCs w:val="0"/>
          <w:i w:val="0"/>
          <w:iCs w:val="0"/>
          <w:noProof w:val="0"/>
          <w:sz w:val="24"/>
          <w:szCs w:val="24"/>
          <w:lang w:val="en-GB"/>
        </w:rPr>
      </w:pP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Gelso</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 J. (2014)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‘A tripartite model of the therapeutic relationship: Theory, research, and practice</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Psychotherapy Research, 24, pp. 117–131</w:t>
      </w:r>
    </w:p>
    <w:p w:rsidR="54B3E25C" w:rsidP="54B3E25C" w:rsidRDefault="54B3E25C" w14:noSpellErr="1" w14:paraId="5776B2A2" w14:textId="2EFC76AF">
      <w:pPr>
        <w:spacing w:before="240" w:after="0" w:line="480" w:lineRule="auto"/>
        <w:rPr>
          <w:rFonts w:ascii="Times New Roman" w:hAnsi="Times New Roman" w:eastAsia="Times New Roman" w:cs="Times New Roman"/>
          <w:b w:val="0"/>
          <w:bCs w:val="0"/>
          <w:i w:val="0"/>
          <w:iCs w:val="0"/>
          <w:noProof w:val="0"/>
          <w:color w:val="2F5496" w:themeColor="accent1" w:themeTint="FF" w:themeShade="BF"/>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Gutmann, A. (2018)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‘The power of recognition: When Charles Taylor parsed personal identity’</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Philosophy and Social Criticism, 44 (7), pp. 793-795</w:t>
      </w:r>
    </w:p>
    <w:p w:rsidR="54B3E25C" w:rsidP="54B3E25C" w:rsidRDefault="54B3E25C" w14:paraId="6E05ABF0" w14:textId="6690F49E">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Israel, T.,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Gorcheva</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 Burns, T. R., &amp; Walther, W. A. (2008)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‘Helpful and unhelpful therapy experiences of LGBT clients’</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Psychotherapy Research, 18, pp. 294–305</w:t>
      </w:r>
    </w:p>
    <w:p w:rsidR="54B3E25C" w:rsidP="54B3E25C" w:rsidRDefault="54B3E25C" w14:noSpellErr="1" w14:paraId="76CC8B02" w14:textId="6965228C">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Inter-American Commission on Human Rights (2014)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‘An Overview of Violence against LGBTI Persons’</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Press Release, 153/14. Retrieved on 17 January 2019 at </w:t>
      </w:r>
      <w:hyperlink r:id="R9fa071ff7201465a">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http://www.oas.org/en/iachr/lgtbi/docs/Annex-Registry-Violence-LGBTI.pdf</w:t>
        </w:r>
      </w:hyperlink>
    </w:p>
    <w:p w:rsidR="54B3E25C" w:rsidP="54B3E25C" w:rsidRDefault="54B3E25C" w14:noSpellErr="1" w14:paraId="24C5DC56" w14:textId="2BD825E1">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Jafari, F. (2014)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Transsexuality under surveillance in Iran clerical control of Khomeini’s Fatwas’,</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Journal of Middle East Women’s Studies, 10(2), pp. 31–51</w:t>
      </w:r>
    </w:p>
    <w:p w:rsidR="54B3E25C" w:rsidP="54B3E25C" w:rsidRDefault="54B3E25C" w14:paraId="2DE1DF4A" w14:textId="794FFB10">
      <w:pPr>
        <w:spacing w:after="160" w:line="480" w:lineRule="auto"/>
        <w:rPr>
          <w:rFonts w:ascii="Times New Roman" w:hAnsi="Times New Roman" w:eastAsia="Times New Roman" w:cs="Times New Roman"/>
          <w:b w:val="0"/>
          <w:bCs w:val="0"/>
          <w:i w:val="0"/>
          <w:iCs w:val="0"/>
          <w:noProof w:val="0"/>
          <w:sz w:val="24"/>
          <w:szCs w:val="24"/>
          <w:lang w:val="en-GB"/>
        </w:rPr>
      </w:pP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Kattari</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 (2015)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w:t>
      </w:r>
      <w:hyperlink r:id="R4334363b847e4af8">
        <w:r w:rsidRPr="54B3E25C" w:rsidR="54B3E25C">
          <w:rPr>
            <w:rStyle w:val="Hyperlink"/>
            <w:rFonts w:ascii="Times New Roman" w:hAnsi="Times New Roman" w:eastAsia="Times New Roman" w:cs="Times New Roman"/>
            <w:b w:val="0"/>
            <w:bCs w:val="0"/>
            <w:i w:val="1"/>
            <w:iCs w:val="1"/>
            <w:noProof w:val="0"/>
            <w:color w:val="000000" w:themeColor="text1" w:themeTint="FF" w:themeShade="FF"/>
            <w:sz w:val="24"/>
            <w:szCs w:val="24"/>
            <w:lang w:val="en-GB"/>
          </w:rPr>
          <w:t>'Getting It': Identity and Sexual Communication for Sexual and Gender Minorities with Physical Disabilities.’</w:t>
        </w:r>
      </w:hyperlink>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Springer Nature Sexuality &amp; Culture, 19 (4), p</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p. 882-900</w:t>
      </w:r>
    </w:p>
    <w:p w:rsidR="54B3E25C" w:rsidP="54B3E25C" w:rsidRDefault="54B3E25C" w14:noSpellErr="1" w14:paraId="7CD644C1" w14:textId="3B46DFAD">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Kelley, F. A. (2015)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‘The Therapy Relationship </w:t>
      </w:r>
      <w:proofErr w:type="gramStart"/>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With</w:t>
      </w:r>
      <w:proofErr w:type="gramEnd"/>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Lesbian and Gay Clients’</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Psychotherapy, 52 (1), pp. 113-118</w:t>
      </w:r>
    </w:p>
    <w:p w:rsidR="54B3E25C" w:rsidP="54B3E25C" w:rsidRDefault="54B3E25C" w14:noSpellErr="1" w14:paraId="3895AD7F" w14:textId="5B31722F">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King et al (2008)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‘A systematic review of mental disorder, suicide, and deliberate </w:t>
      </w:r>
      <w:proofErr w:type="gramStart"/>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self harm</w:t>
      </w:r>
      <w:proofErr w:type="gramEnd"/>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in lesbian, gay and bisexual people’</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hyperlink r:id="Rb8a911a4e55849a2">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BMC Psychiatry,</w:t>
        </w:r>
      </w:hyperlink>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8: 70.</w:t>
      </w:r>
    </w:p>
    <w:p w:rsidR="54B3E25C" w:rsidP="54B3E25C" w:rsidRDefault="54B3E25C" w14:paraId="5CA3A447" w14:textId="40F37013">
      <w:pPr>
        <w:spacing w:after="160" w:line="480" w:lineRule="auto"/>
        <w:rPr>
          <w:rFonts w:ascii="Times New Roman" w:hAnsi="Times New Roman" w:eastAsia="Times New Roman" w:cs="Times New Roman"/>
          <w:b w:val="0"/>
          <w:bCs w:val="0"/>
          <w:i w:val="0"/>
          <w:iCs w:val="0"/>
          <w:noProof w:val="0"/>
          <w:sz w:val="24"/>
          <w:szCs w:val="24"/>
          <w:lang w:val="en-GB"/>
        </w:rPr>
      </w:pP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Kymlicka</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 (1995)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Multicultural Citizenship: A Liberal Theory of Minority Rights</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Oxford: Clarendon Press.</w:t>
      </w:r>
    </w:p>
    <w:p w:rsidR="54B3E25C" w:rsidP="54B3E25C" w:rsidRDefault="54B3E25C" w14:noSpellErr="1" w14:paraId="3AF326D0" w14:textId="6925EDFB">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La Roi, C., Meyer, I. H, Frost, D. M. (2019)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‘Differences in sexual identity dimensions between bisexual and other sexual minority individuals: Implications for minority stress and mental health’</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Educational Publishing Foundation American Journal of Orthopsychiatry, 89 (1), pp. 40-52</w:t>
      </w:r>
    </w:p>
    <w:p w:rsidR="54B3E25C" w:rsidP="54B3E25C" w:rsidRDefault="54B3E25C" w14:noSpellErr="1" w14:paraId="25FCE932" w14:textId="18470B96">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sz w:val="24"/>
          <w:szCs w:val="24"/>
          <w:lang w:val="en-GB"/>
        </w:rPr>
        <w:t xml:space="preserve">Martineau, W., Meer, N. &amp; Thompson, S. (2012) </w:t>
      </w:r>
      <w:r w:rsidRPr="54B3E25C" w:rsidR="54B3E25C">
        <w:rPr>
          <w:rFonts w:ascii="Times New Roman" w:hAnsi="Times New Roman" w:eastAsia="Times New Roman" w:cs="Times New Roman"/>
          <w:b w:val="0"/>
          <w:bCs w:val="0"/>
          <w:i w:val="1"/>
          <w:iCs w:val="1"/>
          <w:noProof w:val="0"/>
          <w:sz w:val="24"/>
          <w:szCs w:val="24"/>
          <w:lang w:val="en-GB"/>
        </w:rPr>
        <w:t>‘</w:t>
      </w:r>
      <w:r w:rsidRPr="54B3E25C" w:rsidR="54B3E25C">
        <w:rPr>
          <w:rFonts w:ascii="Times New Roman" w:hAnsi="Times New Roman" w:eastAsia="Times New Roman" w:cs="Times New Roman"/>
          <w:b w:val="0"/>
          <w:bCs w:val="0"/>
          <w:i w:val="1"/>
          <w:iCs w:val="1"/>
          <w:noProof w:val="0"/>
          <w:sz w:val="24"/>
          <w:szCs w:val="24"/>
          <w:lang w:val="en"/>
        </w:rPr>
        <w:t>Theory and Practice in the Politics of Recognition and Misrecognition’</w:t>
      </w:r>
      <w:r w:rsidRPr="54B3E25C" w:rsidR="54B3E25C">
        <w:rPr>
          <w:rFonts w:ascii="Times New Roman" w:hAnsi="Times New Roman" w:eastAsia="Times New Roman" w:cs="Times New Roman"/>
          <w:b w:val="0"/>
          <w:bCs w:val="0"/>
          <w:i w:val="0"/>
          <w:iCs w:val="0"/>
          <w:noProof w:val="0"/>
          <w:sz w:val="24"/>
          <w:szCs w:val="24"/>
          <w:lang w:val="en"/>
        </w:rPr>
        <w:t xml:space="preserve">, </w:t>
      </w:r>
      <w:r w:rsidRPr="54B3E25C" w:rsidR="54B3E25C">
        <w:rPr>
          <w:rFonts w:ascii="Times New Roman" w:hAnsi="Times New Roman" w:eastAsia="Times New Roman" w:cs="Times New Roman"/>
          <w:b w:val="0"/>
          <w:bCs w:val="0"/>
          <w:i w:val="0"/>
          <w:iCs w:val="0"/>
          <w:noProof w:val="0"/>
          <w:sz w:val="24"/>
          <w:szCs w:val="24"/>
          <w:lang w:val="en-GB"/>
        </w:rPr>
        <w:t>Res Publica, 18, (1)</w:t>
      </w:r>
      <w:r w:rsidRPr="54B3E25C" w:rsidR="54B3E25C">
        <w:rPr>
          <w:rFonts w:ascii="Times New Roman" w:hAnsi="Times New Roman" w:eastAsia="Times New Roman" w:cs="Times New Roman"/>
          <w:b w:val="0"/>
          <w:bCs w:val="0"/>
          <w:i w:val="0"/>
          <w:iCs w:val="0"/>
          <w:noProof w:val="0"/>
          <w:sz w:val="24"/>
          <w:szCs w:val="24"/>
          <w:lang w:val="en"/>
        </w:rPr>
        <w:t>, pp. 1–9</w:t>
      </w:r>
    </w:p>
    <w:p w:rsidR="54B3E25C" w:rsidP="54B3E25C" w:rsidRDefault="54B3E25C" w14:paraId="34CE69A3" w14:textId="4F7F5E13">
      <w:pPr>
        <w:spacing w:after="160" w:line="480" w:lineRule="auto"/>
        <w:rPr>
          <w:rFonts w:ascii="Times New Roman" w:hAnsi="Times New Roman" w:eastAsia="Times New Roman" w:cs="Times New Roman"/>
          <w:b w:val="0"/>
          <w:bCs w:val="0"/>
          <w:i w:val="0"/>
          <w:iCs w:val="0"/>
          <w:noProof w:val="0"/>
          <w:sz w:val="24"/>
          <w:szCs w:val="24"/>
          <w:lang w:val="en-GB"/>
        </w:rPr>
      </w:pP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Najmabadi</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(2014)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Professing selves: Transsexuality and same-sex desire in contemporary Iran</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Durham, NC: Duke University Press.</w:t>
      </w:r>
    </w:p>
    <w:p w:rsidR="54B3E25C" w:rsidP="54B3E25C" w:rsidRDefault="54B3E25C" w14:noSpellErr="1" w14:paraId="18AC6AC6" w14:textId="5CC63EBC">
      <w:pPr>
        <w:spacing w:before="40" w:after="0" w:line="480" w:lineRule="auto"/>
        <w:rPr>
          <w:rFonts w:ascii="Times New Roman" w:hAnsi="Times New Roman" w:eastAsia="Times New Roman" w:cs="Times New Roman"/>
          <w:b w:val="0"/>
          <w:bCs w:val="0"/>
          <w:i w:val="0"/>
          <w:iCs w:val="0"/>
          <w:noProof w:val="0"/>
          <w:color w:val="2F5496" w:themeColor="accent1" w:themeTint="FF" w:themeShade="BF"/>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Naz Foundation v. Government of NCT of Delhi and Others. (2009) Chapter 377 IPC. The Equal Rights Review, Vol. 4:71 Accessed on 17 January 2019 at: </w:t>
      </w:r>
      <w:hyperlink r:id="R9bb336bf845e492a">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http://www.equalrightstrust.org/ertdocumentbank/case%20note.pdf</w:t>
        </w:r>
      </w:hyperlink>
    </w:p>
    <w:p w:rsidR="54B3E25C" w:rsidP="54B3E25C" w:rsidRDefault="54B3E25C" w14:paraId="4AD48F82" w14:textId="18AF5A90">
      <w:pPr>
        <w:spacing w:after="160" w:line="480" w:lineRule="auto"/>
        <w:rPr>
          <w:rFonts w:ascii="Times New Roman" w:hAnsi="Times New Roman" w:eastAsia="Times New Roman" w:cs="Times New Roman"/>
          <w:b w:val="0"/>
          <w:bCs w:val="0"/>
          <w:i w:val="0"/>
          <w:iCs w:val="0"/>
          <w:noProof w:val="0"/>
          <w:sz w:val="24"/>
          <w:szCs w:val="24"/>
          <w:lang w:val="en-GB"/>
        </w:rPr>
      </w:pP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Petoukhov</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(2012)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‘Locating a Theoretical Framework for the Canadian Truth and Reconciliation Commission: Charles Taylor or Nancy Fraser?’</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International Indigenous Policy Journal, 3 (2), pp. 1 -17</w:t>
      </w:r>
    </w:p>
    <w:p w:rsidR="54B3E25C" w:rsidP="54B3E25C" w:rsidRDefault="54B3E25C" w14:noSpellErr="1" w14:paraId="3108857E" w14:textId="3B6BFC9F">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Taylor, Charles. (1994)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‘The Politics of Recognition’. Multiculturalism: Examining the Politics of Recognition.</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Ed. Amy Gutmann. Princeton: Princeton University Press</w:t>
      </w:r>
    </w:p>
    <w:p w:rsidR="54B3E25C" w:rsidP="54B3E25C" w:rsidRDefault="54B3E25C" w14:paraId="4670A06F" w14:textId="010C2D02">
      <w:pPr>
        <w:spacing w:after="160" w:line="480" w:lineRule="auto"/>
        <w:rPr>
          <w:rFonts w:ascii="Times New Roman" w:hAnsi="Times New Roman" w:eastAsia="Times New Roman" w:cs="Times New Roman"/>
          <w:b w:val="0"/>
          <w:bCs w:val="0"/>
          <w:i w:val="0"/>
          <w:iCs w:val="0"/>
          <w:noProof w:val="0"/>
          <w:sz w:val="24"/>
          <w:szCs w:val="24"/>
          <w:lang w:val="en-GB"/>
        </w:rPr>
      </w:pP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Saeidzadeh</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Z (2016)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
        </w:rPr>
        <w:t>Transsexuality in Contemporary Iran: Legal and Social Misrecognition’</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
        </w:rPr>
        <w:t xml:space="preserve">, </w:t>
      </w:r>
      <w:hyperlink r:id="R0e048d9c82c4453c">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
          </w:rPr>
          <w:t>Feminist Legal Studies,</w:t>
        </w:r>
      </w:hyperlink>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
        </w:rPr>
        <w:t xml:space="preserve"> 24 (</w:t>
      </w:r>
      <w:hyperlink r:id="R7787007c03d14e1e">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
          </w:rPr>
          <w:t>3)</w:t>
        </w:r>
      </w:hyperlink>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
        </w:rPr>
        <w:t>, pp. 249–272</w:t>
      </w:r>
    </w:p>
    <w:p w:rsidR="54B3E25C" w:rsidP="54B3E25C" w:rsidRDefault="54B3E25C" w14:paraId="64EB9863" w14:textId="5538146A">
      <w:pPr>
        <w:spacing w:after="160" w:line="480" w:lineRule="auto"/>
        <w:rPr>
          <w:rFonts w:ascii="Times New Roman" w:hAnsi="Times New Roman" w:eastAsia="Times New Roman" w:cs="Times New Roman"/>
          <w:b w:val="0"/>
          <w:bCs w:val="0"/>
          <w:i w:val="0"/>
          <w:iCs w:val="0"/>
          <w:noProof w:val="0"/>
          <w:sz w:val="24"/>
          <w:szCs w:val="24"/>
          <w:lang w:val="en-GB"/>
        </w:rPr>
      </w:pP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Schibbye</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A-L.L. (1993)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‘The role of “recognition” in the resolution of a specific interpersonal dilemma’</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Journal of Phenomenological Psychology, 24, pp. 175-189</w:t>
      </w:r>
    </w:p>
    <w:p w:rsidR="54B3E25C" w:rsidP="54B3E25C" w:rsidRDefault="54B3E25C" w14:paraId="5C3AFC17" w14:textId="709B6957">
      <w:pPr>
        <w:spacing w:after="160" w:line="480" w:lineRule="auto"/>
        <w:rPr>
          <w:rFonts w:ascii="Times New Roman" w:hAnsi="Times New Roman" w:eastAsia="Times New Roman" w:cs="Times New Roman"/>
          <w:b w:val="0"/>
          <w:bCs w:val="0"/>
          <w:i w:val="0"/>
          <w:iCs w:val="0"/>
          <w:noProof w:val="0"/>
          <w:sz w:val="24"/>
          <w:szCs w:val="24"/>
          <w:lang w:val="en-GB"/>
        </w:rPr>
      </w:pP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Serovich</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J. M., Craft, S. M.,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Toviessi</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Gangamma</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 McDowell, T., &amp;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Grafsky</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 L. (2008)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‘A systematic review of the research base on sexual reorientation therapies’</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Journal of Marital and Family Therapy, 34(2), pp. 227- 238.</w:t>
      </w:r>
    </w:p>
    <w:p w:rsidR="54B3E25C" w:rsidP="54B3E25C" w:rsidRDefault="54B3E25C" w14:noSpellErr="1" w14:paraId="3CFFA5EC" w14:textId="51F98F0C">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State of California. (2012)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‘SB-1172: Sexual orientation change efforts’</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Retrieved January </w:t>
      </w:r>
      <w:proofErr w:type="gram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6</w:t>
      </w:r>
      <w:proofErr w:type="gram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2019 from: </w:t>
      </w:r>
      <w:hyperlink r:id="R7f8b93cdea4a47f1">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https://leginfo.legislature.ca.gov/face /billNavClient.xhtml?bill_id=201120120SB1172</w:t>
        </w:r>
      </w:hyperlink>
    </w:p>
    <w:p w:rsidR="54B3E25C" w:rsidP="54B3E25C" w:rsidRDefault="54B3E25C" w14:paraId="20716727" w14:textId="2758B4F4">
      <w:pPr>
        <w:spacing w:before="40" w:after="0" w:line="480" w:lineRule="auto"/>
        <w:rPr>
          <w:rFonts w:ascii="Times New Roman" w:hAnsi="Times New Roman" w:eastAsia="Times New Roman" w:cs="Times New Roman"/>
          <w:b w:val="0"/>
          <w:bCs w:val="0"/>
          <w:i w:val="0"/>
          <w:iCs w:val="0"/>
          <w:noProof w:val="0"/>
          <w:color w:val="2F5496" w:themeColor="accent1" w:themeTint="FF" w:themeShade="BF"/>
          <w:sz w:val="24"/>
          <w:szCs w:val="24"/>
          <w:lang w:val="en-GB"/>
        </w:rPr>
      </w:pP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Steihaug</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 Gulbrandsen, P. &amp; Werner, A. (2012)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‘Recognition can leave room for disagreement in the doctor–patient consultation’</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hyperlink r:id="R84ce146a44fd4722">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Patient Education and Counseling</w:t>
        </w:r>
      </w:hyperlink>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w:t>
      </w:r>
      <w:hyperlink r:id="R6781afb50523462b">
        <w:r w:rsidRPr="54B3E25C" w:rsidR="54B3E25C">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 xml:space="preserve"> 86 (3)</w:t>
        </w:r>
      </w:hyperlink>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pp. 316-321</w:t>
      </w:r>
    </w:p>
    <w:p w:rsidR="54B3E25C" w:rsidP="54B3E25C" w:rsidRDefault="54B3E25C" w14:paraId="4C8E1B59" w14:textId="1B441438">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Sue, D. W. &amp; Sue, D. (2008) </w:t>
      </w:r>
      <w:proofErr w:type="spellStart"/>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Counseling</w:t>
      </w:r>
      <w:proofErr w:type="spellEnd"/>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the culturally diverse: Theory and practice</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(5</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edition) Hoboken, New Jersey: Wiley.</w:t>
      </w:r>
    </w:p>
    <w:p w:rsidR="54B3E25C" w:rsidP="54B3E25C" w:rsidRDefault="54B3E25C" w14:paraId="6FD6C85D" w14:textId="3C0939D9">
      <w:pPr>
        <w:spacing w:after="160" w:line="480" w:lineRule="auto"/>
        <w:rPr>
          <w:rFonts w:ascii="Times New Roman" w:hAnsi="Times New Roman" w:eastAsia="Times New Roman" w:cs="Times New Roman"/>
          <w:b w:val="0"/>
          <w:bCs w:val="0"/>
          <w:i w:val="0"/>
          <w:iCs w:val="0"/>
          <w:noProof w:val="0"/>
          <w:sz w:val="24"/>
          <w:szCs w:val="24"/>
          <w:lang w:val="en-GB"/>
        </w:rPr>
      </w:pP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Teles de Pontes, N. L. M. (2012) </w:t>
      </w:r>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‘Social class, identity and recognition: a </w:t>
      </w:r>
      <w:proofErr w:type="spellStart"/>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bourdieusian</w:t>
      </w:r>
      <w:proofErr w:type="spellEnd"/>
      <w:r w:rsidRPr="54B3E25C" w:rsidR="54B3E25C">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critique of Charles Taylor’</w:t>
      </w:r>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Mediações</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Revista</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Ciências</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spellStart"/>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Sociais</w:t>
      </w:r>
      <w:proofErr w:type="spellEnd"/>
      <w:r w:rsidRPr="54B3E25C" w:rsidR="54B3E25C">
        <w:rPr>
          <w:rFonts w:ascii="Times New Roman" w:hAnsi="Times New Roman" w:eastAsia="Times New Roman" w:cs="Times New Roman"/>
          <w:b w:val="0"/>
          <w:bCs w:val="0"/>
          <w:i w:val="0"/>
          <w:iCs w:val="0"/>
          <w:noProof w:val="0"/>
          <w:color w:val="000000" w:themeColor="text1" w:themeTint="FF" w:themeShade="FF"/>
          <w:sz w:val="24"/>
          <w:szCs w:val="24"/>
          <w:lang w:val="en-GB"/>
        </w:rPr>
        <w:t>, 16 (2), pp. 266-278</w:t>
      </w:r>
    </w:p>
    <w:sectPr w:rsidR="00941F02">
      <w:pgSz w:w="11906" w:h="16838" w:orient="portrait"/>
      <w:pgMar w:top="1440" w:right="1440" w:bottom="1440" w:left="1440" w:header="708" w:footer="708" w:gutter="0"/>
      <w:cols w:space="708"/>
      <w:docGrid w:linePitch="360"/>
      <w:headerReference w:type="default" r:id="R4b80e2ff39324065"/>
      <w:footerReference w:type="default" r:id="R6e5274311e9f4a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4B3E25C" w:rsidTr="54B3E25C" w14:paraId="49944C8F">
      <w:tc>
        <w:tcPr>
          <w:tcW w:w="3009" w:type="dxa"/>
          <w:tcMar/>
        </w:tcPr>
        <w:p w:rsidR="54B3E25C" w:rsidP="54B3E25C" w:rsidRDefault="54B3E25C" w14:paraId="4881F396" w14:textId="46E331FC">
          <w:pPr>
            <w:pStyle w:val="Header"/>
            <w:bidi w:val="0"/>
            <w:ind w:left="-115"/>
            <w:jc w:val="left"/>
          </w:pPr>
        </w:p>
      </w:tc>
      <w:tc>
        <w:tcPr>
          <w:tcW w:w="3009" w:type="dxa"/>
          <w:tcMar/>
        </w:tcPr>
        <w:p w:rsidR="54B3E25C" w:rsidP="54B3E25C" w:rsidRDefault="54B3E25C" w14:paraId="75CB2A15" w14:textId="67B3C8EE">
          <w:pPr>
            <w:pStyle w:val="Header"/>
            <w:bidi w:val="0"/>
            <w:jc w:val="center"/>
          </w:pPr>
        </w:p>
      </w:tc>
      <w:tc>
        <w:tcPr>
          <w:tcW w:w="3009" w:type="dxa"/>
          <w:tcMar/>
        </w:tcPr>
        <w:p w:rsidR="54B3E25C" w:rsidP="54B3E25C" w:rsidRDefault="54B3E25C" w14:paraId="085027AC" w14:textId="2921682D">
          <w:pPr>
            <w:pStyle w:val="Header"/>
            <w:bidi w:val="0"/>
            <w:ind w:right="-115"/>
            <w:jc w:val="right"/>
          </w:pPr>
        </w:p>
      </w:tc>
    </w:tr>
  </w:tbl>
  <w:p w:rsidR="54B3E25C" w:rsidP="54B3E25C" w:rsidRDefault="54B3E25C" w14:paraId="4B93BE95" w14:textId="467092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4B3E25C" w:rsidTr="54B3E25C" w14:paraId="65665DA4">
      <w:tc>
        <w:tcPr>
          <w:tcW w:w="3009" w:type="dxa"/>
          <w:tcMar/>
        </w:tcPr>
        <w:p w:rsidR="54B3E25C" w:rsidP="54B3E25C" w:rsidRDefault="54B3E25C" w14:paraId="75EDE96E" w14:textId="236BC936">
          <w:pPr>
            <w:pStyle w:val="Header"/>
            <w:bidi w:val="0"/>
            <w:ind w:left="-115"/>
            <w:jc w:val="left"/>
          </w:pPr>
        </w:p>
      </w:tc>
      <w:tc>
        <w:tcPr>
          <w:tcW w:w="3009" w:type="dxa"/>
          <w:tcMar/>
        </w:tcPr>
        <w:p w:rsidR="54B3E25C" w:rsidP="54B3E25C" w:rsidRDefault="54B3E25C" w14:paraId="19A626C7" w14:textId="66898D7B">
          <w:pPr>
            <w:pStyle w:val="Header"/>
            <w:bidi w:val="0"/>
            <w:jc w:val="center"/>
          </w:pPr>
        </w:p>
      </w:tc>
      <w:tc>
        <w:tcPr>
          <w:tcW w:w="3009" w:type="dxa"/>
          <w:tcMar/>
        </w:tcPr>
        <w:p w:rsidR="54B3E25C" w:rsidP="54B3E25C" w:rsidRDefault="54B3E25C" w14:paraId="0C18F798" w14:textId="2A745520">
          <w:pPr>
            <w:pStyle w:val="Header"/>
            <w:bidi w:val="0"/>
            <w:ind w:right="-115"/>
            <w:jc w:val="right"/>
          </w:pPr>
        </w:p>
      </w:tc>
    </w:tr>
  </w:tbl>
  <w:p w:rsidR="54B3E25C" w:rsidP="54B3E25C" w:rsidRDefault="54B3E25C" w14:paraId="37A4B3D3" w14:textId="21896EAE">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646A0C10"/>
    <w:multiLevelType w:val="hybridMultilevel"/>
    <w:tmpl w:val="EC262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B93"/>
    <w:rsid w:val="00041381"/>
    <w:rsid w:val="00083668"/>
    <w:rsid w:val="000B3FA7"/>
    <w:rsid w:val="000F68AD"/>
    <w:rsid w:val="000F7DB8"/>
    <w:rsid w:val="00131185"/>
    <w:rsid w:val="00172A13"/>
    <w:rsid w:val="001A083D"/>
    <w:rsid w:val="001B3687"/>
    <w:rsid w:val="001D32A1"/>
    <w:rsid w:val="001D521D"/>
    <w:rsid w:val="001F073C"/>
    <w:rsid w:val="00225212"/>
    <w:rsid w:val="0025473F"/>
    <w:rsid w:val="0029119E"/>
    <w:rsid w:val="002975A7"/>
    <w:rsid w:val="00350B73"/>
    <w:rsid w:val="00366E63"/>
    <w:rsid w:val="00384ECC"/>
    <w:rsid w:val="003E07E5"/>
    <w:rsid w:val="003E6663"/>
    <w:rsid w:val="003F67E9"/>
    <w:rsid w:val="00422646"/>
    <w:rsid w:val="004443A5"/>
    <w:rsid w:val="0044687E"/>
    <w:rsid w:val="00453664"/>
    <w:rsid w:val="00454295"/>
    <w:rsid w:val="00476A69"/>
    <w:rsid w:val="00486500"/>
    <w:rsid w:val="004C54FA"/>
    <w:rsid w:val="004F2144"/>
    <w:rsid w:val="0052336A"/>
    <w:rsid w:val="00527F37"/>
    <w:rsid w:val="005830FF"/>
    <w:rsid w:val="00584229"/>
    <w:rsid w:val="00602B93"/>
    <w:rsid w:val="00613B1F"/>
    <w:rsid w:val="006338F2"/>
    <w:rsid w:val="00655909"/>
    <w:rsid w:val="006C138E"/>
    <w:rsid w:val="006D39C2"/>
    <w:rsid w:val="006E2D09"/>
    <w:rsid w:val="006E40B9"/>
    <w:rsid w:val="006F2CE6"/>
    <w:rsid w:val="00715F1A"/>
    <w:rsid w:val="007A19DD"/>
    <w:rsid w:val="007D5924"/>
    <w:rsid w:val="00800DDA"/>
    <w:rsid w:val="00823197"/>
    <w:rsid w:val="008679B1"/>
    <w:rsid w:val="00877CFE"/>
    <w:rsid w:val="00880E88"/>
    <w:rsid w:val="00884A2A"/>
    <w:rsid w:val="008C5778"/>
    <w:rsid w:val="008E4E1D"/>
    <w:rsid w:val="00941F02"/>
    <w:rsid w:val="009727E7"/>
    <w:rsid w:val="00991E03"/>
    <w:rsid w:val="009E08D0"/>
    <w:rsid w:val="009F5393"/>
    <w:rsid w:val="00A057DA"/>
    <w:rsid w:val="00A41870"/>
    <w:rsid w:val="00A80BE8"/>
    <w:rsid w:val="00AF3E14"/>
    <w:rsid w:val="00B60A13"/>
    <w:rsid w:val="00B662C1"/>
    <w:rsid w:val="00B7311E"/>
    <w:rsid w:val="00B77259"/>
    <w:rsid w:val="00BB32A9"/>
    <w:rsid w:val="00BB4C3A"/>
    <w:rsid w:val="00BD03C5"/>
    <w:rsid w:val="00BE22DC"/>
    <w:rsid w:val="00C216F5"/>
    <w:rsid w:val="00C77075"/>
    <w:rsid w:val="00CA5732"/>
    <w:rsid w:val="00CC5995"/>
    <w:rsid w:val="00CC661C"/>
    <w:rsid w:val="00CF2B92"/>
    <w:rsid w:val="00CF4334"/>
    <w:rsid w:val="00D043AB"/>
    <w:rsid w:val="00D27673"/>
    <w:rsid w:val="00E13B14"/>
    <w:rsid w:val="00E80CF1"/>
    <w:rsid w:val="00E96924"/>
    <w:rsid w:val="00E97D54"/>
    <w:rsid w:val="00EA7733"/>
    <w:rsid w:val="00EE62B2"/>
    <w:rsid w:val="00F15BB7"/>
    <w:rsid w:val="00F46FE1"/>
    <w:rsid w:val="00F527CE"/>
    <w:rsid w:val="00F91A07"/>
    <w:rsid w:val="00FB7E54"/>
    <w:rsid w:val="00FE26F9"/>
    <w:rsid w:val="00FE40D9"/>
    <w:rsid w:val="252DA4C1"/>
    <w:rsid w:val="3D81C607"/>
    <w:rsid w:val="54B3E25C"/>
    <w:rsid w:val="7D82B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2A166"/>
  <w15:chartTrackingRefBased/>
  <w15:docId w15:val="{AEFC660E-B6A3-4075-AA00-15794BA52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602B93"/>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602B93"/>
  </w:style>
  <w:style w:type="character" w:styleId="eop" w:customStyle="1">
    <w:name w:val="eop"/>
    <w:basedOn w:val="DefaultParagraphFont"/>
    <w:rsid w:val="00602B93"/>
  </w:style>
  <w:style w:type="character" w:styleId="contextualspellingandgrammarerror" w:customStyle="1">
    <w:name w:val="contextualspellingandgrammarerror"/>
    <w:basedOn w:val="DefaultParagraphFont"/>
    <w:rsid w:val="00602B93"/>
  </w:style>
  <w:style w:type="character" w:styleId="spellingerror" w:customStyle="1">
    <w:name w:val="spellingerror"/>
    <w:basedOn w:val="DefaultParagraphFont"/>
    <w:rsid w:val="00602B93"/>
  </w:style>
  <w:style w:type="character" w:styleId="citationref" w:customStyle="1">
    <w:name w:val="citationref"/>
    <w:basedOn w:val="DefaultParagraphFont"/>
    <w:rsid w:val="00366E63"/>
  </w:style>
  <w:style w:type="character" w:styleId="Hyperlink">
    <w:name w:val="Hyperlink"/>
    <w:basedOn w:val="DefaultParagraphFont"/>
    <w:uiPriority w:val="99"/>
    <w:semiHidden/>
    <w:unhideWhenUsed/>
    <w:rsid w:val="00366E63"/>
    <w:rPr>
      <w:color w:val="0000FF"/>
      <w:u w:val="single"/>
    </w:rPr>
  </w:style>
  <w:style w:type="paragraph" w:styleId="ListParagraph">
    <w:name w:val="List Paragraph"/>
    <w:basedOn w:val="Normal"/>
    <w:uiPriority w:val="34"/>
    <w:qFormat/>
    <w:rsid w:val="00880E88"/>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2431242">
      <w:bodyDiv w:val="1"/>
      <w:marLeft w:val="0"/>
      <w:marRight w:val="0"/>
      <w:marTop w:val="0"/>
      <w:marBottom w:val="0"/>
      <w:divBdr>
        <w:top w:val="none" w:sz="0" w:space="0" w:color="auto"/>
        <w:left w:val="none" w:sz="0" w:space="0" w:color="auto"/>
        <w:bottom w:val="none" w:sz="0" w:space="0" w:color="auto"/>
        <w:right w:val="none" w:sz="0" w:space="0" w:color="auto"/>
      </w:divBdr>
      <w:divsChild>
        <w:div w:id="899436093">
          <w:marLeft w:val="0"/>
          <w:marRight w:val="0"/>
          <w:marTop w:val="0"/>
          <w:marBottom w:val="0"/>
          <w:divBdr>
            <w:top w:val="none" w:sz="0" w:space="0" w:color="auto"/>
            <w:left w:val="none" w:sz="0" w:space="0" w:color="auto"/>
            <w:bottom w:val="none" w:sz="0" w:space="0" w:color="auto"/>
            <w:right w:val="none" w:sz="0" w:space="0" w:color="auto"/>
          </w:divBdr>
        </w:div>
        <w:div w:id="166671859">
          <w:marLeft w:val="0"/>
          <w:marRight w:val="0"/>
          <w:marTop w:val="0"/>
          <w:marBottom w:val="0"/>
          <w:divBdr>
            <w:top w:val="none" w:sz="0" w:space="0" w:color="auto"/>
            <w:left w:val="none" w:sz="0" w:space="0" w:color="auto"/>
            <w:bottom w:val="none" w:sz="0" w:space="0" w:color="auto"/>
            <w:right w:val="none" w:sz="0" w:space="0" w:color="auto"/>
          </w:divBdr>
        </w:div>
      </w:divsChild>
    </w:div>
    <w:div w:id="1362124283">
      <w:bodyDiv w:val="1"/>
      <w:marLeft w:val="0"/>
      <w:marRight w:val="0"/>
      <w:marTop w:val="0"/>
      <w:marBottom w:val="0"/>
      <w:divBdr>
        <w:top w:val="none" w:sz="0" w:space="0" w:color="auto"/>
        <w:left w:val="none" w:sz="0" w:space="0" w:color="auto"/>
        <w:bottom w:val="none" w:sz="0" w:space="0" w:color="auto"/>
        <w:right w:val="none" w:sz="0" w:space="0" w:color="auto"/>
      </w:divBdr>
      <w:divsChild>
        <w:div w:id="549806821">
          <w:marLeft w:val="0"/>
          <w:marRight w:val="0"/>
          <w:marTop w:val="0"/>
          <w:marBottom w:val="0"/>
          <w:divBdr>
            <w:top w:val="none" w:sz="0" w:space="0" w:color="auto"/>
            <w:left w:val="none" w:sz="0" w:space="0" w:color="auto"/>
            <w:bottom w:val="none" w:sz="0" w:space="0" w:color="auto"/>
            <w:right w:val="none" w:sz="0" w:space="0" w:color="auto"/>
          </w:divBdr>
        </w:div>
        <w:div w:id="363672774">
          <w:marLeft w:val="0"/>
          <w:marRight w:val="0"/>
          <w:marTop w:val="0"/>
          <w:marBottom w:val="0"/>
          <w:divBdr>
            <w:top w:val="none" w:sz="0" w:space="0" w:color="auto"/>
            <w:left w:val="none" w:sz="0" w:space="0" w:color="auto"/>
            <w:bottom w:val="none" w:sz="0" w:space="0" w:color="auto"/>
            <w:right w:val="none" w:sz="0" w:space="0" w:color="auto"/>
          </w:divBdr>
        </w:div>
        <w:div w:id="911621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hyperlink" Target="https://web-a-ebscohost-com.ezproxy.uwtsd.ac.uk/ehost/detail/detail?vid=0&amp;sid=185a2e46-63d0-42d3-9391-b24eb86a67b8%40sdc-v-sessmgr06&amp;bdata=JnNpdGU9ZWhvc3QtbGl2ZQ%3d%3d#c101" TargetMode="External" Id="R2121c5e31ce249cf" /><Relationship Type="http://schemas.openxmlformats.org/officeDocument/2006/relationships/hyperlink" Target="https://link.springer.com/article/10.1007%2Fs10691-016-9332-x" TargetMode="External" Id="R2443f68999b8406f" /><Relationship Type="http://schemas.openxmlformats.org/officeDocument/2006/relationships/hyperlink" Target="https://link.springer.com/article/10.1007%2Fs10691-016-9332-x" TargetMode="External" Id="R21a1093bae474efd" /><Relationship Type="http://schemas.openxmlformats.org/officeDocument/2006/relationships/hyperlink" Target="http://www.apa.org/pi/lgbt/resources/guidelines.aspx" TargetMode="External" Id="R2827a34611434672" /><Relationship Type="http://schemas.openxmlformats.org/officeDocument/2006/relationships/hyperlink" Target="https://search-proquest-com.ezproxy.uwtsd.ac.uk/pubidlinkhandler/sng/pubtitle/Canadian+Journal+of+Psychiatry/$N/35547/PagePdf/853891766/fulltextPDF/C800DBF739F640A7PQ/1?accountid=130472" TargetMode="External" Id="R0adc872613564081" /><Relationship Type="http://schemas.openxmlformats.org/officeDocument/2006/relationships/hyperlink" Target="https://search-proquest-com.ezproxy.uwtsd.ac.uk/indexingvolumeissuelinkhandler/35547/Canadian+Journal+of+Psychiatry/02011Y01Y01$23Jan+2011$3b++Vol.+56+$281$29/56/1?accountid=130472" TargetMode="External" Id="R38ac7ca8997e490b" /><Relationship Type="http://schemas.openxmlformats.org/officeDocument/2006/relationships/hyperlink" Target="https://www-sciencedirect-com.ezproxy.uwtsd.ac.uk/science/journal/0742051X" TargetMode="External" Id="R3f38409ea8c94df6" /><Relationship Type="http://schemas.openxmlformats.org/officeDocument/2006/relationships/hyperlink" Target="https://papers.ssrn.com/sol3/papers.cfm?abstract_id=1701077" TargetMode="External" Id="Rc7df7dfd16414af2" /><Relationship Type="http://schemas.openxmlformats.org/officeDocument/2006/relationships/hyperlink" Target="http://www.oas.org/en/iachr/lgtbi/docs/Annex-Registry-Violence-LGBTI.pdf" TargetMode="External" Id="R9fa071ff7201465a" /><Relationship Type="http://schemas.openxmlformats.org/officeDocument/2006/relationships/hyperlink" Target="https://whel-primo.hosted.exlibrisgroup.com/primo-explore/fulldisplay?docid=TN_hus_110221663&amp;context=Ebsco&amp;vid=44WHELF_UWTSD_VU1&amp;lang=en_US&amp;search_scope=CSCOP_EVERYTHING&amp;adaptor=44WHELF_UWTSD_Ebsco&amp;tab=tab1&amp;query=any,contains,sexual%20identity%20counselling&amp;sortby=rank&amp;offset=0" TargetMode="External" Id="R4334363b847e4af8" /><Relationship Type="http://schemas.openxmlformats.org/officeDocument/2006/relationships/hyperlink" Target="https://www.ncbi.nlm.nih.gov/pmc/articles/PMC2533652/#" TargetMode="External" Id="Rb8a911a4e55849a2" /><Relationship Type="http://schemas.openxmlformats.org/officeDocument/2006/relationships/hyperlink" Target="http://www.equalrightstrust.org/ertdocumentbank/case%20note.pdf" TargetMode="External" Id="R9bb336bf845e492a" /><Relationship Type="http://schemas.openxmlformats.org/officeDocument/2006/relationships/hyperlink" Target="https://link.springer.com/journal/10691" TargetMode="External" Id="R0e048d9c82c4453c" /><Relationship Type="http://schemas.openxmlformats.org/officeDocument/2006/relationships/hyperlink" Target="https://link.springer.com/journal/10691/24/3/page/1" TargetMode="External" Id="R7787007c03d14e1e" /><Relationship Type="http://schemas.openxmlformats.org/officeDocument/2006/relationships/hyperlink" Target="https://leginfo.legislature.ca.gov/faces/billNavClient.xhtml?bill_id=201120120SB1172" TargetMode="External" Id="R7f8b93cdea4a47f1" /><Relationship Type="http://schemas.openxmlformats.org/officeDocument/2006/relationships/hyperlink" Target="https://www-sciencedirect-com.ezproxy.uwtsd.ac.uk/science/journal/07383991" TargetMode="External" Id="R84ce146a44fd4722" /><Relationship Type="http://schemas.openxmlformats.org/officeDocument/2006/relationships/hyperlink" Target="https://www-sciencedirect-com.ezproxy.uwtsd.ac.uk/science/journal/07383991/86/3" TargetMode="External" Id="R6781afb50523462b" /><Relationship Type="http://schemas.openxmlformats.org/officeDocument/2006/relationships/header" Target="/word/header.xml" Id="R4b80e2ff39324065" /><Relationship Type="http://schemas.openxmlformats.org/officeDocument/2006/relationships/footer" Target="/word/footer.xml" Id="R6e5274311e9f4a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W</dc:creator>
  <keywords/>
  <dc:description/>
  <lastModifiedBy>Laura Warren (1803506)</lastModifiedBy>
  <revision>83</revision>
  <dcterms:created xsi:type="dcterms:W3CDTF">2019-01-14T19:18:00.0000000Z</dcterms:created>
  <dcterms:modified xsi:type="dcterms:W3CDTF">2019-01-21T19:12:24.6885228Z</dcterms:modified>
</coreProperties>
</file>