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C3BE53C" w:rsidR="7908378C" w:rsidRDefault="7908378C" w:rsidP="33572C6E">
            <w:pPr>
              <w:ind w:right="237"/>
              <w:rPr>
                <w:b/>
                <w:bCs/>
                <w:color w:val="auto"/>
                <w:sz w:val="32"/>
                <w:szCs w:val="32"/>
              </w:rPr>
            </w:pPr>
            <w:r w:rsidRPr="33572C6E">
              <w:rPr>
                <w:b/>
                <w:bCs/>
                <w:color w:val="auto"/>
                <w:sz w:val="32"/>
                <w:szCs w:val="32"/>
              </w:rPr>
              <w:t>Learner name: ___</w:t>
            </w:r>
            <w:r w:rsidR="005B5B70">
              <w:rPr>
                <w:b/>
                <w:bCs/>
                <w:color w:val="auto"/>
                <w:sz w:val="32"/>
                <w:szCs w:val="32"/>
              </w:rPr>
              <w:t>Juejie Pearce</w:t>
            </w:r>
            <w:r w:rsidRPr="33572C6E">
              <w:rPr>
                <w:b/>
                <w:bCs/>
                <w:color w:val="auto"/>
                <w:sz w:val="32"/>
                <w:szCs w:val="32"/>
              </w:rPr>
              <w:t>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9C514FA" w:rsidR="7908378C" w:rsidRDefault="7908378C" w:rsidP="33572C6E">
            <w:pPr>
              <w:ind w:right="237"/>
              <w:rPr>
                <w:b/>
                <w:bCs/>
                <w:color w:val="auto"/>
                <w:sz w:val="32"/>
                <w:szCs w:val="32"/>
              </w:rPr>
            </w:pPr>
            <w:r w:rsidRPr="33572C6E">
              <w:rPr>
                <w:b/>
                <w:bCs/>
                <w:color w:val="auto"/>
                <w:sz w:val="32"/>
                <w:szCs w:val="32"/>
              </w:rPr>
              <w:t>______________</w:t>
            </w:r>
            <w:r w:rsidR="005B5B70">
              <w:rPr>
                <w:b/>
                <w:bCs/>
                <w:color w:val="auto"/>
                <w:sz w:val="32"/>
                <w:szCs w:val="32"/>
              </w:rPr>
              <w:t>2245945</w:t>
            </w:r>
            <w:r w:rsidRPr="33572C6E">
              <w:rPr>
                <w:b/>
                <w:bCs/>
                <w:color w:val="auto"/>
                <w:sz w:val="32"/>
                <w:szCs w:val="32"/>
              </w:rPr>
              <w:t>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00A18750" w14:textId="77777777" w:rsidR="005B5B70" w:rsidRDefault="005B5B70" w:rsidP="5B843AF0">
      <w:pPr>
        <w:ind w:right="237"/>
        <w:jc w:val="both"/>
        <w:rPr>
          <w:rFonts w:eastAsia="Arial"/>
          <w:color w:val="000000" w:themeColor="text1"/>
          <w:sz w:val="24"/>
          <w:szCs w:val="24"/>
        </w:rPr>
      </w:pPr>
    </w:p>
    <w:p w14:paraId="171EBEA5" w14:textId="77777777" w:rsidR="005B5B70" w:rsidRPr="005B5B70" w:rsidRDefault="005B5B70" w:rsidP="5B843AF0">
      <w:pPr>
        <w:ind w:right="237"/>
        <w:jc w:val="both"/>
        <w:rPr>
          <w:rFonts w:eastAsia="Arial"/>
          <w:color w:val="000000" w:themeColor="text1"/>
          <w:sz w:val="28"/>
          <w:szCs w:val="28"/>
        </w:rPr>
      </w:pPr>
    </w:p>
    <w:p w14:paraId="101062C3" w14:textId="77777777" w:rsidR="005B5B70" w:rsidRPr="005B5B70" w:rsidRDefault="005B5B70" w:rsidP="005B5B70">
      <w:pPr>
        <w:rPr>
          <w:sz w:val="22"/>
          <w:szCs w:val="22"/>
        </w:rPr>
      </w:pPr>
      <w:r w:rsidRPr="005B5B70">
        <w:rPr>
          <w:sz w:val="22"/>
          <w:szCs w:val="22"/>
        </w:rPr>
        <w:t xml:space="preserve">Policing is not only investigating crime, but also protecting vulnerable people and preventing crime. Vulnerability does not have a fixed definition, as it can be caused by multiple elements. Vulnerability is about an individual’s disadvantage, such as their age, gender, mental issue, physical disability, race, sexuality, cultural background, religion etc (Asquith et al, 2017). In policing, victims and witnesses are generally treated as being vulnerable, but offenders and passerby can be vulnerable, too. Due to the various of impact factors, it is a challenge to identify all vulnerabilities immediately in policing. </w:t>
      </w:r>
    </w:p>
    <w:p w14:paraId="5FA98617" w14:textId="77777777" w:rsidR="005B5B70" w:rsidRPr="005B5B70" w:rsidRDefault="005B5B70" w:rsidP="005B5B70">
      <w:pPr>
        <w:rPr>
          <w:sz w:val="22"/>
          <w:szCs w:val="22"/>
        </w:rPr>
      </w:pPr>
      <w:r w:rsidRPr="005B5B70">
        <w:rPr>
          <w:sz w:val="22"/>
          <w:szCs w:val="22"/>
        </w:rPr>
        <w:t xml:space="preserve"> To recognise individual’s vulnerabilities, College of Policing uses THRIVE to assess individual’s vulnerability, which is Threat, Harm, Risk, Investigation, Vulnerability and Engagement. It is defined that a person who is unable to take care of or protect himself/herself from harm or exploitation (College of Policing, 2024). However, it is not realistic to address all vulnerabilities with one tool. Recognising individual’s vulnerabilities instantly and providing right safeguarding protections to the victims and witnesses from an immediate harm, it is still heavily relied on first response police officers’ experience and professional trainings. However, police officers are not superheroes who have multiple talents. The following incident highlights the problem that police officers have to face in a regular basis. </w:t>
      </w:r>
    </w:p>
    <w:p w14:paraId="058A037D" w14:textId="77777777" w:rsidR="005B5B70" w:rsidRPr="005B5B70" w:rsidRDefault="005B5B70" w:rsidP="005B5B70">
      <w:pPr>
        <w:rPr>
          <w:sz w:val="22"/>
          <w:szCs w:val="22"/>
        </w:rPr>
      </w:pPr>
    </w:p>
    <w:p w14:paraId="1AB491CD" w14:textId="39777D33" w:rsidR="005B5B70" w:rsidRPr="005B5B70" w:rsidRDefault="005B5B70" w:rsidP="005B5B70">
      <w:pPr>
        <w:rPr>
          <w:sz w:val="22"/>
          <w:szCs w:val="22"/>
        </w:rPr>
      </w:pPr>
      <w:r w:rsidRPr="005B5B70">
        <w:rPr>
          <w:sz w:val="22"/>
          <w:szCs w:val="22"/>
        </w:rPr>
        <w:t xml:space="preserve">The incident happened in the mid night; it has been reported by a third party on behaved of the victim H. The initial call stated that H was a casino’s customer, he left the casino and went to a nearby supermarket ATM to withdraw a few hundred pounds in the mid night. When he was withdrawing money, he was robbed by a few unknown males. H was hit by the suspects but no injuries. No descriptions of the suspects. H’s English was very limited, the call taker could not provide more details as she could not speak to H directly. H was a senior Asian male, he did not have immediately risk; the incident was graded as grade one. Two </w:t>
      </w:r>
      <w:r w:rsidRPr="005B5B70">
        <w:rPr>
          <w:sz w:val="22"/>
          <w:szCs w:val="22"/>
        </w:rPr>
        <w:lastRenderedPageBreak/>
        <w:t xml:space="preserve">response officers were attached and arrived at scene within ten minutes.  Response officers obtained the initial account from the victim without an interpreter; thus, the number of males and their descriptions were still unknown as victim H was in shock and could not remember anything. However, H memorised parts of the vehicle register. H did not want to seek medical attention, there was not any visible injury on him. The response officers took his details and made sure he was safe and well before they left. H’ s statement had not been taken as an interpreter was not available at that time. CCTV inquiry could not be conducted due to the time of the day. Suspects were unknown. The incident then had been passed to CID for further investigation. CCTV footage was vital evidence. It had been obtained by OIC in the next day. The relevant information could be obtained from the CCTV footage, which were the numbers of the suspects, the involved vehicle and the incident time.  However, the quality of the footage was very poor. It was a blurred black and white footage. The suspect’s still images quality was not qualified to be used for Retrospective Facial Recognition (RFR). The involved vehicle’s brand, model, colour and register were unable to identify. A further CCTV enquiry was </w:t>
      </w:r>
      <w:r w:rsidR="00D33AC7" w:rsidRPr="005B5B70">
        <w:rPr>
          <w:sz w:val="22"/>
          <w:szCs w:val="22"/>
        </w:rPr>
        <w:t>conducted</w:t>
      </w:r>
      <w:r w:rsidR="00D33AC7">
        <w:rPr>
          <w:sz w:val="22"/>
          <w:szCs w:val="22"/>
        </w:rPr>
        <w:t>,</w:t>
      </w:r>
      <w:r w:rsidR="00D33AC7" w:rsidRPr="005B5B70">
        <w:rPr>
          <w:sz w:val="22"/>
          <w:szCs w:val="22"/>
        </w:rPr>
        <w:t xml:space="preserve"> and</w:t>
      </w:r>
      <w:r w:rsidRPr="005B5B70">
        <w:rPr>
          <w:sz w:val="22"/>
          <w:szCs w:val="22"/>
        </w:rPr>
        <w:t xml:space="preserve"> tried to locate the vehicle or a similar vehicle in surrounding area, unfortunately, there were many junctions and no council CCTVs nearby. There were not any other visible residential CCTV cameras, either. </w:t>
      </w:r>
    </w:p>
    <w:p w14:paraId="1C4A3294" w14:textId="77777777" w:rsidR="005B5B70" w:rsidRPr="005B5B70" w:rsidRDefault="005B5B70" w:rsidP="005B5B70">
      <w:pPr>
        <w:rPr>
          <w:sz w:val="22"/>
          <w:szCs w:val="22"/>
        </w:rPr>
      </w:pPr>
      <w:r w:rsidRPr="005B5B70">
        <w:rPr>
          <w:sz w:val="22"/>
          <w:szCs w:val="22"/>
        </w:rPr>
        <w:t xml:space="preserve">House to house enquiry was not practicable, as the incident address was in a big retail park’s car park, and the incident took place in the late night. No witnesses were available. </w:t>
      </w:r>
    </w:p>
    <w:p w14:paraId="658307B8" w14:textId="77777777" w:rsidR="005B5B70" w:rsidRPr="005B5B70" w:rsidRDefault="005B5B70" w:rsidP="005B5B70">
      <w:pPr>
        <w:rPr>
          <w:sz w:val="22"/>
          <w:szCs w:val="22"/>
        </w:rPr>
      </w:pPr>
      <w:r w:rsidRPr="005B5B70">
        <w:rPr>
          <w:sz w:val="22"/>
          <w:szCs w:val="22"/>
        </w:rPr>
        <w:t xml:space="preserve">Although, there was not any witness in this incident. Taking a detailed victim statement as soon as practicable would assist the investigation effectively, but the victim’s English was limited, an interpreter would be needed. As under PACE Code C 2019, an interpreter must be arranged for statement taking or interview for a suspect or a witness if they required at the police station (Home Office, 2023 a). The appointment had been arranged the time which was suitable for the victim and the interpreter. Thus, the statement was taken two weeks after the incident. </w:t>
      </w:r>
    </w:p>
    <w:p w14:paraId="6ECC0145" w14:textId="77777777" w:rsidR="005B5B70" w:rsidRPr="005B5B70" w:rsidRDefault="005B5B70" w:rsidP="005B5B70">
      <w:pPr>
        <w:rPr>
          <w:sz w:val="22"/>
          <w:szCs w:val="22"/>
        </w:rPr>
      </w:pPr>
      <w:r w:rsidRPr="005B5B70">
        <w:rPr>
          <w:sz w:val="22"/>
          <w:szCs w:val="22"/>
        </w:rPr>
        <w:t xml:space="preserve">Normally, a full valid vehicle register contains a lot of useful information. Its PNC data contained policy holders’ names, date of birth and addresses, this information could be used to conduct person checks on PNC and South Wales Police NICHE. It is a good way to find out the suspects. Additionally, Automatic Number Plate Recognition (ANPR) technology could be used to detect whether the involved vehicle appeared near the incident address. Unfortunately, the victim was in shock, he only manages to remember two digits of the number plate. PNC results were too many to narrow them down. Thus, the suspect’s vehicle was difficult to identify. </w:t>
      </w:r>
    </w:p>
    <w:p w14:paraId="2359B5B2" w14:textId="77777777" w:rsidR="005B5B70" w:rsidRPr="005B5B70" w:rsidRDefault="005B5B70" w:rsidP="005B5B70">
      <w:pPr>
        <w:rPr>
          <w:sz w:val="22"/>
          <w:szCs w:val="22"/>
        </w:rPr>
      </w:pPr>
      <w:r w:rsidRPr="005B5B70">
        <w:rPr>
          <w:sz w:val="22"/>
          <w:szCs w:val="22"/>
        </w:rPr>
        <w:t>At this stage, there were not any further actions to be completed, the suspects were still unable to be identified. It was important to update the victim in relation to the investigation, and ensure the victim understand his rights</w:t>
      </w:r>
      <w:r w:rsidRPr="00D33AC7">
        <w:rPr>
          <w:color w:val="auto"/>
          <w:sz w:val="22"/>
          <w:szCs w:val="22"/>
        </w:rPr>
        <w:t xml:space="preserve">, entitlements and needs.  </w:t>
      </w:r>
    </w:p>
    <w:p w14:paraId="439C2A6E" w14:textId="77777777" w:rsidR="005B5B70" w:rsidRPr="005B5B70" w:rsidRDefault="005B5B70" w:rsidP="005B5B70">
      <w:pPr>
        <w:rPr>
          <w:sz w:val="22"/>
          <w:szCs w:val="22"/>
        </w:rPr>
      </w:pPr>
      <w:r w:rsidRPr="005B5B70">
        <w:rPr>
          <w:sz w:val="22"/>
          <w:szCs w:val="22"/>
        </w:rPr>
        <w:t xml:space="preserve">The victim’s vulnerability can be various when time, location, environment, health conditions, financial involvement and personal circumstances etc. have changed (UKRI, 2024). Additionally, people’s gender, nationalities, immigration statue, age and education background also can contribute to people’s vulnerability (Kent Police, 2024). In this incident, due to victim H’s age and his language issue, he has been clarified as a vulnerable victim. He needed to be supported during the investigation. </w:t>
      </w:r>
    </w:p>
    <w:p w14:paraId="5914A3B6" w14:textId="77777777" w:rsidR="005B5B70" w:rsidRPr="005B5B70" w:rsidRDefault="005B5B70" w:rsidP="005B5B70">
      <w:pPr>
        <w:rPr>
          <w:sz w:val="22"/>
          <w:szCs w:val="22"/>
        </w:rPr>
      </w:pPr>
      <w:r w:rsidRPr="005B5B70">
        <w:rPr>
          <w:sz w:val="22"/>
          <w:szCs w:val="22"/>
        </w:rPr>
        <w:t xml:space="preserve">As a police officer, communicating with people who speak foreign languages is common. To obtain the best information and establish the circumstances from all involved parties, speaking to them in their own languages is an ideal option. However, there are very limited minority police officers in the forces. Usually, police officers use interpreters to assist communications, interviews and statement takings. Yet, there are some negative impacts by using interpreters. First, some languages’ interpreters are hard to find, eventually, some interpreters are only available remotely. Second, it is less effective to speak to people through a third party. Interpretation is an interrupted conversation between a police officer and an involved person, the involved person may not be able to express their thoughts and views smoothly.  Third, interpreters’ translation standards are various. In 2021, an unqualified interpreter has been sentenced who stole the identity of a legitimate court interpreter. He had provided services to over one hundred cases (City of London Police, </w:t>
      </w:r>
      <w:r w:rsidRPr="005B5B70">
        <w:rPr>
          <w:sz w:val="22"/>
          <w:szCs w:val="22"/>
        </w:rPr>
        <w:lastRenderedPageBreak/>
        <w:t xml:space="preserve">2021). So, it is vital to regular interpreters’ qualifications and experience. Thus, National Police Chiefs’ Council (NPCC) introduces Interpreters and translators Scheme (PAIT) to ensure the quality of the interpretation. In Wales, the Dynamic Procurement Solution (DPS) is utilised (NPCC, 2024) Four, interpreters’ availabilities are difficult to control, it takes longer time to arrange for the appointment. Consequently, if the victim provided a statement one week after the incident, the victim may not remember as many details as before. Or the victims may change their mind that not giving a statement after cooling period. Finally, the cost of interpretation is high. In 2022 and 2023, the interpretation costs the UK police forces over nineteen million pounds, it has been increased over eight hundred pounds comparing the previous year (The Telegraph, 2024). </w:t>
      </w:r>
    </w:p>
    <w:p w14:paraId="07D97096" w14:textId="77777777" w:rsidR="005B5B70" w:rsidRPr="005B5B70" w:rsidRDefault="005B5B70" w:rsidP="005B5B70">
      <w:pPr>
        <w:rPr>
          <w:sz w:val="22"/>
          <w:szCs w:val="22"/>
        </w:rPr>
      </w:pPr>
      <w:r w:rsidRPr="005B5B70">
        <w:rPr>
          <w:sz w:val="22"/>
          <w:szCs w:val="22"/>
        </w:rPr>
        <w:t xml:space="preserve">During H’s incident investigation, he preferred communicating by text messages instead of phone calls, as he felt difficult to understand police officers. H used translation App to help him understand the conversations. On one occasion, a language skilled police officer was used to assist the updates, H was very happy to talk to a police officer who can communicate with him in his own language. </w:t>
      </w:r>
    </w:p>
    <w:p w14:paraId="3BC0DA72" w14:textId="77777777" w:rsidR="005B5B70" w:rsidRPr="005B5B70" w:rsidRDefault="005B5B70" w:rsidP="005B5B70">
      <w:pPr>
        <w:rPr>
          <w:sz w:val="22"/>
          <w:szCs w:val="22"/>
        </w:rPr>
      </w:pPr>
      <w:r w:rsidRPr="005B5B70">
        <w:rPr>
          <w:sz w:val="22"/>
          <w:szCs w:val="22"/>
        </w:rPr>
        <w:t xml:space="preserve">Above information has highlighted that if the involved persons are able to express their views and thoughts to police officers in their own languages, it would be beneficial for the investigation. Furthermore, the victims and witnesses will feel more supportive and understanding by the police. The involved persons will feel more supportive and understanding by the police. In all, employing more police officers with language skills is a positive action. However, police officers with language skills could not replace interpreters’ place due to multiple reasons, including legitimacy, transparent and honesty. Besides, PACE Code C paragraph 13.9 demonstrates that “A police officer or staff member with language skills must not act as an interpreter for another investigator to obtain evidential statements or information.” (College of Policing, 2020) </w:t>
      </w:r>
    </w:p>
    <w:p w14:paraId="70892AD7" w14:textId="77777777" w:rsidR="005B5B70" w:rsidRPr="005B5B70" w:rsidRDefault="005B5B70" w:rsidP="005B5B70">
      <w:pPr>
        <w:rPr>
          <w:sz w:val="22"/>
          <w:szCs w:val="22"/>
        </w:rPr>
      </w:pPr>
      <w:r w:rsidRPr="005B5B70">
        <w:rPr>
          <w:sz w:val="22"/>
          <w:szCs w:val="22"/>
        </w:rPr>
        <w:t xml:space="preserve">It is a pity that police officers’ language skills cannot be used in interviewing and statement taking. It is an unbalanced situation between legislation and practical. If police officer language skills can be used, it can make the investigation process simpler and more economic. However, language skilled police officers are still valuable during the investigation, they are able to provide suitable advice and encouragements to the involved persons directly. Moreover, during the interpretation, police officers with language skills who also can act as an assessor for interpreter’s translation quality. They also can take a witness statement in their preferred language, and an interpreter can complete the translation as evidence (Home Office, 2019). </w:t>
      </w:r>
    </w:p>
    <w:p w14:paraId="593D7BBB" w14:textId="1BD7F5D2" w:rsidR="005B5B70" w:rsidRPr="005B5B70" w:rsidRDefault="005B5B70" w:rsidP="005B5B70">
      <w:pPr>
        <w:rPr>
          <w:sz w:val="22"/>
          <w:szCs w:val="22"/>
        </w:rPr>
      </w:pPr>
      <w:r w:rsidRPr="005B5B70">
        <w:rPr>
          <w:sz w:val="22"/>
          <w:szCs w:val="22"/>
        </w:rPr>
        <w:t xml:space="preserve">Reviewing the initial call, victim H did not report the incident to the police immediately at scene. Instead, he went back to the casino and seek help to report a crime, because of victim’s language barriers. If the incident had been reported it immediately, the chance of identifying the suspects might be increased. Bell foundation’s victim survey shows, a person’s English proficiency </w:t>
      </w:r>
      <w:r w:rsidR="00D33AC7" w:rsidRPr="005B5B70">
        <w:rPr>
          <w:sz w:val="22"/>
          <w:szCs w:val="22"/>
        </w:rPr>
        <w:t>effect</w:t>
      </w:r>
      <w:r w:rsidRPr="005B5B70">
        <w:rPr>
          <w:sz w:val="22"/>
          <w:szCs w:val="22"/>
        </w:rPr>
        <w:t xml:space="preserve"> on reporting crime to the police. (Dinisman and Moroz et al. 2022). Although, non- English speaker victims are unable to report crime easily, they might feel frustrated and helpless when the incident happened. If the victims’ experience could not be improved, their confidence towards the police will be decreased. They are more likely to become a repeat victim. Especially Asian victims, they are less likely to report crime to the police comparing to other victims (Lantz and Wenger, 2022) </w:t>
      </w:r>
    </w:p>
    <w:p w14:paraId="26C09811" w14:textId="77777777" w:rsidR="005B5B70" w:rsidRPr="005B5B70" w:rsidRDefault="005B5B70" w:rsidP="005B5B70">
      <w:pPr>
        <w:rPr>
          <w:sz w:val="22"/>
          <w:szCs w:val="22"/>
        </w:rPr>
      </w:pPr>
      <w:r w:rsidRPr="005B5B70">
        <w:rPr>
          <w:sz w:val="22"/>
          <w:szCs w:val="22"/>
        </w:rPr>
        <w:t xml:space="preserve">Victim H’s experience is a typical incident, it reflects the minority victim’s vulnerability. To reduce the number of this type of victims, relevant and effective supports are needed. Victim Support’s language program is important to build up non-English speaker victims and witnesses’ confidence. This support could assist victims and witnesses express their true views and receive right supports on time. It also can rebuild their confidence (Victim Support, 2021). So, this program could reduce the chance of the victims become repeat victims.  </w:t>
      </w:r>
    </w:p>
    <w:p w14:paraId="45968391" w14:textId="77777777" w:rsidR="005B5B70" w:rsidRPr="005B5B70" w:rsidRDefault="005B5B70" w:rsidP="005B5B70">
      <w:pPr>
        <w:rPr>
          <w:sz w:val="22"/>
          <w:szCs w:val="22"/>
        </w:rPr>
      </w:pPr>
      <w:r w:rsidRPr="005B5B70">
        <w:rPr>
          <w:sz w:val="22"/>
          <w:szCs w:val="22"/>
        </w:rPr>
        <w:t xml:space="preserve">However, language supports are not the only option, and the current situation cannot be changed perfectly in a short period. As this issue needs multiple supports from different authorities.  For example, more minority police officers’ visibility is a sign of support for the community. They can build up a stronger bridge between minority victims and witnesses. </w:t>
      </w:r>
      <w:r w:rsidRPr="005B5B70">
        <w:rPr>
          <w:sz w:val="22"/>
          <w:szCs w:val="22"/>
        </w:rPr>
        <w:lastRenderedPageBreak/>
        <w:t xml:space="preserve">Overall, when the community’s confidence increases, less vulnerable victim become a repeat victim, the healthier society it will become. </w:t>
      </w:r>
    </w:p>
    <w:p w14:paraId="3A421EC7" w14:textId="77777777" w:rsidR="005B5B70" w:rsidRPr="005B5B70" w:rsidRDefault="005B5B70" w:rsidP="005B5B70">
      <w:pPr>
        <w:rPr>
          <w:sz w:val="22"/>
          <w:szCs w:val="22"/>
        </w:rPr>
      </w:pPr>
      <w:r w:rsidRPr="005B5B70">
        <w:rPr>
          <w:sz w:val="22"/>
          <w:szCs w:val="22"/>
        </w:rPr>
        <w:t>(Word count 1813)</w:t>
      </w:r>
    </w:p>
    <w:p w14:paraId="15A38E9D" w14:textId="77777777" w:rsidR="005B5B70" w:rsidRPr="005B5B70" w:rsidRDefault="005B5B70" w:rsidP="005B5B70">
      <w:pPr>
        <w:rPr>
          <w:sz w:val="22"/>
          <w:szCs w:val="22"/>
        </w:rPr>
      </w:pPr>
    </w:p>
    <w:p w14:paraId="3EA2DA1A" w14:textId="77777777" w:rsidR="005B5B70" w:rsidRPr="005B5B70" w:rsidRDefault="005B5B70" w:rsidP="005B5B70">
      <w:pPr>
        <w:rPr>
          <w:sz w:val="22"/>
          <w:szCs w:val="22"/>
        </w:rPr>
      </w:pPr>
    </w:p>
    <w:p w14:paraId="0895F2B6" w14:textId="77777777" w:rsidR="005B5B70" w:rsidRPr="005B5B70" w:rsidRDefault="005B5B70" w:rsidP="005B5B70">
      <w:pPr>
        <w:rPr>
          <w:sz w:val="22"/>
          <w:szCs w:val="22"/>
        </w:rPr>
      </w:pPr>
    </w:p>
    <w:p w14:paraId="7B8CECBB" w14:textId="77777777" w:rsidR="005B5B70" w:rsidRPr="005B5B70" w:rsidRDefault="005B5B70" w:rsidP="005B5B70">
      <w:pPr>
        <w:rPr>
          <w:sz w:val="22"/>
          <w:szCs w:val="22"/>
        </w:rPr>
      </w:pPr>
    </w:p>
    <w:p w14:paraId="6862C01C" w14:textId="77777777" w:rsidR="005B5B70" w:rsidRPr="005B5B70" w:rsidRDefault="005B5B70" w:rsidP="005B5B70">
      <w:pPr>
        <w:rPr>
          <w:sz w:val="22"/>
          <w:szCs w:val="22"/>
        </w:rPr>
      </w:pPr>
    </w:p>
    <w:p w14:paraId="2F70EDE1" w14:textId="77777777" w:rsidR="005B5B70" w:rsidRPr="005B5B70" w:rsidRDefault="005B5B70" w:rsidP="005B5B70">
      <w:pPr>
        <w:jc w:val="center"/>
        <w:rPr>
          <w:b/>
          <w:bCs/>
          <w:sz w:val="22"/>
          <w:szCs w:val="22"/>
        </w:rPr>
      </w:pPr>
      <w:r w:rsidRPr="005B5B70">
        <w:rPr>
          <w:b/>
          <w:bCs/>
          <w:sz w:val="22"/>
          <w:szCs w:val="22"/>
        </w:rPr>
        <w:t>References</w:t>
      </w:r>
    </w:p>
    <w:p w14:paraId="1A62A64F"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Asquith, N. L., Bartkowiak-Théron, Isabelle., &amp; Roberts, K. A. (Eds.). (2017). Policing encounters with vulnerability (1st ed. 2017.). Springer International Publishing. </w:t>
      </w:r>
      <w:hyperlink r:id="rId15" w:history="1">
        <w:r w:rsidRPr="005B5B70">
          <w:rPr>
            <w:rStyle w:val="Hyperlink"/>
            <w:sz w:val="22"/>
            <w:szCs w:val="22"/>
          </w:rPr>
          <w:t>https://doi.org/10.1007/978-3-319-51228-0</w:t>
        </w:r>
      </w:hyperlink>
      <w:r w:rsidRPr="005B5B70">
        <w:rPr>
          <w:sz w:val="22"/>
          <w:szCs w:val="22"/>
        </w:rPr>
        <w:t xml:space="preserve"> (15</w:t>
      </w:r>
      <w:r w:rsidRPr="005B5B70">
        <w:rPr>
          <w:sz w:val="22"/>
          <w:szCs w:val="22"/>
          <w:vertAlign w:val="superscript"/>
        </w:rPr>
        <w:t>th</w:t>
      </w:r>
      <w:r w:rsidRPr="005B5B70">
        <w:rPr>
          <w:sz w:val="22"/>
          <w:szCs w:val="22"/>
        </w:rPr>
        <w:t xml:space="preserve"> September 2024)</w:t>
      </w:r>
    </w:p>
    <w:p w14:paraId="5592E8CF"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City of London Police (2021) Unqualified court interpreter sentenced after working on 140 cases, available at: </w:t>
      </w:r>
      <w:hyperlink r:id="rId16" w:anchor=":~:text=Mirwais%20Patang%2C%2027%2C%20of%20Stirling,unpaid%20work%20within%2024%20months" w:history="1">
        <w:r w:rsidRPr="005B5B70">
          <w:rPr>
            <w:rStyle w:val="Hyperlink"/>
            <w:sz w:val="22"/>
            <w:szCs w:val="22"/>
          </w:rPr>
          <w:t>https://www.cityoflondon.police.uk/news/city-of-london/news/2021/Template/fraud/unqualified-court-interpreter-sentenced-after-working-on-140-cases/#:~:text=Mirwais%20Patang%2C%2027%2C%20of%20Stirling,unpaid%20work%20within%2024%20months</w:t>
        </w:r>
      </w:hyperlink>
      <w:r w:rsidRPr="005B5B70">
        <w:rPr>
          <w:sz w:val="22"/>
          <w:szCs w:val="22"/>
        </w:rPr>
        <w:t>. (Accessed 22</w:t>
      </w:r>
      <w:r w:rsidRPr="005B5B70">
        <w:rPr>
          <w:sz w:val="22"/>
          <w:szCs w:val="22"/>
          <w:vertAlign w:val="superscript"/>
        </w:rPr>
        <w:t>nd</w:t>
      </w:r>
      <w:r w:rsidRPr="005B5B70">
        <w:rPr>
          <w:sz w:val="22"/>
          <w:szCs w:val="22"/>
        </w:rPr>
        <w:t xml:space="preserve"> September 2024). </w:t>
      </w:r>
    </w:p>
    <w:p w14:paraId="7FFA2B4E"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College of Policing (2020) Briefing note: Using language services, available at: </w:t>
      </w:r>
      <w:hyperlink r:id="rId17" w:history="1">
        <w:r w:rsidRPr="005B5B70">
          <w:rPr>
            <w:rStyle w:val="Hyperlink"/>
            <w:sz w:val="22"/>
            <w:szCs w:val="22"/>
          </w:rPr>
          <w:t>https://library.college.police.uk/docs/college-of-policing/Language-Services-v1.0.pdf</w:t>
        </w:r>
      </w:hyperlink>
      <w:r w:rsidRPr="005B5B70">
        <w:rPr>
          <w:sz w:val="22"/>
          <w:szCs w:val="22"/>
        </w:rPr>
        <w:t xml:space="preserve"> (Accessed 23rd September 2024). </w:t>
      </w:r>
    </w:p>
    <w:p w14:paraId="3B5C54EF"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College of Policing (2024) Introduction to Vulnerability-Related Risk. Available at: </w:t>
      </w:r>
      <w:hyperlink r:id="rId18" w:history="1">
        <w:r w:rsidRPr="005B5B70">
          <w:rPr>
            <w:rStyle w:val="Hyperlink"/>
            <w:sz w:val="22"/>
            <w:szCs w:val="22"/>
          </w:rPr>
          <w:t>https://www.college.police.uk/guidance/vulnerability-related-risks/introduction-vulnerability-related-risk</w:t>
        </w:r>
      </w:hyperlink>
      <w:r w:rsidRPr="005B5B70">
        <w:rPr>
          <w:sz w:val="22"/>
          <w:szCs w:val="22"/>
        </w:rPr>
        <w:t xml:space="preserve"> (Accessed: 15</w:t>
      </w:r>
      <w:r w:rsidRPr="005B5B70">
        <w:rPr>
          <w:sz w:val="22"/>
          <w:szCs w:val="22"/>
          <w:vertAlign w:val="superscript"/>
        </w:rPr>
        <w:t>th</w:t>
      </w:r>
      <w:r w:rsidRPr="005B5B70">
        <w:rPr>
          <w:sz w:val="22"/>
          <w:szCs w:val="22"/>
        </w:rPr>
        <w:t xml:space="preserve"> September, 2024). </w:t>
      </w:r>
    </w:p>
    <w:p w14:paraId="60332991"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Dinisman, T., Moroz, A., Anastassiou, A. and Lynall, A. (2022) Language Barriers in the Criminal Justice System the Experience of Victims and Witnesses Who Speak English as A Second Or Additional Language. Available at: </w:t>
      </w:r>
      <w:hyperlink r:id="rId19" w:history="1">
        <w:r w:rsidRPr="005B5B70">
          <w:rPr>
            <w:rStyle w:val="Hyperlink"/>
            <w:sz w:val="22"/>
            <w:szCs w:val="22"/>
          </w:rPr>
          <w:t>https://www.bell-foundation.org.uk/app/uploads/2022/04/Language-Barriers-In-The-Criminal-Justice-System-The-Experience-Of-Victims-And-Witnesses-Who-Speak-English-As-A-Second-Or-Additional-Language.pdf</w:t>
        </w:r>
      </w:hyperlink>
      <w:r w:rsidRPr="005B5B70">
        <w:rPr>
          <w:sz w:val="22"/>
          <w:szCs w:val="22"/>
        </w:rPr>
        <w:t xml:space="preserve"> (Accessed 23rd September 2024).</w:t>
      </w:r>
    </w:p>
    <w:p w14:paraId="25CE8A3A"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Home Office (2019) CODE C Revised Code of Practice for the Detention, Treatment and</w:t>
      </w:r>
    </w:p>
    <w:p w14:paraId="7F9991C8"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Home Office (2023) Police Use of Facial Recognition: Factsheet. Available at: </w:t>
      </w:r>
      <w:hyperlink r:id="rId20" w:history="1">
        <w:r w:rsidRPr="005B5B70">
          <w:rPr>
            <w:rStyle w:val="Hyperlink"/>
            <w:sz w:val="22"/>
            <w:szCs w:val="22"/>
          </w:rPr>
          <w:t>https://homeofficemedia.blog.gov.uk/2023/10/29/police-use-of-facial-recognition-factsheet/</w:t>
        </w:r>
      </w:hyperlink>
      <w:r w:rsidRPr="005B5B70">
        <w:rPr>
          <w:sz w:val="22"/>
          <w:szCs w:val="22"/>
        </w:rPr>
        <w:t xml:space="preserve"> (Accessed: 18</w:t>
      </w:r>
      <w:r w:rsidRPr="005B5B70">
        <w:rPr>
          <w:sz w:val="22"/>
          <w:szCs w:val="22"/>
          <w:vertAlign w:val="superscript"/>
        </w:rPr>
        <w:t>th</w:t>
      </w:r>
      <w:r w:rsidRPr="005B5B70">
        <w:rPr>
          <w:sz w:val="22"/>
          <w:szCs w:val="22"/>
        </w:rPr>
        <w:t xml:space="preserve"> September 2024)</w:t>
      </w:r>
    </w:p>
    <w:p w14:paraId="417AA722"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Home Office (2023a) PACE Code C 2019 (Accessible), available at: </w:t>
      </w:r>
      <w:hyperlink r:id="rId21" w:history="1">
        <w:r w:rsidRPr="005B5B70">
          <w:rPr>
            <w:rStyle w:val="Hyperlink"/>
            <w:sz w:val="22"/>
            <w:szCs w:val="22"/>
          </w:rPr>
          <w:t>https://www.gov.uk/government/publications/pace-code-c-2019/pace-code-c-2019-accessible</w:t>
        </w:r>
      </w:hyperlink>
      <w:r w:rsidRPr="005B5B70">
        <w:rPr>
          <w:sz w:val="22"/>
          <w:szCs w:val="22"/>
        </w:rPr>
        <w:t xml:space="preserve"> (Accessed: 19</w:t>
      </w:r>
      <w:r w:rsidRPr="005B5B70">
        <w:rPr>
          <w:sz w:val="22"/>
          <w:szCs w:val="22"/>
          <w:vertAlign w:val="superscript"/>
        </w:rPr>
        <w:t>th</w:t>
      </w:r>
      <w:r w:rsidRPr="005B5B70">
        <w:rPr>
          <w:sz w:val="22"/>
          <w:szCs w:val="22"/>
        </w:rPr>
        <w:t xml:space="preserve"> September 2024)</w:t>
      </w:r>
    </w:p>
    <w:p w14:paraId="196A9866"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Kent Police (2024) Vulnerable People, Available at: </w:t>
      </w:r>
      <w:hyperlink r:id="rId22" w:history="1">
        <w:r w:rsidRPr="005B5B70">
          <w:rPr>
            <w:rStyle w:val="Hyperlink"/>
            <w:sz w:val="22"/>
            <w:szCs w:val="22"/>
          </w:rPr>
          <w:t>https://www.kent.police.uk/police-forces/kent-police/areas/kent-police/campaigns/vulnerable-people/</w:t>
        </w:r>
      </w:hyperlink>
      <w:r w:rsidRPr="005B5B70">
        <w:rPr>
          <w:sz w:val="22"/>
          <w:szCs w:val="22"/>
        </w:rPr>
        <w:t xml:space="preserve"> (Accessed 19</w:t>
      </w:r>
      <w:r w:rsidRPr="005B5B70">
        <w:rPr>
          <w:sz w:val="22"/>
          <w:szCs w:val="22"/>
          <w:vertAlign w:val="superscript"/>
        </w:rPr>
        <w:t>th</w:t>
      </w:r>
      <w:r w:rsidRPr="005B5B70">
        <w:rPr>
          <w:sz w:val="22"/>
          <w:szCs w:val="22"/>
        </w:rPr>
        <w:t xml:space="preserve"> September 2024)</w:t>
      </w:r>
    </w:p>
    <w:p w14:paraId="29653AC0"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Lantz, B., &amp; Wenger, M. R. (2022). Are Asian Victims Less Likely to Report Hate Crime Victimization to the Police? Implications for Research and Policy in the Wake of the COVID-19 Pandemic. Crime and Delinquency, 68(8), 1292–1319. </w:t>
      </w:r>
      <w:hyperlink r:id="rId23" w:history="1">
        <w:r w:rsidRPr="005B5B70">
          <w:rPr>
            <w:rStyle w:val="Hyperlink"/>
            <w:sz w:val="22"/>
            <w:szCs w:val="22"/>
          </w:rPr>
          <w:t>https://doi.org/10.1177/00111287211041521</w:t>
        </w:r>
      </w:hyperlink>
      <w:r w:rsidRPr="005B5B70">
        <w:rPr>
          <w:sz w:val="22"/>
          <w:szCs w:val="22"/>
        </w:rPr>
        <w:t xml:space="preserve"> (Accessed 23rd September 2024). </w:t>
      </w:r>
    </w:p>
    <w:p w14:paraId="2B8BAC58"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NPCC (2024) National Police Language Services Update – April 2024. Available at:  </w:t>
      </w:r>
      <w:hyperlink r:id="rId24" w:history="1">
        <w:r w:rsidRPr="005B5B70">
          <w:rPr>
            <w:rStyle w:val="Hyperlink"/>
            <w:sz w:val="22"/>
            <w:szCs w:val="22"/>
          </w:rPr>
          <w:t>https://www.nrpsi.org.uk/downloads/PAIT-Scheme-Newsletter-April-24-v1.pdf</w:t>
        </w:r>
      </w:hyperlink>
      <w:r w:rsidRPr="005B5B70">
        <w:rPr>
          <w:sz w:val="22"/>
          <w:szCs w:val="22"/>
        </w:rPr>
        <w:t xml:space="preserve"> (Accessed 22nd September 2024)).</w:t>
      </w:r>
    </w:p>
    <w:p w14:paraId="285F8895"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lastRenderedPageBreak/>
        <w:t xml:space="preserve">Questioning of Persons by Police Officers. Available at: </w:t>
      </w:r>
      <w:hyperlink r:id="rId25" w:history="1">
        <w:r w:rsidRPr="005B5B70">
          <w:rPr>
            <w:rStyle w:val="Hyperlink"/>
            <w:sz w:val="22"/>
            <w:szCs w:val="22"/>
          </w:rPr>
          <w:t>https://assets.publishing.service.gov.uk/media/5f1a8f23d3bf7f5968d37dce/pace-code-c-2019.pdf</w:t>
        </w:r>
      </w:hyperlink>
      <w:r w:rsidRPr="005B5B70">
        <w:rPr>
          <w:sz w:val="22"/>
          <w:szCs w:val="22"/>
        </w:rPr>
        <w:t xml:space="preserve"> (Accessed 23rd September 2024). </w:t>
      </w:r>
    </w:p>
    <w:p w14:paraId="74078315"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The Telegraph (2024) Police translation costs hit £19m a year, available at: </w:t>
      </w:r>
      <w:hyperlink r:id="rId26" w:history="1">
        <w:r w:rsidRPr="005B5B70">
          <w:rPr>
            <w:rStyle w:val="Hyperlink"/>
            <w:sz w:val="22"/>
            <w:szCs w:val="22"/>
          </w:rPr>
          <w:t>https://www.telegraph.co.uk/news/2024/03/30/police-translation-costs-increase-net-migration/</w:t>
        </w:r>
      </w:hyperlink>
      <w:r w:rsidRPr="005B5B70">
        <w:rPr>
          <w:sz w:val="22"/>
          <w:szCs w:val="22"/>
        </w:rPr>
        <w:t xml:space="preserve"> (Accessed 22</w:t>
      </w:r>
      <w:r w:rsidRPr="005B5B70">
        <w:rPr>
          <w:sz w:val="22"/>
          <w:szCs w:val="22"/>
          <w:vertAlign w:val="superscript"/>
        </w:rPr>
        <w:t>nd</w:t>
      </w:r>
      <w:r w:rsidRPr="005B5B70">
        <w:rPr>
          <w:sz w:val="22"/>
          <w:szCs w:val="22"/>
        </w:rPr>
        <w:t xml:space="preserve"> September 2024)</w:t>
      </w:r>
    </w:p>
    <w:p w14:paraId="5F3CBD5B"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UKRI (2024) Research with Potentially Vulnerable People. Available at: </w:t>
      </w:r>
      <w:hyperlink r:id="rId27" w:history="1">
        <w:r w:rsidRPr="005B5B70">
          <w:rPr>
            <w:rStyle w:val="Hyperlink"/>
            <w:sz w:val="22"/>
            <w:szCs w:val="22"/>
          </w:rPr>
          <w:t>https://www.ukri.org/councils/esrc/guidance-for-applicants/research-ethics-guidance/research-with-potentially-vulnerable-people/</w:t>
        </w:r>
      </w:hyperlink>
      <w:r w:rsidRPr="005B5B70">
        <w:rPr>
          <w:sz w:val="22"/>
          <w:szCs w:val="22"/>
        </w:rPr>
        <w:t xml:space="preserve"> (Accessed 19</w:t>
      </w:r>
      <w:r w:rsidRPr="005B5B70">
        <w:rPr>
          <w:sz w:val="22"/>
          <w:szCs w:val="22"/>
          <w:vertAlign w:val="superscript"/>
        </w:rPr>
        <w:t>th</w:t>
      </w:r>
      <w:r w:rsidRPr="005B5B70">
        <w:rPr>
          <w:sz w:val="22"/>
          <w:szCs w:val="22"/>
        </w:rPr>
        <w:t xml:space="preserve"> September 2024)</w:t>
      </w:r>
    </w:p>
    <w:p w14:paraId="3839284C" w14:textId="77777777" w:rsidR="005B5B70" w:rsidRPr="005B5B70" w:rsidRDefault="005B5B70" w:rsidP="005B5B70">
      <w:pPr>
        <w:pStyle w:val="ListParagraph"/>
        <w:numPr>
          <w:ilvl w:val="0"/>
          <w:numId w:val="50"/>
        </w:numPr>
        <w:overflowPunct/>
        <w:autoSpaceDE/>
        <w:autoSpaceDN/>
        <w:adjustRightInd/>
        <w:spacing w:after="160" w:line="278" w:lineRule="auto"/>
        <w:textAlignment w:val="auto"/>
        <w:rPr>
          <w:sz w:val="22"/>
          <w:szCs w:val="22"/>
        </w:rPr>
      </w:pPr>
      <w:r w:rsidRPr="005B5B70">
        <w:rPr>
          <w:sz w:val="22"/>
          <w:szCs w:val="22"/>
        </w:rPr>
        <w:t xml:space="preserve">Victim Support (2021) Language Barriers in The Criminal Justice System Initial Research Findings Relating to Victims and Witnesses. Available at: </w:t>
      </w:r>
      <w:hyperlink r:id="rId28" w:history="1">
        <w:r w:rsidRPr="005B5B70">
          <w:rPr>
            <w:rStyle w:val="Hyperlink"/>
            <w:sz w:val="22"/>
            <w:szCs w:val="22"/>
          </w:rPr>
          <w:t>https://www.victimsupport.org.uk/wp-content/uploads/2021/03/VS_Briefing_VictimsLanguageBarriersintheCJS_February2021.pdf</w:t>
        </w:r>
      </w:hyperlink>
      <w:r w:rsidRPr="005B5B70">
        <w:rPr>
          <w:sz w:val="22"/>
          <w:szCs w:val="22"/>
        </w:rPr>
        <w:t xml:space="preserve"> (Accessed 23rd September 2024). </w:t>
      </w:r>
    </w:p>
    <w:p w14:paraId="03CBB618" w14:textId="77777777" w:rsidR="005B5B70" w:rsidRPr="005B5B70" w:rsidRDefault="005B5B70" w:rsidP="005B5B70">
      <w:pPr>
        <w:rPr>
          <w:sz w:val="22"/>
          <w:szCs w:val="22"/>
        </w:rPr>
      </w:pPr>
    </w:p>
    <w:p w14:paraId="391558F6" w14:textId="77777777" w:rsidR="005B5B70" w:rsidRPr="005B5B70" w:rsidRDefault="005B5B70" w:rsidP="005B5B70">
      <w:pPr>
        <w:rPr>
          <w:sz w:val="22"/>
          <w:szCs w:val="22"/>
        </w:rPr>
      </w:pPr>
    </w:p>
    <w:p w14:paraId="0302AF96" w14:textId="77777777" w:rsidR="005B5B70" w:rsidRPr="005B5B70" w:rsidRDefault="005B5B70" w:rsidP="005B5B70">
      <w:pPr>
        <w:rPr>
          <w:sz w:val="22"/>
          <w:szCs w:val="22"/>
        </w:rPr>
      </w:pPr>
    </w:p>
    <w:p w14:paraId="1916B548" w14:textId="77777777" w:rsidR="005B5B70" w:rsidRPr="005B5B70" w:rsidRDefault="005B5B70" w:rsidP="005B5B70">
      <w:pPr>
        <w:rPr>
          <w:sz w:val="22"/>
          <w:szCs w:val="22"/>
        </w:rPr>
      </w:pPr>
    </w:p>
    <w:p w14:paraId="17354FF2" w14:textId="77777777" w:rsidR="005B5B70" w:rsidRPr="005B5B70" w:rsidRDefault="005B5B70" w:rsidP="005B5B70">
      <w:pPr>
        <w:rPr>
          <w:sz w:val="22"/>
          <w:szCs w:val="22"/>
        </w:rPr>
      </w:pPr>
    </w:p>
    <w:p w14:paraId="7348B7A6" w14:textId="77777777" w:rsidR="005B5B70" w:rsidRPr="005B5B70" w:rsidRDefault="005B5B70" w:rsidP="005B5B70">
      <w:pPr>
        <w:rPr>
          <w:sz w:val="22"/>
          <w:szCs w:val="22"/>
        </w:rPr>
      </w:pPr>
    </w:p>
    <w:p w14:paraId="47BA591C" w14:textId="77777777" w:rsidR="005B5B70" w:rsidRPr="005B5B70" w:rsidRDefault="005B5B70" w:rsidP="005B5B70">
      <w:pPr>
        <w:rPr>
          <w:sz w:val="22"/>
          <w:szCs w:val="22"/>
        </w:rPr>
      </w:pPr>
    </w:p>
    <w:p w14:paraId="52F9601C" w14:textId="77777777" w:rsidR="005B5B70" w:rsidRPr="005B5B70" w:rsidRDefault="005B5B70" w:rsidP="005B5B70">
      <w:pPr>
        <w:rPr>
          <w:sz w:val="22"/>
          <w:szCs w:val="22"/>
        </w:rPr>
      </w:pPr>
    </w:p>
    <w:p w14:paraId="43E90350" w14:textId="77777777" w:rsidR="005B5B70" w:rsidRPr="005B5B70" w:rsidRDefault="005B5B70" w:rsidP="005B5B70">
      <w:pPr>
        <w:jc w:val="center"/>
        <w:rPr>
          <w:b/>
          <w:bCs/>
          <w:sz w:val="22"/>
          <w:szCs w:val="22"/>
        </w:rPr>
      </w:pPr>
      <w:r w:rsidRPr="005B5B70">
        <w:rPr>
          <w:b/>
          <w:bCs/>
          <w:sz w:val="22"/>
          <w:szCs w:val="22"/>
        </w:rPr>
        <w:t>Bibliography</w:t>
      </w:r>
    </w:p>
    <w:p w14:paraId="5D30F88A"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Asquith, N. L., Bartkowiak-Théron, Isabelle., &amp; Roberts, K. A. (Eds.). (2017). Policing encounters with vulnerability (1st ed. 2017.). Springer International Publishing. </w:t>
      </w:r>
      <w:hyperlink r:id="rId29" w:history="1">
        <w:r w:rsidRPr="005B5B70">
          <w:rPr>
            <w:rStyle w:val="Hyperlink"/>
            <w:sz w:val="22"/>
            <w:szCs w:val="22"/>
          </w:rPr>
          <w:t>https://doi.org/10.1007/978-3-319-51228-0</w:t>
        </w:r>
      </w:hyperlink>
      <w:r w:rsidRPr="005B5B70">
        <w:rPr>
          <w:sz w:val="22"/>
          <w:szCs w:val="22"/>
        </w:rPr>
        <w:t xml:space="preserve"> </w:t>
      </w:r>
    </w:p>
    <w:p w14:paraId="3ABBB63A"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Brands, J., &amp; van Doorn, J. (2020). Policing nightlife areas: comparing youths’ trust in police, door staff and CCTV. Policing &amp; Society, 30(4), 429–445. </w:t>
      </w:r>
      <w:hyperlink r:id="rId30" w:history="1">
        <w:r w:rsidRPr="005B5B70">
          <w:rPr>
            <w:rStyle w:val="Hyperlink"/>
            <w:sz w:val="22"/>
            <w:szCs w:val="22"/>
          </w:rPr>
          <w:t>https://doi.org/10.1080/10439463.2018.1553974</w:t>
        </w:r>
      </w:hyperlink>
      <w:r w:rsidRPr="005B5B70">
        <w:rPr>
          <w:sz w:val="22"/>
          <w:szCs w:val="22"/>
        </w:rPr>
        <w:t xml:space="preserve"> </w:t>
      </w:r>
    </w:p>
    <w:p w14:paraId="4E4A9EB8"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BTP (2024) London Bombings of 2005. Available at: </w:t>
      </w:r>
      <w:hyperlink r:id="rId31" w:anchor=":~:text=On%207%20July%202005%20four,Road%20and%20Russell%20Square%20stations" w:history="1">
        <w:r w:rsidRPr="005B5B70">
          <w:rPr>
            <w:rStyle w:val="Hyperlink"/>
            <w:sz w:val="22"/>
            <w:szCs w:val="22"/>
          </w:rPr>
          <w:t>https://www.btp.police.uk/police-forces/british-transport-police/areas/about-us/about-us/our-history/london-bombings-of2005/#:~:text=On%207%20July%202005%20four,Road%20and%20Russell%20Square%20stations</w:t>
        </w:r>
      </w:hyperlink>
      <w:r w:rsidRPr="005B5B70">
        <w:rPr>
          <w:sz w:val="22"/>
          <w:szCs w:val="22"/>
        </w:rPr>
        <w:t>.</w:t>
      </w:r>
    </w:p>
    <w:p w14:paraId="1FB7D5E8"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City of London Police (2021) Unqualified court interpreter sentenced after working on 140 cases, available at: </w:t>
      </w:r>
      <w:hyperlink r:id="rId32" w:anchor=":~:text=Mirwais%20Patang%2C%2027%2C%20of%20Stirling,unpaid%20work%20within%2024%20months" w:history="1">
        <w:r w:rsidRPr="005B5B70">
          <w:rPr>
            <w:rStyle w:val="Hyperlink"/>
            <w:sz w:val="22"/>
            <w:szCs w:val="22"/>
          </w:rPr>
          <w:t>https://www.cityoflondon.police.uk/news/city-of-london/news/2021/Template/fraud/unqualified-court-interpreter-sentenced-after-working-on-140-cases/#:~:text=Mirwais%20Patang%2C%2027%2C%20of%20Stirling,unpaid%20work%20within%2024%20months</w:t>
        </w:r>
      </w:hyperlink>
      <w:r w:rsidRPr="005B5B70">
        <w:rPr>
          <w:sz w:val="22"/>
          <w:szCs w:val="22"/>
        </w:rPr>
        <w:t>.</w:t>
      </w:r>
    </w:p>
    <w:p w14:paraId="6A95EFAF"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College of Policing (2020) Briefing note: Using language services, available at: </w:t>
      </w:r>
      <w:hyperlink r:id="rId33" w:history="1">
        <w:r w:rsidRPr="005B5B70">
          <w:rPr>
            <w:rStyle w:val="Hyperlink"/>
            <w:sz w:val="22"/>
            <w:szCs w:val="22"/>
          </w:rPr>
          <w:t>https://library.college.police.uk/docs/college-of-policing/Language-Services-v1.0.pdf</w:t>
        </w:r>
      </w:hyperlink>
      <w:r w:rsidRPr="005B5B70">
        <w:rPr>
          <w:sz w:val="22"/>
          <w:szCs w:val="22"/>
        </w:rPr>
        <w:t xml:space="preserve"> </w:t>
      </w:r>
    </w:p>
    <w:p w14:paraId="1518F494"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College of Policing (2024) Introduction to Vulnerability-Related Risk. Available at: </w:t>
      </w:r>
      <w:hyperlink r:id="rId34" w:history="1">
        <w:r w:rsidRPr="005B5B70">
          <w:rPr>
            <w:rStyle w:val="Hyperlink"/>
            <w:sz w:val="22"/>
            <w:szCs w:val="22"/>
          </w:rPr>
          <w:t>https://www.college.police.uk/guidance/vulnerability-related-risks/introduction-vulnerability-related-risk</w:t>
        </w:r>
      </w:hyperlink>
      <w:r w:rsidRPr="005B5B70">
        <w:rPr>
          <w:sz w:val="22"/>
          <w:szCs w:val="22"/>
        </w:rPr>
        <w:t xml:space="preserve"> </w:t>
      </w:r>
    </w:p>
    <w:p w14:paraId="796B89BC"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College of Policing (20254a) CCTV. Available at: </w:t>
      </w:r>
      <w:hyperlink r:id="rId35" w:anchor=":~:text=CCTV%20allows%20evidence%20to%20be,investigation%20and%20achieving%20justice%20outcomes" w:history="1">
        <w:r w:rsidRPr="005B5B70">
          <w:rPr>
            <w:rStyle w:val="Hyperlink"/>
            <w:sz w:val="22"/>
            <w:szCs w:val="22"/>
          </w:rPr>
          <w:t>https://www.college.police.uk/guidance/investigation/investigative-</w:t>
        </w:r>
        <w:r w:rsidRPr="005B5B70">
          <w:rPr>
            <w:rStyle w:val="Hyperlink"/>
            <w:sz w:val="22"/>
            <w:szCs w:val="22"/>
          </w:rPr>
          <w:lastRenderedPageBreak/>
          <w:t>strategies/cctv#:~:text=CCTV%20allows%20evidence%20to%20be,investigation%20and%20achieving%20justice%20outcomes</w:t>
        </w:r>
      </w:hyperlink>
      <w:r w:rsidRPr="005B5B70">
        <w:rPr>
          <w:sz w:val="22"/>
          <w:szCs w:val="22"/>
        </w:rPr>
        <w:t>.</w:t>
      </w:r>
    </w:p>
    <w:p w14:paraId="2D8FE570"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rFonts w:hint="eastAsia"/>
          <w:sz w:val="22"/>
          <w:szCs w:val="22"/>
        </w:rPr>
        <w:t xml:space="preserve">Davis, J. P., Forrest, C., Treml, F., &amp; Jansari, A. (2018). Identification from CCTV: Assessing police super‐recogniser ability to spot faces in a crowd and susceptibility to change blindness. Applied Cognitive Psychology, 32(3), 337–353. </w:t>
      </w:r>
      <w:hyperlink r:id="rId36" w:history="1">
        <w:r w:rsidRPr="005B5B70">
          <w:rPr>
            <w:rStyle w:val="Hyperlink"/>
            <w:rFonts w:hint="eastAsia"/>
            <w:sz w:val="22"/>
            <w:szCs w:val="22"/>
          </w:rPr>
          <w:t>https://doi.org</w:t>
        </w:r>
        <w:r w:rsidRPr="005B5B70">
          <w:rPr>
            <w:rStyle w:val="Hyperlink"/>
            <w:sz w:val="22"/>
            <w:szCs w:val="22"/>
          </w:rPr>
          <w:t>/10.1002/acp.3405</w:t>
        </w:r>
      </w:hyperlink>
      <w:r w:rsidRPr="005B5B70">
        <w:rPr>
          <w:sz w:val="22"/>
          <w:szCs w:val="22"/>
        </w:rPr>
        <w:t xml:space="preserve"> </w:t>
      </w:r>
    </w:p>
    <w:p w14:paraId="0461C226"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Dinisman, T., Moroz, A., Anastassiou, A. and Lynall, A. (2022) Language Barriers in the Criminal Justice System the Experience of Victims and Witnesses Who Speak English as A Second Or Additional Language. Available at: </w:t>
      </w:r>
      <w:hyperlink r:id="rId37" w:history="1">
        <w:r w:rsidRPr="005B5B70">
          <w:rPr>
            <w:rStyle w:val="Hyperlink"/>
            <w:sz w:val="22"/>
            <w:szCs w:val="22"/>
          </w:rPr>
          <w:t>https://www.bell-foundation.org.uk/app/uploads/2022/04/Language-Barriers-In-The-Criminal-Justice-System-The-Experience-Of-Victims-And-Witnesses-Who-Speak-English-As-A-Second-Or-Additional-Language.pdf</w:t>
        </w:r>
      </w:hyperlink>
    </w:p>
    <w:p w14:paraId="3561D1B8"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Evans, R. (2015). ‘The footage is decisive’: Applying the thinking of Marshall McLuhan to CCTV and police misconduct. Surveillance &amp; Society, 13(2), 218–232. </w:t>
      </w:r>
      <w:hyperlink r:id="rId38" w:history="1">
        <w:r w:rsidRPr="005B5B70">
          <w:rPr>
            <w:rStyle w:val="Hyperlink"/>
            <w:sz w:val="22"/>
            <w:szCs w:val="22"/>
          </w:rPr>
          <w:t>https://doi.org/10.24908/ss.v13i2.5298</w:t>
        </w:r>
      </w:hyperlink>
      <w:r w:rsidRPr="005B5B70">
        <w:rPr>
          <w:sz w:val="22"/>
          <w:szCs w:val="22"/>
        </w:rPr>
        <w:t xml:space="preserve"> </w:t>
      </w:r>
    </w:p>
    <w:p w14:paraId="04B7563D"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HMICFRS (2023) Vulnerable person, available at: </w:t>
      </w:r>
      <w:hyperlink r:id="rId39" w:history="1">
        <w:r w:rsidRPr="005B5B70">
          <w:rPr>
            <w:rStyle w:val="Hyperlink"/>
            <w:sz w:val="22"/>
            <w:szCs w:val="22"/>
          </w:rPr>
          <w:t>https://hmicfrs.justiceinspectorates.gov.uk/glossary/vulnerable-person/</w:t>
        </w:r>
      </w:hyperlink>
      <w:r w:rsidRPr="005B5B70">
        <w:rPr>
          <w:sz w:val="22"/>
          <w:szCs w:val="22"/>
        </w:rPr>
        <w:t xml:space="preserve"> </w:t>
      </w:r>
    </w:p>
    <w:p w14:paraId="08742633"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Home Office (2019) CODE C Revised Code of Practice for the Detention, Treatment and</w:t>
      </w:r>
    </w:p>
    <w:p w14:paraId="6AEA234E"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Home Office (2023) Police Use of Facial Recognition: Factsheet. Available at: </w:t>
      </w:r>
      <w:hyperlink r:id="rId40" w:history="1">
        <w:r w:rsidRPr="005B5B70">
          <w:rPr>
            <w:rStyle w:val="Hyperlink"/>
            <w:sz w:val="22"/>
            <w:szCs w:val="22"/>
          </w:rPr>
          <w:t>https://homeofficemedia.blog.gov.uk/2023/10/29/police-use-of-facial-recognition-factsheet/</w:t>
        </w:r>
      </w:hyperlink>
      <w:r w:rsidRPr="005B5B70">
        <w:rPr>
          <w:sz w:val="22"/>
          <w:szCs w:val="22"/>
        </w:rPr>
        <w:t xml:space="preserve"> </w:t>
      </w:r>
    </w:p>
    <w:p w14:paraId="33594AB1"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Home Office (2023a) PACE Code C 2019 (Accessible), available at: </w:t>
      </w:r>
      <w:hyperlink r:id="rId41" w:history="1">
        <w:r w:rsidRPr="005B5B70">
          <w:rPr>
            <w:rStyle w:val="Hyperlink"/>
            <w:sz w:val="22"/>
            <w:szCs w:val="22"/>
          </w:rPr>
          <w:t>https://www.gov.uk/government/publications/pace-code-c-2019/pace-code-c-2019-accessible</w:t>
        </w:r>
      </w:hyperlink>
    </w:p>
    <w:p w14:paraId="03933CC0"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Home Office (2024) Criminal Investigations: Use of Interpreters. Available at: </w:t>
      </w:r>
      <w:hyperlink r:id="rId42" w:history="1">
        <w:r w:rsidRPr="005B5B70">
          <w:rPr>
            <w:rStyle w:val="Hyperlink"/>
            <w:sz w:val="22"/>
            <w:szCs w:val="22"/>
          </w:rPr>
          <w:t>https://assets.publishing.service.gov.uk/media/65d4895438fef9001ab5b038/Criminal+investigation+_use+of+interpreters_.pdf</w:t>
        </w:r>
      </w:hyperlink>
      <w:r w:rsidRPr="005B5B70">
        <w:rPr>
          <w:sz w:val="22"/>
          <w:szCs w:val="22"/>
        </w:rPr>
        <w:t xml:space="preserve"> </w:t>
      </w:r>
    </w:p>
    <w:p w14:paraId="428E3A10"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Kent Police (2024) Vulnerable People, Available at: </w:t>
      </w:r>
      <w:hyperlink r:id="rId43" w:history="1">
        <w:r w:rsidRPr="005B5B70">
          <w:rPr>
            <w:rStyle w:val="Hyperlink"/>
            <w:sz w:val="22"/>
            <w:szCs w:val="22"/>
          </w:rPr>
          <w:t>https://www.kent.police.uk/police-forces/kent-police/areas/kent-police/campaigns/vulnerable-people/</w:t>
        </w:r>
      </w:hyperlink>
    </w:p>
    <w:p w14:paraId="65564702"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Kilgallon, M., &amp; Wright, M. (Eds.). (2022). Behavioural skills for effective policing (1st ed.). Critical Publishing. </w:t>
      </w:r>
    </w:p>
    <w:p w14:paraId="39EF17B4"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Lantz, B., &amp; Wenger, M. R. (2022). Are Asian Victims Less Likely to Report Hate Crime Victimization to the Police? Implications for Research and Policy in the Wake of the COVID-19 Pandemic. Crime and Delinquency, 68(8), 1292–1319. </w:t>
      </w:r>
      <w:hyperlink r:id="rId44" w:history="1">
        <w:r w:rsidRPr="005B5B70">
          <w:rPr>
            <w:rStyle w:val="Hyperlink"/>
            <w:sz w:val="22"/>
            <w:szCs w:val="22"/>
          </w:rPr>
          <w:t>https://doi.org/10.1177/00111287211041521</w:t>
        </w:r>
      </w:hyperlink>
      <w:r w:rsidRPr="005B5B70">
        <w:rPr>
          <w:sz w:val="22"/>
          <w:szCs w:val="22"/>
        </w:rPr>
        <w:t xml:space="preserve"> </w:t>
      </w:r>
    </w:p>
    <w:p w14:paraId="246D3786"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NPCC (2024) National Police Language Services Update – April 2024. Available at:  </w:t>
      </w:r>
      <w:hyperlink r:id="rId45" w:history="1">
        <w:r w:rsidRPr="005B5B70">
          <w:rPr>
            <w:rStyle w:val="Hyperlink"/>
            <w:sz w:val="22"/>
            <w:szCs w:val="22"/>
          </w:rPr>
          <w:t>https://www.nrpsi.org.uk/downloads/PAIT-Scheme-Newsletter-April-24-v1.pdf</w:t>
        </w:r>
      </w:hyperlink>
    </w:p>
    <w:p w14:paraId="0CF7CF13"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Questioning of Persons by Police Officers. Available at: </w:t>
      </w:r>
      <w:hyperlink r:id="rId46" w:history="1">
        <w:r w:rsidRPr="005B5B70">
          <w:rPr>
            <w:rStyle w:val="Hyperlink"/>
            <w:sz w:val="22"/>
            <w:szCs w:val="22"/>
          </w:rPr>
          <w:t>https://assets.publishing.service.gov.uk/media/5f1a8f23d3bf7f5968d37dce/pace-code-c-2019.pdf</w:t>
        </w:r>
      </w:hyperlink>
      <w:r w:rsidRPr="005B5B70">
        <w:rPr>
          <w:sz w:val="22"/>
          <w:szCs w:val="22"/>
        </w:rPr>
        <w:t xml:space="preserve"> </w:t>
      </w:r>
    </w:p>
    <w:p w14:paraId="19CFB2A5"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Sheldon, B., &amp; Williams, P. (2022). Understanding policing and professional practice (T. Blockley, Ed.). Critical Publishing. </w:t>
      </w:r>
    </w:p>
    <w:p w14:paraId="500513E5"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The Telegraph (2024) Police translation costs hit £19m a year, available at: </w:t>
      </w:r>
      <w:hyperlink r:id="rId47" w:history="1">
        <w:r w:rsidRPr="005B5B70">
          <w:rPr>
            <w:rStyle w:val="Hyperlink"/>
            <w:sz w:val="22"/>
            <w:szCs w:val="22"/>
          </w:rPr>
          <w:t>https://www.telegraph.co.uk/news/2024/03/30/police-translation-costs-increase-net-migration/</w:t>
        </w:r>
      </w:hyperlink>
    </w:p>
    <w:p w14:paraId="6DD91B9E"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lastRenderedPageBreak/>
        <w:t xml:space="preserve">UK Parliament (2024) Policing Response to the 2024 Summer Riots. Available at: </w:t>
      </w:r>
      <w:hyperlink r:id="rId48" w:history="1">
        <w:r w:rsidRPr="005B5B70">
          <w:rPr>
            <w:rStyle w:val="Hyperlink"/>
            <w:sz w:val="22"/>
            <w:szCs w:val="22"/>
          </w:rPr>
          <w:t>https://commonslibrary.parliament.uk/policing-response-to-the-2024-summer-riots/</w:t>
        </w:r>
      </w:hyperlink>
    </w:p>
    <w:p w14:paraId="3D057E06"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b/>
          <w:bCs/>
          <w:sz w:val="22"/>
          <w:szCs w:val="22"/>
        </w:rPr>
      </w:pPr>
      <w:r w:rsidRPr="005B5B70">
        <w:rPr>
          <w:sz w:val="22"/>
          <w:szCs w:val="22"/>
        </w:rPr>
        <w:t xml:space="preserve">Victim Support (2021) Language Barriers in The Criminal Justice System Initial Research Findings Relating to Victims and Witnesses. Available at: </w:t>
      </w:r>
      <w:hyperlink r:id="rId49" w:history="1">
        <w:r w:rsidRPr="005B5B70">
          <w:rPr>
            <w:rStyle w:val="Hyperlink"/>
            <w:sz w:val="22"/>
            <w:szCs w:val="22"/>
          </w:rPr>
          <w:t>https://www.victimsupport.org.uk/wp-content/uploads/2021/03/VS_Briefing_VictimsLanguageBarriersintheCJS_February2021.pdf</w:t>
        </w:r>
      </w:hyperlink>
      <w:r w:rsidRPr="005B5B70">
        <w:rPr>
          <w:sz w:val="22"/>
          <w:szCs w:val="22"/>
        </w:rPr>
        <w:t xml:space="preserve"> </w:t>
      </w:r>
    </w:p>
    <w:p w14:paraId="16C08F50" w14:textId="77777777" w:rsidR="005B5B70" w:rsidRPr="005B5B70" w:rsidRDefault="005B5B70" w:rsidP="005B5B70">
      <w:pPr>
        <w:pStyle w:val="ListParagraph"/>
        <w:numPr>
          <w:ilvl w:val="0"/>
          <w:numId w:val="51"/>
        </w:numPr>
        <w:overflowPunct/>
        <w:autoSpaceDE/>
        <w:autoSpaceDN/>
        <w:adjustRightInd/>
        <w:spacing w:after="160" w:line="278" w:lineRule="auto"/>
        <w:textAlignment w:val="auto"/>
        <w:rPr>
          <w:sz w:val="22"/>
          <w:szCs w:val="22"/>
        </w:rPr>
      </w:pPr>
      <w:r w:rsidRPr="005B5B70">
        <w:rPr>
          <w:sz w:val="22"/>
          <w:szCs w:val="22"/>
        </w:rPr>
        <w:t xml:space="preserve">Williams, B. (2023). Policing Mental Health, Vulnerability and Risk (T. Blockley, Ed.; First edition.). Critical Publishing Ltd. </w:t>
      </w:r>
    </w:p>
    <w:p w14:paraId="207DAADB" w14:textId="77777777" w:rsidR="005B5B70" w:rsidRPr="00E676F7" w:rsidRDefault="005B5B7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766E0B64" w14:textId="77777777" w:rsidR="005B5B70" w:rsidRPr="005B5B70" w:rsidRDefault="005B5B70" w:rsidP="005B5B70">
      <w:pPr>
        <w:rPr>
          <w:sz w:val="24"/>
          <w:szCs w:val="24"/>
        </w:rPr>
      </w:pPr>
      <w:r w:rsidRPr="005B5B70">
        <w:rPr>
          <w:sz w:val="24"/>
          <w:szCs w:val="24"/>
        </w:rPr>
        <w:t xml:space="preserve">As a police officer, I understand that solving crime and protecting vulnerable people are our day-to-day practice. Sometimes, we may feel overwhelmed whilst handling complex crime. Indeed, in some incidents, investigating crime is not only a fundamental process, but also a tough journey for all parties.  Police officers have to face different challenges.  Our professionals and experiences play vital roles during the investigation. </w:t>
      </w:r>
    </w:p>
    <w:p w14:paraId="76B7E01B" w14:textId="13BB834C" w:rsidR="005B5B70" w:rsidRPr="005B5B70" w:rsidRDefault="005B5B70" w:rsidP="005B5B70">
      <w:pPr>
        <w:rPr>
          <w:sz w:val="24"/>
          <w:szCs w:val="24"/>
        </w:rPr>
      </w:pPr>
      <w:r w:rsidRPr="005B5B70">
        <w:rPr>
          <w:sz w:val="24"/>
          <w:szCs w:val="24"/>
        </w:rPr>
        <w:t xml:space="preserve">As we know, there are many people are from different countries. They travel to the UK for study, opportunities, family, businesses, visiting etc.  Official statistics show approximately 132 million people arrive in the UK in 2023, including 1,956,526 tourists (Home Office 2024). In a police perspective, not all foreigners can speak English, it increases the difficulty of communicating between the police and foreign nationals. Also, comparing to British citizens, some people who are holding a short-term visa are not easy to be identified. They have very limited record, or they do not have any record at all in the UK. For a better practice, police officers need assistant from third parties. For example, ACRO can check foreign nationals’ criminal records, and Immigration Office can provide their basic personal information and boarder records.  The checks do not take too long, but it is not an instant process. Still, When ACRO provides foreign nationals’ criminal records, it is not a full detailed record of the suspect, it is their convictions only. Also, ACRO has the other limitation, they cannot provide person’s records from every country in the world, only certain agreed countries available. For example, there are no records of people who are from North Korea and Mainland China (ACRO, 2024). In relation to immigration office check, there are not any foreign citizens’ criminal records. </w:t>
      </w:r>
    </w:p>
    <w:p w14:paraId="071D517D" w14:textId="77777777" w:rsidR="005B5B70" w:rsidRPr="005B5B70" w:rsidRDefault="005B5B70" w:rsidP="005B5B70">
      <w:pPr>
        <w:rPr>
          <w:sz w:val="24"/>
          <w:szCs w:val="24"/>
        </w:rPr>
      </w:pPr>
      <w:r w:rsidRPr="005B5B70">
        <w:rPr>
          <w:sz w:val="24"/>
          <w:szCs w:val="24"/>
        </w:rPr>
        <w:t xml:space="preserve">Moreover, if non-UK citizens commit crime, or become victims or witnesses of crime, police officers’ approach is different from native citizens. Such as, police officers need to consider non-UK citizen’s immigrant statute, their accommodations, the impacts of their life and work etc. Also, UK police need to inform relevant embassy if crime has been committed.  </w:t>
      </w:r>
    </w:p>
    <w:p w14:paraId="0ACBEE9F" w14:textId="77777777" w:rsidR="005B5B70" w:rsidRPr="005B5B70" w:rsidRDefault="005B5B70" w:rsidP="005B5B70">
      <w:pPr>
        <w:rPr>
          <w:sz w:val="24"/>
          <w:szCs w:val="24"/>
        </w:rPr>
      </w:pPr>
      <w:r w:rsidRPr="005B5B70">
        <w:rPr>
          <w:sz w:val="24"/>
          <w:szCs w:val="24"/>
        </w:rPr>
        <w:t xml:space="preserve">Even though, it does not mean non – UK citizens can be treated differently.  Police officers investigate crime fairly regardless the suspects’ nationalities, witnesses’ ages or victims’ backgrounds. Once the offence has been committed within the UK, British police officers have their legal powers to investigate the crime. The police ensure the international suspects are treated the same as national suspects. </w:t>
      </w:r>
      <w:r w:rsidRPr="005B5B70">
        <w:rPr>
          <w:sz w:val="24"/>
          <w:szCs w:val="24"/>
        </w:rPr>
        <w:lastRenderedPageBreak/>
        <w:t xml:space="preserve">Normally, they have the same rights and entitlements during the investigation. In the other way, if we were not treated fairly, it can become an international matter.  By the end of 2023, there were 10,423 foreign national prisoners in England and Wales, it was 12% of the total 87,489 prisoners (UK Parliament, 2024). Thus, it is not rare to deal with foreign citizen in our daily job.  </w:t>
      </w:r>
    </w:p>
    <w:p w14:paraId="4C8E04CE" w14:textId="77777777" w:rsidR="005B5B70" w:rsidRPr="005B5B70" w:rsidRDefault="005B5B70" w:rsidP="005B5B70">
      <w:pPr>
        <w:rPr>
          <w:sz w:val="24"/>
          <w:szCs w:val="24"/>
        </w:rPr>
      </w:pPr>
      <w:r w:rsidRPr="005B5B70">
        <w:rPr>
          <w:sz w:val="24"/>
          <w:szCs w:val="24"/>
        </w:rPr>
        <w:t xml:space="preserve">In one of the incidents I handled, the suspect R is a European who came to the UK for the first time. He was employed by a UK company for one week job. As an EU citizen, he could enter and leave the UK without visa restriction. During the stay, he was arrested on suspicion of sexual offence involving children. He then was charged with Section 14 sexual offences – arranging or facilitating child sex offences and Section 15 meeting a child following sexual grooming. R was released on court bail, and he allowed to return to his country. The circumstances are as following, the report person was R who claimed that he was threatened by two children. When police officers attended, suspect R said he contacted one of the victims through a dating website and arranged to meet a teenager to have sex. He said he knew the victim was underage. However, after R met up with the teenager, they were two instead of one. He was blackmailed by them immediately, who asked for a few hundred pounds. R stated if he did not give them the money, two teenagers would tell the police that R wanted to have sex with children. However, the teenagers did not want to engage with the police, they did not want to provide statements at all whilst attending officers asked them. They also claimed that they were paedophile hunters, they just wanted to teach R a lesson, they did not do anything else. R could speak English, but not fluently. During the suspect interview in the custody, an interpreter was used remotely.  Suspect R claimed that he did not know the UK law. Instead, in his country, a child aged 14 who can have sex intercourse if consent was given. </w:t>
      </w:r>
    </w:p>
    <w:p w14:paraId="7F5B31C4" w14:textId="77777777" w:rsidR="005B5B70" w:rsidRPr="005B5B70" w:rsidRDefault="005B5B70" w:rsidP="005B5B70">
      <w:pPr>
        <w:rPr>
          <w:sz w:val="24"/>
          <w:szCs w:val="24"/>
        </w:rPr>
      </w:pPr>
      <w:r w:rsidRPr="005B5B70">
        <w:rPr>
          <w:sz w:val="24"/>
          <w:szCs w:val="24"/>
        </w:rPr>
        <w:t xml:space="preserve">During suspect R’s detention, before his interview, the suspect asked me twice about his release time. It sounds like a frequent question for a detainee. Normally, I would just answer depending on the interview result. Whilst I was speaking to him, I could tell he was anxious and wanted to say something, but he could not know how to express his thoughts. Instead of asking him straight away, I used an interpreter to find out his concerns after the interview. The suspect worried his job and the company’s vehicle, he wanted me to pass his car key to his boss, so the company could arrange a placement for his job. After I completed his request, he was relieved.  </w:t>
      </w:r>
    </w:p>
    <w:p w14:paraId="689131B9" w14:textId="77777777" w:rsidR="005B5B70" w:rsidRPr="005B5B70" w:rsidRDefault="005B5B70" w:rsidP="005B5B70">
      <w:pPr>
        <w:rPr>
          <w:sz w:val="24"/>
          <w:szCs w:val="24"/>
        </w:rPr>
      </w:pPr>
      <w:r w:rsidRPr="005B5B70">
        <w:rPr>
          <w:sz w:val="24"/>
          <w:szCs w:val="24"/>
        </w:rPr>
        <w:t xml:space="preserve">When the suspect was release back to his country, the investigation has not completed yet. There were still many places need to be clarified. The suspect admitted that he contacted one of the victims through a dating website in front of arrest police officer’s body worn video. Therefore, the seized suspect’s mobile phone data might contain evidence of their communications. CCTV and House to House enquiries would be able to find out whether the suspect and the victims had interaction at scene. Revisiting the victims and trying to obtain victim statements. </w:t>
      </w:r>
    </w:p>
    <w:p w14:paraId="252D7A6C" w14:textId="77777777" w:rsidR="005B5B70" w:rsidRPr="005B5B70" w:rsidRDefault="005B5B70" w:rsidP="005B5B70">
      <w:pPr>
        <w:rPr>
          <w:sz w:val="24"/>
          <w:szCs w:val="24"/>
        </w:rPr>
      </w:pPr>
      <w:r w:rsidRPr="005B5B70">
        <w:rPr>
          <w:sz w:val="24"/>
          <w:szCs w:val="24"/>
        </w:rPr>
        <w:t xml:space="preserve">As the suspect’s agreement had been obtained previously, the mobile phone could be extracted of text messages, photos, online data, social media data and deleted data.  This relevant information could be used as evidence. Police, Crime, sentencing and Courts Act 2022 has provided a clear legislation for trained authorised persons to conduct this enquiry (Legislation.gov.uk, 2022). In this circumstance, it was not an emergency situation, so if I wanted to have a full mobile phone extraction data which including the deleted data, it would take good few weeks in digital department. I had viewed the arresting police officer’s body worn video, the suspect was arrested immediately after he admitted that he contacted the </w:t>
      </w:r>
      <w:r w:rsidRPr="005B5B70">
        <w:rPr>
          <w:sz w:val="24"/>
          <w:szCs w:val="24"/>
        </w:rPr>
        <w:lastRenderedPageBreak/>
        <w:t xml:space="preserve">victim for sex. He did not have a chance to deleted relevant information from his device. Thus, a police officer who DMI trained in the team would be able to download undeleted mobile phone data for examination. It could be completed within a couple of hours. It was much quicker than waiting a few weeks for an enquiry. I made a decision and requested three months’ mobile data to be downloaded by my colleague. Extracted data showed that the suspect and one of the victims were exchanged text messages via WHATSAPP approximately ten minutes before the arrest. The content had clearly highlighted that the suspect contacted the victim and arranged to meet up in his vehicle, even he knew the victim was underage. The conversations were in English, no translation was needed. </w:t>
      </w:r>
    </w:p>
    <w:p w14:paraId="5CBE5082" w14:textId="77777777" w:rsidR="005B5B70" w:rsidRPr="005B5B70" w:rsidRDefault="005B5B70" w:rsidP="005B5B70">
      <w:pPr>
        <w:rPr>
          <w:sz w:val="24"/>
          <w:szCs w:val="24"/>
        </w:rPr>
      </w:pPr>
      <w:r w:rsidRPr="005B5B70">
        <w:rPr>
          <w:sz w:val="24"/>
          <w:szCs w:val="24"/>
        </w:rPr>
        <w:t xml:space="preserve">Though, there was other information in different language. I could not read it, and I was not sure whether the information relevant to the incident. If I sent the information to be translated, I would take up to two weeks to be completed. If the information was not useful, the cost would be unnecessary. I thought a quick solution, I used online Google Translate to do some translation. If this information was relevant, I could send it to be translated officially. If it was not a useful information, I could expand the time frame to explore more. Google translation result showed the foreign language data containing relevant information in some text messages. </w:t>
      </w:r>
    </w:p>
    <w:p w14:paraId="0C236BD0" w14:textId="77777777" w:rsidR="005B5B70" w:rsidRPr="005B5B70" w:rsidRDefault="005B5B70" w:rsidP="005B5B70">
      <w:pPr>
        <w:rPr>
          <w:sz w:val="24"/>
          <w:szCs w:val="24"/>
        </w:rPr>
      </w:pPr>
      <w:r w:rsidRPr="005B5B70">
        <w:rPr>
          <w:sz w:val="24"/>
          <w:szCs w:val="24"/>
        </w:rPr>
        <w:t xml:space="preserve">To decide a new time frame, the suspect did say he used the online dating site in a regular basis. During his detention, I have conducted a ACRO check on him, R had no convictions in his country. I also contacted the immigration; it was confirmed that R visited the UK for the first time whilst he was arrested. Based on the available information, I could require the digital department a full download of six months from the suspect’s mobile phone. I did not need to require a completed full mobile phone download as the information would be overwhelming. Six months data was considered to be a good option to clarify, whether the suspect contacting British victims and the boarder information. </w:t>
      </w:r>
    </w:p>
    <w:p w14:paraId="45EBC335" w14:textId="77777777" w:rsidR="005B5B70" w:rsidRPr="005B5B70" w:rsidRDefault="005B5B70" w:rsidP="005B5B70">
      <w:pPr>
        <w:rPr>
          <w:sz w:val="24"/>
          <w:szCs w:val="24"/>
        </w:rPr>
      </w:pPr>
      <w:r w:rsidRPr="005B5B70">
        <w:rPr>
          <w:sz w:val="24"/>
          <w:szCs w:val="24"/>
        </w:rPr>
        <w:t xml:space="preserve">After I received the full mobile phone data, I noticed that there was not any English. I used Google Translate to explore the information again before I process it to be formally translated. Examining the data, I discovered that R used two online dating sites almost daily, but there was not any conversation mentioning British locations, but age was flagged up. </w:t>
      </w:r>
    </w:p>
    <w:p w14:paraId="00ACAE63" w14:textId="77777777" w:rsidR="005B5B70" w:rsidRPr="005B5B70" w:rsidRDefault="005B5B70" w:rsidP="005B5B70">
      <w:pPr>
        <w:rPr>
          <w:sz w:val="24"/>
          <w:szCs w:val="24"/>
        </w:rPr>
      </w:pPr>
      <w:r w:rsidRPr="005B5B70">
        <w:rPr>
          <w:sz w:val="24"/>
          <w:szCs w:val="24"/>
        </w:rPr>
        <w:t xml:space="preserve"> Thus, it was not necessary to translate all the information. Instead, I exampled some messages which containing ages to be translated as evidence, as long as the suspect and victim’s conversations. </w:t>
      </w:r>
    </w:p>
    <w:p w14:paraId="7BAAAF2E" w14:textId="77777777" w:rsidR="005B5B70" w:rsidRPr="005B5B70" w:rsidRDefault="005B5B70" w:rsidP="005B5B70">
      <w:pPr>
        <w:rPr>
          <w:sz w:val="24"/>
          <w:szCs w:val="24"/>
        </w:rPr>
      </w:pPr>
      <w:r w:rsidRPr="005B5B70">
        <w:rPr>
          <w:sz w:val="24"/>
          <w:szCs w:val="24"/>
        </w:rPr>
        <w:t xml:space="preserve">Further CCV and House to House opportunities had been conducted at scene, but it was negative. </w:t>
      </w:r>
    </w:p>
    <w:p w14:paraId="5E0F5FC9" w14:textId="77777777" w:rsidR="005B5B70" w:rsidRPr="005B5B70" w:rsidRDefault="005B5B70" w:rsidP="005B5B70">
      <w:pPr>
        <w:rPr>
          <w:sz w:val="24"/>
          <w:szCs w:val="24"/>
        </w:rPr>
      </w:pPr>
      <w:r w:rsidRPr="005B5B70">
        <w:rPr>
          <w:sz w:val="24"/>
          <w:szCs w:val="24"/>
        </w:rPr>
        <w:t xml:space="preserve">Revisiting victims to obtain statements and clarifying their motivation were required. The suspect confirmed that he only contacted one victim, but two victims turned up. I had contacted two victims via telephone and text messages for two days, no one replied to me. I then attended their addresses. The first victim’s address was not correct. The second victim refused to provide any statement. He stated that both of them had never said anything to threaten the suspect. The second suspect explained that teaching the suspect a lesson meant talking to him. He also refused to provide a correct address of the first victim and refused to accept any supports from the police or third party. Thus, this enquiry had been updated on the OEL. An intelligence of their behaviours has been created on NICHE. </w:t>
      </w:r>
    </w:p>
    <w:p w14:paraId="0EDA92F1" w14:textId="77777777" w:rsidR="005B5B70" w:rsidRPr="005B5B70" w:rsidRDefault="005B5B70" w:rsidP="005B5B70">
      <w:pPr>
        <w:rPr>
          <w:sz w:val="24"/>
          <w:szCs w:val="24"/>
        </w:rPr>
      </w:pPr>
      <w:r w:rsidRPr="005B5B70">
        <w:rPr>
          <w:sz w:val="24"/>
          <w:szCs w:val="24"/>
        </w:rPr>
        <w:t xml:space="preserve">Moreover, the suspect had mentioned that he did not know the legislation of sex consent age between two countries during the interview and whilst he was arrested. In my opinion, no matter who comes to the UK, they should know some basic </w:t>
      </w:r>
      <w:r w:rsidRPr="005B5B70">
        <w:rPr>
          <w:sz w:val="24"/>
          <w:szCs w:val="24"/>
        </w:rPr>
        <w:lastRenderedPageBreak/>
        <w:t>legislations. Nevertheless, law is the rule that regulate people’s day to day life. It can keep the society safe and peace (ICLR, 2024). This incident has highlighted that anyone breaks the law, no matter who he/she is, the person has to be punished. The law cannot be bent because of someone’s unknown or confusion. Of course, the suspects have their right to defence themselves in court, as the law is fair to everyone.  No matter victims, witnesses or suspects, they have their rights and entitlements. I am a trained police officer; I understand I need to make sure they know</w:t>
      </w:r>
      <w:r w:rsidRPr="005B5B70">
        <w:rPr>
          <w:rFonts w:hint="eastAsia"/>
          <w:sz w:val="24"/>
          <w:szCs w:val="24"/>
        </w:rPr>
        <w:t xml:space="preserve"> </w:t>
      </w:r>
      <w:r w:rsidRPr="005B5B70">
        <w:rPr>
          <w:sz w:val="24"/>
          <w:szCs w:val="24"/>
        </w:rPr>
        <w:t xml:space="preserve">and exercise their rights and entitlements during investigation. </w:t>
      </w:r>
    </w:p>
    <w:p w14:paraId="7243D0C2" w14:textId="77777777" w:rsidR="005B5B70" w:rsidRPr="005B5B70" w:rsidRDefault="005B5B70" w:rsidP="005B5B70">
      <w:pPr>
        <w:rPr>
          <w:sz w:val="24"/>
          <w:szCs w:val="24"/>
        </w:rPr>
      </w:pPr>
    </w:p>
    <w:p w14:paraId="2EAC9EEF" w14:textId="77777777" w:rsidR="005B5B70" w:rsidRPr="005B5B70" w:rsidRDefault="005B5B70" w:rsidP="005B5B70">
      <w:pPr>
        <w:rPr>
          <w:sz w:val="24"/>
          <w:szCs w:val="24"/>
        </w:rPr>
      </w:pPr>
      <w:r w:rsidRPr="005B5B70">
        <w:rPr>
          <w:sz w:val="24"/>
          <w:szCs w:val="24"/>
        </w:rPr>
        <w:t>(Words count 1843)</w:t>
      </w:r>
    </w:p>
    <w:p w14:paraId="2F5A056D" w14:textId="77777777" w:rsidR="005B5B70" w:rsidRPr="005B5B70" w:rsidRDefault="005B5B70" w:rsidP="005B5B70">
      <w:pPr>
        <w:rPr>
          <w:sz w:val="24"/>
          <w:szCs w:val="24"/>
        </w:rPr>
      </w:pPr>
    </w:p>
    <w:p w14:paraId="2B8EEED5" w14:textId="77777777" w:rsidR="005B5B70" w:rsidRPr="005B5B70" w:rsidRDefault="005B5B70" w:rsidP="005B5B70">
      <w:pPr>
        <w:rPr>
          <w:sz w:val="24"/>
          <w:szCs w:val="24"/>
        </w:rPr>
      </w:pPr>
    </w:p>
    <w:p w14:paraId="256D18C1" w14:textId="77777777" w:rsidR="005B5B70" w:rsidRPr="005B5B70" w:rsidRDefault="005B5B70" w:rsidP="005B5B70">
      <w:pPr>
        <w:rPr>
          <w:sz w:val="24"/>
          <w:szCs w:val="24"/>
        </w:rPr>
      </w:pPr>
    </w:p>
    <w:p w14:paraId="655B6081" w14:textId="77777777" w:rsidR="005B5B70" w:rsidRPr="005B5B70" w:rsidRDefault="005B5B70" w:rsidP="005B5B70">
      <w:pPr>
        <w:rPr>
          <w:sz w:val="24"/>
          <w:szCs w:val="24"/>
        </w:rPr>
      </w:pPr>
    </w:p>
    <w:p w14:paraId="7D921E22" w14:textId="77777777" w:rsidR="005B5B70" w:rsidRPr="005B5B70" w:rsidRDefault="005B5B70" w:rsidP="005B5B70">
      <w:pPr>
        <w:rPr>
          <w:sz w:val="24"/>
          <w:szCs w:val="24"/>
        </w:rPr>
      </w:pPr>
    </w:p>
    <w:p w14:paraId="699B066B" w14:textId="77777777" w:rsidR="005B5B70" w:rsidRPr="005B5B70" w:rsidRDefault="005B5B70" w:rsidP="005B5B70">
      <w:pPr>
        <w:rPr>
          <w:sz w:val="24"/>
          <w:szCs w:val="24"/>
        </w:rPr>
      </w:pPr>
    </w:p>
    <w:p w14:paraId="7B5231AD" w14:textId="77777777" w:rsidR="005B5B70" w:rsidRPr="005B5B70" w:rsidRDefault="005B5B70" w:rsidP="005B5B70">
      <w:pPr>
        <w:rPr>
          <w:sz w:val="24"/>
          <w:szCs w:val="24"/>
        </w:rPr>
      </w:pPr>
    </w:p>
    <w:p w14:paraId="1B48AEE3" w14:textId="77777777" w:rsidR="005B5B70" w:rsidRPr="005B5B70" w:rsidRDefault="005B5B70" w:rsidP="005B5B70">
      <w:pPr>
        <w:jc w:val="center"/>
        <w:rPr>
          <w:b/>
          <w:bCs/>
          <w:sz w:val="24"/>
          <w:szCs w:val="24"/>
        </w:rPr>
      </w:pPr>
      <w:r w:rsidRPr="005B5B70">
        <w:rPr>
          <w:b/>
          <w:bCs/>
          <w:sz w:val="24"/>
          <w:szCs w:val="24"/>
        </w:rPr>
        <w:t>References</w:t>
      </w:r>
    </w:p>
    <w:p w14:paraId="4E6A09D0" w14:textId="77777777" w:rsidR="005B5B70" w:rsidRPr="005B5B70" w:rsidRDefault="005B5B70" w:rsidP="005B5B70">
      <w:pPr>
        <w:pStyle w:val="ListParagraph"/>
        <w:numPr>
          <w:ilvl w:val="0"/>
          <w:numId w:val="52"/>
        </w:numPr>
        <w:overflowPunct/>
        <w:autoSpaceDE/>
        <w:autoSpaceDN/>
        <w:adjustRightInd/>
        <w:spacing w:after="160" w:line="278" w:lineRule="auto"/>
        <w:textAlignment w:val="auto"/>
        <w:rPr>
          <w:sz w:val="24"/>
          <w:szCs w:val="24"/>
        </w:rPr>
      </w:pPr>
      <w:r w:rsidRPr="005B5B70">
        <w:rPr>
          <w:sz w:val="24"/>
          <w:szCs w:val="24"/>
        </w:rPr>
        <w:t xml:space="preserve">ACRO (2024) ACRO Criminal Records Office, available at: </w:t>
      </w:r>
      <w:hyperlink r:id="rId50" w:history="1">
        <w:r w:rsidRPr="005B5B70">
          <w:rPr>
            <w:rStyle w:val="Hyperlink"/>
            <w:sz w:val="24"/>
            <w:szCs w:val="24"/>
          </w:rPr>
          <w:t>https://www.acro.police.uk/s/</w:t>
        </w:r>
      </w:hyperlink>
      <w:r w:rsidRPr="005B5B70">
        <w:rPr>
          <w:sz w:val="24"/>
          <w:szCs w:val="24"/>
        </w:rPr>
        <w:t xml:space="preserve"> (Accessed 25</w:t>
      </w:r>
      <w:r w:rsidRPr="005B5B70">
        <w:rPr>
          <w:sz w:val="24"/>
          <w:szCs w:val="24"/>
          <w:vertAlign w:val="superscript"/>
        </w:rPr>
        <w:t>th</w:t>
      </w:r>
      <w:r w:rsidRPr="005B5B70">
        <w:rPr>
          <w:sz w:val="24"/>
          <w:szCs w:val="24"/>
        </w:rPr>
        <w:t xml:space="preserve"> September 224). </w:t>
      </w:r>
    </w:p>
    <w:p w14:paraId="5507581D" w14:textId="77777777" w:rsidR="005B5B70" w:rsidRPr="005B5B70" w:rsidRDefault="005B5B70" w:rsidP="005B5B70">
      <w:pPr>
        <w:pStyle w:val="ListParagraph"/>
        <w:numPr>
          <w:ilvl w:val="0"/>
          <w:numId w:val="52"/>
        </w:numPr>
        <w:overflowPunct/>
        <w:autoSpaceDE/>
        <w:autoSpaceDN/>
        <w:adjustRightInd/>
        <w:spacing w:after="160" w:line="278" w:lineRule="auto"/>
        <w:textAlignment w:val="auto"/>
        <w:rPr>
          <w:sz w:val="24"/>
          <w:szCs w:val="24"/>
        </w:rPr>
      </w:pPr>
      <w:r w:rsidRPr="005B5B70">
        <w:rPr>
          <w:sz w:val="24"/>
          <w:szCs w:val="24"/>
        </w:rPr>
        <w:t xml:space="preserve">ICLR (2024) The English legal system. Available at: </w:t>
      </w:r>
      <w:hyperlink r:id="rId51" w:history="1">
        <w:r w:rsidRPr="005B5B70">
          <w:rPr>
            <w:rStyle w:val="Hyperlink"/>
            <w:sz w:val="24"/>
            <w:szCs w:val="24"/>
          </w:rPr>
          <w:t>https://www.iclr.co.uk/knowledge/topics/the-english-legal-system/</w:t>
        </w:r>
      </w:hyperlink>
      <w:r w:rsidRPr="005B5B70">
        <w:rPr>
          <w:sz w:val="24"/>
          <w:szCs w:val="24"/>
        </w:rPr>
        <w:t xml:space="preserve"> (Accessed: 27</w:t>
      </w:r>
      <w:r w:rsidRPr="005B5B70">
        <w:rPr>
          <w:sz w:val="24"/>
          <w:szCs w:val="24"/>
          <w:vertAlign w:val="superscript"/>
        </w:rPr>
        <w:t>th</w:t>
      </w:r>
      <w:r w:rsidRPr="005B5B70">
        <w:rPr>
          <w:sz w:val="24"/>
          <w:szCs w:val="24"/>
        </w:rPr>
        <w:t xml:space="preserve"> September 2024). </w:t>
      </w:r>
    </w:p>
    <w:p w14:paraId="15CC2B6D" w14:textId="77777777" w:rsidR="005B5B70" w:rsidRPr="005B5B70" w:rsidRDefault="005B5B70" w:rsidP="005B5B70">
      <w:pPr>
        <w:pStyle w:val="ListParagraph"/>
        <w:numPr>
          <w:ilvl w:val="0"/>
          <w:numId w:val="52"/>
        </w:numPr>
        <w:overflowPunct/>
        <w:autoSpaceDE/>
        <w:autoSpaceDN/>
        <w:adjustRightInd/>
        <w:spacing w:after="160" w:line="278" w:lineRule="auto"/>
        <w:textAlignment w:val="auto"/>
        <w:rPr>
          <w:sz w:val="24"/>
          <w:szCs w:val="24"/>
        </w:rPr>
      </w:pPr>
      <w:r w:rsidRPr="005B5B70">
        <w:rPr>
          <w:sz w:val="24"/>
          <w:szCs w:val="24"/>
        </w:rPr>
        <w:t xml:space="preserve">Jordan, K., Fromberger, P., Müller, I., Wild, T. S. N., &amp; Müller, J. L. (2023). Rare, but Potentially Risky, High Individual Increase of Self-Reported Sexual Arousal in Men, Who Have Committed Sexual Offenses Against Children, While Being Confronted with Experimental Sexual Stimuli - A Retrospective Data Analysis. International Journal of Impotence Research. </w:t>
      </w:r>
      <w:hyperlink r:id="rId52" w:history="1">
        <w:r w:rsidRPr="005B5B70">
          <w:rPr>
            <w:rStyle w:val="Hyperlink"/>
            <w:sz w:val="24"/>
            <w:szCs w:val="24"/>
          </w:rPr>
          <w:t>https://doi.org/10.1038/s41443-023-00802-5</w:t>
        </w:r>
      </w:hyperlink>
      <w:r w:rsidRPr="005B5B70">
        <w:rPr>
          <w:sz w:val="24"/>
          <w:szCs w:val="24"/>
        </w:rPr>
        <w:t xml:space="preserve"> (Accessed 25th September 2024)</w:t>
      </w:r>
    </w:p>
    <w:p w14:paraId="54AAB4BC" w14:textId="77777777" w:rsidR="005B5B70" w:rsidRPr="005B5B70" w:rsidRDefault="005B5B70" w:rsidP="005B5B70">
      <w:pPr>
        <w:pStyle w:val="ListParagraph"/>
        <w:numPr>
          <w:ilvl w:val="0"/>
          <w:numId w:val="52"/>
        </w:numPr>
        <w:overflowPunct/>
        <w:autoSpaceDE/>
        <w:autoSpaceDN/>
        <w:adjustRightInd/>
        <w:spacing w:after="160" w:line="278" w:lineRule="auto"/>
        <w:textAlignment w:val="auto"/>
        <w:rPr>
          <w:sz w:val="24"/>
          <w:szCs w:val="24"/>
        </w:rPr>
      </w:pPr>
      <w:r w:rsidRPr="005B5B70">
        <w:rPr>
          <w:sz w:val="24"/>
          <w:szCs w:val="24"/>
        </w:rPr>
        <w:t xml:space="preserve">Legislation.gov.uk (2022) Chapter 3. Available at: </w:t>
      </w:r>
      <w:hyperlink r:id="rId53" w:history="1">
        <w:r w:rsidRPr="005B5B70">
          <w:rPr>
            <w:rStyle w:val="Hyperlink"/>
            <w:sz w:val="24"/>
            <w:szCs w:val="24"/>
          </w:rPr>
          <w:t>https://www.legislation.gov.uk/ukpga/2022/32/part/2/chapter/3</w:t>
        </w:r>
      </w:hyperlink>
      <w:r w:rsidRPr="005B5B70">
        <w:rPr>
          <w:sz w:val="24"/>
          <w:szCs w:val="24"/>
        </w:rPr>
        <w:t xml:space="preserve"> (Accessed 26th September 2024).</w:t>
      </w:r>
    </w:p>
    <w:p w14:paraId="33E47CB8" w14:textId="77777777" w:rsidR="005B5B70" w:rsidRPr="005B5B70" w:rsidRDefault="005B5B70" w:rsidP="005B5B70">
      <w:pPr>
        <w:pStyle w:val="ListParagraph"/>
        <w:numPr>
          <w:ilvl w:val="0"/>
          <w:numId w:val="52"/>
        </w:numPr>
        <w:overflowPunct/>
        <w:autoSpaceDE/>
        <w:autoSpaceDN/>
        <w:adjustRightInd/>
        <w:spacing w:after="160" w:line="278" w:lineRule="auto"/>
        <w:textAlignment w:val="auto"/>
        <w:rPr>
          <w:sz w:val="24"/>
          <w:szCs w:val="24"/>
        </w:rPr>
      </w:pPr>
      <w:r w:rsidRPr="005B5B70">
        <w:rPr>
          <w:sz w:val="24"/>
          <w:szCs w:val="24"/>
        </w:rPr>
        <w:t xml:space="preserve">UK Parliament (2024) Foreign National Offenders in UK Prisons: Powers to deport. Available at: </w:t>
      </w:r>
      <w:hyperlink r:id="rId54" w:history="1">
        <w:r w:rsidRPr="005B5B70">
          <w:rPr>
            <w:rStyle w:val="Hyperlink"/>
            <w:sz w:val="24"/>
            <w:szCs w:val="24"/>
          </w:rPr>
          <w:t>https://lordslibrary.parliament.uk/foreign-national-offenders-in-uk-prisons-powers-to-deport/</w:t>
        </w:r>
      </w:hyperlink>
      <w:r w:rsidRPr="005B5B70">
        <w:rPr>
          <w:sz w:val="24"/>
          <w:szCs w:val="24"/>
        </w:rPr>
        <w:t xml:space="preserve"> (Accessed 25</w:t>
      </w:r>
      <w:r w:rsidRPr="005B5B70">
        <w:rPr>
          <w:sz w:val="24"/>
          <w:szCs w:val="24"/>
          <w:vertAlign w:val="superscript"/>
        </w:rPr>
        <w:t>th</w:t>
      </w:r>
      <w:r w:rsidRPr="005B5B70">
        <w:rPr>
          <w:sz w:val="24"/>
          <w:szCs w:val="24"/>
        </w:rPr>
        <w:t xml:space="preserve"> September 2024). </w:t>
      </w:r>
    </w:p>
    <w:p w14:paraId="5F917250" w14:textId="77777777" w:rsidR="005B5B70" w:rsidRPr="005B5B70" w:rsidRDefault="005B5B70" w:rsidP="005B5B70">
      <w:pPr>
        <w:rPr>
          <w:sz w:val="24"/>
          <w:szCs w:val="24"/>
        </w:rPr>
      </w:pPr>
    </w:p>
    <w:p w14:paraId="69DB4E3D" w14:textId="77777777" w:rsidR="005B5B70" w:rsidRPr="005B5B70" w:rsidRDefault="005B5B70" w:rsidP="005B5B70">
      <w:pPr>
        <w:rPr>
          <w:sz w:val="24"/>
          <w:szCs w:val="24"/>
        </w:rPr>
      </w:pPr>
    </w:p>
    <w:p w14:paraId="1D555892" w14:textId="77777777" w:rsidR="005B5B70" w:rsidRPr="005B5B70" w:rsidRDefault="005B5B70" w:rsidP="005B5B70">
      <w:pPr>
        <w:rPr>
          <w:sz w:val="24"/>
          <w:szCs w:val="24"/>
        </w:rPr>
      </w:pPr>
    </w:p>
    <w:p w14:paraId="6E33ADC8" w14:textId="77777777" w:rsidR="005B5B70" w:rsidRPr="005B5B70" w:rsidRDefault="005B5B70" w:rsidP="005B5B70">
      <w:pPr>
        <w:rPr>
          <w:sz w:val="24"/>
          <w:szCs w:val="24"/>
        </w:rPr>
      </w:pPr>
    </w:p>
    <w:p w14:paraId="4F9EBC34" w14:textId="77777777" w:rsidR="005B5B70" w:rsidRPr="005B5B70" w:rsidRDefault="005B5B70" w:rsidP="005B5B70">
      <w:pPr>
        <w:rPr>
          <w:sz w:val="24"/>
          <w:szCs w:val="24"/>
        </w:rPr>
      </w:pPr>
    </w:p>
    <w:p w14:paraId="17A6FC1F" w14:textId="77777777" w:rsidR="005B5B70" w:rsidRPr="005B5B70" w:rsidRDefault="005B5B70" w:rsidP="005B5B70">
      <w:pPr>
        <w:jc w:val="center"/>
        <w:rPr>
          <w:b/>
          <w:bCs/>
          <w:sz w:val="24"/>
          <w:szCs w:val="24"/>
        </w:rPr>
      </w:pPr>
      <w:r w:rsidRPr="005B5B70">
        <w:rPr>
          <w:b/>
          <w:bCs/>
          <w:sz w:val="24"/>
          <w:szCs w:val="24"/>
        </w:rPr>
        <w:t>Bibliography</w:t>
      </w:r>
    </w:p>
    <w:p w14:paraId="7C22F3F2"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ACRO (2024) ACRO Criminal Records Office, available at: </w:t>
      </w:r>
      <w:hyperlink r:id="rId55" w:history="1">
        <w:r w:rsidRPr="005B5B70">
          <w:rPr>
            <w:rStyle w:val="Hyperlink"/>
            <w:sz w:val="24"/>
            <w:szCs w:val="24"/>
          </w:rPr>
          <w:t>https://www.acro.police.uk/s/</w:t>
        </w:r>
      </w:hyperlink>
      <w:r w:rsidRPr="005B5B70">
        <w:rPr>
          <w:sz w:val="24"/>
          <w:szCs w:val="24"/>
        </w:rPr>
        <w:t xml:space="preserve"> </w:t>
      </w:r>
    </w:p>
    <w:p w14:paraId="63F57E14"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lastRenderedPageBreak/>
        <w:t xml:space="preserve">Angelides, S. (2008). Sexual Offences Against “Children” and the Question of Judicial Gender Bias. Australian Feminist Studies, 23(57), 359–373. </w:t>
      </w:r>
      <w:hyperlink r:id="rId56" w:history="1">
        <w:r w:rsidRPr="005B5B70">
          <w:rPr>
            <w:rStyle w:val="Hyperlink"/>
            <w:sz w:val="24"/>
            <w:szCs w:val="24"/>
          </w:rPr>
          <w:t>https://doi.org/10.1080/08164640802233302</w:t>
        </w:r>
      </w:hyperlink>
      <w:r w:rsidRPr="005B5B70">
        <w:rPr>
          <w:sz w:val="24"/>
          <w:szCs w:val="24"/>
        </w:rPr>
        <w:t xml:space="preserve"> </w:t>
      </w:r>
    </w:p>
    <w:p w14:paraId="5BF2A626"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Anh P. (2024) Ab wann darf man laut Gesetz Sex haben? ( At what age are you legally allowed to have sex?). Available at: </w:t>
      </w:r>
      <w:hyperlink r:id="rId57" w:history="1">
        <w:r w:rsidRPr="005B5B70">
          <w:rPr>
            <w:rStyle w:val="Hyperlink"/>
            <w:sz w:val="24"/>
            <w:szCs w:val="24"/>
          </w:rPr>
          <w:t>https://www.bussgeldkatalog.net/jugendschutzgesetz-sex/</w:t>
        </w:r>
      </w:hyperlink>
      <w:r w:rsidRPr="005B5B70">
        <w:rPr>
          <w:sz w:val="24"/>
          <w:szCs w:val="24"/>
        </w:rPr>
        <w:t xml:space="preserve"> </w:t>
      </w:r>
    </w:p>
    <w:p w14:paraId="06DCD454"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Bundesamt für justiz (2024) Strafgesetzbuch (StGB). Available at: </w:t>
      </w:r>
      <w:hyperlink r:id="rId58" w:history="1">
        <w:r w:rsidRPr="005B5B70">
          <w:rPr>
            <w:rStyle w:val="Hyperlink"/>
            <w:sz w:val="24"/>
            <w:szCs w:val="24"/>
          </w:rPr>
          <w:t>https://www.gesetze-im-internet.de/stgb/inhalts_bersicht.html</w:t>
        </w:r>
      </w:hyperlink>
      <w:r w:rsidRPr="005B5B70">
        <w:rPr>
          <w:sz w:val="24"/>
          <w:szCs w:val="24"/>
        </w:rPr>
        <w:t xml:space="preserve"> </w:t>
      </w:r>
    </w:p>
    <w:p w14:paraId="60CA49CB"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ICLR (2024) The English legal system. Available at: </w:t>
      </w:r>
      <w:hyperlink r:id="rId59" w:history="1">
        <w:r w:rsidRPr="005B5B70">
          <w:rPr>
            <w:rStyle w:val="Hyperlink"/>
            <w:sz w:val="24"/>
            <w:szCs w:val="24"/>
          </w:rPr>
          <w:t>https://www.iclr.co.uk/knowledge/topics/the-english-legal-system/</w:t>
        </w:r>
      </w:hyperlink>
      <w:r w:rsidRPr="005B5B70">
        <w:rPr>
          <w:sz w:val="24"/>
          <w:szCs w:val="24"/>
        </w:rPr>
        <w:t xml:space="preserve"> </w:t>
      </w:r>
    </w:p>
    <w:p w14:paraId="4B7DE230"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J, A., T, M. K., &amp; VTN, V. (2019). The Protection of Children from Sexual Offences Act (POCSO), 2012’ in Clinical Settings. The Kerala Journal of Psychiatry, 31(2), 99–104. </w:t>
      </w:r>
      <w:hyperlink r:id="rId60" w:history="1">
        <w:r w:rsidRPr="005B5B70">
          <w:rPr>
            <w:rStyle w:val="Hyperlink"/>
            <w:sz w:val="24"/>
            <w:szCs w:val="24"/>
          </w:rPr>
          <w:t>https://doi.org/10.30834/KJP.31.2.2019.166</w:t>
        </w:r>
      </w:hyperlink>
      <w:r w:rsidRPr="005B5B70">
        <w:rPr>
          <w:sz w:val="24"/>
          <w:szCs w:val="24"/>
        </w:rPr>
        <w:t xml:space="preserve"> </w:t>
      </w:r>
    </w:p>
    <w:p w14:paraId="375B256D"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Jordan, K., Fromberger, P., Müller, I., Wild, T. S. N., &amp; Müller, J. L. (2023). Rare, but Potentially Risky, High Individual Increase of Self-Reported Sexual Arousal in Men, Who Have Committed Sexual Offenses Against Children, While Being Confronted with Experimental Sexual Stimuli - A Retrospective Data Analysis. International Journal of Impotence Research. </w:t>
      </w:r>
      <w:hyperlink r:id="rId61" w:history="1">
        <w:r w:rsidRPr="005B5B70">
          <w:rPr>
            <w:rStyle w:val="Hyperlink"/>
            <w:sz w:val="24"/>
            <w:szCs w:val="24"/>
          </w:rPr>
          <w:t>https://doi.org/10.1038/s41443-023-00802-5</w:t>
        </w:r>
      </w:hyperlink>
      <w:r w:rsidRPr="005B5B70">
        <w:rPr>
          <w:sz w:val="24"/>
          <w:szCs w:val="24"/>
        </w:rPr>
        <w:t xml:space="preserve"> </w:t>
      </w:r>
    </w:p>
    <w:p w14:paraId="3EB7A635"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Legislation.gov.uk (2022) Chapter 3. Available at: </w:t>
      </w:r>
      <w:hyperlink r:id="rId62" w:history="1">
        <w:r w:rsidRPr="005B5B70">
          <w:rPr>
            <w:rStyle w:val="Hyperlink"/>
            <w:sz w:val="24"/>
            <w:szCs w:val="24"/>
          </w:rPr>
          <w:t>https://www.legislation.gov.uk/ukpga/2022/32/part/2/chapter/3</w:t>
        </w:r>
      </w:hyperlink>
      <w:r w:rsidRPr="005B5B70">
        <w:rPr>
          <w:sz w:val="24"/>
          <w:szCs w:val="24"/>
        </w:rPr>
        <w:t xml:space="preserve"> </w:t>
      </w:r>
    </w:p>
    <w:p w14:paraId="26701067"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McQuoid-Mason, D. (2008). The Children’s Amendment Act and the Criminal Law (Sexual Offences and Related Matters) Amendment Act: duty to report child abuse and sexual offences against children and mentally disabled persons. South African Medical Journal, 98(12), 929–931.</w:t>
      </w:r>
    </w:p>
    <w:p w14:paraId="34320E65"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Oxburgh, G., Ost, J., Morris, P., &amp; Cherryman, J. (2015). Police officers’ perceptions of interviews in cases of sexual offences and murder involving children and adult victims. Police Practice &amp; Research, 16(1), 36–50. </w:t>
      </w:r>
      <w:hyperlink r:id="rId63" w:history="1">
        <w:r w:rsidRPr="005B5B70">
          <w:rPr>
            <w:rStyle w:val="Hyperlink"/>
            <w:sz w:val="24"/>
            <w:szCs w:val="24"/>
          </w:rPr>
          <w:t>https://doi.org/10.1080/15614263.2013.849595</w:t>
        </w:r>
      </w:hyperlink>
      <w:r w:rsidRPr="005B5B70">
        <w:rPr>
          <w:sz w:val="24"/>
          <w:szCs w:val="24"/>
        </w:rPr>
        <w:t xml:space="preserve"> </w:t>
      </w:r>
    </w:p>
    <w:p w14:paraId="7F5EFD66"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Schröder, S., Buntrock, C., Neumann, L., Müller, J. L., &amp; Fromberger, P. (2024). Acceptance of a Web-Based Intervention in Individuals Who Committed Sexual Offenses Against Children: Cross-Sectional Study. JMIR Formative Research, 8, e48880–e48880. </w:t>
      </w:r>
      <w:hyperlink r:id="rId64" w:history="1">
        <w:r w:rsidRPr="005B5B70">
          <w:rPr>
            <w:rStyle w:val="Hyperlink"/>
            <w:sz w:val="24"/>
            <w:szCs w:val="24"/>
          </w:rPr>
          <w:t>https://doi.org/10.2196/48880</w:t>
        </w:r>
      </w:hyperlink>
      <w:r w:rsidRPr="005B5B70">
        <w:rPr>
          <w:sz w:val="24"/>
          <w:szCs w:val="24"/>
        </w:rPr>
        <w:t xml:space="preserve"> </w:t>
      </w:r>
    </w:p>
    <w:p w14:paraId="7A2C218B" w14:textId="77777777" w:rsidR="005B5B70" w:rsidRPr="005B5B70" w:rsidRDefault="005B5B70" w:rsidP="005B5B70">
      <w:pPr>
        <w:pStyle w:val="ListParagraph"/>
        <w:numPr>
          <w:ilvl w:val="0"/>
          <w:numId w:val="53"/>
        </w:numPr>
        <w:overflowPunct/>
        <w:autoSpaceDE/>
        <w:autoSpaceDN/>
        <w:adjustRightInd/>
        <w:spacing w:after="160" w:line="278" w:lineRule="auto"/>
        <w:textAlignment w:val="auto"/>
        <w:rPr>
          <w:sz w:val="24"/>
          <w:szCs w:val="24"/>
        </w:rPr>
      </w:pPr>
      <w:r w:rsidRPr="005B5B70">
        <w:rPr>
          <w:sz w:val="24"/>
          <w:szCs w:val="24"/>
        </w:rPr>
        <w:t xml:space="preserve">UK Parliament (2024) Foreign National Offenders in UK Prisons: Powers to deport. Available at: </w:t>
      </w:r>
      <w:hyperlink r:id="rId65" w:history="1">
        <w:r w:rsidRPr="005B5B70">
          <w:rPr>
            <w:rStyle w:val="Hyperlink"/>
            <w:sz w:val="24"/>
            <w:szCs w:val="24"/>
          </w:rPr>
          <w:t>https://lordslibrary.parliament.uk/foreign-national-offenders-in-uk-prisons-powers-to-deport/</w:t>
        </w:r>
      </w:hyperlink>
    </w:p>
    <w:p w14:paraId="49989C09" w14:textId="77777777" w:rsidR="009370AE" w:rsidRPr="005B5B70" w:rsidRDefault="009370AE" w:rsidP="009370AE">
      <w:pPr>
        <w:ind w:right="237"/>
        <w:jc w:val="both"/>
        <w:rPr>
          <w:color w:val="000000" w:themeColor="text1"/>
          <w:sz w:val="28"/>
          <w:szCs w:val="28"/>
        </w:rPr>
      </w:pPr>
    </w:p>
    <w:p w14:paraId="7126C335" w14:textId="77777777" w:rsidR="005B5B70" w:rsidRDefault="005B5B70" w:rsidP="009370AE">
      <w:pPr>
        <w:ind w:right="237"/>
        <w:jc w:val="both"/>
        <w:rPr>
          <w:b/>
          <w:bCs/>
          <w:color w:val="000000" w:themeColor="text1"/>
          <w:sz w:val="28"/>
          <w:szCs w:val="28"/>
        </w:rPr>
      </w:pPr>
    </w:p>
    <w:p w14:paraId="1BBF70CB" w14:textId="77777777" w:rsidR="005B5B70" w:rsidRDefault="005B5B70" w:rsidP="009370AE">
      <w:pPr>
        <w:ind w:right="237"/>
        <w:jc w:val="both"/>
        <w:rPr>
          <w:b/>
          <w:bCs/>
          <w:color w:val="000000" w:themeColor="text1"/>
          <w:sz w:val="28"/>
          <w:szCs w:val="28"/>
        </w:rPr>
      </w:pPr>
    </w:p>
    <w:p w14:paraId="106C82F8" w14:textId="79F0367D" w:rsidR="005B5B70" w:rsidRPr="009370AE" w:rsidRDefault="005B5B70" w:rsidP="009370AE">
      <w:pPr>
        <w:ind w:right="237"/>
        <w:jc w:val="both"/>
        <w:rPr>
          <w:b/>
          <w:bCs/>
          <w:color w:val="000000" w:themeColor="text1"/>
          <w:sz w:val="28"/>
          <w:szCs w:val="28"/>
        </w:rPr>
      </w:pPr>
      <w:r>
        <w:rPr>
          <w:b/>
          <w:bCs/>
          <w:noProof/>
          <w:color w:val="000000" w:themeColor="text1"/>
          <w:sz w:val="28"/>
          <w:szCs w:val="28"/>
        </w:rPr>
        <mc:AlternateContent>
          <mc:Choice Requires="wpi">
            <w:drawing>
              <wp:anchor distT="0" distB="0" distL="114300" distR="114300" simplePos="0" relativeHeight="251664384" behindDoc="0" locked="0" layoutInCell="1" allowOverlap="1" wp14:anchorId="0F67454F" wp14:editId="7E9EA5F2">
                <wp:simplePos x="0" y="0"/>
                <wp:positionH relativeFrom="column">
                  <wp:posOffset>2485830</wp:posOffset>
                </wp:positionH>
                <wp:positionV relativeFrom="paragraph">
                  <wp:posOffset>130420</wp:posOffset>
                </wp:positionV>
                <wp:extent cx="360" cy="360"/>
                <wp:effectExtent l="38100" t="38100" r="38100" b="38100"/>
                <wp:wrapNone/>
                <wp:docPr id="231365501" name="Ink 19"/>
                <wp:cNvGraphicFramePr/>
                <a:graphic xmlns:a="http://schemas.openxmlformats.org/drawingml/2006/main">
                  <a:graphicData uri="http://schemas.microsoft.com/office/word/2010/wordprocessingInk">
                    <w14:contentPart bwMode="auto" r:id="rId66">
                      <w14:nvContentPartPr>
                        <w14:cNvContentPartPr/>
                      </w14:nvContentPartPr>
                      <w14:xfrm>
                        <a:off x="0" y="0"/>
                        <a:ext cx="360" cy="360"/>
                      </w14:xfrm>
                    </w14:contentPart>
                  </a:graphicData>
                </a:graphic>
              </wp:anchor>
            </w:drawing>
          </mc:Choice>
          <mc:Fallback>
            <w:pict>
              <v:shapetype w14:anchorId="16726B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195.4pt;margin-top:9.9pt;width:.75pt;height:.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">
                <v:imagedata r:id="rId67" o:title=""/>
              </v:shape>
            </w:pict>
          </mc:Fallback>
        </mc:AlternateContent>
      </w:r>
      <w:r>
        <w:rPr>
          <w:b/>
          <w:bCs/>
          <w:noProof/>
          <w:color w:val="000000" w:themeColor="text1"/>
          <w:sz w:val="28"/>
          <w:szCs w:val="28"/>
        </w:rPr>
        <mc:AlternateContent>
          <mc:Choice Requires="wpi">
            <w:drawing>
              <wp:anchor distT="0" distB="0" distL="114300" distR="114300" simplePos="0" relativeHeight="251663360" behindDoc="0" locked="0" layoutInCell="1" allowOverlap="1" wp14:anchorId="17481288" wp14:editId="6D36C92B">
                <wp:simplePos x="0" y="0"/>
                <wp:positionH relativeFrom="column">
                  <wp:posOffset>2485390</wp:posOffset>
                </wp:positionH>
                <wp:positionV relativeFrom="paragraph">
                  <wp:posOffset>130175</wp:posOffset>
                </wp:positionV>
                <wp:extent cx="360" cy="360"/>
                <wp:effectExtent l="38100" t="38100" r="38100" b="38100"/>
                <wp:wrapNone/>
                <wp:docPr id="129377365" name="Ink 18"/>
                <wp:cNvGraphicFramePr/>
                <a:graphic xmlns:a="http://schemas.openxmlformats.org/drawingml/2006/main">
                  <a:graphicData uri="http://schemas.microsoft.com/office/word/2010/wordprocessingInk">
                    <w14:contentPart bwMode="auto" r:id="rId68">
                      <w14:nvContentPartPr>
                        <w14:cNvContentPartPr/>
                      </w14:nvContentPartPr>
                      <w14:xfrm>
                        <a:off x="0" y="0"/>
                        <a:ext cx="360" cy="360"/>
                      </w14:xfrm>
                    </w14:contentPart>
                  </a:graphicData>
                </a:graphic>
              </wp:anchor>
            </w:drawing>
          </mc:Choice>
          <mc:Fallback>
            <w:pict>
              <v:shape w14:anchorId="247E4A49" id="Ink 18" o:spid="_x0000_s1026" type="#_x0000_t75" style="position:absolute;margin-left:195.35pt;margin-top:9.9pt;width:.75pt;height:.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">
                <v:imagedata r:id="rId67" o:title=""/>
              </v:shape>
            </w:pict>
          </mc:Fallback>
        </mc:AlternateContent>
      </w:r>
      <w:r>
        <w:rPr>
          <w:b/>
          <w:bCs/>
          <w:noProof/>
          <w:color w:val="000000" w:themeColor="text1"/>
          <w:sz w:val="28"/>
          <w:szCs w:val="28"/>
        </w:rPr>
        <mc:AlternateContent>
          <mc:Choice Requires="wpi">
            <w:drawing>
              <wp:anchor distT="0" distB="0" distL="114300" distR="114300" simplePos="0" relativeHeight="251660288" behindDoc="0" locked="0" layoutInCell="1" allowOverlap="1" wp14:anchorId="7EA2194E" wp14:editId="150E1548">
                <wp:simplePos x="0" y="0"/>
                <wp:positionH relativeFrom="column">
                  <wp:posOffset>2276310</wp:posOffset>
                </wp:positionH>
                <wp:positionV relativeFrom="paragraph">
                  <wp:posOffset>92260</wp:posOffset>
                </wp:positionV>
                <wp:extent cx="360" cy="360"/>
                <wp:effectExtent l="38100" t="38100" r="38100" b="38100"/>
                <wp:wrapNone/>
                <wp:docPr id="2018966254" name="Ink 9"/>
                <wp:cNvGraphicFramePr/>
                <a:graphic xmlns:a="http://schemas.openxmlformats.org/drawingml/2006/main">
                  <a:graphicData uri="http://schemas.microsoft.com/office/word/2010/wordprocessingInk">
                    <w14:contentPart bwMode="auto" r:id="rId69">
                      <w14:nvContentPartPr>
                        <w14:cNvContentPartPr/>
                      </w14:nvContentPartPr>
                      <w14:xfrm>
                        <a:off x="0" y="0"/>
                        <a:ext cx="360" cy="360"/>
                      </w14:xfrm>
                    </w14:contentPart>
                  </a:graphicData>
                </a:graphic>
              </wp:anchor>
            </w:drawing>
          </mc:Choice>
          <mc:Fallback>
            <w:pict>
              <v:shape w14:anchorId="53E32F3F" id="Ink 9" o:spid="_x0000_s1026" type="#_x0000_t75" style="position:absolute;margin-left:178.9pt;margin-top:6.9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">
                <v:imagedata r:id="rId67" o:title=""/>
              </v:shape>
            </w:pict>
          </mc:Fallback>
        </mc:AlternateContent>
      </w:r>
      <w:r>
        <w:rPr>
          <w:b/>
          <w:bCs/>
          <w:noProof/>
          <w:color w:val="000000" w:themeColor="text1"/>
          <w:sz w:val="28"/>
          <w:szCs w:val="28"/>
        </w:rPr>
        <mc:AlternateContent>
          <mc:Choice Requires="wpi">
            <w:drawing>
              <wp:anchor distT="0" distB="0" distL="114300" distR="114300" simplePos="0" relativeHeight="251659264" behindDoc="0" locked="0" layoutInCell="1" allowOverlap="1" wp14:anchorId="0054E8A1" wp14:editId="7A683FC1">
                <wp:simplePos x="0" y="0"/>
                <wp:positionH relativeFrom="column">
                  <wp:posOffset>2276310</wp:posOffset>
                </wp:positionH>
                <wp:positionV relativeFrom="paragraph">
                  <wp:posOffset>92260</wp:posOffset>
                </wp:positionV>
                <wp:extent cx="360" cy="360"/>
                <wp:effectExtent l="38100" t="38100" r="38100" b="38100"/>
                <wp:wrapNone/>
                <wp:docPr id="446175081" name="Ink 8"/>
                <wp:cNvGraphicFramePr/>
                <a:graphic xmlns:a="http://schemas.openxmlformats.org/drawingml/2006/main">
                  <a:graphicData uri="http://schemas.microsoft.com/office/word/2010/wordprocessingInk">
                    <w14:contentPart bwMode="auto" r:id="rId70">
                      <w14:nvContentPartPr>
                        <w14:cNvContentPartPr/>
                      </w14:nvContentPartPr>
                      <w14:xfrm>
                        <a:off x="0" y="0"/>
                        <a:ext cx="360" cy="360"/>
                      </w14:xfrm>
                    </w14:contentPart>
                  </a:graphicData>
                </a:graphic>
              </wp:anchor>
            </w:drawing>
          </mc:Choice>
          <mc:Fallback>
            <w:pict>
              <v:shape w14:anchorId="662BCB7F" id="Ink 8" o:spid="_x0000_s1026" type="#_x0000_t75" style="position:absolute;margin-left:178.9pt;margin-top:6.9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">
                <v:imagedata r:id="rId67" o:title=""/>
              </v:shape>
            </w:pict>
          </mc:Fallback>
        </mc:AlternateContent>
      </w: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3D7C306B" w:rsidR="0FF883D4" w:rsidRDefault="005B5B70" w:rsidP="5CE196A1">
      <w:r>
        <w:rPr>
          <w:rFonts w:eastAsia="Arial"/>
          <w:b/>
          <w:bCs/>
          <w:noProof/>
          <w:color w:val="000000" w:themeColor="text1"/>
          <w:sz w:val="24"/>
          <w:szCs w:val="24"/>
        </w:rPr>
        <mc:AlternateContent>
          <mc:Choice Requires="wpi">
            <w:drawing>
              <wp:anchor distT="0" distB="0" distL="114300" distR="114300" simplePos="0" relativeHeight="251667456" behindDoc="0" locked="0" layoutInCell="1" allowOverlap="1" wp14:anchorId="605A5A5A" wp14:editId="072EDEED">
                <wp:simplePos x="0" y="0"/>
                <wp:positionH relativeFrom="column">
                  <wp:posOffset>8848470</wp:posOffset>
                </wp:positionH>
                <wp:positionV relativeFrom="paragraph">
                  <wp:posOffset>589130</wp:posOffset>
                </wp:positionV>
                <wp:extent cx="360" cy="360"/>
                <wp:effectExtent l="38100" t="38100" r="38100" b="38100"/>
                <wp:wrapNone/>
                <wp:docPr id="731445885" name="Ink 22"/>
                <wp:cNvGraphicFramePr/>
                <a:graphic xmlns:a="http://schemas.openxmlformats.org/drawingml/2006/main">
                  <a:graphicData uri="http://schemas.microsoft.com/office/word/2010/wordprocessingInk">
                    <w14:contentPart bwMode="auto" r:id="rId71">
                      <w14:nvContentPartPr>
                        <w14:cNvContentPartPr/>
                      </w14:nvContentPartPr>
                      <w14:xfrm>
                        <a:off x="0" y="0"/>
                        <a:ext cx="360" cy="360"/>
                      </w14:xfrm>
                    </w14:contentPart>
                  </a:graphicData>
                </a:graphic>
              </wp:anchor>
            </w:drawing>
          </mc:Choice>
          <mc:Fallback>
            <w:pict>
              <v:shape w14:anchorId="1EE53E2A" id="Ink 22" o:spid="_x0000_s1026" type="#_x0000_t75" style="position:absolute;margin-left:696.4pt;margin-top:46.05pt;width:.75pt;height:.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">
                <v:imagedata r:id="rId67" o:title=""/>
              </v:shape>
            </w:pict>
          </mc:Fallback>
        </mc:AlternateContent>
      </w:r>
      <w:r>
        <w:rPr>
          <w:rFonts w:eastAsia="Arial"/>
          <w:b/>
          <w:bCs/>
          <w:noProof/>
          <w:color w:val="000000" w:themeColor="text1"/>
          <w:sz w:val="24"/>
          <w:szCs w:val="24"/>
        </w:rPr>
        <mc:AlternateContent>
          <mc:Choice Requires="wpi">
            <w:drawing>
              <wp:anchor distT="0" distB="0" distL="114300" distR="114300" simplePos="0" relativeHeight="251666432" behindDoc="0" locked="0" layoutInCell="1" allowOverlap="1" wp14:anchorId="0DBA76C0" wp14:editId="2E0F7466">
                <wp:simplePos x="0" y="0"/>
                <wp:positionH relativeFrom="column">
                  <wp:posOffset>8429430</wp:posOffset>
                </wp:positionH>
                <wp:positionV relativeFrom="paragraph">
                  <wp:posOffset>636650</wp:posOffset>
                </wp:positionV>
                <wp:extent cx="360" cy="360"/>
                <wp:effectExtent l="38100" t="38100" r="38100" b="38100"/>
                <wp:wrapNone/>
                <wp:docPr id="335337010" name="Ink 21"/>
                <wp:cNvGraphicFramePr/>
                <a:graphic xmlns:a="http://schemas.openxmlformats.org/drawingml/2006/main">
                  <a:graphicData uri="http://schemas.microsoft.com/office/word/2010/wordprocessingInk">
                    <w14:contentPart bwMode="auto" r:id="rId72">
                      <w14:nvContentPartPr>
                        <w14:cNvContentPartPr/>
                      </w14:nvContentPartPr>
                      <w14:xfrm>
                        <a:off x="0" y="0"/>
                        <a:ext cx="360" cy="360"/>
                      </w14:xfrm>
                    </w14:contentPart>
                  </a:graphicData>
                </a:graphic>
              </wp:anchor>
            </w:drawing>
          </mc:Choice>
          <mc:Fallback>
            <w:pict>
              <v:shape w14:anchorId="10D673AB" id="Ink 21" o:spid="_x0000_s1026" type="#_x0000_t75" style="position:absolute;margin-left:663.4pt;margin-top:49.8pt;width:.75pt;height:.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">
                <v:imagedata r:id="rId67" o:title=""/>
              </v:shape>
            </w:pict>
          </mc:Fallback>
        </mc:AlternateContent>
      </w:r>
      <w:r>
        <w:rPr>
          <w:rFonts w:eastAsia="Arial"/>
          <w:b/>
          <w:bCs/>
          <w:noProof/>
          <w:color w:val="000000" w:themeColor="text1"/>
          <w:sz w:val="24"/>
          <w:szCs w:val="24"/>
        </w:rPr>
        <mc:AlternateContent>
          <mc:Choice Requires="wpi">
            <w:drawing>
              <wp:anchor distT="0" distB="0" distL="114300" distR="114300" simplePos="0" relativeHeight="251665408" behindDoc="0" locked="0" layoutInCell="1" allowOverlap="1" wp14:anchorId="5947CC69" wp14:editId="4A9FC3B3">
                <wp:simplePos x="0" y="0"/>
                <wp:positionH relativeFrom="column">
                  <wp:posOffset>2495550</wp:posOffset>
                </wp:positionH>
                <wp:positionV relativeFrom="paragraph">
                  <wp:posOffset>427130</wp:posOffset>
                </wp:positionV>
                <wp:extent cx="360" cy="360"/>
                <wp:effectExtent l="38100" t="38100" r="38100" b="38100"/>
                <wp:wrapNone/>
                <wp:docPr id="570675610" name="Ink 20"/>
                <wp:cNvGraphicFramePr/>
                <a:graphic xmlns:a="http://schemas.openxmlformats.org/drawingml/2006/main">
                  <a:graphicData uri="http://schemas.microsoft.com/office/word/2010/wordprocessingInk">
                    <w14:contentPart bwMode="auto" r:id="rId73">
                      <w14:nvContentPartPr>
                        <w14:cNvContentPartPr/>
                      </w14:nvContentPartPr>
                      <w14:xfrm>
                        <a:off x="0" y="0"/>
                        <a:ext cx="360" cy="360"/>
                      </w14:xfrm>
                    </w14:contentPart>
                  </a:graphicData>
                </a:graphic>
              </wp:anchor>
            </w:drawing>
          </mc:Choice>
          <mc:Fallback>
            <w:pict>
              <v:shape w14:anchorId="0D1374F1" id="Ink 20" o:spid="_x0000_s1026" type="#_x0000_t75" style="position:absolute;margin-left:196.15pt;margin-top:33.3pt;width:.75pt;height:.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">
                <v:imagedata r:id="rId67" o:title=""/>
              </v:shape>
            </w:pict>
          </mc:Fallback>
        </mc:AlternateContent>
      </w:r>
      <w:r w:rsidR="5CE196A1"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lastRenderedPageBreak/>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70E6B6D9" w14:textId="77777777" w:rsidR="00D33AC7" w:rsidRDefault="00D33AC7" w:rsidP="5CE196A1">
      <w:pPr>
        <w:rPr>
          <w:rFonts w:eastAsia="Arial"/>
          <w:b/>
          <w:bCs/>
          <w:color w:val="000000" w:themeColor="text1"/>
          <w:sz w:val="24"/>
          <w:szCs w:val="24"/>
        </w:rPr>
      </w:pPr>
    </w:p>
    <w:p w14:paraId="6CBAEEA0" w14:textId="1AA2C184" w:rsidR="0FF883D4" w:rsidRDefault="5CE196A1" w:rsidP="5CE196A1">
      <w:r w:rsidRPr="5CE196A1">
        <w:rPr>
          <w:rFonts w:eastAsia="Arial"/>
          <w:b/>
          <w:bCs/>
          <w:color w:val="000000" w:themeColor="text1"/>
          <w:sz w:val="24"/>
          <w:szCs w:val="24"/>
        </w:rPr>
        <w:t xml:space="preserve">Signed: </w:t>
      </w:r>
    </w:p>
    <w:p w14:paraId="563192E7" w14:textId="1E9F665E" w:rsidR="0FF883D4" w:rsidRDefault="00D33AC7" w:rsidP="5CE196A1">
      <w:pPr>
        <w:rPr>
          <w:rFonts w:eastAsia="Arial"/>
          <w:b/>
          <w:bCs/>
          <w:color w:val="000000" w:themeColor="text1"/>
          <w:sz w:val="24"/>
          <w:szCs w:val="24"/>
        </w:rPr>
      </w:pPr>
      <w:r>
        <w:rPr>
          <w:rFonts w:eastAsia="Arial"/>
          <w:b/>
          <w:bCs/>
          <w:noProof/>
          <w:color w:val="000000" w:themeColor="text1"/>
          <w:sz w:val="24"/>
          <w:szCs w:val="24"/>
        </w:rPr>
        <mc:AlternateContent>
          <mc:Choice Requires="wpi">
            <w:drawing>
              <wp:anchor distT="0" distB="0" distL="114300" distR="114300" simplePos="0" relativeHeight="251668480" behindDoc="0" locked="0" layoutInCell="1" allowOverlap="1" wp14:anchorId="6426E15D" wp14:editId="2679164B">
                <wp:simplePos x="0" y="0"/>
                <wp:positionH relativeFrom="column">
                  <wp:posOffset>115950</wp:posOffset>
                </wp:positionH>
                <wp:positionV relativeFrom="paragraph">
                  <wp:posOffset>-409225</wp:posOffset>
                </wp:positionV>
                <wp:extent cx="1762200" cy="1031760"/>
                <wp:effectExtent l="38100" t="38100" r="28575" b="35560"/>
                <wp:wrapNone/>
                <wp:docPr id="1738685356" name="Ink 36"/>
                <wp:cNvGraphicFramePr/>
                <a:graphic xmlns:a="http://schemas.openxmlformats.org/drawingml/2006/main">
                  <a:graphicData uri="http://schemas.microsoft.com/office/word/2010/wordprocessingInk">
                    <w14:contentPart bwMode="auto" r:id="rId74">
                      <w14:nvContentPartPr>
                        <w14:cNvContentPartPr/>
                      </w14:nvContentPartPr>
                      <w14:xfrm>
                        <a:off x="0" y="0"/>
                        <a:ext cx="1762200" cy="1031760"/>
                      </w14:xfrm>
                    </w14:contentPart>
                  </a:graphicData>
                </a:graphic>
              </wp:anchor>
            </w:drawing>
          </mc:Choice>
          <mc:Fallback>
            <w:pict>
              <v:shape w14:anchorId="23B0009C" id="Ink 36" o:spid="_x0000_s1026" type="#_x0000_t75" style="position:absolute;margin-left:8.8pt;margin-top:-32.55pt;width:139.45pt;height:81.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">
                <v:imagedata r:id="rId75" o:title=""/>
              </v:shape>
            </w:pict>
          </mc:Fallback>
        </mc:AlternateContent>
      </w:r>
      <w:r w:rsidR="5CE196A1" w:rsidRPr="5CE196A1">
        <w:rPr>
          <w:rFonts w:eastAsia="Arial"/>
          <w:b/>
          <w:bCs/>
          <w:color w:val="000000" w:themeColor="text1"/>
          <w:sz w:val="24"/>
          <w:szCs w:val="24"/>
        </w:rPr>
        <w:t xml:space="preserve"> </w:t>
      </w:r>
    </w:p>
    <w:p w14:paraId="4CD55632" w14:textId="77777777" w:rsidR="00D33AC7" w:rsidRDefault="00D33AC7" w:rsidP="5CE196A1">
      <w:pPr>
        <w:rPr>
          <w:rFonts w:eastAsia="Arial"/>
          <w:b/>
          <w:bCs/>
          <w:color w:val="000000" w:themeColor="text1"/>
          <w:sz w:val="24"/>
          <w:szCs w:val="24"/>
        </w:rPr>
      </w:pPr>
    </w:p>
    <w:p w14:paraId="7FD7F36E" w14:textId="77777777" w:rsidR="00D33AC7" w:rsidRDefault="00D33AC7" w:rsidP="5CE196A1"/>
    <w:p w14:paraId="482B2B3A" w14:textId="7047ACD8" w:rsidR="0FF883D4" w:rsidRPr="00D33AC7" w:rsidRDefault="5CE196A1" w:rsidP="00D33AC7">
      <w:pPr>
        <w:sectPr w:rsidR="0FF883D4" w:rsidRPr="00D33AC7" w:rsidSect="0022001B">
          <w:headerReference w:type="even" r:id="rId76"/>
          <w:headerReference w:type="default" r:id="rId77"/>
          <w:footerReference w:type="even" r:id="rId78"/>
          <w:footerReference w:type="default" r:id="rId79"/>
          <w:headerReference w:type="first" r:id="rId80"/>
          <w:footerReference w:type="first" r:id="rId81"/>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33AC7">
        <w:t xml:space="preserve">          </w:t>
      </w:r>
      <w:r w:rsidR="00D33AC7">
        <w:rPr>
          <w:b/>
          <w:bCs/>
          <w:sz w:val="24"/>
          <w:szCs w:val="24"/>
          <w:lang w:eastAsia="zh-TW"/>
        </w:rPr>
        <w:t>01/10/2024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892AC" w14:textId="77777777" w:rsidR="009C25F3" w:rsidRDefault="009C25F3">
      <w:r>
        <w:separator/>
      </w:r>
    </w:p>
  </w:endnote>
  <w:endnote w:type="continuationSeparator" w:id="0">
    <w:p w14:paraId="134F3686" w14:textId="77777777" w:rsidR="009C25F3" w:rsidRDefault="009C2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4F457" w14:textId="77777777" w:rsidR="009C25F3" w:rsidRDefault="009C25F3">
      <w:r>
        <w:separator/>
      </w:r>
    </w:p>
  </w:footnote>
  <w:footnote w:type="continuationSeparator" w:id="0">
    <w:p w14:paraId="08CCD6F7" w14:textId="77777777" w:rsidR="009C25F3" w:rsidRDefault="009C2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17A4320"/>
    <w:multiLevelType w:val="hybridMultilevel"/>
    <w:tmpl w:val="C5D86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8A286D"/>
    <w:multiLevelType w:val="hybridMultilevel"/>
    <w:tmpl w:val="3F7E0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1CE05BB"/>
    <w:multiLevelType w:val="hybridMultilevel"/>
    <w:tmpl w:val="ED0A2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C852F3"/>
    <w:multiLevelType w:val="hybridMultilevel"/>
    <w:tmpl w:val="DCF0A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5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51"/>
  </w:num>
  <w:num w:numId="2" w16cid:durableId="417675724">
    <w:abstractNumId w:val="12"/>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4"/>
  </w:num>
  <w:num w:numId="5" w16cid:durableId="292910358">
    <w:abstractNumId w:val="48"/>
  </w:num>
  <w:num w:numId="6" w16cid:durableId="1535117422">
    <w:abstractNumId w:val="50"/>
  </w:num>
  <w:num w:numId="7" w16cid:durableId="497159976">
    <w:abstractNumId w:val="37"/>
  </w:num>
  <w:num w:numId="8" w16cid:durableId="1969892037">
    <w:abstractNumId w:val="35"/>
  </w:num>
  <w:num w:numId="9" w16cid:durableId="1373725377">
    <w:abstractNumId w:val="31"/>
  </w:num>
  <w:num w:numId="10" w16cid:durableId="825324590">
    <w:abstractNumId w:val="32"/>
  </w:num>
  <w:num w:numId="11" w16cid:durableId="813445957">
    <w:abstractNumId w:val="11"/>
  </w:num>
  <w:num w:numId="12" w16cid:durableId="232394586">
    <w:abstractNumId w:val="36"/>
  </w:num>
  <w:num w:numId="13" w16cid:durableId="1039740215">
    <w:abstractNumId w:val="19"/>
  </w:num>
  <w:num w:numId="14" w16cid:durableId="1170288507">
    <w:abstractNumId w:val="18"/>
  </w:num>
  <w:num w:numId="15" w16cid:durableId="456804283">
    <w:abstractNumId w:val="28"/>
  </w:num>
  <w:num w:numId="16" w16cid:durableId="647825036">
    <w:abstractNumId w:val="9"/>
  </w:num>
  <w:num w:numId="17" w16cid:durableId="431701502">
    <w:abstractNumId w:val="27"/>
  </w:num>
  <w:num w:numId="18" w16cid:durableId="55593141">
    <w:abstractNumId w:val="17"/>
  </w:num>
  <w:num w:numId="19" w16cid:durableId="514465446">
    <w:abstractNumId w:val="15"/>
  </w:num>
  <w:num w:numId="20" w16cid:durableId="49160329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5"/>
  </w:num>
  <w:num w:numId="22" w16cid:durableId="2142264046">
    <w:abstractNumId w:val="20"/>
  </w:num>
  <w:num w:numId="23" w16cid:durableId="137846151">
    <w:abstractNumId w:val="16"/>
  </w:num>
  <w:num w:numId="24" w16cid:durableId="1914271120">
    <w:abstractNumId w:val="13"/>
  </w:num>
  <w:num w:numId="25" w16cid:durableId="885063891">
    <w:abstractNumId w:val="29"/>
  </w:num>
  <w:num w:numId="26" w16cid:durableId="236403065">
    <w:abstractNumId w:val="21"/>
  </w:num>
  <w:num w:numId="27" w16cid:durableId="1573000687">
    <w:abstractNumId w:val="43"/>
  </w:num>
  <w:num w:numId="28" w16cid:durableId="66197777">
    <w:abstractNumId w:val="38"/>
  </w:num>
  <w:num w:numId="29" w16cid:durableId="1127815727">
    <w:abstractNumId w:val="42"/>
  </w:num>
  <w:num w:numId="30" w16cid:durableId="1139540040">
    <w:abstractNumId w:val="22"/>
  </w:num>
  <w:num w:numId="31" w16cid:durableId="34090301">
    <w:abstractNumId w:val="46"/>
  </w:num>
  <w:num w:numId="32" w16cid:durableId="222646112">
    <w:abstractNumId w:val="33"/>
  </w:num>
  <w:num w:numId="33" w16cid:durableId="2043940194">
    <w:abstractNumId w:val="14"/>
  </w:num>
  <w:num w:numId="34" w16cid:durableId="1879196244">
    <w:abstractNumId w:val="47"/>
  </w:num>
  <w:num w:numId="35" w16cid:durableId="682361466">
    <w:abstractNumId w:val="41"/>
  </w:num>
  <w:num w:numId="36" w16cid:durableId="1977442909">
    <w:abstractNumId w:val="5"/>
  </w:num>
  <w:num w:numId="37" w16cid:durableId="1583488633">
    <w:abstractNumId w:val="49"/>
  </w:num>
  <w:num w:numId="38" w16cid:durableId="440271129">
    <w:abstractNumId w:val="45"/>
  </w:num>
  <w:num w:numId="39" w16cid:durableId="738553744">
    <w:abstractNumId w:val="39"/>
  </w:num>
  <w:num w:numId="40" w16cid:durableId="1665820156">
    <w:abstractNumId w:val="40"/>
  </w:num>
  <w:num w:numId="41" w16cid:durableId="180051086">
    <w:abstractNumId w:val="4"/>
  </w:num>
  <w:num w:numId="42" w16cid:durableId="659695053">
    <w:abstractNumId w:val="6"/>
  </w:num>
  <w:num w:numId="43" w16cid:durableId="799807383">
    <w:abstractNumId w:val="26"/>
  </w:num>
  <w:num w:numId="44" w16cid:durableId="1438983801">
    <w:abstractNumId w:val="8"/>
  </w:num>
  <w:num w:numId="45" w16cid:durableId="3284368">
    <w:abstractNumId w:val="3"/>
  </w:num>
  <w:num w:numId="46" w16cid:durableId="397748815">
    <w:abstractNumId w:val="0"/>
  </w:num>
  <w:num w:numId="47" w16cid:durableId="220332332">
    <w:abstractNumId w:val="23"/>
  </w:num>
  <w:num w:numId="48" w16cid:durableId="504830301">
    <w:abstractNumId w:val="30"/>
  </w:num>
  <w:num w:numId="49" w16cid:durableId="54592622">
    <w:abstractNumId w:val="52"/>
  </w:num>
  <w:num w:numId="50" w16cid:durableId="1610553134">
    <w:abstractNumId w:val="44"/>
  </w:num>
  <w:num w:numId="51" w16cid:durableId="128522383">
    <w:abstractNumId w:val="34"/>
  </w:num>
  <w:num w:numId="52" w16cid:durableId="1452700722">
    <w:abstractNumId w:val="2"/>
  </w:num>
  <w:num w:numId="53" w16cid:durableId="371462938">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3216"/>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1979"/>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5B70"/>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25F3"/>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33AC7"/>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ulnerability-related-risks/introduction-vulnerability-related-risk" TargetMode="External"/><Relationship Id="rId26" Type="http://schemas.openxmlformats.org/officeDocument/2006/relationships/hyperlink" Target="https://www.telegraph.co.uk/news/2024/03/30/police-translation-costs-increase-net-migration/" TargetMode="External"/><Relationship Id="rId39" Type="http://schemas.openxmlformats.org/officeDocument/2006/relationships/hyperlink" Target="https://hmicfrs.justiceinspectorates.gov.uk/glossary/vulnerable-person/" TargetMode="External"/><Relationship Id="rId21" Type="http://schemas.openxmlformats.org/officeDocument/2006/relationships/hyperlink" Target="https://www.gov.uk/government/publications/pace-code-c-2019/pace-code-c-2019-accessible" TargetMode="External"/><Relationship Id="rId34" Type="http://schemas.openxmlformats.org/officeDocument/2006/relationships/hyperlink" Target="https://www.college.police.uk/guidance/vulnerability-related-risks/introduction-vulnerability-related-risk" TargetMode="External"/><Relationship Id="rId42" Type="http://schemas.openxmlformats.org/officeDocument/2006/relationships/hyperlink" Target="https://assets.publishing.service.gov.uk/media/65d4895438fef9001ab5b038/Criminal+investigation+_use+of+interpreters_.pdf" TargetMode="External"/><Relationship Id="rId47" Type="http://schemas.openxmlformats.org/officeDocument/2006/relationships/hyperlink" Target="https://www.telegraph.co.uk/news/2024/03/30/police-translation-costs-increase-net-migration/" TargetMode="External"/><Relationship Id="rId50" Type="http://schemas.openxmlformats.org/officeDocument/2006/relationships/hyperlink" Target="https://www.acro.police.uk/s/" TargetMode="External"/><Relationship Id="rId55" Type="http://schemas.openxmlformats.org/officeDocument/2006/relationships/hyperlink" Target="https://www.acro.police.uk/s/" TargetMode="External"/><Relationship Id="rId63" Type="http://schemas.openxmlformats.org/officeDocument/2006/relationships/hyperlink" Target="https://doi.org/10.1080/15614263.2013.849595" TargetMode="External"/><Relationship Id="rId68" Type="http://schemas.openxmlformats.org/officeDocument/2006/relationships/customXml" Target="ink/ink2.xml"/><Relationship Id="rId76" Type="http://schemas.openxmlformats.org/officeDocument/2006/relationships/header" Target="header1.xml"/><Relationship Id="rId84" Type="http://schemas.microsoft.com/office/2020/10/relationships/intelligence" Target="intelligence2.xml"/><Relationship Id="rId7" Type="http://schemas.openxmlformats.org/officeDocument/2006/relationships/settings" Target="settings.xml"/><Relationship Id="rId71" Type="http://schemas.openxmlformats.org/officeDocument/2006/relationships/customXml" Target="ink/ink5.xml"/><Relationship Id="rId2" Type="http://schemas.openxmlformats.org/officeDocument/2006/relationships/customXml" Target="../customXml/item2.xml"/><Relationship Id="rId16" Type="http://schemas.openxmlformats.org/officeDocument/2006/relationships/hyperlink" Target="https://www.cityoflondon.police.uk/news/city-of-london/news/2021/Template/fraud/unqualified-court-interpreter-sentenced-after-working-on-140-cases/" TargetMode="External"/><Relationship Id="rId29" Type="http://schemas.openxmlformats.org/officeDocument/2006/relationships/hyperlink" Target="https://doi.org/10.1007/978-3-319-51228-0" TargetMode="External"/><Relationship Id="rId11" Type="http://schemas.openxmlformats.org/officeDocument/2006/relationships/image" Target="media/image1.png"/><Relationship Id="rId24" Type="http://schemas.openxmlformats.org/officeDocument/2006/relationships/hyperlink" Target="https://www.nrpsi.org.uk/downloads/PAIT-Scheme-Newsletter-April-24-v1.pdf" TargetMode="External"/><Relationship Id="rId32" Type="http://schemas.openxmlformats.org/officeDocument/2006/relationships/hyperlink" Target="https://www.cityoflondon.police.uk/news/city-of-london/news/2021/Template/fraud/unqualified-court-interpreter-sentenced-after-working-on-140-cases/" TargetMode="External"/><Relationship Id="rId37" Type="http://schemas.openxmlformats.org/officeDocument/2006/relationships/hyperlink" Target="https://www.bell-foundation.org.uk/app/uploads/2022/04/Language-Barriers-In-The-Criminal-Justice-System-The-Experience-Of-Victims-And-Witnesses-Who-Speak-English-As-A-Second-Or-Additional-Language.pdf" TargetMode="External"/><Relationship Id="rId40" Type="http://schemas.openxmlformats.org/officeDocument/2006/relationships/hyperlink" Target="https://homeofficemedia.blog.gov.uk/2023/10/29/police-use-of-facial-recognition-factsheet/" TargetMode="External"/><Relationship Id="rId45" Type="http://schemas.openxmlformats.org/officeDocument/2006/relationships/hyperlink" Target="https://www.nrpsi.org.uk/downloads/PAIT-Scheme-Newsletter-April-24-v1.pdf" TargetMode="External"/><Relationship Id="rId53" Type="http://schemas.openxmlformats.org/officeDocument/2006/relationships/hyperlink" Target="https://www.legislation.gov.uk/ukpga/2022/32/part/2/chapter/3" TargetMode="External"/><Relationship Id="rId58" Type="http://schemas.openxmlformats.org/officeDocument/2006/relationships/hyperlink" Target="https://www.gesetze-im-internet.de/stgb/inhalts_bersicht.html" TargetMode="External"/><Relationship Id="rId66" Type="http://schemas.openxmlformats.org/officeDocument/2006/relationships/customXml" Target="ink/ink1.xml"/><Relationship Id="rId74" Type="http://schemas.openxmlformats.org/officeDocument/2006/relationships/customXml" Target="ink/ink8.xml"/><Relationship Id="rId79"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s://doi.org/10.1038/s41443-023-00802-5" TargetMode="External"/><Relationship Id="rId82"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ell-foundation.org.uk/app/uploads/2022/04/Language-Barriers-In-The-Criminal-Justice-System-The-Experience-Of-Victims-And-Witnesses-Who-Speak-English-As-A-Second-Or-Additional-Language.pdf" TargetMode="External"/><Relationship Id="rId31" Type="http://schemas.openxmlformats.org/officeDocument/2006/relationships/hyperlink" Target="https://www.btp.police.uk/police-forces/british-transport-police/areas/about-us/about-us/our-history/london-bombings-of2005/" TargetMode="External"/><Relationship Id="rId44" Type="http://schemas.openxmlformats.org/officeDocument/2006/relationships/hyperlink" Target="https://doi.org/10.1177/00111287211041521" TargetMode="External"/><Relationship Id="rId52" Type="http://schemas.openxmlformats.org/officeDocument/2006/relationships/hyperlink" Target="https://doi.org/10.1038/s41443-023-00802-5" TargetMode="External"/><Relationship Id="rId60" Type="http://schemas.openxmlformats.org/officeDocument/2006/relationships/hyperlink" Target="https://doi.org/10.30834/KJP.31.2.2019.166" TargetMode="External"/><Relationship Id="rId65" Type="http://schemas.openxmlformats.org/officeDocument/2006/relationships/hyperlink" Target="https://lordslibrary.parliament.uk/foreign-national-offenders-in-uk-prisons-powers-to-deport/" TargetMode="External"/><Relationship Id="rId73" Type="http://schemas.openxmlformats.org/officeDocument/2006/relationships/customXml" Target="ink/ink7.xm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kent.police.uk/police-forces/kent-police/areas/kent-police/campaigns/vulnerable-people/" TargetMode="External"/><Relationship Id="rId27" Type="http://schemas.openxmlformats.org/officeDocument/2006/relationships/hyperlink" Target="https://www.ukri.org/councils/esrc/guidance-for-applicants/research-ethics-guidance/research-with-potentially-vulnerable-people/" TargetMode="External"/><Relationship Id="rId30" Type="http://schemas.openxmlformats.org/officeDocument/2006/relationships/hyperlink" Target="https://doi.org/10.1080/10439463.2018.1553974" TargetMode="External"/><Relationship Id="rId35" Type="http://schemas.openxmlformats.org/officeDocument/2006/relationships/hyperlink" Target="https://www.college.police.uk/guidance/investigation/investigative-strategies/cctv" TargetMode="External"/><Relationship Id="rId43" Type="http://schemas.openxmlformats.org/officeDocument/2006/relationships/hyperlink" Target="https://www.kent.police.uk/police-forces/kent-police/areas/kent-police/campaigns/vulnerable-people/" TargetMode="External"/><Relationship Id="rId48" Type="http://schemas.openxmlformats.org/officeDocument/2006/relationships/hyperlink" Target="https://commonslibrary.parliament.uk/policing-response-to-the-2024-summer-riots/" TargetMode="External"/><Relationship Id="rId56" Type="http://schemas.openxmlformats.org/officeDocument/2006/relationships/hyperlink" Target="https://doi.org/10.1080/08164640802233302" TargetMode="External"/><Relationship Id="rId64" Type="http://schemas.openxmlformats.org/officeDocument/2006/relationships/hyperlink" Target="https://doi.org/10.2196/48880" TargetMode="External"/><Relationship Id="rId69" Type="http://schemas.openxmlformats.org/officeDocument/2006/relationships/customXml" Target="ink/ink3.xml"/><Relationship Id="rId77"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iclr.co.uk/knowledge/topics/the-english-legal-system/" TargetMode="External"/><Relationship Id="rId72" Type="http://schemas.openxmlformats.org/officeDocument/2006/relationships/customXml" Target="ink/ink6.xml"/><Relationship Id="rId80"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college.police.uk/docs/college-of-policing/Language-Services-v1.0.pdf" TargetMode="External"/><Relationship Id="rId25" Type="http://schemas.openxmlformats.org/officeDocument/2006/relationships/hyperlink" Target="https://assets.publishing.service.gov.uk/media/5f1a8f23d3bf7f5968d37dce/pace-code-c-2019.pdf" TargetMode="External"/><Relationship Id="rId33" Type="http://schemas.openxmlformats.org/officeDocument/2006/relationships/hyperlink" Target="https://library.college.police.uk/docs/college-of-policing/Language-Services-v1.0.pdf" TargetMode="External"/><Relationship Id="rId38" Type="http://schemas.openxmlformats.org/officeDocument/2006/relationships/hyperlink" Target="https://doi.org/10.24908/ss.v13i2.5298" TargetMode="External"/><Relationship Id="rId46" Type="http://schemas.openxmlformats.org/officeDocument/2006/relationships/hyperlink" Target="https://assets.publishing.service.gov.uk/media/5f1a8f23d3bf7f5968d37dce/pace-code-c-2019.pdf" TargetMode="External"/><Relationship Id="rId59" Type="http://schemas.openxmlformats.org/officeDocument/2006/relationships/hyperlink" Target="https://www.iclr.co.uk/knowledge/topics/the-english-legal-system/" TargetMode="External"/><Relationship Id="rId67" Type="http://schemas.openxmlformats.org/officeDocument/2006/relationships/image" Target="media/image2.png"/><Relationship Id="rId20" Type="http://schemas.openxmlformats.org/officeDocument/2006/relationships/hyperlink" Target="https://homeofficemedia.blog.gov.uk/2023/10/29/police-use-of-facial-recognition-factsheet/" TargetMode="External"/><Relationship Id="rId41" Type="http://schemas.openxmlformats.org/officeDocument/2006/relationships/hyperlink" Target="https://www.gov.uk/government/publications/pace-code-c-2019/pace-code-c-2019-accessible" TargetMode="External"/><Relationship Id="rId54" Type="http://schemas.openxmlformats.org/officeDocument/2006/relationships/hyperlink" Target="https://lordslibrary.parliament.uk/foreign-national-offenders-in-uk-prisons-powers-to-deport/" TargetMode="External"/><Relationship Id="rId62" Type="http://schemas.openxmlformats.org/officeDocument/2006/relationships/hyperlink" Target="https://www.legislation.gov.uk/ukpga/2022/32/part/2/chapter/3" TargetMode="External"/><Relationship Id="rId70" Type="http://schemas.openxmlformats.org/officeDocument/2006/relationships/customXml" Target="ink/ink4.xml"/><Relationship Id="rId75" Type="http://schemas.openxmlformats.org/officeDocument/2006/relationships/image" Target="media/image3.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07/978-3-319-51228-0" TargetMode="External"/><Relationship Id="rId23" Type="http://schemas.openxmlformats.org/officeDocument/2006/relationships/hyperlink" Target="https://doi.org/10.1177/00111287211041521" TargetMode="External"/><Relationship Id="rId28" Type="http://schemas.openxmlformats.org/officeDocument/2006/relationships/hyperlink" Target="https://www.victimsupport.org.uk/wp-content/uploads/2021/03/VS_Briefing_VictimsLanguageBarriersintheCJS_February2021.pdf" TargetMode="External"/><Relationship Id="rId36" Type="http://schemas.openxmlformats.org/officeDocument/2006/relationships/hyperlink" Target="https://doi.org/10.1002/acp.3405" TargetMode="External"/><Relationship Id="rId49" Type="http://schemas.openxmlformats.org/officeDocument/2006/relationships/hyperlink" Target="https://www.victimsupport.org.uk/wp-content/uploads/2021/03/VS_Briefing_VictimsLanguageBarriersintheCJS_February2021.pdf" TargetMode="External"/><Relationship Id="rId57" Type="http://schemas.openxmlformats.org/officeDocument/2006/relationships/hyperlink" Target="https://www.bussgeldkatalog.net/jugendschutzgesetz-se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1T11:18:44.928"/>
    </inkml:context>
    <inkml:brush xml:id="br0">
      <inkml:brushProperty name="width" value="0.025" units="cm"/>
      <inkml:brushProperty name="height" value="0.025" units="cm"/>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1T11:18:34.590"/>
    </inkml:context>
    <inkml:brush xml:id="br0">
      <inkml:brushProperty name="width" value="0.025" units="cm"/>
      <inkml:brushProperty name="height" value="0.025" units="cm"/>
    </inkml:brush>
  </inkml:definitions>
  <inkml:trace contextRef="#ctx0" brushRef="#br0">0 0 24575</inkml:trace>
  <inkml:trace contextRef="#ctx0" brushRef="#br0" timeOffset="1280.98">0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1T11:17:50.653"/>
    </inkml:context>
    <inkml:brush xml:id="br0">
      <inkml:brushProperty name="width" value="0.025" units="cm"/>
      <inkml:brushProperty name="height" value="0.02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1T11:17:49.699"/>
    </inkml:context>
    <inkml:brush xml:id="br0">
      <inkml:brushProperty name="width" value="0.025" units="cm"/>
      <inkml:brushProperty name="height" value="0.025" units="cm"/>
    </inkml:brush>
  </inkml:definitions>
  <inkml:trace contextRef="#ctx0" brushRef="#br0">0 0 24575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1T11:19:15.304"/>
    </inkml:context>
    <inkml:brush xml:id="br0">
      <inkml:brushProperty name="width" value="0.025" units="cm"/>
      <inkml:brushProperty name="height" value="0.025" units="cm"/>
    </inkml:brush>
  </inkml:definitions>
  <inkml:trace contextRef="#ctx0" brushRef="#br0">0 0 24575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1T11:19:07.521"/>
    </inkml:context>
    <inkml:brush xml:id="br0">
      <inkml:brushProperty name="width" value="0.025" units="cm"/>
      <inkml:brushProperty name="height" value="0.025" units="cm"/>
    </inkml:brush>
  </inkml:definitions>
  <inkml:trace contextRef="#ctx0" brushRef="#br0">0 0 24575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1T11:19:05.568"/>
    </inkml:context>
    <inkml:brush xml:id="br0">
      <inkml:brushProperty name="width" value="0.025" units="cm"/>
      <inkml:brushProperty name="height" value="0.025" units="cm"/>
    </inkml:brush>
  </inkml:definitions>
  <inkml:trace contextRef="#ctx0" brushRef="#br0">0 0 24575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01T11:21:28.688"/>
    </inkml:context>
    <inkml:brush xml:id="br0">
      <inkml:brushProperty name="width" value="0.025" units="cm"/>
      <inkml:brushProperty name="height" value="0.025" units="cm"/>
    </inkml:brush>
  </inkml:definitions>
  <inkml:trace contextRef="#ctx0" brushRef="#br0">2641 0 24575,'-3'1'0,"1"0"0,0 1 0,-1-1 0,1 0 0,0 1 0,-1-1 0,1 1 0,0-1 0,0 1 0,0 0 0,0 0 0,1 0 0,-1 0 0,0 1 0,1-1 0,0 0 0,-3 5 0,0 0 0,-390 623 0,-5 8 0,258-433 0,-170 189 0,188-263 0,-6-4 0,-5-7 0,-6-5 0,-301 188 0,423-293 0,-130 76 0,122-73 0,0-1 0,-1-1 0,-47 12 0,71-22 0,1 0 0,0-1 0,-1 1 0,1-1 0,-1 1 0,1-1 0,-1 0 0,1 0 0,-1 0 0,1 0 0,0 0 0,-1-1 0,1 1 0,-1-1 0,1 1 0,0-1 0,-1 0 0,1 0 0,0 0 0,0-1 0,0 1 0,0 0 0,0-1 0,-4-2 0,5 1 0,0 0 0,0 0 0,1 1 0,-1-1 0,1 0 0,-1 0 0,1 0 0,0 0 0,0 0 0,0 0 0,0 0 0,1 0 0,-1 0 0,1 1 0,0-1 0,0 0 0,0 0 0,0 0 0,0 1 0,0-1 0,1 1 0,-1-1 0,4-2 0,9-18 0,1 1 0,0 0 0,26-25 0,75-64 0,-77 75 0,281-243 0,1460-1032-2501,-1463 1115 2082,-202 129 367,152-65-1,-265 131 53,10-6 0,1 2 0,0 0 0,-1 0 0,1 1 0,1 1 0,-1 0 0,0 1 0,1 0 0,16 1 0,-29 1 30,1 0-1,-1 1 1,1-1 0,-1 0-1,1 1 1,-1-1-1,1 1 1,-1 0-1,0-1 1,1 1-1,-1 0 1,0 0 0,1 0-1,-1 0 1,0 0-1,0 0 1,0 0-1,0 1 1,0-1-1,0 0 1,0 0-1,-1 1 1,1-1 0,0 1-1,-1-1 1,1 1-1,-1-1 1,1 1-1,-1-1 1,1 3-1,-1 5 241,1-1-1,-1 1 1,-1-1-1,-2 13 1,2-8-101,-11 82 375,-6 96-496,18-188-48,-1 0 0,1 0 0,0-1 0,0 1 0,1 0 0,-1 0 0,1 0 0,-1 0 0,1-1 0,0 1 0,0 0 0,0-1 0,0 1 0,1-1 0,-1 1 0,1-1 0,0 1 0,-1-1 0,1 0 0,3 3 0,-2-4 0,-1 1 0,1-1 0,0 0 0,0 0 0,0 0 0,0 0 0,0-1 0,0 1 0,0-1 0,0 1 0,0-1 0,0 0 0,0-1 0,0 1 0,0 0 0,3-2 0,14-3 0,0-1 0,0-1 0,-1-1 0,28-17 0,-37 20 0,214-133 0,-166 100 0,-50 32 0,0 1 0,1 0 0,0 0 0,0 1 0,15-5 0,-23 9 0,1-1 0,-1 1 0,0 0 0,1 0 0,-1 0 0,0 0 0,1 0 0,-1 0 0,1 0 0,-1 0 0,0 1 0,1-1 0,-1 0 0,0 1 0,0-1 0,1 1 0,-1 0 0,0-1 0,1 2 0,0-1 0,-1 1 0,0 0 0,1-1 0,-1 1 0,0 0 0,0 0 0,0 0 0,0 0 0,-1 0 0,1 0 0,-1 0 0,1 0 0,-1 0 0,1 0 0,-1 0 0,0 3 0,-5 61 0,2-52 0,1 1 0,1 0 0,1 0 0,1 22 0,-1-33 0,1 0 0,0-1 0,0 1 0,0 0 0,0-1 0,1 1 0,-1-1 0,1 0 0,0 1 0,0-1 0,0 0 0,0 0 0,1 0 0,-1-1 0,1 1 0,-1 0 0,1-1 0,0 0 0,0 1 0,0-1 0,1-1 0,5 4 0,4-1 0,-1 0 0,1 0 0,0-2 0,0 0 0,1 0 0,23-1 0,87-9 0,49-22 0,-105 16 0,77-6 0,-140 20 0,0-1 0,0 1 0,0 0 0,0 0 0,0 0 0,0 1 0,0 0 0,0 0 0,0 0 0,0 1 0,0 0 0,-1 0 0,1 0 0,5 3 0,-8-3 0,0 1 0,0-1 0,0 0 0,0 1 0,0-1 0,-1 1 0,0-1 0,1 1 0,-1 0 0,0 0 0,0 0 0,0-1 0,-1 1 0,1 0 0,-1 0 0,1 0 0,-1 0 0,0 0 0,0 0 0,-1 0 0,1 0 0,0 0 0,-3 6 0,0 4 0,-1 1 0,-1-1 0,-10 22 0,9-23 0,1 0 0,0 1 0,-6 23 0,11-34 0,0-1 0,0 1 0,0-1 0,-1 1 0,2 0 0,-1-1 0,0 1 0,0-1 0,0 1 0,1 0 0,-1-1 0,1 1 0,-1-1 0,1 1 0,0-1 0,0 1 0,-1-1 0,1 0 0,0 1 0,0-1 0,2 2 0,0-1 0,0 1 0,0-1 0,1 0 0,-1 0 0,0 0 0,1-1 0,-1 1 0,1-1 0,4 1 0,9 1 0,0 0 0,0-1 0,21 0 0,-31-2 0,46 2-83,110 8-1199,-144-8-5544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7227</Words>
  <Characters>41199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Juejie Pearce (2245945)</cp:lastModifiedBy>
  <cp:revision>4</cp:revision>
  <cp:lastPrinted>2014-08-26T08:55:00Z</cp:lastPrinted>
  <dcterms:created xsi:type="dcterms:W3CDTF">2023-09-25T13:11:00Z</dcterms:created>
  <dcterms:modified xsi:type="dcterms:W3CDTF">2024-10-01T11:22:00Z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