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CF0649" w14:textId="77777777" w:rsidR="00DD579C" w:rsidRPr="00AE09A9" w:rsidRDefault="00A75695">
      <w:pPr>
        <w:rPr>
          <w:b/>
          <w:bCs/>
          <w:u w:val="single"/>
        </w:rPr>
      </w:pPr>
      <w:r w:rsidRPr="00AE09A9">
        <w:rPr>
          <w:b/>
          <w:bCs/>
          <w:u w:val="single"/>
        </w:rPr>
        <w:t xml:space="preserve">It has been stated that the process of remembrance and commemoration in Britain was an agent for order and contentment following World War One. Discuss with reference to the political and social situation in the post-war years and the discourse in more recent years between historians of the conflict. </w:t>
      </w:r>
      <w:r w:rsidR="005C01E2" w:rsidRPr="00AE09A9">
        <w:rPr>
          <w:b/>
          <w:bCs/>
          <w:u w:val="single"/>
        </w:rPr>
        <w:t xml:space="preserve"> </w:t>
      </w:r>
    </w:p>
    <w:p w14:paraId="54310CBD" w14:textId="77777777" w:rsidR="007049DA" w:rsidRDefault="005C01E2">
      <w:r>
        <w:t xml:space="preserve">The process of remembrance and commemoration for the soldiers that fought in the first world war </w:t>
      </w:r>
      <w:r w:rsidR="00604B0C">
        <w:t>is a massive deal in Britain still today. Poppies are everywhere, in shops and around schools and there is a real sense of judgement and disappointment from the community if you are seen without one. For example, Saffron Barker and A.J. Pritchard couldn’t wear poppies in an episode of Strictly Come Dancing (aired 2</w:t>
      </w:r>
      <w:r w:rsidR="00604B0C" w:rsidRPr="00604B0C">
        <w:rPr>
          <w:vertAlign w:val="superscript"/>
        </w:rPr>
        <w:t>nd</w:t>
      </w:r>
      <w:r w:rsidR="00604B0C">
        <w:t xml:space="preserve"> November) because of a lift they were doing, having pins on their costumes would be dangerous. </w:t>
      </w:r>
      <w:r w:rsidR="00B14A6A">
        <w:t xml:space="preserve">They were attacked on Twitter for this even being called ‘disgusting’. </w:t>
      </w:r>
      <w:r w:rsidR="00B14A6A">
        <w:rPr>
          <w:rStyle w:val="FootnoteReference"/>
        </w:rPr>
        <w:footnoteReference w:id="1"/>
      </w:r>
      <w:r w:rsidR="00B14A6A">
        <w:t xml:space="preserve"> This is over 100 years after the war ended, and if this is the reaction now, what about during the immediate aftermath? It isn’t surprising that these sort of reactions were just as commonplace then and </w:t>
      </w:r>
      <w:r w:rsidR="005503AC">
        <w:t xml:space="preserve">that army recruiters knew this and used it to their advantage. </w:t>
      </w:r>
      <w:r w:rsidR="007049DA">
        <w:t xml:space="preserve">In fact, the origins of the ‘poppy symbolism was propaganda in itself. Its first appearance was in John McCrae’s poem ‘In Flanders Fields’ </w:t>
      </w:r>
      <w:r w:rsidR="00D831FD">
        <w:t xml:space="preserve">in which the symbolism of nature triumphing over death was not lost on people, what is often overlooked nowadays is the final verse. </w:t>
      </w:r>
    </w:p>
    <w:p w14:paraId="78C28FEA" w14:textId="77777777" w:rsidR="00D831FD" w:rsidRDefault="00D831FD" w:rsidP="00D831FD">
      <w:pPr>
        <w:rPr>
          <w:i/>
          <w:iCs/>
        </w:rPr>
      </w:pPr>
      <w:r w:rsidRPr="00D831FD">
        <w:rPr>
          <w:i/>
          <w:iCs/>
        </w:rPr>
        <w:t>Take up our quarrel with the foe</w:t>
      </w:r>
      <w:r w:rsidRPr="00D831FD">
        <w:rPr>
          <w:i/>
          <w:iCs/>
        </w:rPr>
        <w:br/>
        <w:t>To you, from failing hands, we throw</w:t>
      </w:r>
      <w:r w:rsidRPr="00D831FD">
        <w:rPr>
          <w:i/>
          <w:iCs/>
        </w:rPr>
        <w:br/>
        <w:t>The torch: be yours to hold it high</w:t>
      </w:r>
      <w:r w:rsidRPr="00D831FD">
        <w:rPr>
          <w:i/>
          <w:iCs/>
        </w:rPr>
        <w:br/>
        <w:t>If ye break faith with us who die,</w:t>
      </w:r>
      <w:r w:rsidRPr="00D831FD">
        <w:rPr>
          <w:i/>
          <w:iCs/>
        </w:rPr>
        <w:br/>
        <w:t>We shall not sleep, though poppies grow</w:t>
      </w:r>
      <w:r w:rsidRPr="00D831FD">
        <w:rPr>
          <w:i/>
          <w:iCs/>
        </w:rPr>
        <w:br/>
        <w:t>In Flanders fields</w:t>
      </w:r>
      <w:r w:rsidR="00850D08">
        <w:rPr>
          <w:i/>
          <w:iCs/>
        </w:rPr>
        <w:t xml:space="preserve">. </w:t>
      </w:r>
      <w:r w:rsidR="00850D08">
        <w:rPr>
          <w:rStyle w:val="FootnoteReference"/>
          <w:i/>
          <w:iCs/>
        </w:rPr>
        <w:footnoteReference w:id="2"/>
      </w:r>
    </w:p>
    <w:p w14:paraId="5B17FB5E" w14:textId="1582BC60" w:rsidR="00D831FD" w:rsidRDefault="00250D84" w:rsidP="00D831FD">
      <w:r>
        <w:t xml:space="preserve">This is quite literally a call to arms. McCrae (through the voices of the dead) is demanding that there is no end to the war, that blood continues to be shed. </w:t>
      </w:r>
      <w:r w:rsidR="005B1625">
        <w:t xml:space="preserve">James Fox, in his essay ‘Poppy Politics’ blames </w:t>
      </w:r>
      <w:proofErr w:type="spellStart"/>
      <w:r w:rsidR="005B1625">
        <w:t>Moina</w:t>
      </w:r>
      <w:proofErr w:type="spellEnd"/>
      <w:r w:rsidR="005B1625">
        <w:t xml:space="preserve"> Michaels for the popularisation of the poppy as a remembrance symbol stating that ‘[poppies] had been converted into victory medals’. </w:t>
      </w:r>
      <w:r w:rsidR="005B1625">
        <w:rPr>
          <w:rStyle w:val="FootnoteReference"/>
        </w:rPr>
        <w:footnoteReference w:id="3"/>
      </w:r>
      <w:r w:rsidR="00F64860">
        <w:t xml:space="preserve"> </w:t>
      </w:r>
      <w:r w:rsidR="002B1A9E">
        <w:t xml:space="preserve">This was due to the fact that they were popularised </w:t>
      </w:r>
      <w:r w:rsidR="000D711E">
        <w:t xml:space="preserve">during the war itself </w:t>
      </w:r>
      <w:r w:rsidR="003729A5">
        <w:t>(</w:t>
      </w:r>
      <w:r w:rsidR="00E23512">
        <w:t>introduced to Britain</w:t>
      </w:r>
      <w:r w:rsidR="003729A5">
        <w:t xml:space="preserve"> later</w:t>
      </w:r>
      <w:r w:rsidR="00E23512">
        <w:t xml:space="preserve"> by Field Marshal Douglas Haig</w:t>
      </w:r>
      <w:r w:rsidR="003729A5">
        <w:t>)</w:t>
      </w:r>
      <w:r w:rsidR="00E23512">
        <w:t xml:space="preserve"> </w:t>
      </w:r>
      <w:r w:rsidR="00AE09A9">
        <w:t>and used for a tool of recruitment</w:t>
      </w:r>
      <w:r w:rsidR="003729A5">
        <w:t xml:space="preserve">, a way of </w:t>
      </w:r>
      <w:r w:rsidR="00D35E06">
        <w:t xml:space="preserve">emotionally manipulating young men, </w:t>
      </w:r>
      <w:r w:rsidR="003729A5">
        <w:t xml:space="preserve">shaming </w:t>
      </w:r>
      <w:r w:rsidR="00D35E06">
        <w:t>them</w:t>
      </w:r>
      <w:r w:rsidR="003729A5">
        <w:t xml:space="preserve"> into going to war. Although we didn’t have the poppy until 1921, the British also had their own way</w:t>
      </w:r>
      <w:r w:rsidR="0031756A">
        <w:t>s</w:t>
      </w:r>
      <w:r w:rsidR="003729A5">
        <w:t xml:space="preserve"> of using remembrance and commemoration before the war was over as a tool for recruitment. </w:t>
      </w:r>
      <w:r w:rsidR="0031756A">
        <w:t xml:space="preserve">One of these was in poster format, probably one of the most memorable being one created by Savile Lumley in 2015 which consisted of a man </w:t>
      </w:r>
      <w:r w:rsidR="007972B7">
        <w:t>in an armchair</w:t>
      </w:r>
      <w:r w:rsidR="0031756A">
        <w:t xml:space="preserve"> with a young girl on his knee </w:t>
      </w:r>
      <w:r w:rsidR="007972B7">
        <w:t xml:space="preserve">reading a book </w:t>
      </w:r>
      <w:r w:rsidR="0031756A">
        <w:t>and a young boy playing with toy soldiers at his feet; the text at the bottom reads ‘Daddy, what did YOU do in the Great War?’</w:t>
      </w:r>
      <w:r w:rsidR="007972B7">
        <w:t xml:space="preserve">. </w:t>
      </w:r>
      <w:r w:rsidR="00BC680E">
        <w:rPr>
          <w:rStyle w:val="FootnoteReference"/>
        </w:rPr>
        <w:footnoteReference w:id="4"/>
      </w:r>
      <w:r w:rsidR="007972B7">
        <w:t xml:space="preserve">The man is ‘looking into the camera’ as such, making eye contact with the person reading the poster accusingly. This was something published only a year into the war yet already looking ahead at how the war will be remembered, predicting that it will be remembered positively and that people will idolise soldiers. In a way, we can accuse this blatant propaganda as </w:t>
      </w:r>
      <w:r w:rsidR="00C02787">
        <w:t xml:space="preserve">a </w:t>
      </w:r>
      <w:r w:rsidR="000A2915">
        <w:t xml:space="preserve">practice run, on how they want to spin the war in its aftermath. </w:t>
      </w:r>
      <w:r w:rsidR="00D776CA">
        <w:t xml:space="preserve">As early as 1915, remembrance and commemoration was being used as an agent for order, order in the sense of keeping Britain focussed on the later glories of war and not of the tragedies. </w:t>
      </w:r>
      <w:r w:rsidR="00BC680E">
        <w:t xml:space="preserve"> </w:t>
      </w:r>
    </w:p>
    <w:p w14:paraId="364EAA0B" w14:textId="7FCC053A" w:rsidR="00135DC0" w:rsidRDefault="000F2B03" w:rsidP="00D831FD">
      <w:r>
        <w:lastRenderedPageBreak/>
        <w:t xml:space="preserve">After the armistice was signed in 1918, </w:t>
      </w:r>
      <w:r w:rsidR="00470F86">
        <w:t>th</w:t>
      </w:r>
      <w:r w:rsidR="00D0438F">
        <w:t xml:space="preserve">ere was a period of unrest in Britain. After four years at war, adjusting back to civilian life was not just a problem faced by soldiers but by civilians too. </w:t>
      </w:r>
      <w:r w:rsidR="00090DF1">
        <w:t>Politically the country was a mess</w:t>
      </w:r>
      <w:r w:rsidR="00A6305C">
        <w:t xml:space="preserve">, with the liberals </w:t>
      </w:r>
      <w:r w:rsidR="00412FD9">
        <w:t xml:space="preserve">split between those whom supported the Lloyd-George coalition and those who favoured Asquith. This meant the fall in popularity for the liberals while Labour became more and more popular, eventually shifting to take Liberals spot among the top two British parties, along with the Conservative Party. </w:t>
      </w:r>
      <w:r w:rsidR="00135DC0">
        <w:t>Politicians knew straight away that although the war was over, this was not yet a time for peace and that civil unrest was already making itself clear. This is evidenced in the 1819 party manifesto of Lloyd George and Bonar Law as it states;</w:t>
      </w:r>
    </w:p>
    <w:p w14:paraId="0AFB0E16" w14:textId="3E8F3AF3" w:rsidR="00135DC0" w:rsidRDefault="00135DC0" w:rsidP="00D831FD">
      <w:pPr>
        <w:rPr>
          <w:i/>
          <w:iCs/>
        </w:rPr>
      </w:pPr>
      <w:r w:rsidRPr="00135DC0">
        <w:rPr>
          <w:i/>
          <w:iCs/>
        </w:rPr>
        <w:t>‘</w:t>
      </w:r>
      <w:r w:rsidRPr="00135DC0">
        <w:rPr>
          <w:i/>
          <w:iCs/>
        </w:rPr>
        <w:t xml:space="preserve">The unity of the nation which has been the great secret of our strength in war must not be relaxed if the many anxious problems which the war has bequeathed to us are to be handled with the insight, courage, and </w:t>
      </w:r>
      <w:proofErr w:type="spellStart"/>
      <w:r w:rsidRPr="00135DC0">
        <w:rPr>
          <w:i/>
          <w:iCs/>
        </w:rPr>
        <w:t>prompritude</w:t>
      </w:r>
      <w:proofErr w:type="spellEnd"/>
      <w:r w:rsidRPr="00135DC0">
        <w:rPr>
          <w:i/>
          <w:iCs/>
        </w:rPr>
        <w:t xml:space="preserve"> which the times demand</w:t>
      </w:r>
      <w:r w:rsidRPr="00135DC0">
        <w:rPr>
          <w:i/>
          <w:iCs/>
        </w:rPr>
        <w:t>’</w:t>
      </w:r>
      <w:r>
        <w:rPr>
          <w:i/>
          <w:iCs/>
        </w:rPr>
        <w:t xml:space="preserve">. </w:t>
      </w:r>
      <w:r>
        <w:rPr>
          <w:rStyle w:val="FootnoteReference"/>
          <w:i/>
          <w:iCs/>
        </w:rPr>
        <w:footnoteReference w:id="5"/>
      </w:r>
      <w:r>
        <w:rPr>
          <w:i/>
          <w:iCs/>
        </w:rPr>
        <w:t xml:space="preserve"> </w:t>
      </w:r>
    </w:p>
    <w:p w14:paraId="03CD8E1B" w14:textId="7E942A10" w:rsidR="00C84152" w:rsidRDefault="00150AFB" w:rsidP="00D831FD">
      <w:r>
        <w:t xml:space="preserve">This appeared to be an understatement as shown by the official figures, stating that strike days in Britain rocketed to 35 million in 1919 compared to the 6 million in 1918. </w:t>
      </w:r>
      <w:r>
        <w:rPr>
          <w:rStyle w:val="FootnoteReference"/>
        </w:rPr>
        <w:footnoteReference w:id="6"/>
      </w:r>
      <w:r>
        <w:t xml:space="preserve"> </w:t>
      </w:r>
      <w:r w:rsidR="003C5E8A">
        <w:t xml:space="preserve"> </w:t>
      </w:r>
      <w:r w:rsidR="00503400">
        <w:t>Over 400,000 railway workers, including firemen and engineers went on strike from the 26</w:t>
      </w:r>
      <w:r w:rsidR="00503400" w:rsidRPr="00503400">
        <w:rPr>
          <w:vertAlign w:val="superscript"/>
        </w:rPr>
        <w:t>th</w:t>
      </w:r>
      <w:r w:rsidR="00503400">
        <w:t xml:space="preserve"> of September to the 5</w:t>
      </w:r>
      <w:r w:rsidR="00503400" w:rsidRPr="00503400">
        <w:rPr>
          <w:vertAlign w:val="superscript"/>
        </w:rPr>
        <w:t>th</w:t>
      </w:r>
      <w:r w:rsidR="00503400">
        <w:t xml:space="preserve"> of October due to a proposed change in wages, a decrease in the wartime rate which was agreed by the unions. </w:t>
      </w:r>
      <w:r w:rsidR="00503400">
        <w:rPr>
          <w:rStyle w:val="FootnoteReference"/>
        </w:rPr>
        <w:footnoteReference w:id="7"/>
      </w:r>
      <w:r w:rsidR="00503400">
        <w:t xml:space="preserve"> </w:t>
      </w:r>
      <w:r w:rsidR="00876D58">
        <w:t>And they weren’t the only ones effected by this chance</w:t>
      </w:r>
      <w:r w:rsidR="00027FCE">
        <w:t>, the other strikes in 1919 consisted of miners</w:t>
      </w:r>
      <w:r w:rsidR="00956D36">
        <w:t xml:space="preserve">, protesting the decreased hours meaning they could no </w:t>
      </w:r>
      <w:r w:rsidR="00CC58C6">
        <w:t xml:space="preserve">longer afford a living wage and demanding a pay increase. </w:t>
      </w:r>
      <w:r w:rsidR="00CC58C6">
        <w:rPr>
          <w:rStyle w:val="FootnoteReference"/>
        </w:rPr>
        <w:footnoteReference w:id="8"/>
      </w:r>
      <w:r w:rsidR="008422D1">
        <w:t xml:space="preserve"> The London police even got involved, striking first in 1918 and again in 1919 due to the huge increase of inflation during the war and yet their wages didn’t line up. If you ignore overtime pay, policemen were receiving a lower wage than unskilled labourers, leaving Silvia Pankhurst to comment ‘The London Police on strike? After that, anything can happen’. </w:t>
      </w:r>
      <w:r w:rsidR="008422D1">
        <w:rPr>
          <w:rStyle w:val="FootnoteReference"/>
        </w:rPr>
        <w:footnoteReference w:id="9"/>
      </w:r>
      <w:r w:rsidR="00B017A7">
        <w:t xml:space="preserve"> Due to this, it is not difficult to infer that within the police department, corruption levels were higher than ever- with officers morally opposed to taking bribes having to accept in order to feed their families. </w:t>
      </w:r>
      <w:r w:rsidR="00A1700B">
        <w:t xml:space="preserve"> </w:t>
      </w:r>
      <w:r w:rsidR="00585391">
        <w:t>On one noticeable occasion</w:t>
      </w:r>
      <w:r w:rsidR="0028396C">
        <w:t xml:space="preserve"> warships including </w:t>
      </w:r>
      <w:r w:rsidR="00390C8B">
        <w:t>the HMS Valiant</w:t>
      </w:r>
      <w:r w:rsidR="0028396C">
        <w:t xml:space="preserve"> were sent to be moored in the River Mersey along with tanks brought onto the streets in Liverpool to put down crowds of Trade Union workers and communists.</w:t>
      </w:r>
      <w:r w:rsidR="00390C8B">
        <w:t xml:space="preserve"> </w:t>
      </w:r>
      <w:r w:rsidR="00C84152">
        <w:t>It wasn’t just strikes though, there was riots too. Due to the highly competitive nature of the virtually non-</w:t>
      </w:r>
      <w:proofErr w:type="spellStart"/>
      <w:r w:rsidR="00C84152">
        <w:t>existant</w:t>
      </w:r>
      <w:proofErr w:type="spellEnd"/>
      <w:r w:rsidR="00C84152">
        <w:t xml:space="preserve"> job market in post-war Britain, race relations were at an all time low. The working classes turned on each-other </w:t>
      </w:r>
      <w:r w:rsidR="00E21A3C">
        <w:t>and blamed a lot of minorities for ‘stealing their jobs’ especially causing unrest among</w:t>
      </w:r>
      <w:r w:rsidR="00585391">
        <w:t xml:space="preserve"> British and Indian</w:t>
      </w:r>
      <w:r w:rsidR="00E21A3C">
        <w:t xml:space="preserve"> seamen. </w:t>
      </w:r>
      <w:r w:rsidR="00E21A3C">
        <w:rPr>
          <w:rStyle w:val="FootnoteReference"/>
        </w:rPr>
        <w:footnoteReference w:id="10"/>
      </w:r>
      <w:r w:rsidR="00C84152">
        <w:t xml:space="preserve"> </w:t>
      </w:r>
      <w:r w:rsidR="00323FA2">
        <w:t>Blamed for the masses of uprisings in the years immediately following the war was the Russian Revolution of 1917, with which the British people truly realised that the people control the government not the other way round.</w:t>
      </w:r>
      <w:r w:rsidR="00323FA2">
        <w:rPr>
          <w:rStyle w:val="FootnoteReference"/>
        </w:rPr>
        <w:footnoteReference w:id="11"/>
      </w:r>
      <w:r w:rsidR="00323FA2">
        <w:t xml:space="preserve"> It was the start of a mass realisation that there are more in the lowest social classes than the higher</w:t>
      </w:r>
      <w:r w:rsidR="008D29E4">
        <w:t>, coupled with the cross class experiences in the trenches, meant the lower classes were feeling more and more empowered</w:t>
      </w:r>
      <w:r w:rsidR="00DF3C3A">
        <w:t>/entitled</w:t>
      </w:r>
      <w:r w:rsidR="008D29E4">
        <w:t xml:space="preserve"> and order broke down even more. </w:t>
      </w:r>
    </w:p>
    <w:p w14:paraId="17D54868" w14:textId="404A7C4D" w:rsidR="00135DC0" w:rsidRDefault="00A1700B" w:rsidP="00D831FD">
      <w:r>
        <w:t>With corruption rife and co-operation at a minimum, where was the land of victors that returning soldiers had been promised? The job markets were unstable, with the men gone, the women who had gone into their jobs and had received high praise for it were now forced out</w:t>
      </w:r>
      <w:r w:rsidR="00143E3F">
        <w:t>,</w:t>
      </w:r>
      <w:r w:rsidR="00320978">
        <w:t xml:space="preserve"> </w:t>
      </w:r>
      <w:r w:rsidR="00143E3F">
        <w:t>a</w:t>
      </w:r>
      <w:r w:rsidR="00320978">
        <w:t xml:space="preserve"> lot of whom will have lost husbands and fathers to the war and have families to support.</w:t>
      </w:r>
      <w:r>
        <w:t xml:space="preserve"> The fields that were so </w:t>
      </w:r>
      <w:r>
        <w:lastRenderedPageBreak/>
        <w:t>crucial to the war effort such as ammunitions and steelworks were now not as important and therefore had to lay off workers and decrease pay and hours</w:t>
      </w:r>
      <w:r w:rsidR="00C81FEC">
        <w:t>. Not to mention the local destruction created in war needed fixing up</w:t>
      </w:r>
      <w:r w:rsidR="00D778D6">
        <w:t xml:space="preserve"> and the rate of inflation had skyrocketed. The atmosphere in Britain following the great war was not the </w:t>
      </w:r>
      <w:r w:rsidR="00DF3C3A">
        <w:t xml:space="preserve">victorious homecoming that had been predicted but instead was a broken country trying to fix itself in very much a </w:t>
      </w:r>
      <w:r w:rsidR="00DF3C3A" w:rsidRPr="00DF3C3A">
        <w:rPr>
          <w:i/>
          <w:iCs/>
        </w:rPr>
        <w:t>too many cooks spoil the broth</w:t>
      </w:r>
      <w:r w:rsidR="00DF3C3A">
        <w:t xml:space="preserve"> kind of way.</w:t>
      </w:r>
      <w:r w:rsidR="00DF7625">
        <w:t xml:space="preserve"> People were angry and upset, a far cry from the high morale that was said to reign in Britain during times of war. Thankfully, one thing Britain is good at, is propagand</w:t>
      </w:r>
      <w:r w:rsidR="005E6A05">
        <w:t xml:space="preserve">a </w:t>
      </w:r>
      <w:r w:rsidR="00DF7625">
        <w:t xml:space="preserve">and since commemoration and remembrance worked so well during the war, why stop there? </w:t>
      </w:r>
    </w:p>
    <w:p w14:paraId="07AE1BA7" w14:textId="7DB6CF99" w:rsidR="009B3175" w:rsidRDefault="00DF7625" w:rsidP="00D4509C">
      <w:r>
        <w:t xml:space="preserve">Broken families </w:t>
      </w:r>
      <w:r w:rsidR="005E6A05">
        <w:t>piecing</w:t>
      </w:r>
      <w:r>
        <w:t xml:space="preserve"> themselves together after the wars needed hope, </w:t>
      </w:r>
      <w:r w:rsidR="005E6A05">
        <w:t>justification</w:t>
      </w:r>
      <w:r>
        <w:t xml:space="preserve"> that their loved ones didn’t die in </w:t>
      </w:r>
      <w:proofErr w:type="spellStart"/>
      <w:r>
        <w:t>vein</w:t>
      </w:r>
      <w:proofErr w:type="spellEnd"/>
      <w:r>
        <w:t xml:space="preserve">, didn’t die for a Britain that was at war with itself. </w:t>
      </w:r>
      <w:r w:rsidR="00C506CF">
        <w:t>The sensible thing to do was to have a victory parade, to emphasise the positives of going to war and justify the destruction, this occurred in July 1919 and had a massive positive impact, mostly thanks to the Cenotaph.</w:t>
      </w:r>
      <w:r w:rsidR="0051106A">
        <w:rPr>
          <w:rStyle w:val="FootnoteReference"/>
        </w:rPr>
        <w:footnoteReference w:id="12"/>
      </w:r>
      <w:r w:rsidR="0051106A">
        <w:t xml:space="preserve"> </w:t>
      </w:r>
      <w:r w:rsidR="00C506CF">
        <w:t xml:space="preserve"> </w:t>
      </w:r>
      <w:r w:rsidR="00C506CF" w:rsidRPr="00C506CF">
        <w:t xml:space="preserve">Literally translating to ‘empty tomb’, this was built originally as a wooden structure </w:t>
      </w:r>
      <w:r w:rsidR="00C506CF">
        <w:t xml:space="preserve">at Whitehall designed by </w:t>
      </w:r>
      <w:r w:rsidR="0051106A">
        <w:t>Edward Lutyens</w:t>
      </w:r>
      <w:r w:rsidR="00C506CF">
        <w:t>. He</w:t>
      </w:r>
      <w:r w:rsidR="0051106A">
        <w:t xml:space="preserve"> designed the cenotaph to be </w:t>
      </w:r>
      <w:r w:rsidR="00685B41">
        <w:t>simplistic</w:t>
      </w:r>
      <w:r w:rsidR="0051106A">
        <w:t>, free of any religious symbolism as to respect every soldiers religion</w:t>
      </w:r>
      <w:r w:rsidR="00FA3E33">
        <w:t xml:space="preserve">. Within only an hour of its unveiling, the base was piled high with flowers. </w:t>
      </w:r>
      <w:r w:rsidR="00FA3E33">
        <w:rPr>
          <w:rStyle w:val="FootnoteReference"/>
        </w:rPr>
        <w:footnoteReference w:id="13"/>
      </w:r>
      <w:r w:rsidR="00FA3E33">
        <w:t xml:space="preserve"> This trend continued for weeks and weeks with people queuing up to pay their respects to ‘the glorious dead’.</w:t>
      </w:r>
      <w:r w:rsidR="00032A79">
        <w:t xml:space="preserve"> This is one of the rare occasions where an architectural figure has been made permanent purely due to public</w:t>
      </w:r>
      <w:r w:rsidR="00F50C80">
        <w:t>s reaction and the governments notice.</w:t>
      </w:r>
      <w:r w:rsidR="00F50C80">
        <w:rPr>
          <w:rStyle w:val="FootnoteReference"/>
        </w:rPr>
        <w:footnoteReference w:id="14"/>
      </w:r>
      <w:r w:rsidR="00F50C80">
        <w:t xml:space="preserve"> </w:t>
      </w:r>
      <w:r w:rsidR="00685B41">
        <w:t xml:space="preserve"> But what exactly was it that the government noticed? Order and contentment among its people at long last? So the cenotaph was made permanent but they didn’t stop there, the tomb to ‘The Unknown Warrior’ was unveiled too. </w:t>
      </w:r>
    </w:p>
    <w:p w14:paraId="6F4FB2E0" w14:textId="1DAA0A34" w:rsidR="001D2AA9" w:rsidRDefault="00F54E4C" w:rsidP="00D4509C">
      <w:r>
        <w:t xml:space="preserve">The Unknown Warrior was the only British soldier that was returned to Britain to be buried as the state had decided that all soldiers who died abroad should be buried in identical yet individual graves (a stark difference to the mass graves from previous wars). </w:t>
      </w:r>
      <w:r w:rsidR="004753FC">
        <w:rPr>
          <w:rStyle w:val="FootnoteReference"/>
        </w:rPr>
        <w:footnoteReference w:id="15"/>
      </w:r>
      <w:r w:rsidR="007D1CA5">
        <w:t xml:space="preserve"> The idea for it was thought of by Reverend David </w:t>
      </w:r>
      <w:proofErr w:type="spellStart"/>
      <w:r w:rsidR="007D1CA5">
        <w:t>Railton</w:t>
      </w:r>
      <w:proofErr w:type="spellEnd"/>
      <w:r w:rsidR="002053D2">
        <w:t xml:space="preserve"> </w:t>
      </w:r>
      <w:r w:rsidR="007D1CA5">
        <w:t xml:space="preserve">whom saw a tomb marked to an unknown soldier while abroad and proposed the idea to the Dean of Westminster in 1920 with David Lloyd George strongly backing the idea, presumably due to the cenotaph’s great success at restoring order to the nation. </w:t>
      </w:r>
      <w:r w:rsidR="00D957EC">
        <w:rPr>
          <w:rStyle w:val="FootnoteReference"/>
        </w:rPr>
        <w:footnoteReference w:id="16"/>
      </w:r>
      <w:r w:rsidR="002053D2">
        <w:t xml:space="preserve"> </w:t>
      </w:r>
      <w:r w:rsidR="00985111">
        <w:t>Both were unveiled on the 11</w:t>
      </w:r>
      <w:r w:rsidR="00985111" w:rsidRPr="00985111">
        <w:rPr>
          <w:vertAlign w:val="superscript"/>
        </w:rPr>
        <w:t>th</w:t>
      </w:r>
      <w:r w:rsidR="00985111">
        <w:t xml:space="preserve"> of November 2020 and it is estimated that hundreds of thousands of people set off on pilgrimage to London in order to pay their respects. Between 500,000 and 1 million people visited the tomb of the unknown warrior in just its first week of unveiling and why wouldn’t they? It cold so easily have been their own father, son or brother in there. Because of this double unveiling, you can only imagine the amount of people in and around London at this time and what the atmosphere would have been like, everyone in mourning or respectful of others in mourning. A far cry from the rioting of an angry nation, rather one united in sorrow</w:t>
      </w:r>
      <w:r w:rsidR="00237201">
        <w:t>. The victorious feelings the government was trying to promote c</w:t>
      </w:r>
      <w:r w:rsidR="00D50DC1">
        <w:t>an be seen in the naming of the tomb</w:t>
      </w:r>
      <w:r w:rsidR="00FF59B1">
        <w:t>. Using the name ‘Warrior’ instead of ‘soldier’ is such an interesting choice, I doubt at any point in his life was this individual referred to as a ‘warrior’ yet in death he is called such</w:t>
      </w:r>
      <w:r w:rsidR="00B915C9">
        <w:t xml:space="preserve">. </w:t>
      </w:r>
      <w:r w:rsidR="001D2AA9">
        <w:t xml:space="preserve"> The Cambridge Dictionary defines </w:t>
      </w:r>
      <w:r w:rsidR="00601446">
        <w:t>‘warrior’ as ‘</w:t>
      </w:r>
      <w:r w:rsidR="00601446" w:rsidRPr="00601446">
        <w:t>a soldier, usually one who has both experience and skill in fighting, especially in the past</w:t>
      </w:r>
      <w:r w:rsidR="00601446">
        <w:t>’.</w:t>
      </w:r>
      <w:r w:rsidR="00601446">
        <w:rPr>
          <w:rStyle w:val="FootnoteReference"/>
        </w:rPr>
        <w:footnoteReference w:id="17"/>
      </w:r>
      <w:r w:rsidR="00601446">
        <w:t xml:space="preserve"> It could be argued that this term does not apply to those whom fought in the first world war as very few could be called ‘experienced’ fighters</w:t>
      </w:r>
      <w:r w:rsidR="00D643C2">
        <w:t xml:space="preserve"> since</w:t>
      </w:r>
      <w:r w:rsidR="00601446">
        <w:t xml:space="preserve"> </w:t>
      </w:r>
      <w:r w:rsidR="00D643C2">
        <w:t xml:space="preserve">the bulk of the army was volunteered or conscripted and it depends on an </w:t>
      </w:r>
      <w:proofErr w:type="spellStart"/>
      <w:r w:rsidR="00D643C2">
        <w:t>individuals</w:t>
      </w:r>
      <w:proofErr w:type="spellEnd"/>
      <w:r w:rsidR="00D643C2">
        <w:t xml:space="preserve"> interpretation of when ‘the past’ is, but I doubt many considered </w:t>
      </w:r>
      <w:r w:rsidR="00D643C2">
        <w:lastRenderedPageBreak/>
        <w:t xml:space="preserve">the First World War ‘the past’ in 1920. The term ‘warrior’ is mostly one associated with Ancient Greece and Roman soldiers, not contemporary ones.  </w:t>
      </w:r>
    </w:p>
    <w:p w14:paraId="69471A7D" w14:textId="09934314" w:rsidR="00F54E4C" w:rsidRDefault="001D2AA9" w:rsidP="002B248C">
      <w:r>
        <w:t>This call back to the past was nothing new and is often used for justification</w:t>
      </w:r>
      <w:r w:rsidR="00676821">
        <w:t xml:space="preserve"> when the country is low on morale. A modern example would be </w:t>
      </w:r>
      <w:r w:rsidR="00B53282">
        <w:t xml:space="preserve">politicians discussing Brexit stating that we survived two world wars, we can survive this. </w:t>
      </w:r>
      <w:r w:rsidR="005B5714">
        <w:t xml:space="preserve"> </w:t>
      </w:r>
      <w:r w:rsidR="00B53282">
        <w:t>Another</w:t>
      </w:r>
      <w:r>
        <w:t xml:space="preserve"> example</w:t>
      </w:r>
      <w:r w:rsidR="00B53282">
        <w:t xml:space="preserve"> </w:t>
      </w:r>
      <w:r w:rsidR="008F0C27">
        <w:t>from the time of the first world war would be that</w:t>
      </w:r>
      <w:r>
        <w:t xml:space="preserve"> elsewhere in Britain a trend was starting of </w:t>
      </w:r>
      <w:r w:rsidR="001F2CD4">
        <w:t>associating the war to medieval crusades. In the Paisley War Memorial there I a bronze statue depicting a medieval crusader on horseback flanked by four British soldiers. It was designed by Alice Meredith-Williams in1922 and named ‘The Spirit of Crusades’. Stefan Goebel</w:t>
      </w:r>
      <w:r w:rsidR="002B248C">
        <w:t xml:space="preserve"> argues that this was </w:t>
      </w:r>
      <w:r w:rsidR="002B248C">
        <w:t xml:space="preserve">to </w:t>
      </w:r>
      <w:r w:rsidR="002B248C">
        <w:t>‘</w:t>
      </w:r>
      <w:r w:rsidR="002B248C">
        <w:t>give death on the battlefield a greater</w:t>
      </w:r>
      <w:r w:rsidR="002B248C">
        <w:t xml:space="preserve"> </w:t>
      </w:r>
      <w:r w:rsidR="002B248C">
        <w:t>historical significance than a purely personal loss</w:t>
      </w:r>
      <w:r w:rsidR="002B248C">
        <w:t>’.</w:t>
      </w:r>
      <w:r w:rsidR="001F2CD4">
        <w:t xml:space="preserve">  </w:t>
      </w:r>
      <w:r w:rsidR="001F2CD4">
        <w:rPr>
          <w:rStyle w:val="FootnoteReference"/>
        </w:rPr>
        <w:footnoteReference w:id="18"/>
      </w:r>
      <w:r w:rsidR="001F2CD4">
        <w:t xml:space="preserve"> </w:t>
      </w:r>
      <w:r w:rsidR="00A126F7">
        <w:t xml:space="preserve">This idea of transcending personal loss was a huge key for restoring order. The idea that these people dying is not something to be sad over, but something to be rejoiced as our past victories have been. Statues like this existed all over the UK, statues to remind people of the positives of war, leaving the horrors behind us and leaving the disappointments and tragedies out of collective memory became a key aim. </w:t>
      </w:r>
      <w:r w:rsidR="00B75464">
        <w:t xml:space="preserve"> </w:t>
      </w:r>
    </w:p>
    <w:p w14:paraId="71810C36" w14:textId="18956C46" w:rsidR="00B75464" w:rsidRDefault="00B75464" w:rsidP="002B248C">
      <w:r>
        <w:t xml:space="preserve">In conclusion, the process of remembrance and commemoration has long been used as a tool for order and contentment in Britain, first during the war when it was a key part of recruitment but more so immediately after the war where discontentment and uprisings were a large part of life. </w:t>
      </w:r>
      <w:r w:rsidR="00BE5F3A">
        <w:t xml:space="preserve">A quote from Stefan Goebel sums it up best; ‘To claim that war memorials were exclusively about the management of bereavement is incomplete, but to reduce their meaning to political manipulation is cynical’. Everyone was </w:t>
      </w:r>
      <w:r w:rsidR="00320978">
        <w:t>affected</w:t>
      </w:r>
      <w:r w:rsidR="00BE5F3A">
        <w:t xml:space="preserve"> by grief following the wars, yes the creation and popularisation of certain things may have been a political tool for order and contentment, but they all came to mean different things to different people</w:t>
      </w:r>
      <w:r w:rsidR="00EE26C8">
        <w:t xml:space="preserve">. In the same way that poppies started off as tools for propaganda but now are a symbol of respect that has become a huge part of peoples lives. </w:t>
      </w:r>
    </w:p>
    <w:p w14:paraId="6ADE0616" w14:textId="77777777" w:rsidR="00F50C80" w:rsidRDefault="00F50C80"/>
    <w:p w14:paraId="22E41D25" w14:textId="77777777" w:rsidR="00F50C80" w:rsidRDefault="00F50C80"/>
    <w:p w14:paraId="19A79B9A" w14:textId="77777777" w:rsidR="00F50C80" w:rsidRDefault="00F50C80"/>
    <w:p w14:paraId="519EF183" w14:textId="77777777" w:rsidR="00F50C80" w:rsidRDefault="00F50C80"/>
    <w:p w14:paraId="068502E2" w14:textId="77777777" w:rsidR="00F50C80" w:rsidRDefault="00F50C80"/>
    <w:p w14:paraId="35DAC327" w14:textId="77777777" w:rsidR="00F50C80" w:rsidRDefault="00F50C80"/>
    <w:p w14:paraId="7B187045" w14:textId="77777777" w:rsidR="00F50C80" w:rsidRDefault="00F50C80"/>
    <w:p w14:paraId="2BDFC26E" w14:textId="77777777" w:rsidR="00F50C80" w:rsidRDefault="00F50C80"/>
    <w:p w14:paraId="318046F9" w14:textId="77777777" w:rsidR="00F50C80" w:rsidRDefault="00F50C80"/>
    <w:p w14:paraId="3AD2A332" w14:textId="77777777" w:rsidR="00F50C80" w:rsidRDefault="00F50C80"/>
    <w:p w14:paraId="42FB04E7" w14:textId="77777777" w:rsidR="00F50C80" w:rsidRDefault="00F50C80"/>
    <w:p w14:paraId="69142610" w14:textId="77777777" w:rsidR="00F50C80" w:rsidRDefault="00F50C80"/>
    <w:p w14:paraId="739DCFA4" w14:textId="77777777" w:rsidR="00F50C80" w:rsidRDefault="00F50C80"/>
    <w:p w14:paraId="42051EF1" w14:textId="77777777" w:rsidR="00F50C80" w:rsidRDefault="00F50C80"/>
    <w:p w14:paraId="40C56AF9" w14:textId="77777777" w:rsidR="00F50C80" w:rsidRDefault="00F50C80"/>
    <w:p w14:paraId="3D677A75" w14:textId="5980E45B" w:rsidR="006C4BBF" w:rsidRDefault="006C4BBF">
      <w:r>
        <w:t xml:space="preserve">BIBLIOGRAPHY </w:t>
      </w:r>
    </w:p>
    <w:p w14:paraId="712B8605" w14:textId="7FE033E6" w:rsidR="009D2DB4" w:rsidRDefault="009D2DB4" w:rsidP="00143E3F">
      <w:pPr>
        <w:pStyle w:val="ListParagraph"/>
        <w:numPr>
          <w:ilvl w:val="0"/>
          <w:numId w:val="1"/>
        </w:numPr>
        <w:rPr>
          <w:rFonts w:cstheme="minorHAnsi"/>
        </w:rPr>
      </w:pPr>
      <w:r w:rsidRPr="009D2DB4">
        <w:rPr>
          <w:rFonts w:cstheme="minorHAnsi"/>
        </w:rPr>
        <w:t>Allingham, Henry; Goodwin, Dennis (2011). Kitchener's Last Volunteer: The Life of Henry Allingham, the Oldest Surviving Veteran of the Great War. Random House.</w:t>
      </w:r>
      <w:bookmarkStart w:id="0" w:name="_GoBack"/>
      <w:bookmarkEnd w:id="0"/>
    </w:p>
    <w:p w14:paraId="159E8F3C" w14:textId="2141B78E" w:rsidR="00143E3F" w:rsidRPr="00143E3F" w:rsidRDefault="00143E3F" w:rsidP="00143E3F">
      <w:pPr>
        <w:pStyle w:val="ListParagraph"/>
        <w:numPr>
          <w:ilvl w:val="0"/>
          <w:numId w:val="1"/>
        </w:numPr>
        <w:rPr>
          <w:rFonts w:cstheme="minorHAnsi"/>
        </w:rPr>
      </w:pPr>
      <w:r w:rsidRPr="00143E3F">
        <w:rPr>
          <w:rFonts w:cstheme="minorHAnsi"/>
          <w:color w:val="000000"/>
          <w:shd w:val="clear" w:color="auto" w:fill="FFFFFF"/>
        </w:rPr>
        <w:t>Flandersfieldsmusic.com. (2015). </w:t>
      </w:r>
      <w:r w:rsidRPr="00143E3F">
        <w:rPr>
          <w:rFonts w:cstheme="minorHAnsi"/>
          <w:i/>
          <w:iCs/>
          <w:color w:val="000000"/>
          <w:shd w:val="clear" w:color="auto" w:fill="FFFFFF"/>
        </w:rPr>
        <w:t>John McCrae Biography; Poet &amp; Author of In Flanders Fields Poem</w:t>
      </w:r>
      <w:r w:rsidRPr="00143E3F">
        <w:rPr>
          <w:rFonts w:cstheme="minorHAnsi"/>
          <w:color w:val="000000"/>
          <w:shd w:val="clear" w:color="auto" w:fill="FFFFFF"/>
        </w:rPr>
        <w:t xml:space="preserve">. [online] Available at: http://www.flandersfieldsmusic.com/johnmccrae-bio.html [Accessed 28 Sep. 2015]. </w:t>
      </w:r>
    </w:p>
    <w:p w14:paraId="45D1BB76" w14:textId="20D48FD5" w:rsidR="006C4BBF" w:rsidRPr="006C4BBF" w:rsidRDefault="006C4BBF" w:rsidP="006C4BBF">
      <w:pPr>
        <w:pStyle w:val="ListParagraph"/>
        <w:numPr>
          <w:ilvl w:val="0"/>
          <w:numId w:val="1"/>
        </w:numPr>
      </w:pPr>
      <w:r w:rsidRPr="006C4BBF">
        <w:t xml:space="preserve">Fox, J. (2014). Poppy Politics: Remembrance of Things Present. In </w:t>
      </w:r>
      <w:proofErr w:type="spellStart"/>
      <w:r w:rsidRPr="006C4BBF">
        <w:t>Sandis</w:t>
      </w:r>
      <w:proofErr w:type="spellEnd"/>
      <w:r w:rsidRPr="006C4BBF">
        <w:t xml:space="preserve"> C. (Ed.), Cultural Heritage Ethics: Between Theory and Practice (pp. 21-30). Cambridge, UK: Open Book. Retrieved from http://www.jstor.org.ezproxy.uwtsd.ac.uk/stable/j.ctt1287k16.8</w:t>
      </w:r>
    </w:p>
    <w:p w14:paraId="0840EC53" w14:textId="6F6D8BFA" w:rsidR="00143E3F" w:rsidRPr="00143E3F" w:rsidRDefault="00143E3F" w:rsidP="006C4BBF">
      <w:pPr>
        <w:pStyle w:val="ListParagraph"/>
        <w:numPr>
          <w:ilvl w:val="0"/>
          <w:numId w:val="1"/>
        </w:numPr>
      </w:pPr>
      <w:r w:rsidRPr="00143E3F">
        <w:t>Goebel, S. (2004). Re-Membered and Re-Mobilized: The 'Sleeping Dead' in Interwar Germany and Britain. Journal of Contemporary History, 39(4), 487-501. Retrieved from www.jstor.org/stable/4141407</w:t>
      </w:r>
    </w:p>
    <w:p w14:paraId="2DF29B0A" w14:textId="685EDBEA" w:rsidR="00143E3F" w:rsidRDefault="00143E3F" w:rsidP="00143E3F">
      <w:pPr>
        <w:pStyle w:val="ListParagraph"/>
        <w:numPr>
          <w:ilvl w:val="0"/>
          <w:numId w:val="1"/>
        </w:numPr>
      </w:pPr>
      <w:r w:rsidRPr="00143E3F">
        <w:t>Goebel S. (2012) Britain’s ‘Last Crusade’: From War Propaganda to War Commemoration, c. 1914–1930. In: Welch D., Fox J. (eds) Justifying War. Palgrave Macmillan, London</w:t>
      </w:r>
    </w:p>
    <w:p w14:paraId="1A278DEE" w14:textId="12D7EB58" w:rsidR="00143E3F" w:rsidRPr="00143E3F" w:rsidRDefault="00143E3F" w:rsidP="00143E3F">
      <w:pPr>
        <w:pStyle w:val="ListParagraph"/>
        <w:numPr>
          <w:ilvl w:val="0"/>
          <w:numId w:val="1"/>
        </w:numPr>
      </w:pPr>
      <w:r w:rsidRPr="00FA3E33">
        <w:t>Greenberg, A. (1989). Lutyens's Cenotaph. Journal of the Society of Architectural Historians, 48(1), 5-23. doi:10.2307/990403</w:t>
      </w:r>
      <w:r>
        <w:t xml:space="preserve"> </w:t>
      </w:r>
    </w:p>
    <w:p w14:paraId="1A11795B" w14:textId="558B5215" w:rsidR="006C4BBF" w:rsidRPr="00143E3F" w:rsidRDefault="006C4BBF" w:rsidP="006C4BBF">
      <w:pPr>
        <w:pStyle w:val="ListParagraph"/>
        <w:numPr>
          <w:ilvl w:val="0"/>
          <w:numId w:val="1"/>
        </w:numPr>
        <w:rPr>
          <w:rFonts w:cstheme="minorHAnsi"/>
        </w:rPr>
      </w:pPr>
      <w:proofErr w:type="spellStart"/>
      <w:r w:rsidRPr="00143E3F">
        <w:rPr>
          <w:rFonts w:cstheme="minorHAnsi"/>
          <w:shd w:val="clear" w:color="auto" w:fill="FFFFFF"/>
        </w:rPr>
        <w:t>Heathorn</w:t>
      </w:r>
      <w:proofErr w:type="spellEnd"/>
      <w:r w:rsidRPr="00143E3F">
        <w:rPr>
          <w:rFonts w:cstheme="minorHAnsi"/>
          <w:shd w:val="clear" w:color="auto" w:fill="FFFFFF"/>
        </w:rPr>
        <w:t>, S. (2005). The Mnemonic Turn in the Cultural Historiography of Britain's Great War. </w:t>
      </w:r>
      <w:r w:rsidRPr="00143E3F">
        <w:rPr>
          <w:rFonts w:cstheme="minorHAnsi"/>
          <w:i/>
          <w:iCs/>
          <w:shd w:val="clear" w:color="auto" w:fill="FFFFFF"/>
        </w:rPr>
        <w:t>The Historical Journal,48</w:t>
      </w:r>
      <w:r w:rsidRPr="00143E3F">
        <w:rPr>
          <w:rFonts w:cstheme="minorHAnsi"/>
          <w:shd w:val="clear" w:color="auto" w:fill="FFFFFF"/>
        </w:rPr>
        <w:t xml:space="preserve">(4), 1103-1124. Retrieved from </w:t>
      </w:r>
      <w:hyperlink r:id="rId8" w:history="1">
        <w:r w:rsidRPr="00143E3F">
          <w:rPr>
            <w:rStyle w:val="Hyperlink"/>
            <w:rFonts w:cstheme="minorHAnsi"/>
            <w:color w:val="auto"/>
            <w:u w:val="none"/>
            <w:shd w:val="clear" w:color="auto" w:fill="FFFFFF"/>
          </w:rPr>
          <w:t>http://www.jstor.org.ezproxy.uwtsd.ac.uk/stable/4091650</w:t>
        </w:r>
      </w:hyperlink>
      <w:r w:rsidRPr="00143E3F">
        <w:rPr>
          <w:rFonts w:cstheme="minorHAnsi"/>
          <w:shd w:val="clear" w:color="auto" w:fill="FFFFFF"/>
        </w:rPr>
        <w:t xml:space="preserve"> </w:t>
      </w:r>
    </w:p>
    <w:p w14:paraId="3AA7FD40" w14:textId="15534762" w:rsidR="00143E3F" w:rsidRPr="00143E3F" w:rsidRDefault="00143E3F" w:rsidP="00143E3F">
      <w:pPr>
        <w:pStyle w:val="ListParagraph"/>
        <w:numPr>
          <w:ilvl w:val="0"/>
          <w:numId w:val="1"/>
        </w:numPr>
        <w:rPr>
          <w:rFonts w:cstheme="minorHAnsi"/>
          <w:shd w:val="clear" w:color="auto" w:fill="FFFFFF"/>
        </w:rPr>
      </w:pPr>
      <w:r>
        <w:rPr>
          <w:rFonts w:cstheme="minorHAnsi"/>
          <w:shd w:val="clear" w:color="auto" w:fill="FFFFFF"/>
        </w:rPr>
        <w:t xml:space="preserve">Miller, A (2019) </w:t>
      </w:r>
      <w:r w:rsidRPr="00143E3F">
        <w:rPr>
          <w:rFonts w:cstheme="minorHAnsi"/>
          <w:shd w:val="clear" w:color="auto" w:fill="FFFFFF"/>
        </w:rPr>
        <w:t>Saffron Barker hits back as Strictly Come Dancing viewers calling her out for not wearing a poppy</w:t>
      </w:r>
      <w:r>
        <w:rPr>
          <w:rFonts w:cstheme="minorHAnsi"/>
          <w:shd w:val="clear" w:color="auto" w:fill="FFFFFF"/>
        </w:rPr>
        <w:t>. The Metro</w:t>
      </w:r>
      <w:r w:rsidR="004E4D19">
        <w:rPr>
          <w:rFonts w:cstheme="minorHAnsi"/>
          <w:shd w:val="clear" w:color="auto" w:fill="FFFFFF"/>
        </w:rPr>
        <w:t xml:space="preserve">. Retrieved from </w:t>
      </w:r>
      <w:hyperlink r:id="rId9" w:history="1">
        <w:r w:rsidR="004E4D19" w:rsidRPr="008327E9">
          <w:rPr>
            <w:rStyle w:val="Hyperlink"/>
            <w:rFonts w:cstheme="minorHAnsi"/>
            <w:shd w:val="clear" w:color="auto" w:fill="FFFFFF"/>
          </w:rPr>
          <w:t>https://metro.co.uk/2019/11/04/saffron-barker-hits-back-strictly-come-dancing-viewers-calling-not-wearing-poppy-11038842/</w:t>
        </w:r>
      </w:hyperlink>
      <w:r w:rsidR="004E4D19">
        <w:rPr>
          <w:rFonts w:cstheme="minorHAnsi"/>
          <w:shd w:val="clear" w:color="auto" w:fill="FFFFFF"/>
        </w:rPr>
        <w:t xml:space="preserve"> </w:t>
      </w:r>
    </w:p>
    <w:p w14:paraId="0F48FB5E" w14:textId="30E3B4BD" w:rsidR="00503400" w:rsidRPr="00143E3F" w:rsidRDefault="006C4BBF" w:rsidP="00143E3F">
      <w:pPr>
        <w:pStyle w:val="ListParagraph"/>
        <w:numPr>
          <w:ilvl w:val="0"/>
          <w:numId w:val="1"/>
        </w:numPr>
        <w:rPr>
          <w:rFonts w:cstheme="minorHAnsi"/>
          <w:shd w:val="clear" w:color="auto" w:fill="FFFFFF"/>
        </w:rPr>
      </w:pPr>
      <w:proofErr w:type="spellStart"/>
      <w:r w:rsidRPr="006C4BBF">
        <w:t>Trumpener</w:t>
      </w:r>
      <w:proofErr w:type="spellEnd"/>
      <w:r w:rsidRPr="006C4BBF">
        <w:t>, K. (2000). Memories Carved in Granite: Great War Memorials and Everyday Life. PMLA, 115(5), 1096-1103. doi:10.2307/463281</w:t>
      </w:r>
    </w:p>
    <w:p w14:paraId="4F3632BD" w14:textId="77777777" w:rsidR="00FA3E33" w:rsidRDefault="00516E7C" w:rsidP="006C4BBF">
      <w:pPr>
        <w:pStyle w:val="ListParagraph"/>
        <w:numPr>
          <w:ilvl w:val="0"/>
          <w:numId w:val="1"/>
        </w:numPr>
      </w:pPr>
      <w:r>
        <w:t xml:space="preserve">Webb, S </w:t>
      </w:r>
      <w:r w:rsidR="00343FCA">
        <w:t xml:space="preserve">(2016) </w:t>
      </w:r>
      <w:r w:rsidR="00343FCA">
        <w:rPr>
          <w:i/>
          <w:iCs/>
        </w:rPr>
        <w:t xml:space="preserve">1919: </w:t>
      </w:r>
      <w:proofErr w:type="spellStart"/>
      <w:r w:rsidR="00343FCA">
        <w:rPr>
          <w:i/>
          <w:iCs/>
        </w:rPr>
        <w:t>Britains</w:t>
      </w:r>
      <w:proofErr w:type="spellEnd"/>
      <w:r w:rsidR="00343FCA">
        <w:rPr>
          <w:i/>
          <w:iCs/>
        </w:rPr>
        <w:t xml:space="preserve"> Revolution </w:t>
      </w:r>
      <w:r w:rsidR="00343FCA">
        <w:t>Pen and Sword History</w:t>
      </w:r>
    </w:p>
    <w:p w14:paraId="0F9E7AC5" w14:textId="77777777" w:rsidR="00143E3F" w:rsidRDefault="00143E3F" w:rsidP="00143E3F">
      <w:pPr>
        <w:pStyle w:val="ListParagraph"/>
      </w:pPr>
    </w:p>
    <w:sectPr w:rsidR="00143E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F89146" w14:textId="77777777" w:rsidR="00340BD8" w:rsidRDefault="00340BD8" w:rsidP="00B14A6A">
      <w:pPr>
        <w:spacing w:after="0" w:line="240" w:lineRule="auto"/>
      </w:pPr>
      <w:r>
        <w:separator/>
      </w:r>
    </w:p>
  </w:endnote>
  <w:endnote w:type="continuationSeparator" w:id="0">
    <w:p w14:paraId="4498BDE7" w14:textId="77777777" w:rsidR="00340BD8" w:rsidRDefault="00340BD8" w:rsidP="00B14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0C042" w14:textId="77777777" w:rsidR="00340BD8" w:rsidRDefault="00340BD8" w:rsidP="00B14A6A">
      <w:pPr>
        <w:spacing w:after="0" w:line="240" w:lineRule="auto"/>
      </w:pPr>
      <w:r>
        <w:separator/>
      </w:r>
    </w:p>
  </w:footnote>
  <w:footnote w:type="continuationSeparator" w:id="0">
    <w:p w14:paraId="4336C9A4" w14:textId="77777777" w:rsidR="00340BD8" w:rsidRDefault="00340BD8" w:rsidP="00B14A6A">
      <w:pPr>
        <w:spacing w:after="0" w:line="240" w:lineRule="auto"/>
      </w:pPr>
      <w:r>
        <w:continuationSeparator/>
      </w:r>
    </w:p>
  </w:footnote>
  <w:footnote w:id="1">
    <w:p w14:paraId="5EF7A64C" w14:textId="77777777" w:rsidR="00B14A6A" w:rsidRDefault="00B14A6A">
      <w:pPr>
        <w:pStyle w:val="FootnoteText"/>
      </w:pPr>
      <w:r>
        <w:rPr>
          <w:rStyle w:val="FootnoteReference"/>
        </w:rPr>
        <w:footnoteRef/>
      </w:r>
      <w:r>
        <w:t xml:space="preserve"> </w:t>
      </w:r>
      <w:hyperlink r:id="rId1" w:history="1">
        <w:r w:rsidRPr="00B14A6A">
          <w:rPr>
            <w:color w:val="0000FF"/>
            <w:sz w:val="22"/>
            <w:szCs w:val="22"/>
            <w:u w:val="single"/>
          </w:rPr>
          <w:t>https://metro.co.uk/2019/11/04/saffron-barker-hits-back-strictly-come-dancing-viewers-calling-not-wearing-poppy-11038842/</w:t>
        </w:r>
      </w:hyperlink>
      <w:r>
        <w:rPr>
          <w:sz w:val="22"/>
          <w:szCs w:val="22"/>
        </w:rPr>
        <w:t xml:space="preserve"> </w:t>
      </w:r>
    </w:p>
  </w:footnote>
  <w:footnote w:id="2">
    <w:p w14:paraId="5DB3A213" w14:textId="77777777" w:rsidR="00850D08" w:rsidRDefault="00850D08">
      <w:pPr>
        <w:pStyle w:val="FootnoteText"/>
      </w:pPr>
      <w:r>
        <w:rPr>
          <w:rStyle w:val="FootnoteReference"/>
        </w:rPr>
        <w:footnoteRef/>
      </w:r>
      <w:r>
        <w:t xml:space="preserve"> McCrae (1915) </w:t>
      </w:r>
    </w:p>
  </w:footnote>
  <w:footnote w:id="3">
    <w:p w14:paraId="4F5DA564" w14:textId="77777777" w:rsidR="005B1625" w:rsidRDefault="005B1625">
      <w:pPr>
        <w:pStyle w:val="FootnoteText"/>
      </w:pPr>
      <w:r>
        <w:rPr>
          <w:rStyle w:val="FootnoteReference"/>
        </w:rPr>
        <w:footnoteRef/>
      </w:r>
      <w:r>
        <w:t xml:space="preserve"> Fox (2014) p25 </w:t>
      </w:r>
    </w:p>
  </w:footnote>
  <w:footnote w:id="4">
    <w:p w14:paraId="3EE4D422" w14:textId="7C461314" w:rsidR="00BC680E" w:rsidRDefault="00BC680E">
      <w:pPr>
        <w:pStyle w:val="FootnoteText"/>
      </w:pPr>
      <w:r>
        <w:rPr>
          <w:rStyle w:val="FootnoteReference"/>
        </w:rPr>
        <w:footnoteRef/>
      </w:r>
      <w:r>
        <w:t xml:space="preserve"> </w:t>
      </w:r>
      <w:hyperlink r:id="rId2" w:history="1">
        <w:r>
          <w:rPr>
            <w:rStyle w:val="Hyperlink"/>
          </w:rPr>
          <w:t>https://www.bl.uk/collection-items/daddy-what-did-you-do-i</w:t>
        </w:r>
        <w:r>
          <w:rPr>
            <w:rStyle w:val="Hyperlink"/>
          </w:rPr>
          <w:t>n</w:t>
        </w:r>
        <w:r>
          <w:rPr>
            <w:rStyle w:val="Hyperlink"/>
          </w:rPr>
          <w:t>-great-war</w:t>
        </w:r>
      </w:hyperlink>
    </w:p>
  </w:footnote>
  <w:footnote w:id="5">
    <w:p w14:paraId="04FFC297" w14:textId="60C0520C" w:rsidR="00135DC0" w:rsidRDefault="00135DC0">
      <w:pPr>
        <w:pStyle w:val="FootnoteText"/>
      </w:pPr>
      <w:r>
        <w:rPr>
          <w:rStyle w:val="FootnoteReference"/>
        </w:rPr>
        <w:footnoteRef/>
      </w:r>
      <w:r>
        <w:t xml:space="preserve"> </w:t>
      </w:r>
      <w:hyperlink r:id="rId3" w:history="1">
        <w:r w:rsidRPr="003B7ED3">
          <w:rPr>
            <w:rStyle w:val="Hyperlink"/>
          </w:rPr>
          <w:t>http://www.conservativemanifesto.com/1918/1918-conservative-manifesto.shtml</w:t>
        </w:r>
      </w:hyperlink>
      <w:r>
        <w:t xml:space="preserve"> </w:t>
      </w:r>
    </w:p>
  </w:footnote>
  <w:footnote w:id="6">
    <w:p w14:paraId="5F9A2B6E" w14:textId="21854767" w:rsidR="00150AFB" w:rsidRDefault="00150AFB">
      <w:pPr>
        <w:pStyle w:val="FootnoteText"/>
      </w:pPr>
      <w:r>
        <w:rPr>
          <w:rStyle w:val="FootnoteReference"/>
        </w:rPr>
        <w:footnoteRef/>
      </w:r>
      <w:r>
        <w:t xml:space="preserve"> </w:t>
      </w:r>
      <w:hyperlink r:id="rId4" w:history="1">
        <w:r>
          <w:rPr>
            <w:rStyle w:val="Hyperlink"/>
          </w:rPr>
          <w:t>https://socialistworker.co.uk/art/27902/1919:%20Britain%20in%20Revolt</w:t>
        </w:r>
      </w:hyperlink>
    </w:p>
  </w:footnote>
  <w:footnote w:id="7">
    <w:p w14:paraId="47140767" w14:textId="1C21587A" w:rsidR="00503400" w:rsidRDefault="00503400">
      <w:pPr>
        <w:pStyle w:val="FootnoteText"/>
      </w:pPr>
      <w:r>
        <w:rPr>
          <w:rStyle w:val="FootnoteReference"/>
        </w:rPr>
        <w:footnoteRef/>
      </w:r>
      <w:r>
        <w:t xml:space="preserve"> </w:t>
      </w:r>
      <w:r w:rsidRPr="00503400">
        <w:t>(1919) The Railway Strike</w:t>
      </w:r>
      <w:r>
        <w:t xml:space="preserve"> p30</w:t>
      </w:r>
    </w:p>
  </w:footnote>
  <w:footnote w:id="8">
    <w:p w14:paraId="3A63265B" w14:textId="7599D118" w:rsidR="00CC58C6" w:rsidRDefault="00CC58C6">
      <w:pPr>
        <w:pStyle w:val="FootnoteText"/>
      </w:pPr>
      <w:r>
        <w:rPr>
          <w:rStyle w:val="FootnoteReference"/>
        </w:rPr>
        <w:footnoteRef/>
      </w:r>
      <w:r>
        <w:t xml:space="preserve"> </w:t>
      </w:r>
      <w:hyperlink r:id="rId5" w:history="1">
        <w:r>
          <w:rPr>
            <w:rStyle w:val="Hyperlink"/>
          </w:rPr>
          <w:t>http://www.nationalarchives.gov.uk/pathways/firstworldwar/aftermath/p_labour.htm</w:t>
        </w:r>
      </w:hyperlink>
      <w:r>
        <w:t xml:space="preserve"> </w:t>
      </w:r>
    </w:p>
  </w:footnote>
  <w:footnote w:id="9">
    <w:p w14:paraId="18A07342" w14:textId="7A10A3A5" w:rsidR="008422D1" w:rsidRDefault="008422D1">
      <w:pPr>
        <w:pStyle w:val="FootnoteText"/>
      </w:pPr>
      <w:r>
        <w:rPr>
          <w:rStyle w:val="FootnoteReference"/>
        </w:rPr>
        <w:footnoteRef/>
      </w:r>
      <w:r>
        <w:t xml:space="preserve"> </w:t>
      </w:r>
      <w:hyperlink r:id="rId6" w:history="1">
        <w:r>
          <w:rPr>
            <w:rStyle w:val="Hyperlink"/>
          </w:rPr>
          <w:t>https://www.oldpolicecellsmuseum.org.uk/content/history/police_history/police_strike_1918-1919</w:t>
        </w:r>
      </w:hyperlink>
    </w:p>
  </w:footnote>
  <w:footnote w:id="10">
    <w:p w14:paraId="3C56CCD9" w14:textId="18C107A4" w:rsidR="00E21A3C" w:rsidRDefault="00E21A3C">
      <w:pPr>
        <w:pStyle w:val="FootnoteText"/>
      </w:pPr>
      <w:r>
        <w:rPr>
          <w:rStyle w:val="FootnoteReference"/>
        </w:rPr>
        <w:footnoteRef/>
      </w:r>
      <w:r>
        <w:t xml:space="preserve"> </w:t>
      </w:r>
      <w:hyperlink r:id="rId7" w:history="1">
        <w:r>
          <w:rPr>
            <w:rStyle w:val="Hyperlink"/>
          </w:rPr>
          <w:t>http://www.open.ac.uk/researchprojects/makingbritain/content/1919-race-riots</w:t>
        </w:r>
      </w:hyperlink>
    </w:p>
  </w:footnote>
  <w:footnote w:id="11">
    <w:p w14:paraId="7C05AE9F" w14:textId="6F611B88" w:rsidR="00323FA2" w:rsidRDefault="00323FA2">
      <w:pPr>
        <w:pStyle w:val="FootnoteText"/>
      </w:pPr>
      <w:r>
        <w:rPr>
          <w:rStyle w:val="FootnoteReference"/>
        </w:rPr>
        <w:footnoteRef/>
      </w:r>
      <w:r>
        <w:t xml:space="preserve"> Webb (2016) p4-5</w:t>
      </w:r>
    </w:p>
  </w:footnote>
  <w:footnote w:id="12">
    <w:p w14:paraId="5D6CF458" w14:textId="2E46F8B0" w:rsidR="0051106A" w:rsidRDefault="0051106A">
      <w:pPr>
        <w:pStyle w:val="FootnoteText"/>
      </w:pPr>
      <w:r>
        <w:rPr>
          <w:rStyle w:val="FootnoteReference"/>
        </w:rPr>
        <w:footnoteRef/>
      </w:r>
      <w:r>
        <w:t xml:space="preserve"> </w:t>
      </w:r>
      <w:hyperlink r:id="rId8" w:history="1">
        <w:r w:rsidRPr="008327E9">
          <w:rPr>
            <w:rStyle w:val="Hyperlink"/>
          </w:rPr>
          <w:t>http://www.bbc.co.uk/remembrance/how/cenotaph.shtml</w:t>
        </w:r>
      </w:hyperlink>
      <w:r>
        <w:t xml:space="preserve"> </w:t>
      </w:r>
    </w:p>
  </w:footnote>
  <w:footnote w:id="13">
    <w:p w14:paraId="1E723756" w14:textId="0D934E46" w:rsidR="00FA3E33" w:rsidRDefault="00FA3E33">
      <w:pPr>
        <w:pStyle w:val="FootnoteText"/>
      </w:pPr>
      <w:r>
        <w:rPr>
          <w:rStyle w:val="FootnoteReference"/>
        </w:rPr>
        <w:footnoteRef/>
      </w:r>
      <w:r>
        <w:t xml:space="preserve"> Greenberg (1989) p9</w:t>
      </w:r>
    </w:p>
  </w:footnote>
  <w:footnote w:id="14">
    <w:p w14:paraId="0E77FCF5" w14:textId="791F3CC8" w:rsidR="00F50C80" w:rsidRDefault="00F50C80">
      <w:pPr>
        <w:pStyle w:val="FootnoteText"/>
      </w:pPr>
      <w:r>
        <w:rPr>
          <w:rStyle w:val="FootnoteReference"/>
        </w:rPr>
        <w:footnoteRef/>
      </w:r>
      <w:r>
        <w:t xml:space="preserve"> Greenberg (1989) p5</w:t>
      </w:r>
    </w:p>
  </w:footnote>
  <w:footnote w:id="15">
    <w:p w14:paraId="0D5DC996" w14:textId="341C6C90" w:rsidR="004753FC" w:rsidRDefault="004753FC">
      <w:pPr>
        <w:pStyle w:val="FootnoteText"/>
      </w:pPr>
      <w:r>
        <w:rPr>
          <w:rStyle w:val="FootnoteReference"/>
        </w:rPr>
        <w:footnoteRef/>
      </w:r>
      <w:r>
        <w:t xml:space="preserve"> </w:t>
      </w:r>
      <w:proofErr w:type="spellStart"/>
      <w:r>
        <w:t>Trumpener</w:t>
      </w:r>
      <w:proofErr w:type="spellEnd"/>
      <w:r>
        <w:t xml:space="preserve"> (2000) p1097</w:t>
      </w:r>
    </w:p>
  </w:footnote>
  <w:footnote w:id="16">
    <w:p w14:paraId="074E25C2" w14:textId="70566C78" w:rsidR="00D957EC" w:rsidRDefault="00D957EC">
      <w:pPr>
        <w:pStyle w:val="FootnoteText"/>
      </w:pPr>
      <w:r>
        <w:rPr>
          <w:rStyle w:val="FootnoteReference"/>
        </w:rPr>
        <w:footnoteRef/>
      </w:r>
      <w:r>
        <w:t xml:space="preserve"> Allingham, Goodwin (2011) p132</w:t>
      </w:r>
    </w:p>
  </w:footnote>
  <w:footnote w:id="17">
    <w:p w14:paraId="2E0737C2" w14:textId="6CC47E2C" w:rsidR="00601446" w:rsidRDefault="00601446">
      <w:pPr>
        <w:pStyle w:val="FootnoteText"/>
      </w:pPr>
      <w:r>
        <w:rPr>
          <w:rStyle w:val="FootnoteReference"/>
        </w:rPr>
        <w:footnoteRef/>
      </w:r>
      <w:r>
        <w:t xml:space="preserve"> </w:t>
      </w:r>
      <w:hyperlink r:id="rId9" w:history="1">
        <w:r>
          <w:rPr>
            <w:rStyle w:val="Hyperlink"/>
          </w:rPr>
          <w:t>https://dictionary.cambridge.org/dictionary/english/warrior</w:t>
        </w:r>
      </w:hyperlink>
      <w:r>
        <w:t xml:space="preserve"> </w:t>
      </w:r>
    </w:p>
  </w:footnote>
  <w:footnote w:id="18">
    <w:p w14:paraId="19425D3F" w14:textId="427F39D1" w:rsidR="001F2CD4" w:rsidRDefault="001F2CD4">
      <w:pPr>
        <w:pStyle w:val="FootnoteText"/>
      </w:pPr>
      <w:r>
        <w:rPr>
          <w:rStyle w:val="FootnoteReference"/>
        </w:rPr>
        <w:footnoteRef/>
      </w:r>
      <w:r>
        <w:t xml:space="preserve"> </w:t>
      </w:r>
      <w:r w:rsidR="002B248C" w:rsidRPr="002B248C">
        <w:t>Goebel S. (2012)</w:t>
      </w:r>
      <w:r w:rsidR="002B248C">
        <w:t xml:space="preserve"> p159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14B6A"/>
    <w:multiLevelType w:val="hybridMultilevel"/>
    <w:tmpl w:val="F0DE2C10"/>
    <w:lvl w:ilvl="0" w:tplc="C49638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941492"/>
    <w:multiLevelType w:val="hybridMultilevel"/>
    <w:tmpl w:val="A23AF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695"/>
    <w:rsid w:val="00027FCE"/>
    <w:rsid w:val="00032A79"/>
    <w:rsid w:val="000733A3"/>
    <w:rsid w:val="00090DF1"/>
    <w:rsid w:val="000A2915"/>
    <w:rsid w:val="000B3B38"/>
    <w:rsid w:val="000D711E"/>
    <w:rsid w:val="000F1946"/>
    <w:rsid w:val="000F2B03"/>
    <w:rsid w:val="001011AC"/>
    <w:rsid w:val="00135DC0"/>
    <w:rsid w:val="00143E3F"/>
    <w:rsid w:val="00144650"/>
    <w:rsid w:val="00150AFB"/>
    <w:rsid w:val="001C71C4"/>
    <w:rsid w:val="001D2AA9"/>
    <w:rsid w:val="001E7AF8"/>
    <w:rsid w:val="001F2CD4"/>
    <w:rsid w:val="002053D2"/>
    <w:rsid w:val="002102DD"/>
    <w:rsid w:val="00220324"/>
    <w:rsid w:val="00222611"/>
    <w:rsid w:val="00237201"/>
    <w:rsid w:val="00250D84"/>
    <w:rsid w:val="002576BC"/>
    <w:rsid w:val="002732B3"/>
    <w:rsid w:val="00282928"/>
    <w:rsid w:val="0028396C"/>
    <w:rsid w:val="002A207E"/>
    <w:rsid w:val="002B1A9E"/>
    <w:rsid w:val="002B248C"/>
    <w:rsid w:val="002B324C"/>
    <w:rsid w:val="002B7959"/>
    <w:rsid w:val="002F2BFE"/>
    <w:rsid w:val="0031756A"/>
    <w:rsid w:val="00320978"/>
    <w:rsid w:val="00323FA2"/>
    <w:rsid w:val="00340BD8"/>
    <w:rsid w:val="00343FCA"/>
    <w:rsid w:val="003729A5"/>
    <w:rsid w:val="00390C8B"/>
    <w:rsid w:val="003A35E3"/>
    <w:rsid w:val="003C5E8A"/>
    <w:rsid w:val="00412FD9"/>
    <w:rsid w:val="00414DED"/>
    <w:rsid w:val="00470F86"/>
    <w:rsid w:val="004753FC"/>
    <w:rsid w:val="004A0E13"/>
    <w:rsid w:val="004A2946"/>
    <w:rsid w:val="004E4D19"/>
    <w:rsid w:val="00503400"/>
    <w:rsid w:val="0051106A"/>
    <w:rsid w:val="00516E7C"/>
    <w:rsid w:val="0053670A"/>
    <w:rsid w:val="005503AC"/>
    <w:rsid w:val="00575ABE"/>
    <w:rsid w:val="00583728"/>
    <w:rsid w:val="00585391"/>
    <w:rsid w:val="005B1625"/>
    <w:rsid w:val="005B5714"/>
    <w:rsid w:val="005C01E2"/>
    <w:rsid w:val="005E31B9"/>
    <w:rsid w:val="005E6A05"/>
    <w:rsid w:val="00601446"/>
    <w:rsid w:val="00604B0C"/>
    <w:rsid w:val="00637C20"/>
    <w:rsid w:val="00676821"/>
    <w:rsid w:val="00685B41"/>
    <w:rsid w:val="006B0075"/>
    <w:rsid w:val="006C4BBF"/>
    <w:rsid w:val="007049DA"/>
    <w:rsid w:val="00753E6C"/>
    <w:rsid w:val="00765ED1"/>
    <w:rsid w:val="007972B7"/>
    <w:rsid w:val="007B075B"/>
    <w:rsid w:val="007D1CA5"/>
    <w:rsid w:val="00816E62"/>
    <w:rsid w:val="00820ACF"/>
    <w:rsid w:val="008422D1"/>
    <w:rsid w:val="00850D08"/>
    <w:rsid w:val="008754C4"/>
    <w:rsid w:val="00876D58"/>
    <w:rsid w:val="008C6FE3"/>
    <w:rsid w:val="008D29E4"/>
    <w:rsid w:val="008F0C27"/>
    <w:rsid w:val="0095685E"/>
    <w:rsid w:val="00956D36"/>
    <w:rsid w:val="00985111"/>
    <w:rsid w:val="009B3175"/>
    <w:rsid w:val="009D2DB4"/>
    <w:rsid w:val="009F038F"/>
    <w:rsid w:val="00A126F7"/>
    <w:rsid w:val="00A1700B"/>
    <w:rsid w:val="00A3760C"/>
    <w:rsid w:val="00A55328"/>
    <w:rsid w:val="00A6305C"/>
    <w:rsid w:val="00A75695"/>
    <w:rsid w:val="00AE09A9"/>
    <w:rsid w:val="00AF1F0B"/>
    <w:rsid w:val="00B017A7"/>
    <w:rsid w:val="00B14A6A"/>
    <w:rsid w:val="00B15476"/>
    <w:rsid w:val="00B3246B"/>
    <w:rsid w:val="00B521D3"/>
    <w:rsid w:val="00B53282"/>
    <w:rsid w:val="00B75464"/>
    <w:rsid w:val="00B915C9"/>
    <w:rsid w:val="00BC4B4A"/>
    <w:rsid w:val="00BC680E"/>
    <w:rsid w:val="00BE5F3A"/>
    <w:rsid w:val="00C02787"/>
    <w:rsid w:val="00C17588"/>
    <w:rsid w:val="00C32DB4"/>
    <w:rsid w:val="00C506CF"/>
    <w:rsid w:val="00C81FEC"/>
    <w:rsid w:val="00C84152"/>
    <w:rsid w:val="00CC58C6"/>
    <w:rsid w:val="00D0438F"/>
    <w:rsid w:val="00D2348C"/>
    <w:rsid w:val="00D35E06"/>
    <w:rsid w:val="00D4509C"/>
    <w:rsid w:val="00D50DC1"/>
    <w:rsid w:val="00D643C2"/>
    <w:rsid w:val="00D657DD"/>
    <w:rsid w:val="00D776CA"/>
    <w:rsid w:val="00D778D6"/>
    <w:rsid w:val="00D831FD"/>
    <w:rsid w:val="00D957EC"/>
    <w:rsid w:val="00DD579C"/>
    <w:rsid w:val="00DF3C3A"/>
    <w:rsid w:val="00DF7625"/>
    <w:rsid w:val="00E21A3C"/>
    <w:rsid w:val="00E23512"/>
    <w:rsid w:val="00EE26C8"/>
    <w:rsid w:val="00F50C80"/>
    <w:rsid w:val="00F54E4C"/>
    <w:rsid w:val="00F64860"/>
    <w:rsid w:val="00F95538"/>
    <w:rsid w:val="00FA3E33"/>
    <w:rsid w:val="00FD7391"/>
    <w:rsid w:val="00FF5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27E06"/>
  <w15:chartTrackingRefBased/>
  <w15:docId w15:val="{7D26044D-149E-4118-A6A8-6EE53625C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4BBF"/>
    <w:pPr>
      <w:ind w:left="720"/>
      <w:contextualSpacing/>
    </w:pPr>
  </w:style>
  <w:style w:type="character" w:styleId="Hyperlink">
    <w:name w:val="Hyperlink"/>
    <w:basedOn w:val="DefaultParagraphFont"/>
    <w:uiPriority w:val="99"/>
    <w:unhideWhenUsed/>
    <w:rsid w:val="006C4BBF"/>
    <w:rPr>
      <w:color w:val="0563C1" w:themeColor="hyperlink"/>
      <w:u w:val="single"/>
    </w:rPr>
  </w:style>
  <w:style w:type="character" w:styleId="UnresolvedMention">
    <w:name w:val="Unresolved Mention"/>
    <w:basedOn w:val="DefaultParagraphFont"/>
    <w:uiPriority w:val="99"/>
    <w:semiHidden/>
    <w:unhideWhenUsed/>
    <w:rsid w:val="006C4BBF"/>
    <w:rPr>
      <w:color w:val="605E5C"/>
      <w:shd w:val="clear" w:color="auto" w:fill="E1DFDD"/>
    </w:rPr>
  </w:style>
  <w:style w:type="paragraph" w:styleId="FootnoteText">
    <w:name w:val="footnote text"/>
    <w:basedOn w:val="Normal"/>
    <w:link w:val="FootnoteTextChar"/>
    <w:uiPriority w:val="99"/>
    <w:semiHidden/>
    <w:unhideWhenUsed/>
    <w:rsid w:val="00B14A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14A6A"/>
    <w:rPr>
      <w:sz w:val="20"/>
      <w:szCs w:val="20"/>
    </w:rPr>
  </w:style>
  <w:style w:type="character" w:styleId="FootnoteReference">
    <w:name w:val="footnote reference"/>
    <w:basedOn w:val="DefaultParagraphFont"/>
    <w:uiPriority w:val="99"/>
    <w:semiHidden/>
    <w:unhideWhenUsed/>
    <w:rsid w:val="00B14A6A"/>
    <w:rPr>
      <w:vertAlign w:val="superscript"/>
    </w:rPr>
  </w:style>
  <w:style w:type="character" w:customStyle="1" w:styleId="date">
    <w:name w:val="date"/>
    <w:basedOn w:val="DefaultParagraphFont"/>
    <w:rsid w:val="00503400"/>
  </w:style>
  <w:style w:type="character" w:customStyle="1" w:styleId="arttitle">
    <w:name w:val="art_title"/>
    <w:basedOn w:val="DefaultParagraphFont"/>
    <w:rsid w:val="00503400"/>
  </w:style>
  <w:style w:type="character" w:customStyle="1" w:styleId="serialtitle">
    <w:name w:val="serial_title"/>
    <w:basedOn w:val="DefaultParagraphFont"/>
    <w:rsid w:val="00503400"/>
  </w:style>
  <w:style w:type="character" w:customStyle="1" w:styleId="volumeissue">
    <w:name w:val="volume_issue"/>
    <w:basedOn w:val="DefaultParagraphFont"/>
    <w:rsid w:val="00503400"/>
  </w:style>
  <w:style w:type="character" w:customStyle="1" w:styleId="pagerange">
    <w:name w:val="page_range"/>
    <w:basedOn w:val="DefaultParagraphFont"/>
    <w:rsid w:val="00503400"/>
  </w:style>
  <w:style w:type="character" w:customStyle="1" w:styleId="doilink">
    <w:name w:val="doi_link"/>
    <w:basedOn w:val="DefaultParagraphFont"/>
    <w:rsid w:val="00503400"/>
  </w:style>
  <w:style w:type="character" w:styleId="FollowedHyperlink">
    <w:name w:val="FollowedHyperlink"/>
    <w:basedOn w:val="DefaultParagraphFont"/>
    <w:uiPriority w:val="99"/>
    <w:semiHidden/>
    <w:unhideWhenUsed/>
    <w:rsid w:val="004E4D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735360">
      <w:bodyDiv w:val="1"/>
      <w:marLeft w:val="0"/>
      <w:marRight w:val="0"/>
      <w:marTop w:val="0"/>
      <w:marBottom w:val="0"/>
      <w:divBdr>
        <w:top w:val="none" w:sz="0" w:space="0" w:color="auto"/>
        <w:left w:val="none" w:sz="0" w:space="0" w:color="auto"/>
        <w:bottom w:val="none" w:sz="0" w:space="0" w:color="auto"/>
        <w:right w:val="none" w:sz="0" w:space="0" w:color="auto"/>
      </w:divBdr>
    </w:div>
    <w:div w:id="1078594681">
      <w:bodyDiv w:val="1"/>
      <w:marLeft w:val="0"/>
      <w:marRight w:val="0"/>
      <w:marTop w:val="0"/>
      <w:marBottom w:val="0"/>
      <w:divBdr>
        <w:top w:val="none" w:sz="0" w:space="0" w:color="auto"/>
        <w:left w:val="none" w:sz="0" w:space="0" w:color="auto"/>
        <w:bottom w:val="none" w:sz="0" w:space="0" w:color="auto"/>
        <w:right w:val="none" w:sz="0" w:space="0" w:color="auto"/>
      </w:divBdr>
    </w:div>
    <w:div w:id="1989626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ezproxy.uwtsd.ac.uk/stable/409165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etro.co.uk/2019/11/04/saffron-barker-hits-back-strictly-come-dancing-viewers-calling-not-wearing-poppy-11038842/"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bbc.co.uk/remembrance/how/cenotaph.shtml" TargetMode="External"/><Relationship Id="rId3" Type="http://schemas.openxmlformats.org/officeDocument/2006/relationships/hyperlink" Target="http://www.conservativemanifesto.com/1918/1918-conservative-manifesto.shtml" TargetMode="External"/><Relationship Id="rId7" Type="http://schemas.openxmlformats.org/officeDocument/2006/relationships/hyperlink" Target="http://www.open.ac.uk/researchprojects/makingbritain/content/1919-race-riots" TargetMode="External"/><Relationship Id="rId2" Type="http://schemas.openxmlformats.org/officeDocument/2006/relationships/hyperlink" Target="https://www.bl.uk/collection-items/daddy-what-did-you-do-in-great-war" TargetMode="External"/><Relationship Id="rId1" Type="http://schemas.openxmlformats.org/officeDocument/2006/relationships/hyperlink" Target="https://metro.co.uk/2019/11/04/saffron-barker-hits-back-strictly-come-dancing-viewers-calling-not-wearing-poppy-11038842/" TargetMode="External"/><Relationship Id="rId6" Type="http://schemas.openxmlformats.org/officeDocument/2006/relationships/hyperlink" Target="https://www.oldpolicecellsmuseum.org.uk/content/history/police_history/police_strike_1918-1919" TargetMode="External"/><Relationship Id="rId5" Type="http://schemas.openxmlformats.org/officeDocument/2006/relationships/hyperlink" Target="http://www.nationalarchives.gov.uk/pathways/firstworldwar/aftermath/p_labour.htm" TargetMode="External"/><Relationship Id="rId4" Type="http://schemas.openxmlformats.org/officeDocument/2006/relationships/hyperlink" Target="https://socialistworker.co.uk/art/27902/1919:%20Britain%20in%20Revolt" TargetMode="External"/><Relationship Id="rId9" Type="http://schemas.openxmlformats.org/officeDocument/2006/relationships/hyperlink" Target="https://dictionary.cambridge.org/dictionary/english/warri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40C5E-475A-47F0-BE17-2153B6CAA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3162</TotalTime>
  <Pages>5</Pages>
  <Words>2259</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169</cp:revision>
  <dcterms:created xsi:type="dcterms:W3CDTF">2019-11-11T13:57:00Z</dcterms:created>
  <dcterms:modified xsi:type="dcterms:W3CDTF">2019-11-15T07:33:00Z</dcterms:modified>
</cp:coreProperties>
</file>