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0FD97" w14:textId="0B10CBA8" w:rsidR="00093AEC" w:rsidRPr="0037373C" w:rsidRDefault="00093AEC" w:rsidP="00093AEC">
      <w:pPr>
        <w:rPr>
          <w:b/>
          <w:bCs/>
          <w:sz w:val="28"/>
          <w:szCs w:val="28"/>
        </w:rPr>
      </w:pPr>
      <w:r w:rsidRPr="0037373C">
        <w:rPr>
          <w:b/>
          <w:bCs/>
          <w:sz w:val="28"/>
          <w:szCs w:val="28"/>
        </w:rPr>
        <w:t xml:space="preserve">Understanding </w:t>
      </w:r>
      <w:r>
        <w:rPr>
          <w:b/>
          <w:bCs/>
          <w:sz w:val="28"/>
          <w:szCs w:val="28"/>
        </w:rPr>
        <w:t>Resourcing and Talent Planning</w:t>
      </w:r>
      <w:r w:rsidRPr="0037373C">
        <w:rPr>
          <w:b/>
          <w:bCs/>
          <w:sz w:val="28"/>
          <w:szCs w:val="28"/>
        </w:rPr>
        <w:t xml:space="preserve"> </w:t>
      </w:r>
      <w:r>
        <w:rPr>
          <w:b/>
          <w:bCs/>
          <w:sz w:val="28"/>
          <w:szCs w:val="28"/>
        </w:rPr>
        <w:t>(5</w:t>
      </w:r>
      <w:r w:rsidR="00481334">
        <w:rPr>
          <w:b/>
          <w:bCs/>
          <w:sz w:val="28"/>
          <w:szCs w:val="28"/>
        </w:rPr>
        <w:t>KRTP</w:t>
      </w:r>
      <w:r>
        <w:rPr>
          <w:b/>
          <w:bCs/>
          <w:sz w:val="28"/>
          <w:szCs w:val="28"/>
        </w:rPr>
        <w:t>)</w:t>
      </w:r>
    </w:p>
    <w:p w14:paraId="32BD6532" w14:textId="77777777" w:rsidR="00093AEC" w:rsidRDefault="00093AEC" w:rsidP="00093AEC">
      <w:pPr>
        <w:rPr>
          <w:sz w:val="28"/>
          <w:szCs w:val="28"/>
        </w:rPr>
      </w:pPr>
    </w:p>
    <w:p w14:paraId="26DFF2C0" w14:textId="77777777" w:rsidR="00093AEC" w:rsidRDefault="00093AEC" w:rsidP="00093AEC">
      <w:pPr>
        <w:rPr>
          <w:sz w:val="28"/>
          <w:szCs w:val="28"/>
        </w:rPr>
      </w:pPr>
    </w:p>
    <w:p w14:paraId="78708371" w14:textId="77777777" w:rsidR="00093AEC" w:rsidRDefault="00093AEC" w:rsidP="00093AEC">
      <w:pPr>
        <w:rPr>
          <w:sz w:val="28"/>
          <w:szCs w:val="28"/>
        </w:rPr>
      </w:pPr>
      <w:r>
        <w:rPr>
          <w:sz w:val="28"/>
          <w:szCs w:val="28"/>
        </w:rPr>
        <w:t xml:space="preserve">Name: Victoria Lauren Evans </w:t>
      </w:r>
    </w:p>
    <w:p w14:paraId="0F6F8223" w14:textId="77777777" w:rsidR="00093AEC" w:rsidRDefault="00093AEC" w:rsidP="00093AEC">
      <w:pPr>
        <w:rPr>
          <w:sz w:val="28"/>
          <w:szCs w:val="28"/>
        </w:rPr>
      </w:pPr>
    </w:p>
    <w:p w14:paraId="43E02466" w14:textId="77777777" w:rsidR="00093AEC" w:rsidRDefault="00093AEC" w:rsidP="00093AEC">
      <w:pPr>
        <w:rPr>
          <w:sz w:val="28"/>
          <w:szCs w:val="28"/>
        </w:rPr>
      </w:pPr>
      <w:r>
        <w:rPr>
          <w:sz w:val="28"/>
          <w:szCs w:val="28"/>
        </w:rPr>
        <w:t>CIPD Membership Number: 48734057</w:t>
      </w:r>
    </w:p>
    <w:p w14:paraId="08E132ED" w14:textId="77777777" w:rsidR="00093AEC" w:rsidRDefault="00093AEC" w:rsidP="00093AEC">
      <w:pPr>
        <w:rPr>
          <w:sz w:val="28"/>
          <w:szCs w:val="28"/>
        </w:rPr>
      </w:pPr>
    </w:p>
    <w:p w14:paraId="426B67B8" w14:textId="2E6536D0" w:rsidR="00093AEC" w:rsidRDefault="00093AEC" w:rsidP="00093AEC">
      <w:pPr>
        <w:rPr>
          <w:sz w:val="28"/>
          <w:szCs w:val="28"/>
        </w:rPr>
      </w:pPr>
      <w:r>
        <w:rPr>
          <w:sz w:val="28"/>
          <w:szCs w:val="28"/>
        </w:rPr>
        <w:t>Date submitted: 26.04.2021</w:t>
      </w:r>
    </w:p>
    <w:p w14:paraId="2D76CB79" w14:textId="77777777" w:rsidR="00093AEC" w:rsidRDefault="00093AEC" w:rsidP="00093AEC">
      <w:pPr>
        <w:rPr>
          <w:sz w:val="28"/>
          <w:szCs w:val="28"/>
        </w:rPr>
      </w:pPr>
    </w:p>
    <w:p w14:paraId="41689B54" w14:textId="77777777" w:rsidR="00093AEC" w:rsidRDefault="00093AEC" w:rsidP="00093AEC">
      <w:pPr>
        <w:rPr>
          <w:sz w:val="28"/>
          <w:szCs w:val="28"/>
        </w:rPr>
      </w:pPr>
    </w:p>
    <w:p w14:paraId="651BAC19" w14:textId="77777777" w:rsidR="00093AEC" w:rsidRDefault="00093AEC" w:rsidP="00093AEC">
      <w:pPr>
        <w:rPr>
          <w:sz w:val="28"/>
          <w:szCs w:val="28"/>
        </w:rPr>
      </w:pPr>
    </w:p>
    <w:p w14:paraId="71A618F7" w14:textId="5E0684AC" w:rsidR="00093AEC" w:rsidRDefault="00093AEC" w:rsidP="00093AEC">
      <w:pPr>
        <w:spacing w:after="0" w:line="240" w:lineRule="auto"/>
        <w:rPr>
          <w:rFonts w:cs="Arial"/>
          <w:sz w:val="28"/>
          <w:szCs w:val="28"/>
        </w:rPr>
      </w:pPr>
      <w:r>
        <w:rPr>
          <w:rFonts w:cs="Arial"/>
          <w:sz w:val="28"/>
          <w:szCs w:val="28"/>
        </w:rPr>
        <w:t>Word count: 3,</w:t>
      </w:r>
      <w:r w:rsidR="003349D1">
        <w:rPr>
          <w:rFonts w:cs="Arial"/>
          <w:sz w:val="28"/>
          <w:szCs w:val="28"/>
        </w:rPr>
        <w:t>301</w:t>
      </w:r>
      <w:r>
        <w:rPr>
          <w:rFonts w:cs="Arial"/>
          <w:sz w:val="28"/>
          <w:szCs w:val="28"/>
        </w:rPr>
        <w:t xml:space="preserve"> (excluding Cover Page and References) </w:t>
      </w:r>
    </w:p>
    <w:p w14:paraId="0C18AC6D" w14:textId="77777777" w:rsidR="00093AEC" w:rsidRDefault="00093AEC" w:rsidP="00093AEC">
      <w:pPr>
        <w:rPr>
          <w:b/>
          <w:sz w:val="28"/>
          <w:szCs w:val="28"/>
        </w:rPr>
      </w:pPr>
    </w:p>
    <w:p w14:paraId="299B8C45" w14:textId="77777777" w:rsidR="00093AEC" w:rsidRDefault="00093AEC" w:rsidP="00093AEC">
      <w:pPr>
        <w:rPr>
          <w:rFonts w:cs="Arial"/>
          <w:sz w:val="28"/>
          <w:szCs w:val="28"/>
        </w:rPr>
      </w:pPr>
      <w:r>
        <w:rPr>
          <w:rFonts w:cs="Arial"/>
          <w:sz w:val="28"/>
          <w:szCs w:val="28"/>
        </w:rPr>
        <w:t>By signing below, I confirm that the work/evidence presented is my own, unaided work. I understand the regulations pertaining to candidate malpractice and the action that may be taken as a result.</w:t>
      </w:r>
    </w:p>
    <w:p w14:paraId="4F60EF29" w14:textId="77777777" w:rsidR="00093AEC" w:rsidRDefault="00093AEC" w:rsidP="00093AEC">
      <w:pPr>
        <w:rPr>
          <w:rFonts w:cs="Arial"/>
          <w:sz w:val="28"/>
          <w:szCs w:val="28"/>
        </w:rPr>
      </w:pPr>
      <w:r>
        <w:rPr>
          <w:rFonts w:cs="Arial"/>
          <w:noProof/>
          <w:sz w:val="28"/>
          <w:szCs w:val="28"/>
        </w:rPr>
        <w:drawing>
          <wp:anchor distT="0" distB="0" distL="114300" distR="114300" simplePos="0" relativeHeight="251659264" behindDoc="0" locked="0" layoutInCell="1" allowOverlap="1" wp14:anchorId="03C0A91F" wp14:editId="1124C5AF">
            <wp:simplePos x="0" y="0"/>
            <wp:positionH relativeFrom="column">
              <wp:posOffset>668020</wp:posOffset>
            </wp:positionH>
            <wp:positionV relativeFrom="paragraph">
              <wp:posOffset>225425</wp:posOffset>
            </wp:positionV>
            <wp:extent cx="1593850" cy="46164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3850" cy="461645"/>
                    </a:xfrm>
                    <a:prstGeom prst="rect">
                      <a:avLst/>
                    </a:prstGeom>
                  </pic:spPr>
                </pic:pic>
              </a:graphicData>
            </a:graphic>
            <wp14:sizeRelH relativeFrom="page">
              <wp14:pctWidth>0</wp14:pctWidth>
            </wp14:sizeRelH>
            <wp14:sizeRelV relativeFrom="page">
              <wp14:pctHeight>0</wp14:pctHeight>
            </wp14:sizeRelV>
          </wp:anchor>
        </w:drawing>
      </w:r>
    </w:p>
    <w:p w14:paraId="54C3C54B" w14:textId="77777777" w:rsidR="00093AEC" w:rsidRDefault="00093AEC" w:rsidP="00093AEC">
      <w:pPr>
        <w:rPr>
          <w:rFonts w:cs="Arial"/>
          <w:sz w:val="28"/>
          <w:szCs w:val="28"/>
        </w:rPr>
      </w:pPr>
      <w:r>
        <w:rPr>
          <w:rFonts w:cs="Arial"/>
          <w:sz w:val="28"/>
          <w:szCs w:val="28"/>
        </w:rPr>
        <w:t xml:space="preserve">Signed: </w:t>
      </w:r>
    </w:p>
    <w:p w14:paraId="7574C06F" w14:textId="77777777" w:rsidR="00093AEC" w:rsidRDefault="00093AEC" w:rsidP="00093AEC">
      <w:pPr>
        <w:rPr>
          <w:rFonts w:cs="Arial"/>
          <w:sz w:val="28"/>
          <w:szCs w:val="28"/>
        </w:rPr>
      </w:pPr>
    </w:p>
    <w:p w14:paraId="1B075BA3" w14:textId="48269902" w:rsidR="00093AEC" w:rsidRDefault="00093AEC" w:rsidP="00093AEC">
      <w:pPr>
        <w:rPr>
          <w:rFonts w:cs="Arial"/>
          <w:sz w:val="28"/>
          <w:szCs w:val="28"/>
        </w:rPr>
      </w:pPr>
      <w:r>
        <w:rPr>
          <w:rFonts w:cs="Arial"/>
          <w:sz w:val="28"/>
          <w:szCs w:val="28"/>
        </w:rPr>
        <w:t>Date: 26.04.2021</w:t>
      </w:r>
    </w:p>
    <w:p w14:paraId="045332B1" w14:textId="77777777" w:rsidR="00093AEC" w:rsidRDefault="00093AEC" w:rsidP="00093AEC">
      <w:pPr>
        <w:spacing w:after="0" w:line="240" w:lineRule="auto"/>
        <w:rPr>
          <w:rFonts w:cs="Arial"/>
        </w:rPr>
      </w:pPr>
    </w:p>
    <w:p w14:paraId="06CC65CE" w14:textId="77777777" w:rsidR="00093AEC" w:rsidRDefault="00093AEC" w:rsidP="00093AEC">
      <w:pPr>
        <w:spacing w:after="0" w:line="240" w:lineRule="auto"/>
        <w:rPr>
          <w:rFonts w:cs="Arial"/>
        </w:rPr>
      </w:pPr>
    </w:p>
    <w:p w14:paraId="6A6A3779" w14:textId="77777777" w:rsidR="00093AEC" w:rsidRDefault="00093AEC" w:rsidP="00093AEC">
      <w:pPr>
        <w:rPr>
          <w:rFonts w:ascii="Arial" w:hAnsi="Arial" w:cs="Arial"/>
          <w:b/>
          <w:sz w:val="20"/>
          <w:szCs w:val="20"/>
        </w:rPr>
      </w:pPr>
    </w:p>
    <w:p w14:paraId="07DEFA2C" w14:textId="77777777" w:rsidR="00093AEC" w:rsidRDefault="00093AEC" w:rsidP="00093AEC">
      <w:pPr>
        <w:rPr>
          <w:rFonts w:ascii="Arial" w:hAnsi="Arial" w:cs="Arial"/>
          <w:b/>
          <w:sz w:val="20"/>
          <w:szCs w:val="20"/>
        </w:rPr>
      </w:pPr>
    </w:p>
    <w:p w14:paraId="10301BF7" w14:textId="77777777" w:rsidR="00093AEC" w:rsidRDefault="00093AEC" w:rsidP="00093AEC">
      <w:pPr>
        <w:rPr>
          <w:rFonts w:ascii="Arial" w:hAnsi="Arial" w:cs="Arial"/>
          <w:b/>
          <w:sz w:val="20"/>
          <w:szCs w:val="20"/>
        </w:rPr>
      </w:pPr>
    </w:p>
    <w:p w14:paraId="20AD8C21" w14:textId="77777777" w:rsidR="00093AEC" w:rsidRDefault="00093AEC" w:rsidP="00093AEC">
      <w:pPr>
        <w:rPr>
          <w:rFonts w:ascii="Arial" w:hAnsi="Arial" w:cs="Arial"/>
          <w:b/>
          <w:sz w:val="20"/>
          <w:szCs w:val="20"/>
        </w:rPr>
      </w:pPr>
    </w:p>
    <w:p w14:paraId="3CE586B6" w14:textId="77777777" w:rsidR="00093AEC" w:rsidRDefault="00093AEC" w:rsidP="00093AEC">
      <w:pPr>
        <w:rPr>
          <w:b/>
          <w:bCs/>
          <w:u w:val="single"/>
        </w:rPr>
      </w:pPr>
    </w:p>
    <w:p w14:paraId="4C6DBAD9" w14:textId="77777777" w:rsidR="00093AEC" w:rsidRDefault="00093AEC" w:rsidP="00093AEC">
      <w:pPr>
        <w:rPr>
          <w:b/>
          <w:bCs/>
          <w:u w:val="single"/>
        </w:rPr>
      </w:pPr>
    </w:p>
    <w:p w14:paraId="28A602A8" w14:textId="77777777" w:rsidR="00093AEC" w:rsidRDefault="00093AEC" w:rsidP="00093AEC">
      <w:pPr>
        <w:rPr>
          <w:b/>
          <w:bCs/>
          <w:u w:val="single"/>
        </w:rPr>
      </w:pPr>
    </w:p>
    <w:p w14:paraId="79BFB4D5" w14:textId="77777777" w:rsidR="003349D1" w:rsidRDefault="003349D1">
      <w:pPr>
        <w:rPr>
          <w:b/>
          <w:bCs/>
          <w:u w:val="single"/>
        </w:rPr>
      </w:pPr>
    </w:p>
    <w:p w14:paraId="68349BE2" w14:textId="7CE86034" w:rsidR="00621723" w:rsidRDefault="003349D1">
      <w:pPr>
        <w:rPr>
          <w:b/>
          <w:bCs/>
          <w:u w:val="single"/>
        </w:rPr>
      </w:pPr>
      <w:r>
        <w:rPr>
          <w:b/>
          <w:bCs/>
          <w:u w:val="single"/>
        </w:rPr>
        <w:lastRenderedPageBreak/>
        <w:t>U</w:t>
      </w:r>
      <w:r w:rsidR="00093AEC">
        <w:rPr>
          <w:b/>
          <w:bCs/>
          <w:u w:val="single"/>
        </w:rPr>
        <w:t>n</w:t>
      </w:r>
      <w:r w:rsidR="003E0C0D" w:rsidRPr="003E0C0D">
        <w:rPr>
          <w:b/>
          <w:bCs/>
          <w:u w:val="single"/>
        </w:rPr>
        <w:t xml:space="preserve">derstanding Resourcing and Talent Planning </w:t>
      </w:r>
    </w:p>
    <w:p w14:paraId="08CE3302" w14:textId="7A592257" w:rsidR="001A5E61" w:rsidRPr="005E1274" w:rsidRDefault="005E1274" w:rsidP="005E1274">
      <w:pPr>
        <w:rPr>
          <w:rFonts w:cstheme="minorHAnsi"/>
          <w:b/>
          <w:bCs/>
        </w:rPr>
      </w:pPr>
      <w:r w:rsidRPr="00481334">
        <w:rPr>
          <w:rFonts w:cstheme="minorHAnsi"/>
          <w:b/>
          <w:bCs/>
        </w:rPr>
        <w:t xml:space="preserve">1. </w:t>
      </w:r>
      <w:r w:rsidR="003E0C0D" w:rsidRPr="00481334">
        <w:rPr>
          <w:rFonts w:cstheme="minorHAnsi"/>
          <w:b/>
          <w:bCs/>
        </w:rPr>
        <w:t>An employee is emigrating and asks you if the labour market trends of their destination country are the same as in the UK. Describe the key contemporary trends in both the UK labour market and in the labour market of any other country (of your choice).</w:t>
      </w:r>
    </w:p>
    <w:p w14:paraId="245A5075" w14:textId="77777777" w:rsidR="005E1274" w:rsidRDefault="005E1274" w:rsidP="005E1274">
      <w:pPr>
        <w:rPr>
          <w:rFonts w:cstheme="minorHAnsi"/>
        </w:rPr>
      </w:pPr>
      <w:r w:rsidRPr="005E1274">
        <w:rPr>
          <w:rFonts w:cstheme="minorHAnsi"/>
        </w:rPr>
        <w:t xml:space="preserve">Labour </w:t>
      </w:r>
      <w:r>
        <w:rPr>
          <w:rFonts w:cstheme="minorHAnsi"/>
        </w:rPr>
        <w:t>m</w:t>
      </w:r>
      <w:r w:rsidRPr="005E1274">
        <w:rPr>
          <w:rFonts w:cstheme="minorHAnsi"/>
        </w:rPr>
        <w:t xml:space="preserve">arket </w:t>
      </w:r>
      <w:r>
        <w:rPr>
          <w:rFonts w:cstheme="minorHAnsi"/>
        </w:rPr>
        <w:t xml:space="preserve">trends throughout 2020/21 have been impacted significantly by the COVID-19 pandemic, both within the UK and globally. There have also been changes more specifically within the UK and EU due to Brexit, with these changes being felt more widely into 2021 when the UK’s transition out of the EU took place. </w:t>
      </w:r>
    </w:p>
    <w:p w14:paraId="598C5ABF" w14:textId="7939523F" w:rsidR="00BB42BB" w:rsidRDefault="005E1274" w:rsidP="005E1274">
      <w:pPr>
        <w:rPr>
          <w:rFonts w:cstheme="minorHAnsi"/>
          <w:color w:val="323132"/>
          <w:shd w:val="clear" w:color="auto" w:fill="FFFFFF"/>
        </w:rPr>
      </w:pPr>
      <w:r>
        <w:rPr>
          <w:rFonts w:cstheme="minorHAnsi"/>
        </w:rPr>
        <w:t xml:space="preserve">The CIPD Labour Market outlook survey in February 2021 advised that after a significant drop in employment during the summer of 2020, net employment </w:t>
      </w:r>
      <w:r w:rsidR="00BB42BB">
        <w:rPr>
          <w:rFonts w:cstheme="minorHAnsi"/>
        </w:rPr>
        <w:t xml:space="preserve">in the UK </w:t>
      </w:r>
      <w:r>
        <w:rPr>
          <w:rFonts w:cstheme="minorHAnsi"/>
        </w:rPr>
        <w:t>was recovering</w:t>
      </w:r>
      <w:r w:rsidR="00BB42BB">
        <w:rPr>
          <w:rFonts w:cstheme="minorHAnsi"/>
        </w:rPr>
        <w:t>,</w:t>
      </w:r>
      <w:r>
        <w:rPr>
          <w:rFonts w:cstheme="minorHAnsi"/>
        </w:rPr>
        <w:t xml:space="preserve"> with employer confidence in some sectors being high (namely within healthcare and IT)</w:t>
      </w:r>
      <w:r w:rsidR="00BB42BB">
        <w:rPr>
          <w:rFonts w:cstheme="minorHAnsi"/>
        </w:rPr>
        <w:t>. This has been</w:t>
      </w:r>
      <w:r>
        <w:rPr>
          <w:rFonts w:cstheme="minorHAnsi"/>
        </w:rPr>
        <w:t xml:space="preserve"> due to clarity around COVID-19 restrictions</w:t>
      </w:r>
      <w:r w:rsidR="00BB42BB">
        <w:rPr>
          <w:rFonts w:cstheme="minorHAnsi"/>
        </w:rPr>
        <w:t xml:space="preserve"> being relaxed, vaccination programmes</w:t>
      </w:r>
      <w:r>
        <w:rPr>
          <w:rFonts w:cstheme="minorHAnsi"/>
        </w:rPr>
        <w:t xml:space="preserve"> and </w:t>
      </w:r>
      <w:r w:rsidR="00BB42BB">
        <w:rPr>
          <w:rFonts w:cstheme="minorHAnsi"/>
        </w:rPr>
        <w:t>outlook</w:t>
      </w:r>
      <w:r>
        <w:rPr>
          <w:rFonts w:cstheme="minorHAnsi"/>
        </w:rPr>
        <w:t xml:space="preserve"> being more positive within these industries. However, confidence within sectors such as hospitality </w:t>
      </w:r>
      <w:r w:rsidR="007C1BD4">
        <w:rPr>
          <w:rFonts w:cstheme="minorHAnsi"/>
        </w:rPr>
        <w:t>has remained</w:t>
      </w:r>
      <w:r>
        <w:rPr>
          <w:rFonts w:cstheme="minorHAnsi"/>
        </w:rPr>
        <w:t xml:space="preserve"> low due to catastrophic impacts of the pandemic on </w:t>
      </w:r>
      <w:r w:rsidR="007C1BD4">
        <w:rPr>
          <w:rFonts w:cstheme="minorHAnsi"/>
        </w:rPr>
        <w:t xml:space="preserve">jobs </w:t>
      </w:r>
      <w:r w:rsidR="00B37C02">
        <w:rPr>
          <w:rFonts w:cstheme="minorHAnsi"/>
        </w:rPr>
        <w:t>and</w:t>
      </w:r>
      <w:r w:rsidR="007C1BD4">
        <w:rPr>
          <w:rFonts w:cstheme="minorHAnsi"/>
        </w:rPr>
        <w:t xml:space="preserve"> certainty on the security of the sector. (CIPD, 2021) Overall, the UK’s employment rate is currently at 75.2%, which is 1% lower than the previous year, with the unemployment rate currently standing at 5% (ONS, 2021) The impact of COVID-19 also saw a record number of redundancies as organisations in many industries struggled to cope with restrictions and the added costs to their businesses relating to the pandemic, which led to almost 15 people per 1,000 being made redundant during the peak of the pandemic.</w:t>
      </w:r>
      <w:r w:rsidR="00BB42BB">
        <w:rPr>
          <w:rFonts w:cstheme="minorHAnsi"/>
        </w:rPr>
        <w:t xml:space="preserve"> (Leaker, 2021) </w:t>
      </w:r>
      <w:r w:rsidR="00E02365">
        <w:rPr>
          <w:rFonts w:cstheme="minorHAnsi"/>
        </w:rPr>
        <w:t xml:space="preserve">Initiatives developed to support businesses such as the furlough scheme also meant </w:t>
      </w:r>
      <w:r w:rsidR="00E02365" w:rsidRPr="00E02365">
        <w:rPr>
          <w:rFonts w:cstheme="minorHAnsi"/>
        </w:rPr>
        <w:t xml:space="preserve">there were changes in terms of hours worked and payroll statistics; </w:t>
      </w:r>
      <w:r w:rsidR="00E02365" w:rsidRPr="00E02365">
        <w:rPr>
          <w:rFonts w:cstheme="minorHAnsi"/>
          <w:color w:val="323132"/>
          <w:shd w:val="clear" w:color="auto" w:fill="FFFFFF"/>
        </w:rPr>
        <w:t>with an estimated 7.9 million people “temporarily away from work” during April 2020. This figure had decreased to 4.1 million people by November 2020. Figures also showed that between April and November 2020, up to 16% of the population was on furlough. (ONS, 2021)</w:t>
      </w:r>
    </w:p>
    <w:p w14:paraId="27153998" w14:textId="55B49E8D" w:rsidR="00717A34" w:rsidRPr="00717A34" w:rsidRDefault="00717A34" w:rsidP="005E1274">
      <w:pPr>
        <w:rPr>
          <w:rFonts w:cstheme="minorHAnsi"/>
        </w:rPr>
      </w:pPr>
      <w:r w:rsidRPr="00717A34">
        <w:rPr>
          <w:rFonts w:cstheme="minorHAnsi"/>
          <w:color w:val="202124"/>
          <w:shd w:val="clear" w:color="auto" w:fill="FFFFFF"/>
        </w:rPr>
        <w:t xml:space="preserve">The availability of labour within the UK has recovered slightly; with an increase of vacancies up to September 2020. However, vacancies remain less than pre-COVID levels, with estimates showing that the number of vacancies compared to 2019 are over 40% lower (Leaker, 2020) </w:t>
      </w:r>
      <w:r>
        <w:rPr>
          <w:rFonts w:cstheme="minorHAnsi"/>
          <w:color w:val="202124"/>
          <w:shd w:val="clear" w:color="auto" w:fill="FFFFFF"/>
        </w:rPr>
        <w:t xml:space="preserve">In terms of sector, both public and private sectors have been impacted heavily over the past year. Public sector workers were advised of pay freezes to combat the financial losses caused by COVID-19, and increasing fatigue amongst staff has caused concern, with resources stretched to capacity. (Clark, 2020) In comparison, the private sector has suffered upheaval in different ways. </w:t>
      </w:r>
      <w:r w:rsidR="00DD297D">
        <w:rPr>
          <w:rFonts w:cstheme="minorHAnsi"/>
          <w:color w:val="202124"/>
          <w:shd w:val="clear" w:color="auto" w:fill="FFFFFF"/>
        </w:rPr>
        <w:t xml:space="preserve">COVID-19 was said to have accelerated redundancies in some parts of the sector, and comparatively with the public sector, pay is said to have fallen (in terms of hours paid) due to the nature of industries within the sector, for example, hospitality. </w:t>
      </w:r>
      <w:r w:rsidR="00972795">
        <w:rPr>
          <w:rFonts w:cstheme="minorHAnsi"/>
          <w:color w:val="202124"/>
          <w:shd w:val="clear" w:color="auto" w:fill="FFFFFF"/>
        </w:rPr>
        <w:t xml:space="preserve">In the industries most impacted within the private sector, </w:t>
      </w:r>
      <w:proofErr w:type="gramStart"/>
      <w:r w:rsidR="00972795">
        <w:rPr>
          <w:rFonts w:cstheme="minorHAnsi"/>
          <w:color w:val="202124"/>
          <w:shd w:val="clear" w:color="auto" w:fill="FFFFFF"/>
        </w:rPr>
        <w:t>16-21 year</w:t>
      </w:r>
      <w:proofErr w:type="gramEnd"/>
      <w:r w:rsidR="00DD297D">
        <w:rPr>
          <w:rFonts w:cstheme="minorHAnsi"/>
          <w:color w:val="202124"/>
          <w:shd w:val="clear" w:color="auto" w:fill="FFFFFF"/>
        </w:rPr>
        <w:t xml:space="preserve"> olds make up </w:t>
      </w:r>
      <w:r w:rsidR="00972795">
        <w:rPr>
          <w:rFonts w:cstheme="minorHAnsi"/>
          <w:color w:val="202124"/>
          <w:shd w:val="clear" w:color="auto" w:fill="FFFFFF"/>
        </w:rPr>
        <w:t xml:space="preserve">the largest portion </w:t>
      </w:r>
      <w:r w:rsidR="00DD297D">
        <w:rPr>
          <w:rFonts w:cstheme="minorHAnsi"/>
          <w:color w:val="202124"/>
          <w:shd w:val="clear" w:color="auto" w:fill="FFFFFF"/>
        </w:rPr>
        <w:t xml:space="preserve">of workers </w:t>
      </w:r>
      <w:r w:rsidR="00972795">
        <w:rPr>
          <w:rFonts w:cstheme="minorHAnsi"/>
          <w:color w:val="202124"/>
          <w:shd w:val="clear" w:color="auto" w:fill="FFFFFF"/>
        </w:rPr>
        <w:t>affected by COVID-19.</w:t>
      </w:r>
      <w:r w:rsidR="00DD297D">
        <w:rPr>
          <w:rFonts w:cstheme="minorHAnsi"/>
          <w:color w:val="202124"/>
          <w:shd w:val="clear" w:color="auto" w:fill="FFFFFF"/>
        </w:rPr>
        <w:t xml:space="preserve"> (ONS, 2020) </w:t>
      </w:r>
    </w:p>
    <w:p w14:paraId="236E6E00" w14:textId="6E4157DB" w:rsidR="00930F37" w:rsidRDefault="00D757E1" w:rsidP="005E1274">
      <w:pPr>
        <w:rPr>
          <w:rFonts w:cstheme="minorHAnsi"/>
        </w:rPr>
      </w:pPr>
      <w:r>
        <w:rPr>
          <w:rFonts w:cstheme="minorHAnsi"/>
        </w:rPr>
        <w:t xml:space="preserve">Comparatively, Australia has an unemployment rate currently of 5.6%, which is slightly above the UK, with an employment rate of just over 66%. </w:t>
      </w:r>
      <w:r w:rsidR="00972795">
        <w:rPr>
          <w:rFonts w:cstheme="minorHAnsi"/>
        </w:rPr>
        <w:t>Compared</w:t>
      </w:r>
      <w:r>
        <w:rPr>
          <w:rFonts w:cstheme="minorHAnsi"/>
        </w:rPr>
        <w:t xml:space="preserve"> to 2019, </w:t>
      </w:r>
      <w:r w:rsidR="00972795">
        <w:rPr>
          <w:rFonts w:cstheme="minorHAnsi"/>
        </w:rPr>
        <w:t xml:space="preserve">employment </w:t>
      </w:r>
      <w:r>
        <w:rPr>
          <w:rFonts w:cstheme="minorHAnsi"/>
        </w:rPr>
        <w:t>is 8% lower</w:t>
      </w:r>
      <w:r w:rsidR="00972795">
        <w:rPr>
          <w:rFonts w:cstheme="minorHAnsi"/>
        </w:rPr>
        <w:t>, and the</w:t>
      </w:r>
      <w:r w:rsidR="00930F37">
        <w:rPr>
          <w:rFonts w:cstheme="minorHAnsi"/>
        </w:rPr>
        <w:t xml:space="preserve"> unemployment </w:t>
      </w:r>
      <w:r w:rsidR="00972795">
        <w:rPr>
          <w:rFonts w:cstheme="minorHAnsi"/>
        </w:rPr>
        <w:t xml:space="preserve">rate was as low </w:t>
      </w:r>
      <w:r w:rsidR="00930F37">
        <w:rPr>
          <w:rFonts w:cstheme="minorHAnsi"/>
        </w:rPr>
        <w:t xml:space="preserve">as 6.9% during the peak of the pandemic. </w:t>
      </w:r>
      <w:r>
        <w:rPr>
          <w:rFonts w:cstheme="minorHAnsi"/>
        </w:rPr>
        <w:t>As in the UK, the COVID-19 pandemic has caused dramatic changes in the labour market, with many industries (</w:t>
      </w:r>
      <w:r w:rsidR="00972795">
        <w:rPr>
          <w:rFonts w:cstheme="minorHAnsi"/>
        </w:rPr>
        <w:t xml:space="preserve">particularly </w:t>
      </w:r>
      <w:r>
        <w:rPr>
          <w:rFonts w:cstheme="minorHAnsi"/>
        </w:rPr>
        <w:t>in the private secto</w:t>
      </w:r>
      <w:r w:rsidR="00972795">
        <w:rPr>
          <w:rFonts w:cstheme="minorHAnsi"/>
        </w:rPr>
        <w:t>r</w:t>
      </w:r>
      <w:r>
        <w:rPr>
          <w:rFonts w:cstheme="minorHAnsi"/>
        </w:rPr>
        <w:t xml:space="preserve">) having to make job reductions to combat the impact of </w:t>
      </w:r>
      <w:r w:rsidR="00972795">
        <w:rPr>
          <w:rFonts w:cstheme="minorHAnsi"/>
        </w:rPr>
        <w:t>COVID-19</w:t>
      </w:r>
      <w:r>
        <w:rPr>
          <w:rFonts w:cstheme="minorHAnsi"/>
        </w:rPr>
        <w:t>. (ABS, 2021) As in the UK, the number of vacancies within the Australian labour market decreased significantly throughout the spring of 2020, and gradually increased as the year went on and restrictions were loosened. Australia introduced a Coronavirus benefit supplement to support individuals</w:t>
      </w:r>
      <w:r w:rsidR="00930F37">
        <w:rPr>
          <w:rFonts w:cstheme="minorHAnsi"/>
        </w:rPr>
        <w:t xml:space="preserve"> who were made redundant</w:t>
      </w:r>
      <w:r w:rsidR="00972795">
        <w:rPr>
          <w:rFonts w:cstheme="minorHAnsi"/>
        </w:rPr>
        <w:t xml:space="preserve"> or</w:t>
      </w:r>
      <w:r w:rsidR="00930F37">
        <w:rPr>
          <w:rFonts w:cstheme="minorHAnsi"/>
        </w:rPr>
        <w:t xml:space="preserve"> had to withdraw from the labour market. Interestingly, it was noted that most individuals who withdrew from the labour market were female due to school closures. (Borland, </w:t>
      </w:r>
      <w:r w:rsidR="00930F37">
        <w:rPr>
          <w:rFonts w:cstheme="minorHAnsi"/>
        </w:rPr>
        <w:lastRenderedPageBreak/>
        <w:t>2020) With regards to impact on age groups, from March to May 2020, 15-24 year olds in the Australian labour market were most affected by job losses or movement out of the labour force due to them mainly being employed in industries most heavily impacted by COVID-19 (</w:t>
      </w:r>
      <w:r w:rsidR="00972795">
        <w:rPr>
          <w:rFonts w:cstheme="minorHAnsi"/>
        </w:rPr>
        <w:t xml:space="preserve">i.e. </w:t>
      </w:r>
      <w:r w:rsidR="00930F37">
        <w:rPr>
          <w:rFonts w:cstheme="minorHAnsi"/>
        </w:rPr>
        <w:t>service industr</w:t>
      </w:r>
      <w:r w:rsidR="00972795">
        <w:rPr>
          <w:rFonts w:cstheme="minorHAnsi"/>
        </w:rPr>
        <w:t>ies</w:t>
      </w:r>
      <w:r w:rsidR="00930F37">
        <w:rPr>
          <w:rFonts w:cstheme="minorHAnsi"/>
        </w:rPr>
        <w:t>). It was also found that, as in the UK, the private sector was affected by job losses and reductions in pay, whereas the public sector remained largely stagnant. (Karp, 2020)</w:t>
      </w:r>
    </w:p>
    <w:p w14:paraId="4B0776AA" w14:textId="7E4F12BD" w:rsidR="00A2532A" w:rsidRPr="00A2532A" w:rsidRDefault="00930F37" w:rsidP="003E0C0D">
      <w:pPr>
        <w:rPr>
          <w:rFonts w:cstheme="minorHAnsi"/>
        </w:rPr>
      </w:pPr>
      <w:r>
        <w:rPr>
          <w:rFonts w:cstheme="minorHAnsi"/>
        </w:rPr>
        <w:t xml:space="preserve">In summary, labour markets across the world have been impacted in similar ways over the past year due to the COVID-19 pandemic. Changes seen have been similar in terms of unemployment and, how the pandemic has affected certain industries and demographics of society. Recovery is being seen, as restrictions are lifted, and longer-term plans are put in place to support businesses to aid recovery of the labour </w:t>
      </w:r>
      <w:r w:rsidR="00972795">
        <w:rPr>
          <w:rFonts w:cstheme="minorHAnsi"/>
        </w:rPr>
        <w:t>market</w:t>
      </w:r>
      <w:r>
        <w:rPr>
          <w:rFonts w:cstheme="minorHAnsi"/>
        </w:rPr>
        <w:t>.</w:t>
      </w:r>
    </w:p>
    <w:p w14:paraId="11A026B4" w14:textId="090E338E" w:rsidR="003E0C0D" w:rsidRPr="00A2532A" w:rsidRDefault="00A2532A" w:rsidP="00A2532A">
      <w:pPr>
        <w:rPr>
          <w:rFonts w:cstheme="minorHAnsi"/>
          <w:b/>
          <w:bCs/>
          <w:u w:val="single"/>
        </w:rPr>
      </w:pPr>
      <w:r w:rsidRPr="00481334">
        <w:rPr>
          <w:rFonts w:cstheme="minorHAnsi"/>
          <w:b/>
          <w:bCs/>
        </w:rPr>
        <w:t xml:space="preserve">2. </w:t>
      </w:r>
      <w:r w:rsidR="003E0C0D" w:rsidRPr="00481334">
        <w:rPr>
          <w:rFonts w:cstheme="minorHAnsi"/>
          <w:b/>
          <w:bCs/>
        </w:rPr>
        <w:t>A new HR assistant asks you to explain the following aspects of workforce planning:</w:t>
      </w:r>
    </w:p>
    <w:p w14:paraId="5CDA106D" w14:textId="3783922A" w:rsidR="003E0C0D" w:rsidRPr="00A2532A" w:rsidRDefault="003E0C0D" w:rsidP="003E0C0D">
      <w:pPr>
        <w:pStyle w:val="ListParagraph"/>
        <w:numPr>
          <w:ilvl w:val="0"/>
          <w:numId w:val="3"/>
        </w:numPr>
        <w:rPr>
          <w:rFonts w:cstheme="minorHAnsi"/>
          <w:b/>
          <w:bCs/>
          <w:u w:val="single"/>
        </w:rPr>
      </w:pPr>
      <w:r w:rsidRPr="00A2532A">
        <w:rPr>
          <w:rFonts w:cstheme="minorHAnsi"/>
          <w:b/>
          <w:bCs/>
        </w:rPr>
        <w:t>key principles of workforce planning</w:t>
      </w:r>
    </w:p>
    <w:p w14:paraId="4D8B21D6" w14:textId="1F53165A" w:rsidR="003E0C0D" w:rsidRPr="00A2532A" w:rsidRDefault="003E0C0D" w:rsidP="003E0C0D">
      <w:pPr>
        <w:pStyle w:val="ListParagraph"/>
        <w:numPr>
          <w:ilvl w:val="0"/>
          <w:numId w:val="3"/>
        </w:numPr>
        <w:rPr>
          <w:rFonts w:cstheme="minorHAnsi"/>
          <w:b/>
          <w:bCs/>
          <w:u w:val="single"/>
        </w:rPr>
      </w:pPr>
      <w:r w:rsidRPr="00A2532A">
        <w:rPr>
          <w:rFonts w:cstheme="minorHAnsi"/>
          <w:b/>
          <w:bCs/>
        </w:rPr>
        <w:t>tools used in workforce planning</w:t>
      </w:r>
    </w:p>
    <w:p w14:paraId="0D340111" w14:textId="062B1E7A" w:rsidR="00E72C8A" w:rsidRPr="00E634FE" w:rsidRDefault="003E0C0D" w:rsidP="00E72C8A">
      <w:pPr>
        <w:pStyle w:val="ListParagraph"/>
        <w:numPr>
          <w:ilvl w:val="0"/>
          <w:numId w:val="3"/>
        </w:numPr>
        <w:rPr>
          <w:rFonts w:cstheme="minorHAnsi"/>
          <w:b/>
          <w:bCs/>
          <w:u w:val="single"/>
        </w:rPr>
      </w:pPr>
      <w:r w:rsidRPr="00A2532A">
        <w:rPr>
          <w:rFonts w:cstheme="minorHAnsi"/>
          <w:b/>
          <w:bCs/>
        </w:rPr>
        <w:t>how to develop a basic people plan, including succession planning</w:t>
      </w:r>
    </w:p>
    <w:p w14:paraId="67D77430" w14:textId="30C9B049" w:rsidR="00E72C8A" w:rsidRDefault="00E72C8A" w:rsidP="00E72C8A">
      <w:pPr>
        <w:rPr>
          <w:rFonts w:cstheme="minorHAnsi"/>
        </w:rPr>
      </w:pPr>
      <w:r w:rsidRPr="00E72C8A">
        <w:rPr>
          <w:rFonts w:cstheme="minorHAnsi"/>
        </w:rPr>
        <w:t xml:space="preserve">Workforce planning </w:t>
      </w:r>
      <w:r>
        <w:rPr>
          <w:rFonts w:cstheme="minorHAnsi"/>
        </w:rPr>
        <w:t xml:space="preserve">is a critical part of any organisational strategy. To allow an organisation to be agile and cope with demands of a changing business landscape, it is prudent to ensure workforce planning is a core business process to enable long term objectives. (CIPD, 2020) </w:t>
      </w:r>
    </w:p>
    <w:p w14:paraId="447CB33E" w14:textId="20CFE8AC" w:rsidR="00E72C8A" w:rsidRDefault="00E72C8A" w:rsidP="00E72C8A">
      <w:pPr>
        <w:rPr>
          <w:rFonts w:cstheme="minorHAnsi"/>
        </w:rPr>
      </w:pPr>
      <w:r>
        <w:rPr>
          <w:rFonts w:cstheme="minorHAnsi"/>
        </w:rPr>
        <w:t xml:space="preserve">Workforce planning can be utilised in different ways, and there are </w:t>
      </w:r>
      <w:r w:rsidR="004A317D">
        <w:rPr>
          <w:rFonts w:cstheme="minorHAnsi"/>
        </w:rPr>
        <w:t>several</w:t>
      </w:r>
      <w:r>
        <w:rPr>
          <w:rFonts w:cstheme="minorHAnsi"/>
        </w:rPr>
        <w:t xml:space="preserve"> principles to consider during the process. It is crucial to understand the organisation itself and its direction, </w:t>
      </w:r>
      <w:r w:rsidR="004A317D">
        <w:rPr>
          <w:rFonts w:cstheme="minorHAnsi"/>
        </w:rPr>
        <w:t xml:space="preserve">then analyse how the workforce currently operates and how this will change over time. At this stage it is important to consider skills gaps, whilst planning how the business will overcome any challenges due to these issues. Actions then need to be put into place to </w:t>
      </w:r>
      <w:r w:rsidR="009F4181">
        <w:rPr>
          <w:rFonts w:cstheme="minorHAnsi"/>
        </w:rPr>
        <w:t>meet</w:t>
      </w:r>
      <w:r w:rsidR="004A317D">
        <w:rPr>
          <w:rFonts w:cstheme="minorHAnsi"/>
        </w:rPr>
        <w:t xml:space="preserve"> the objectives of the workforce planning activities, with evaluation</w:t>
      </w:r>
      <w:r w:rsidR="009F4181">
        <w:rPr>
          <w:rFonts w:cstheme="minorHAnsi"/>
        </w:rPr>
        <w:t xml:space="preserve"> </w:t>
      </w:r>
      <w:r w:rsidR="004A317D">
        <w:rPr>
          <w:rFonts w:cstheme="minorHAnsi"/>
        </w:rPr>
        <w:t xml:space="preserve">taking place throughout to ensure a robust process is followed. (CIPD, 2020) </w:t>
      </w:r>
      <w:r w:rsidR="00FB3B05">
        <w:rPr>
          <w:rFonts w:cstheme="minorHAnsi"/>
        </w:rPr>
        <w:t>It is important to recognise that buy-in is also needed from stakeholders across all levels</w:t>
      </w:r>
      <w:r w:rsidR="009F4181">
        <w:rPr>
          <w:rFonts w:cstheme="minorHAnsi"/>
        </w:rPr>
        <w:t>. E</w:t>
      </w:r>
      <w:r w:rsidR="00FB3B05">
        <w:rPr>
          <w:rFonts w:cstheme="minorHAnsi"/>
        </w:rPr>
        <w:t xml:space="preserve">nsuring activities are focussed on by the </w:t>
      </w:r>
      <w:r w:rsidR="00481334">
        <w:rPr>
          <w:rFonts w:cstheme="minorHAnsi"/>
        </w:rPr>
        <w:t>business, with</w:t>
      </w:r>
      <w:r w:rsidR="00FB3B05">
        <w:rPr>
          <w:rFonts w:cstheme="minorHAnsi"/>
        </w:rPr>
        <w:t xml:space="preserve"> a bigger picture view to ensure clarity for employees, will support this. </w:t>
      </w:r>
      <w:r w:rsidR="004A317D">
        <w:rPr>
          <w:rFonts w:cstheme="minorHAnsi"/>
        </w:rPr>
        <w:t xml:space="preserve">Workforce planning has become particularly crucial </w:t>
      </w:r>
      <w:r w:rsidR="009F4181">
        <w:rPr>
          <w:rFonts w:cstheme="minorHAnsi"/>
        </w:rPr>
        <w:t>considering</w:t>
      </w:r>
      <w:r w:rsidR="004A317D">
        <w:rPr>
          <w:rFonts w:cstheme="minorHAnsi"/>
        </w:rPr>
        <w:t xml:space="preserve"> the COVID-19 pandemic, with businesses identifying key roles that are critical for business continuity. Succession planning to ensure critical roles are ‘future proof’ and identifying automation to </w:t>
      </w:r>
      <w:r w:rsidR="00FB3B05">
        <w:rPr>
          <w:rFonts w:cstheme="minorHAnsi"/>
        </w:rPr>
        <w:t xml:space="preserve">minimise </w:t>
      </w:r>
      <w:r w:rsidR="004A317D">
        <w:rPr>
          <w:rFonts w:cstheme="minorHAnsi"/>
        </w:rPr>
        <w:t xml:space="preserve">monotonous processes </w:t>
      </w:r>
      <w:r w:rsidR="009F4181">
        <w:rPr>
          <w:rFonts w:cstheme="minorHAnsi"/>
        </w:rPr>
        <w:t>to</w:t>
      </w:r>
      <w:r w:rsidR="004A317D">
        <w:rPr>
          <w:rFonts w:cstheme="minorHAnsi"/>
        </w:rPr>
        <w:t xml:space="preserve"> free up </w:t>
      </w:r>
      <w:r w:rsidR="00FB3B05">
        <w:rPr>
          <w:rFonts w:cstheme="minorHAnsi"/>
        </w:rPr>
        <w:t xml:space="preserve">labour are other major considerations for organisations going forward, particularly considering an ageing workforce within the UK and developments in technology. (Gibson, 2020) </w:t>
      </w:r>
    </w:p>
    <w:p w14:paraId="287E694C" w14:textId="4FDBD8E5" w:rsidR="00FB3B05" w:rsidRDefault="002E5A3E" w:rsidP="00E72C8A">
      <w:pPr>
        <w:rPr>
          <w:rFonts w:cstheme="minorHAnsi"/>
        </w:rPr>
      </w:pPr>
      <w:r>
        <w:rPr>
          <w:rFonts w:cstheme="minorHAnsi"/>
        </w:rPr>
        <w:t>There are many tools that can be used to monitor and analyse workforce planning. When developing a strategy, an organisation could use PESTLE or SWOT analysis methods to measure where the business is positioned and potential challenges that the organisation could face in both the present and future. The organisation could then look to utilise different methods to plan and analyse workforce planning, including:</w:t>
      </w:r>
    </w:p>
    <w:p w14:paraId="401CB756" w14:textId="03BFEAF4" w:rsidR="002E5A3E" w:rsidRDefault="002E5A3E" w:rsidP="002E5A3E">
      <w:pPr>
        <w:pStyle w:val="ListParagraph"/>
        <w:numPr>
          <w:ilvl w:val="0"/>
          <w:numId w:val="15"/>
        </w:numPr>
        <w:rPr>
          <w:rFonts w:cstheme="minorHAnsi"/>
        </w:rPr>
      </w:pPr>
      <w:r>
        <w:rPr>
          <w:rFonts w:cstheme="minorHAnsi"/>
        </w:rPr>
        <w:t>Scenario Planning – where the business will look to create possible outcomes to the workforce planning activities</w:t>
      </w:r>
      <w:r w:rsidR="00A640C6">
        <w:rPr>
          <w:rFonts w:cstheme="minorHAnsi"/>
        </w:rPr>
        <w:t xml:space="preserve"> </w:t>
      </w:r>
      <w:r>
        <w:rPr>
          <w:rFonts w:cstheme="minorHAnsi"/>
        </w:rPr>
        <w:t xml:space="preserve">and determine how the business would perform within each scenario. Changes could include examples such as a crisis </w:t>
      </w:r>
      <w:r w:rsidR="00A640C6">
        <w:rPr>
          <w:rFonts w:cstheme="minorHAnsi"/>
        </w:rPr>
        <w:t>(e.g. COVID-19) or technological changes within the market.</w:t>
      </w:r>
    </w:p>
    <w:p w14:paraId="3BB00D49" w14:textId="77777777" w:rsidR="00A640C6" w:rsidRDefault="00A640C6" w:rsidP="002E5A3E">
      <w:pPr>
        <w:pStyle w:val="ListParagraph"/>
        <w:numPr>
          <w:ilvl w:val="0"/>
          <w:numId w:val="15"/>
        </w:numPr>
        <w:rPr>
          <w:rFonts w:cstheme="minorHAnsi"/>
        </w:rPr>
      </w:pPr>
      <w:r>
        <w:rPr>
          <w:rFonts w:cstheme="minorHAnsi"/>
        </w:rPr>
        <w:t xml:space="preserve">Strategic Workforce planning map – this involves ‘mapping’ HR objectives in line with organisational objectives, to align the strategic outlook of the business. Looking from the top down, a map such as this will aim to see the ‘bigger picture’ of what the organisation needs to achieve, and then plan objectives around how to achieve these goals. </w:t>
      </w:r>
    </w:p>
    <w:p w14:paraId="1AAF6F42" w14:textId="6C016B07" w:rsidR="00A640C6" w:rsidRDefault="00A640C6" w:rsidP="002E5A3E">
      <w:pPr>
        <w:pStyle w:val="ListParagraph"/>
        <w:numPr>
          <w:ilvl w:val="0"/>
          <w:numId w:val="15"/>
        </w:numPr>
        <w:rPr>
          <w:rFonts w:cstheme="minorHAnsi"/>
        </w:rPr>
      </w:pPr>
      <w:r>
        <w:rPr>
          <w:rFonts w:cstheme="minorHAnsi"/>
        </w:rPr>
        <w:lastRenderedPageBreak/>
        <w:t xml:space="preserve">Skills/Job analysis – this includes analysing external trends, to benchmark if roles and the skills required for them are accurately met, whilst ensuring compensation </w:t>
      </w:r>
      <w:r w:rsidR="009F4181">
        <w:rPr>
          <w:rFonts w:cstheme="minorHAnsi"/>
        </w:rPr>
        <w:t>is</w:t>
      </w:r>
      <w:r>
        <w:rPr>
          <w:rFonts w:cstheme="minorHAnsi"/>
        </w:rPr>
        <w:t xml:space="preserve"> also</w:t>
      </w:r>
      <w:r w:rsidR="009F4181">
        <w:rPr>
          <w:rFonts w:cstheme="minorHAnsi"/>
        </w:rPr>
        <w:t xml:space="preserve"> </w:t>
      </w:r>
      <w:r>
        <w:rPr>
          <w:rFonts w:cstheme="minorHAnsi"/>
        </w:rPr>
        <w:t xml:space="preserve">in line with competitors. An organisation could use a skills matrix to map where skills are in short supply, and plan how to plug any gaps (for example through succession planning, upskilling, or promoting staff). This can support the business to not only remain competitive within its market, but also ensure retention of employees by offering opportunities to develop and clear succession plans.  </w:t>
      </w:r>
    </w:p>
    <w:p w14:paraId="26A45BCF" w14:textId="77777777" w:rsidR="00A640C6" w:rsidRDefault="00A640C6" w:rsidP="00A640C6">
      <w:pPr>
        <w:pStyle w:val="ListParagraph"/>
        <w:ind w:left="7920"/>
        <w:rPr>
          <w:rFonts w:cstheme="minorHAnsi"/>
        </w:rPr>
      </w:pPr>
      <w:r>
        <w:rPr>
          <w:rFonts w:cstheme="minorHAnsi"/>
        </w:rPr>
        <w:t>(HRT, 2020)</w:t>
      </w:r>
    </w:p>
    <w:p w14:paraId="288759B1" w14:textId="76FDDBF0" w:rsidR="00A2532A" w:rsidRDefault="00A640C6" w:rsidP="00825F54">
      <w:pPr>
        <w:jc w:val="both"/>
        <w:rPr>
          <w:rFonts w:cstheme="minorHAnsi"/>
        </w:rPr>
      </w:pPr>
      <w:r>
        <w:rPr>
          <w:rFonts w:cstheme="minorHAnsi"/>
        </w:rPr>
        <w:t>Utilising the above tools, an organisation can ensure robust practices are followed when workforce planning is being undertaken. It is important to also carry out analysis</w:t>
      </w:r>
      <w:r w:rsidR="00824DF1">
        <w:rPr>
          <w:rFonts w:cstheme="minorHAnsi"/>
        </w:rPr>
        <w:t xml:space="preserve"> as an ongoing activity, particularly around skills and talent within the organisation. Some businesses may look to create an organisational talent inventory, which looks to manage talent in a more strategic way and links to overall objectives of the business.</w:t>
      </w:r>
      <w:r w:rsidR="00825F54">
        <w:rPr>
          <w:rFonts w:cstheme="minorHAnsi"/>
        </w:rPr>
        <w:t xml:space="preserve"> Involving the correct stakeholder and ensuring talent management within the organisation is inclusive is also critical when developing initiatives such as talent inventories. This ensures that the widest pool of talent can be accessed, in a fair way, and gains a buy-in from the business in its entirety</w:t>
      </w:r>
      <w:r w:rsidR="009F4181">
        <w:rPr>
          <w:rFonts w:cstheme="minorHAnsi"/>
        </w:rPr>
        <w:t xml:space="preserve">. </w:t>
      </w:r>
      <w:r w:rsidR="00825F54">
        <w:rPr>
          <w:rFonts w:cstheme="minorHAnsi"/>
        </w:rPr>
        <w:t xml:space="preserve">The organisation can also utilise evaluation processes to measure the results of how well talent management is working, for example via productivity, </w:t>
      </w:r>
      <w:r w:rsidR="009F4181">
        <w:rPr>
          <w:rFonts w:cstheme="minorHAnsi"/>
        </w:rPr>
        <w:t>output,</w:t>
      </w:r>
      <w:r w:rsidR="00825F54">
        <w:rPr>
          <w:rFonts w:cstheme="minorHAnsi"/>
        </w:rPr>
        <w:t xml:space="preserve"> and turnover in comparison with the cost to the business.</w:t>
      </w:r>
      <w:r w:rsidR="004E4C0E">
        <w:rPr>
          <w:rFonts w:cstheme="minorHAnsi"/>
        </w:rPr>
        <w:t xml:space="preserve"> This type of evaluation can also ensure return on investment is also monitored</w:t>
      </w:r>
      <w:r w:rsidR="009F4181">
        <w:rPr>
          <w:rFonts w:cstheme="minorHAnsi"/>
        </w:rPr>
        <w:t xml:space="preserve"> </w:t>
      </w:r>
      <w:r w:rsidR="004E4C0E">
        <w:rPr>
          <w:rFonts w:cstheme="minorHAnsi"/>
        </w:rPr>
        <w:t>appropriately.</w:t>
      </w:r>
      <w:r w:rsidR="00825F54">
        <w:rPr>
          <w:rFonts w:cstheme="minorHAnsi"/>
        </w:rPr>
        <w:t xml:space="preserve"> (</w:t>
      </w:r>
      <w:r w:rsidR="009A751A">
        <w:rPr>
          <w:rFonts w:cstheme="minorHAnsi"/>
        </w:rPr>
        <w:t>Houghton</w:t>
      </w:r>
      <w:r w:rsidR="00825F54">
        <w:rPr>
          <w:rFonts w:cstheme="minorHAnsi"/>
        </w:rPr>
        <w:t xml:space="preserve">, 2020) </w:t>
      </w:r>
    </w:p>
    <w:p w14:paraId="162AEFDA" w14:textId="225FA074" w:rsidR="00A2532A" w:rsidRDefault="004E4C0E" w:rsidP="004E4C0E">
      <w:pPr>
        <w:jc w:val="both"/>
        <w:rPr>
          <w:rFonts w:cstheme="minorHAnsi"/>
        </w:rPr>
      </w:pPr>
      <w:r>
        <w:rPr>
          <w:rFonts w:cstheme="minorHAnsi"/>
        </w:rPr>
        <w:t xml:space="preserve">Succession planning, as above, is critical for the future of a business. However, it is important to remember short term planning is </w:t>
      </w:r>
      <w:r w:rsidR="009F4181">
        <w:rPr>
          <w:rFonts w:cstheme="minorHAnsi"/>
        </w:rPr>
        <w:t xml:space="preserve">key </w:t>
      </w:r>
      <w:r>
        <w:rPr>
          <w:rFonts w:cstheme="minorHAnsi"/>
        </w:rPr>
        <w:t>to ensur</w:t>
      </w:r>
      <w:r w:rsidR="0034100B">
        <w:rPr>
          <w:rFonts w:cstheme="minorHAnsi"/>
        </w:rPr>
        <w:t>ing</w:t>
      </w:r>
      <w:r>
        <w:rPr>
          <w:rFonts w:cstheme="minorHAnsi"/>
        </w:rPr>
        <w:t xml:space="preserve"> operations continue ‘day-to-day’ should there be a crisis or interruption to the business. Having a plan in place that outlines how the workforce links to objectives of the organisation and ensures recruitment needs are met, can support operations in the short term but also support </w:t>
      </w:r>
      <w:proofErr w:type="gramStart"/>
      <w:r>
        <w:rPr>
          <w:rFonts w:cstheme="minorHAnsi"/>
        </w:rPr>
        <w:t>future plans</w:t>
      </w:r>
      <w:proofErr w:type="gramEnd"/>
      <w:r>
        <w:rPr>
          <w:rFonts w:cstheme="minorHAnsi"/>
        </w:rPr>
        <w:t xml:space="preserve">. </w:t>
      </w:r>
    </w:p>
    <w:p w14:paraId="0BEF5F69" w14:textId="514C1703" w:rsidR="003E0C0D" w:rsidRDefault="00A2532A" w:rsidP="00A2532A">
      <w:pPr>
        <w:pStyle w:val="Default"/>
        <w:rPr>
          <w:rFonts w:asciiTheme="minorHAnsi" w:hAnsiTheme="minorHAnsi" w:cstheme="minorHAnsi"/>
          <w:b/>
          <w:bCs/>
          <w:sz w:val="22"/>
          <w:szCs w:val="22"/>
        </w:rPr>
      </w:pPr>
      <w:r w:rsidRPr="00A2532A">
        <w:rPr>
          <w:rFonts w:asciiTheme="minorHAnsi" w:hAnsiTheme="minorHAnsi" w:cstheme="minorHAnsi"/>
          <w:b/>
          <w:bCs/>
          <w:sz w:val="22"/>
          <w:szCs w:val="22"/>
        </w:rPr>
        <w:t xml:space="preserve">3. </w:t>
      </w:r>
      <w:r w:rsidR="003E0C0D" w:rsidRPr="00A2532A">
        <w:rPr>
          <w:rFonts w:asciiTheme="minorHAnsi" w:hAnsiTheme="minorHAnsi" w:cstheme="minorHAnsi"/>
          <w:b/>
          <w:bCs/>
          <w:sz w:val="22"/>
          <w:szCs w:val="22"/>
        </w:rPr>
        <w:t xml:space="preserve">Your Director 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 </w:t>
      </w:r>
    </w:p>
    <w:p w14:paraId="6F1BACDF" w14:textId="13C3DE9A" w:rsidR="004E4C0E" w:rsidRDefault="004E4C0E" w:rsidP="00A2532A">
      <w:pPr>
        <w:pStyle w:val="Default"/>
        <w:rPr>
          <w:rFonts w:asciiTheme="minorHAnsi" w:hAnsiTheme="minorHAnsi" w:cstheme="minorHAnsi"/>
          <w:b/>
          <w:bCs/>
          <w:sz w:val="22"/>
          <w:szCs w:val="22"/>
        </w:rPr>
      </w:pPr>
    </w:p>
    <w:p w14:paraId="27CD8B62" w14:textId="09128067" w:rsidR="006D6EE0" w:rsidRDefault="004E4C0E" w:rsidP="00A2532A">
      <w:pPr>
        <w:pStyle w:val="Default"/>
        <w:rPr>
          <w:rFonts w:asciiTheme="minorHAnsi" w:hAnsiTheme="minorHAnsi" w:cstheme="minorHAnsi"/>
          <w:sz w:val="22"/>
          <w:szCs w:val="22"/>
        </w:rPr>
      </w:pPr>
      <w:r>
        <w:rPr>
          <w:rFonts w:asciiTheme="minorHAnsi" w:hAnsiTheme="minorHAnsi" w:cstheme="minorHAnsi"/>
          <w:sz w:val="22"/>
          <w:szCs w:val="22"/>
        </w:rPr>
        <w:t xml:space="preserve">Attracting and retaining talent is a key factor for organisations to consider when developing workforce planning strategies or initiatives. </w:t>
      </w:r>
      <w:r w:rsidR="00481334">
        <w:rPr>
          <w:rFonts w:asciiTheme="minorHAnsi" w:hAnsiTheme="minorHAnsi" w:cstheme="minorHAnsi"/>
          <w:sz w:val="22"/>
          <w:szCs w:val="22"/>
        </w:rPr>
        <w:t xml:space="preserve">A </w:t>
      </w:r>
      <w:proofErr w:type="spellStart"/>
      <w:r w:rsidR="00481334">
        <w:rPr>
          <w:rFonts w:asciiTheme="minorHAnsi" w:hAnsiTheme="minorHAnsi" w:cstheme="minorHAnsi"/>
          <w:sz w:val="22"/>
          <w:szCs w:val="22"/>
        </w:rPr>
        <w:t>Mckinsey</w:t>
      </w:r>
      <w:proofErr w:type="spellEnd"/>
      <w:r w:rsidR="00481334">
        <w:rPr>
          <w:rFonts w:asciiTheme="minorHAnsi" w:hAnsiTheme="minorHAnsi" w:cstheme="minorHAnsi"/>
          <w:sz w:val="22"/>
          <w:szCs w:val="22"/>
        </w:rPr>
        <w:t xml:space="preserve"> survey found that a</w:t>
      </w:r>
      <w:r w:rsidR="006D6EE0">
        <w:rPr>
          <w:rFonts w:asciiTheme="minorHAnsi" w:hAnsiTheme="minorHAnsi" w:cstheme="minorHAnsi"/>
          <w:sz w:val="22"/>
          <w:szCs w:val="22"/>
        </w:rPr>
        <w:t>lmost one third of senior leaders believe that finding talent within their sector is their biggest challenge (</w:t>
      </w:r>
      <w:r w:rsidR="00481334">
        <w:rPr>
          <w:rFonts w:asciiTheme="minorHAnsi" w:hAnsiTheme="minorHAnsi" w:cstheme="minorHAnsi"/>
          <w:sz w:val="22"/>
          <w:szCs w:val="22"/>
        </w:rPr>
        <w:t>Keller and Meaney</w:t>
      </w:r>
      <w:r w:rsidR="006D6EE0">
        <w:rPr>
          <w:rFonts w:asciiTheme="minorHAnsi" w:hAnsiTheme="minorHAnsi" w:cstheme="minorHAnsi"/>
          <w:sz w:val="22"/>
          <w:szCs w:val="22"/>
        </w:rPr>
        <w:t xml:space="preserve">, 2017), and with increasing shortages of skills across the world or ‘brain-drains’ (where skilled individuals move from their own countries to other countries where skills are in demand or have more attractive job markets) this issue is becoming more apparent for many organisations globally. Brexit has impacted migration of skills both into, and out of, the UK, with some studies estimating that migration from the UK into the EU since the 2016 referendum has increased by over 30%. (Helm, 2020) </w:t>
      </w:r>
      <w:r w:rsidR="0083503F">
        <w:rPr>
          <w:rFonts w:asciiTheme="minorHAnsi" w:hAnsiTheme="minorHAnsi" w:cstheme="minorHAnsi"/>
          <w:sz w:val="22"/>
          <w:szCs w:val="22"/>
        </w:rPr>
        <w:t xml:space="preserve">Coupled with an ageing workforce and fluctuations across markets due to the pandemic, it is more important than ever for organisations to have robust attraction and retention strategies. </w:t>
      </w:r>
    </w:p>
    <w:p w14:paraId="39825647" w14:textId="5834A48E" w:rsidR="0083503F" w:rsidRDefault="0083503F" w:rsidP="00A2532A">
      <w:pPr>
        <w:pStyle w:val="Default"/>
        <w:rPr>
          <w:rFonts w:asciiTheme="minorHAnsi" w:hAnsiTheme="minorHAnsi" w:cstheme="minorHAnsi"/>
          <w:sz w:val="22"/>
          <w:szCs w:val="22"/>
        </w:rPr>
      </w:pPr>
    </w:p>
    <w:p w14:paraId="7CBC313E" w14:textId="2E4E0028" w:rsidR="0083503F" w:rsidRDefault="0083503F" w:rsidP="00A2532A">
      <w:pPr>
        <w:pStyle w:val="Default"/>
        <w:rPr>
          <w:rFonts w:asciiTheme="minorHAnsi" w:hAnsiTheme="minorHAnsi" w:cstheme="minorHAnsi"/>
          <w:sz w:val="22"/>
          <w:szCs w:val="22"/>
        </w:rPr>
      </w:pPr>
      <w:r>
        <w:rPr>
          <w:rFonts w:asciiTheme="minorHAnsi" w:hAnsiTheme="minorHAnsi" w:cstheme="minorHAnsi"/>
          <w:sz w:val="22"/>
          <w:szCs w:val="22"/>
        </w:rPr>
        <w:t xml:space="preserve">There are many approaches a business can take to attract and/or recruit talent, but it is important to remember that having </w:t>
      </w:r>
      <w:r w:rsidR="0029253E">
        <w:rPr>
          <w:rFonts w:asciiTheme="minorHAnsi" w:hAnsiTheme="minorHAnsi" w:cstheme="minorHAnsi"/>
          <w:sz w:val="22"/>
          <w:szCs w:val="22"/>
        </w:rPr>
        <w:t>clear</w:t>
      </w:r>
      <w:r>
        <w:rPr>
          <w:rFonts w:asciiTheme="minorHAnsi" w:hAnsiTheme="minorHAnsi" w:cstheme="minorHAnsi"/>
          <w:sz w:val="22"/>
          <w:szCs w:val="22"/>
        </w:rPr>
        <w:t xml:space="preserve"> processes around retaining talent is</w:t>
      </w:r>
      <w:r w:rsidR="0029253E">
        <w:rPr>
          <w:rFonts w:asciiTheme="minorHAnsi" w:hAnsiTheme="minorHAnsi" w:cstheme="minorHAnsi"/>
          <w:sz w:val="22"/>
          <w:szCs w:val="22"/>
        </w:rPr>
        <w:t xml:space="preserve"> </w:t>
      </w:r>
      <w:r>
        <w:rPr>
          <w:rFonts w:asciiTheme="minorHAnsi" w:hAnsiTheme="minorHAnsi" w:cstheme="minorHAnsi"/>
          <w:sz w:val="22"/>
          <w:szCs w:val="22"/>
        </w:rPr>
        <w:t xml:space="preserve">important particularly in a competitive and turbulent market. The most important factor of a strong attraction and retention strategy is to ensure it underpins and supports organisational objectives. Investment in recruitment is also critical, with a focus on making investments in individuals within the business when they join the organisation as employees. Lastly, having committed line managers who are focussed on driving talent management, whilst creating a culture that is agile and moves with the times, is a real draw </w:t>
      </w:r>
      <w:r>
        <w:rPr>
          <w:rFonts w:asciiTheme="minorHAnsi" w:hAnsiTheme="minorHAnsi" w:cstheme="minorHAnsi"/>
          <w:sz w:val="22"/>
          <w:szCs w:val="22"/>
        </w:rPr>
        <w:lastRenderedPageBreak/>
        <w:t>for talent who look at the organisation as a whole and not just the job role itself</w:t>
      </w:r>
      <w:r w:rsidR="009A005E">
        <w:rPr>
          <w:rFonts w:asciiTheme="minorHAnsi" w:hAnsiTheme="minorHAnsi" w:cstheme="minorHAnsi"/>
          <w:sz w:val="22"/>
          <w:szCs w:val="22"/>
        </w:rPr>
        <w:t>.</w:t>
      </w:r>
      <w:r>
        <w:rPr>
          <w:rFonts w:asciiTheme="minorHAnsi" w:hAnsiTheme="minorHAnsi" w:cstheme="minorHAnsi"/>
          <w:sz w:val="22"/>
          <w:szCs w:val="22"/>
        </w:rPr>
        <w:t xml:space="preserve"> (Hill et Al., 2014) </w:t>
      </w:r>
      <w:r w:rsidR="008D600B" w:rsidRPr="006D7B26">
        <w:rPr>
          <w:rFonts w:asciiTheme="minorHAnsi" w:hAnsiTheme="minorHAnsi" w:cstheme="minorHAnsi"/>
          <w:sz w:val="22"/>
          <w:szCs w:val="22"/>
        </w:rPr>
        <w:t>From the outset, organisations are attempting to create a relationship with</w:t>
      </w:r>
      <w:r w:rsidR="000C303E" w:rsidRPr="006D7B26">
        <w:rPr>
          <w:rFonts w:asciiTheme="minorHAnsi" w:hAnsiTheme="minorHAnsi" w:cstheme="minorHAnsi"/>
          <w:sz w:val="22"/>
          <w:szCs w:val="22"/>
        </w:rPr>
        <w:t xml:space="preserve"> interested</w:t>
      </w:r>
      <w:r w:rsidR="008D600B" w:rsidRPr="006D7B26">
        <w:rPr>
          <w:rFonts w:asciiTheme="minorHAnsi" w:hAnsiTheme="minorHAnsi" w:cstheme="minorHAnsi"/>
          <w:sz w:val="22"/>
          <w:szCs w:val="22"/>
        </w:rPr>
        <w:t xml:space="preserve"> candidates</w:t>
      </w:r>
      <w:r w:rsidR="000C303E" w:rsidRPr="006D7B26">
        <w:rPr>
          <w:rFonts w:asciiTheme="minorHAnsi" w:hAnsiTheme="minorHAnsi" w:cstheme="minorHAnsi"/>
          <w:sz w:val="22"/>
          <w:szCs w:val="22"/>
        </w:rPr>
        <w:t xml:space="preserve">. </w:t>
      </w:r>
      <w:r w:rsidR="008D600B" w:rsidRPr="006D7B26">
        <w:rPr>
          <w:rFonts w:asciiTheme="minorHAnsi" w:hAnsiTheme="minorHAnsi" w:cstheme="minorHAnsi"/>
          <w:sz w:val="22"/>
          <w:szCs w:val="22"/>
        </w:rPr>
        <w:t>Interviews assess the candidates’ skills and whether they would be a good fit for the business (</w:t>
      </w:r>
      <w:r w:rsidR="006D7B26" w:rsidRPr="006D7B26">
        <w:rPr>
          <w:rFonts w:asciiTheme="minorHAnsi" w:hAnsiTheme="minorHAnsi" w:cstheme="minorHAnsi"/>
          <w:sz w:val="22"/>
          <w:szCs w:val="22"/>
        </w:rPr>
        <w:t xml:space="preserve">Armstrong and </w:t>
      </w:r>
      <w:r w:rsidR="008D600B" w:rsidRPr="006D7B26">
        <w:rPr>
          <w:rFonts w:asciiTheme="minorHAnsi" w:hAnsiTheme="minorHAnsi" w:cstheme="minorHAnsi"/>
          <w:sz w:val="22"/>
          <w:szCs w:val="22"/>
        </w:rPr>
        <w:t>Taylor, 2014) However, interviews</w:t>
      </w:r>
      <w:r w:rsidR="008D600B">
        <w:rPr>
          <w:rFonts w:asciiTheme="minorHAnsi" w:hAnsiTheme="minorHAnsi" w:cstheme="minorHAnsi"/>
          <w:sz w:val="22"/>
          <w:szCs w:val="22"/>
        </w:rPr>
        <w:t xml:space="preserve"> can be subject to unconscious bias from the interview panel, and therefore may only make up a section of the recruitment process. Many businesses now incorporate assessments, anonymous applications, and other tools to ensure a fair process is followed as much as possible, to reduce any possible bias within the process. </w:t>
      </w:r>
    </w:p>
    <w:p w14:paraId="3132E64C" w14:textId="2EB9AA53" w:rsidR="008D600B" w:rsidRDefault="008D600B" w:rsidP="00A2532A">
      <w:pPr>
        <w:pStyle w:val="Default"/>
        <w:rPr>
          <w:rFonts w:asciiTheme="minorHAnsi" w:hAnsiTheme="minorHAnsi" w:cstheme="minorHAnsi"/>
          <w:sz w:val="22"/>
          <w:szCs w:val="22"/>
        </w:rPr>
      </w:pPr>
    </w:p>
    <w:p w14:paraId="32199E28" w14:textId="29F89D51" w:rsidR="000C303E" w:rsidRDefault="000234CF" w:rsidP="00A2532A">
      <w:pPr>
        <w:pStyle w:val="Default"/>
        <w:rPr>
          <w:rFonts w:asciiTheme="minorHAnsi" w:hAnsiTheme="minorHAnsi" w:cstheme="minorHAnsi"/>
          <w:sz w:val="22"/>
          <w:szCs w:val="22"/>
        </w:rPr>
      </w:pPr>
      <w:r>
        <w:rPr>
          <w:rFonts w:asciiTheme="minorHAnsi" w:hAnsiTheme="minorHAnsi" w:cstheme="minorHAnsi"/>
          <w:sz w:val="22"/>
          <w:szCs w:val="22"/>
        </w:rPr>
        <w:t xml:space="preserve">Attracting talent can include many different approaches, with organisations having strategic initiatives around different stages of the process. An organisation may look to improve its branding and positioning within the market by ensuring its reputation is that of being </w:t>
      </w:r>
      <w:r w:rsidR="000C303E">
        <w:rPr>
          <w:rFonts w:asciiTheme="minorHAnsi" w:hAnsiTheme="minorHAnsi" w:cstheme="minorHAnsi"/>
          <w:sz w:val="22"/>
          <w:szCs w:val="22"/>
        </w:rPr>
        <w:t>a good</w:t>
      </w:r>
      <w:r>
        <w:rPr>
          <w:rFonts w:asciiTheme="minorHAnsi" w:hAnsiTheme="minorHAnsi" w:cstheme="minorHAnsi"/>
          <w:sz w:val="22"/>
          <w:szCs w:val="22"/>
        </w:rPr>
        <w:t xml:space="preserve"> employer, which is prudent as 90% of job seekers would not apply for a role at a company with a bad reputation. (Mason, 2019) This demonstrates that attracting talent </w:t>
      </w:r>
      <w:r w:rsidR="000C303E">
        <w:rPr>
          <w:rFonts w:asciiTheme="minorHAnsi" w:hAnsiTheme="minorHAnsi" w:cstheme="minorHAnsi"/>
          <w:sz w:val="22"/>
          <w:szCs w:val="22"/>
        </w:rPr>
        <w:t xml:space="preserve">should be considered </w:t>
      </w:r>
      <w:r w:rsidR="008B1F75">
        <w:rPr>
          <w:rFonts w:asciiTheme="minorHAnsi" w:hAnsiTheme="minorHAnsi" w:cstheme="minorHAnsi"/>
          <w:sz w:val="22"/>
          <w:szCs w:val="22"/>
        </w:rPr>
        <w:t xml:space="preserve">as part of organisational strategy, and not just for attracting new talent. </w:t>
      </w:r>
      <w:r>
        <w:rPr>
          <w:rFonts w:asciiTheme="minorHAnsi" w:hAnsiTheme="minorHAnsi" w:cstheme="minorHAnsi"/>
          <w:sz w:val="22"/>
          <w:szCs w:val="22"/>
        </w:rPr>
        <w:t xml:space="preserve">  Ensuring the candidates’ experience is positive is also vital when attracting talent to a business. This can include having a simple application process, good communication throughout the process and giving feedback to candidates</w:t>
      </w:r>
      <w:r w:rsidR="008B1F75">
        <w:rPr>
          <w:rFonts w:asciiTheme="minorHAnsi" w:hAnsiTheme="minorHAnsi" w:cstheme="minorHAnsi"/>
          <w:sz w:val="22"/>
          <w:szCs w:val="22"/>
        </w:rPr>
        <w:t>. Gaining feedback from both successful and unsuccessful</w:t>
      </w:r>
      <w:r w:rsidR="000C303E">
        <w:rPr>
          <w:rFonts w:asciiTheme="minorHAnsi" w:hAnsiTheme="minorHAnsi" w:cstheme="minorHAnsi"/>
          <w:sz w:val="22"/>
          <w:szCs w:val="22"/>
        </w:rPr>
        <w:t xml:space="preserve"> candidates</w:t>
      </w:r>
      <w:r w:rsidR="008B1F75">
        <w:rPr>
          <w:rFonts w:asciiTheme="minorHAnsi" w:hAnsiTheme="minorHAnsi" w:cstheme="minorHAnsi"/>
          <w:sz w:val="22"/>
          <w:szCs w:val="22"/>
        </w:rPr>
        <w:t xml:space="preserve"> can also assist with any improvements or changes needed for the recruitment process, directly from individuals involved. (McCartney, 2017) A negative experience for candidates can affect organisational reputation, which can</w:t>
      </w:r>
      <w:r w:rsidR="003364D0">
        <w:rPr>
          <w:rFonts w:asciiTheme="minorHAnsi" w:hAnsiTheme="minorHAnsi" w:cstheme="minorHAnsi"/>
          <w:sz w:val="22"/>
          <w:szCs w:val="22"/>
        </w:rPr>
        <w:t xml:space="preserve"> </w:t>
      </w:r>
      <w:r w:rsidR="008B1F75">
        <w:rPr>
          <w:rFonts w:asciiTheme="minorHAnsi" w:hAnsiTheme="minorHAnsi" w:cstheme="minorHAnsi"/>
          <w:sz w:val="22"/>
          <w:szCs w:val="22"/>
        </w:rPr>
        <w:t xml:space="preserve">impact recruitment. </w:t>
      </w:r>
    </w:p>
    <w:p w14:paraId="5A6B465C" w14:textId="77777777" w:rsidR="000C303E" w:rsidRDefault="000C303E" w:rsidP="00A2532A">
      <w:pPr>
        <w:pStyle w:val="Default"/>
        <w:rPr>
          <w:rFonts w:asciiTheme="minorHAnsi" w:hAnsiTheme="minorHAnsi" w:cstheme="minorHAnsi"/>
          <w:sz w:val="22"/>
          <w:szCs w:val="22"/>
        </w:rPr>
      </w:pPr>
    </w:p>
    <w:p w14:paraId="5083A66E" w14:textId="7CF67151" w:rsidR="00A2532A" w:rsidRDefault="008B1F75" w:rsidP="00A2532A">
      <w:pPr>
        <w:pStyle w:val="Default"/>
        <w:rPr>
          <w:rFonts w:asciiTheme="minorHAnsi" w:hAnsiTheme="minorHAnsi" w:cstheme="minorHAnsi"/>
          <w:sz w:val="22"/>
          <w:szCs w:val="22"/>
        </w:rPr>
      </w:pPr>
      <w:r>
        <w:rPr>
          <w:rFonts w:asciiTheme="minorHAnsi" w:hAnsiTheme="minorHAnsi" w:cstheme="minorHAnsi"/>
          <w:sz w:val="22"/>
          <w:szCs w:val="22"/>
        </w:rPr>
        <w:t>Organisations should ensure there are opportunities</w:t>
      </w:r>
      <w:r w:rsidR="003364D0">
        <w:rPr>
          <w:rFonts w:asciiTheme="minorHAnsi" w:hAnsiTheme="minorHAnsi" w:cstheme="minorHAnsi"/>
          <w:sz w:val="22"/>
          <w:szCs w:val="22"/>
        </w:rPr>
        <w:t xml:space="preserve"> for employees to develop</w:t>
      </w:r>
      <w:r>
        <w:rPr>
          <w:rFonts w:asciiTheme="minorHAnsi" w:hAnsiTheme="minorHAnsi" w:cstheme="minorHAnsi"/>
          <w:sz w:val="22"/>
          <w:szCs w:val="22"/>
        </w:rPr>
        <w:t xml:space="preserve">, </w:t>
      </w:r>
      <w:r w:rsidR="003364D0">
        <w:rPr>
          <w:rFonts w:asciiTheme="minorHAnsi" w:hAnsiTheme="minorHAnsi" w:cstheme="minorHAnsi"/>
          <w:sz w:val="22"/>
          <w:szCs w:val="22"/>
        </w:rPr>
        <w:t>which</w:t>
      </w:r>
      <w:r>
        <w:rPr>
          <w:rFonts w:asciiTheme="minorHAnsi" w:hAnsiTheme="minorHAnsi" w:cstheme="minorHAnsi"/>
          <w:sz w:val="22"/>
          <w:szCs w:val="22"/>
        </w:rPr>
        <w:t xml:space="preserve"> can attract </w:t>
      </w:r>
      <w:r w:rsidR="003364D0">
        <w:rPr>
          <w:rFonts w:asciiTheme="minorHAnsi" w:hAnsiTheme="minorHAnsi" w:cstheme="minorHAnsi"/>
          <w:sz w:val="22"/>
          <w:szCs w:val="22"/>
        </w:rPr>
        <w:t xml:space="preserve">job </w:t>
      </w:r>
      <w:r>
        <w:rPr>
          <w:rFonts w:asciiTheme="minorHAnsi" w:hAnsiTheme="minorHAnsi" w:cstheme="minorHAnsi"/>
          <w:sz w:val="22"/>
          <w:szCs w:val="22"/>
        </w:rPr>
        <w:t>candidates. Alongside development opportunities, investing in training for employees to develop from within is also an important factor in ensuring long term talent planning objectives can be met. (</w:t>
      </w:r>
      <w:r w:rsidR="00A32DD5">
        <w:rPr>
          <w:rFonts w:asciiTheme="minorHAnsi" w:hAnsiTheme="minorHAnsi" w:cstheme="minorHAnsi"/>
          <w:sz w:val="22"/>
          <w:szCs w:val="22"/>
        </w:rPr>
        <w:t>Reilly et Al.</w:t>
      </w:r>
      <w:r>
        <w:rPr>
          <w:rFonts w:asciiTheme="minorHAnsi" w:hAnsiTheme="minorHAnsi" w:cstheme="minorHAnsi"/>
          <w:sz w:val="22"/>
          <w:szCs w:val="22"/>
        </w:rPr>
        <w:t>, 20</w:t>
      </w:r>
      <w:r w:rsidR="00623064">
        <w:rPr>
          <w:rFonts w:asciiTheme="minorHAnsi" w:hAnsiTheme="minorHAnsi" w:cstheme="minorHAnsi"/>
          <w:sz w:val="22"/>
          <w:szCs w:val="22"/>
        </w:rPr>
        <w:t>18</w:t>
      </w:r>
      <w:r>
        <w:rPr>
          <w:rFonts w:asciiTheme="minorHAnsi" w:hAnsiTheme="minorHAnsi" w:cstheme="minorHAnsi"/>
          <w:sz w:val="22"/>
          <w:szCs w:val="22"/>
        </w:rPr>
        <w:t>) Finally, organisations may wish to review their benefits and pay structures to remain competitive</w:t>
      </w:r>
      <w:r w:rsidR="000C303E">
        <w:rPr>
          <w:rFonts w:asciiTheme="minorHAnsi" w:hAnsiTheme="minorHAnsi" w:cstheme="minorHAnsi"/>
          <w:sz w:val="22"/>
          <w:szCs w:val="22"/>
        </w:rPr>
        <w:t xml:space="preserve">. </w:t>
      </w:r>
      <w:r w:rsidR="003364D0">
        <w:rPr>
          <w:rFonts w:asciiTheme="minorHAnsi" w:hAnsiTheme="minorHAnsi" w:cstheme="minorHAnsi"/>
          <w:sz w:val="22"/>
          <w:szCs w:val="22"/>
        </w:rPr>
        <w:t>T</w:t>
      </w:r>
      <w:r>
        <w:rPr>
          <w:rFonts w:asciiTheme="minorHAnsi" w:hAnsiTheme="minorHAnsi" w:cstheme="minorHAnsi"/>
          <w:sz w:val="22"/>
          <w:szCs w:val="22"/>
        </w:rPr>
        <w:t>his may not be possible due to cost implications</w:t>
      </w:r>
      <w:r w:rsidR="00CF1B32">
        <w:rPr>
          <w:rFonts w:asciiTheme="minorHAnsi" w:hAnsiTheme="minorHAnsi" w:cstheme="minorHAnsi"/>
          <w:sz w:val="22"/>
          <w:szCs w:val="22"/>
        </w:rPr>
        <w:t xml:space="preserve"> for some businesses</w:t>
      </w:r>
      <w:r w:rsidR="003364D0">
        <w:rPr>
          <w:rFonts w:asciiTheme="minorHAnsi" w:hAnsiTheme="minorHAnsi" w:cstheme="minorHAnsi"/>
          <w:sz w:val="22"/>
          <w:szCs w:val="22"/>
        </w:rPr>
        <w:t>, t</w:t>
      </w:r>
      <w:r>
        <w:rPr>
          <w:rFonts w:asciiTheme="minorHAnsi" w:hAnsiTheme="minorHAnsi" w:cstheme="minorHAnsi"/>
          <w:sz w:val="22"/>
          <w:szCs w:val="22"/>
        </w:rPr>
        <w:t xml:space="preserve">herefore, </w:t>
      </w:r>
      <w:r w:rsidR="00CF1B32">
        <w:rPr>
          <w:rFonts w:asciiTheme="minorHAnsi" w:hAnsiTheme="minorHAnsi" w:cstheme="minorHAnsi"/>
          <w:sz w:val="22"/>
          <w:szCs w:val="22"/>
        </w:rPr>
        <w:t>looking at cost effective or cost neutral ways to attract candidates may be required. With a 2016 survey finding that a third of employees would prefer flexibility in their hours over a pay rise, offering flexible working may attract talent. (IIP, 2016) With a large proportion of the workforce also being millennials,</w:t>
      </w:r>
      <w:r w:rsidR="0008053B">
        <w:rPr>
          <w:rFonts w:asciiTheme="minorHAnsi" w:hAnsiTheme="minorHAnsi" w:cstheme="minorHAnsi"/>
          <w:sz w:val="22"/>
          <w:szCs w:val="22"/>
        </w:rPr>
        <w:t xml:space="preserve"> who value </w:t>
      </w:r>
      <w:r w:rsidR="00CF1B32">
        <w:rPr>
          <w:rFonts w:asciiTheme="minorHAnsi" w:hAnsiTheme="minorHAnsi" w:cstheme="minorHAnsi"/>
          <w:sz w:val="22"/>
          <w:szCs w:val="22"/>
        </w:rPr>
        <w:t>experiences</w:t>
      </w:r>
      <w:r w:rsidR="0008053B">
        <w:rPr>
          <w:rFonts w:asciiTheme="minorHAnsi" w:hAnsiTheme="minorHAnsi" w:cstheme="minorHAnsi"/>
          <w:sz w:val="22"/>
          <w:szCs w:val="22"/>
        </w:rPr>
        <w:t xml:space="preserve"> over financial incentive,</w:t>
      </w:r>
      <w:r w:rsidR="00CF1B32">
        <w:rPr>
          <w:rFonts w:asciiTheme="minorHAnsi" w:hAnsiTheme="minorHAnsi" w:cstheme="minorHAnsi"/>
          <w:sz w:val="22"/>
          <w:szCs w:val="22"/>
        </w:rPr>
        <w:t xml:space="preserve"> opportunities</w:t>
      </w:r>
      <w:r w:rsidR="0008053B">
        <w:rPr>
          <w:rFonts w:asciiTheme="minorHAnsi" w:hAnsiTheme="minorHAnsi" w:cstheme="minorHAnsi"/>
          <w:sz w:val="22"/>
          <w:szCs w:val="22"/>
        </w:rPr>
        <w:t xml:space="preserve"> such as volunteering may be an attractive benefit that isn’t financially driven. (Crush, 2017) </w:t>
      </w:r>
      <w:r w:rsidR="00240E12">
        <w:rPr>
          <w:rFonts w:asciiTheme="minorHAnsi" w:hAnsiTheme="minorHAnsi" w:cstheme="minorHAnsi"/>
          <w:sz w:val="22"/>
          <w:szCs w:val="22"/>
        </w:rPr>
        <w:t xml:space="preserve">Thinking of ways to differentiate from competitors can be an advantage for employers looking to attract talent, which can mean the difference to candidates who are looking for a job opportunity. </w:t>
      </w:r>
    </w:p>
    <w:p w14:paraId="180161C3" w14:textId="77777777" w:rsidR="00A2532A" w:rsidRDefault="00A2532A" w:rsidP="00A2532A">
      <w:pPr>
        <w:pStyle w:val="Default"/>
        <w:rPr>
          <w:rFonts w:asciiTheme="minorHAnsi" w:hAnsiTheme="minorHAnsi" w:cstheme="minorHAnsi"/>
          <w:sz w:val="22"/>
          <w:szCs w:val="22"/>
        </w:rPr>
      </w:pPr>
    </w:p>
    <w:p w14:paraId="70B22B1F" w14:textId="1C58BAEA" w:rsidR="003E0C0D" w:rsidRPr="00B65FFF" w:rsidRDefault="00A2532A" w:rsidP="00A2532A">
      <w:pPr>
        <w:pStyle w:val="Default"/>
        <w:rPr>
          <w:rFonts w:asciiTheme="minorHAnsi" w:hAnsiTheme="minorHAnsi" w:cstheme="minorHAnsi"/>
          <w:b/>
          <w:bCs/>
          <w:color w:val="auto"/>
          <w:sz w:val="22"/>
          <w:szCs w:val="22"/>
        </w:rPr>
      </w:pPr>
      <w:r w:rsidRPr="00B65FFF">
        <w:rPr>
          <w:rFonts w:asciiTheme="minorHAnsi" w:hAnsiTheme="minorHAnsi" w:cstheme="minorHAnsi"/>
          <w:b/>
          <w:bCs/>
          <w:color w:val="auto"/>
          <w:sz w:val="22"/>
          <w:szCs w:val="22"/>
        </w:rPr>
        <w:t xml:space="preserve">4. </w:t>
      </w:r>
      <w:r w:rsidR="003E0C0D" w:rsidRPr="00B65FFF">
        <w:rPr>
          <w:rFonts w:asciiTheme="minorHAnsi" w:hAnsiTheme="minorHAnsi" w:cstheme="minorHAnsi"/>
          <w:b/>
          <w:bCs/>
          <w:color w:val="auto"/>
          <w:sz w:val="22"/>
          <w:szCs w:val="22"/>
        </w:rPr>
        <w:t>In preparation for input at a managers</w:t>
      </w:r>
      <w:r w:rsidR="00B65FFF">
        <w:rPr>
          <w:rFonts w:asciiTheme="minorHAnsi" w:hAnsiTheme="minorHAnsi" w:cstheme="minorHAnsi"/>
          <w:b/>
          <w:bCs/>
          <w:color w:val="auto"/>
          <w:sz w:val="22"/>
          <w:szCs w:val="22"/>
        </w:rPr>
        <w:t>’</w:t>
      </w:r>
      <w:r w:rsidR="003E0C0D" w:rsidRPr="00B65FFF">
        <w:rPr>
          <w:rFonts w:asciiTheme="minorHAnsi" w:hAnsiTheme="minorHAnsi" w:cstheme="minorHAnsi"/>
          <w:b/>
          <w:bCs/>
          <w:color w:val="auto"/>
          <w:sz w:val="22"/>
          <w:szCs w:val="22"/>
        </w:rPr>
        <w:t xml:space="preserve"> meeting*, summarise the following:</w:t>
      </w:r>
    </w:p>
    <w:p w14:paraId="2A34F9C6" w14:textId="5F81F5A7" w:rsidR="003E0C0D" w:rsidRPr="00B65FFF" w:rsidRDefault="003E0C0D" w:rsidP="003E0C0D">
      <w:pPr>
        <w:pStyle w:val="Default"/>
        <w:numPr>
          <w:ilvl w:val="0"/>
          <w:numId w:val="6"/>
        </w:numPr>
        <w:rPr>
          <w:rFonts w:asciiTheme="minorHAnsi" w:hAnsiTheme="minorHAnsi" w:cstheme="minorHAnsi"/>
          <w:b/>
          <w:bCs/>
          <w:color w:val="auto"/>
          <w:sz w:val="22"/>
          <w:szCs w:val="22"/>
        </w:rPr>
      </w:pPr>
      <w:r w:rsidRPr="00B65FFF">
        <w:rPr>
          <w:rFonts w:asciiTheme="minorHAnsi" w:hAnsiTheme="minorHAnsi" w:cstheme="minorHAnsi"/>
          <w:b/>
          <w:bCs/>
          <w:color w:val="auto"/>
          <w:sz w:val="22"/>
          <w:szCs w:val="22"/>
        </w:rPr>
        <w:t>key aspects of good practice in relation to developing job descriptions, person specifications and competency frameworks</w:t>
      </w:r>
    </w:p>
    <w:p w14:paraId="25D70D1D" w14:textId="77777777" w:rsidR="003E0C0D" w:rsidRPr="00B65FFF" w:rsidRDefault="003E0C0D" w:rsidP="003E0C0D">
      <w:pPr>
        <w:pStyle w:val="Default"/>
        <w:numPr>
          <w:ilvl w:val="0"/>
          <w:numId w:val="6"/>
        </w:numPr>
        <w:rPr>
          <w:rFonts w:asciiTheme="minorHAnsi" w:hAnsiTheme="minorHAnsi" w:cstheme="minorHAnsi"/>
          <w:b/>
          <w:bCs/>
          <w:color w:val="auto"/>
          <w:sz w:val="22"/>
          <w:szCs w:val="22"/>
        </w:rPr>
      </w:pPr>
      <w:r w:rsidRPr="00B65FFF">
        <w:rPr>
          <w:rFonts w:asciiTheme="minorHAnsi" w:hAnsiTheme="minorHAnsi" w:cstheme="minorHAnsi"/>
          <w:b/>
          <w:bCs/>
          <w:color w:val="auto"/>
          <w:sz w:val="22"/>
          <w:szCs w:val="22"/>
        </w:rPr>
        <w:t xml:space="preserve">different methods of recruitment and selection, and the strengths and weaknesses of each </w:t>
      </w:r>
    </w:p>
    <w:p w14:paraId="17B9F105" w14:textId="47E3BFDA" w:rsidR="003E0C0D" w:rsidRPr="00B65FFF" w:rsidRDefault="003E0C0D" w:rsidP="003E0C0D">
      <w:pPr>
        <w:pStyle w:val="Default"/>
        <w:numPr>
          <w:ilvl w:val="0"/>
          <w:numId w:val="6"/>
        </w:numPr>
        <w:rPr>
          <w:rFonts w:asciiTheme="minorHAnsi" w:hAnsiTheme="minorHAnsi" w:cstheme="minorHAnsi"/>
          <w:b/>
          <w:bCs/>
          <w:color w:val="auto"/>
          <w:sz w:val="22"/>
          <w:szCs w:val="22"/>
        </w:rPr>
      </w:pPr>
      <w:r w:rsidRPr="00B65FFF">
        <w:rPr>
          <w:rFonts w:asciiTheme="minorHAnsi" w:hAnsiTheme="minorHAnsi" w:cstheme="minorHAnsi"/>
          <w:b/>
          <w:bCs/>
          <w:color w:val="auto"/>
          <w:sz w:val="22"/>
          <w:szCs w:val="22"/>
        </w:rPr>
        <w:t xml:space="preserve">good practice in relation to dismissal, </w:t>
      </w:r>
      <w:proofErr w:type="gramStart"/>
      <w:r w:rsidRPr="00B65FFF">
        <w:rPr>
          <w:rFonts w:asciiTheme="minorHAnsi" w:hAnsiTheme="minorHAnsi" w:cstheme="minorHAnsi"/>
          <w:b/>
          <w:bCs/>
          <w:color w:val="auto"/>
          <w:sz w:val="22"/>
          <w:szCs w:val="22"/>
        </w:rPr>
        <w:t>redundancy</w:t>
      </w:r>
      <w:proofErr w:type="gramEnd"/>
      <w:r w:rsidRPr="00B65FFF">
        <w:rPr>
          <w:rFonts w:asciiTheme="minorHAnsi" w:hAnsiTheme="minorHAnsi" w:cstheme="minorHAnsi"/>
          <w:b/>
          <w:bCs/>
          <w:color w:val="auto"/>
          <w:sz w:val="22"/>
          <w:szCs w:val="22"/>
        </w:rPr>
        <w:t xml:space="preserve"> and retirement</w:t>
      </w:r>
    </w:p>
    <w:p w14:paraId="27461FC2" w14:textId="493438B8" w:rsidR="006E2492" w:rsidRDefault="006E2492" w:rsidP="006E2492">
      <w:pPr>
        <w:pStyle w:val="Default"/>
        <w:rPr>
          <w:rFonts w:asciiTheme="minorHAnsi" w:hAnsiTheme="minorHAnsi" w:cstheme="minorHAnsi"/>
          <w:color w:val="auto"/>
          <w:sz w:val="22"/>
          <w:szCs w:val="22"/>
          <w:highlight w:val="red"/>
        </w:rPr>
      </w:pPr>
    </w:p>
    <w:p w14:paraId="46BFE353" w14:textId="0148E377" w:rsidR="00146B83" w:rsidRDefault="006E2492" w:rsidP="006E2492">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When considering resourcing and talent planning, organisations should ensure that </w:t>
      </w:r>
      <w:r w:rsidR="003364D0">
        <w:rPr>
          <w:rFonts w:asciiTheme="minorHAnsi" w:hAnsiTheme="minorHAnsi" w:cstheme="minorHAnsi"/>
          <w:color w:val="auto"/>
          <w:sz w:val="22"/>
          <w:szCs w:val="22"/>
        </w:rPr>
        <w:t xml:space="preserve">have good </w:t>
      </w:r>
      <w:r>
        <w:rPr>
          <w:rFonts w:asciiTheme="minorHAnsi" w:hAnsiTheme="minorHAnsi" w:cstheme="minorHAnsi"/>
          <w:color w:val="auto"/>
          <w:sz w:val="22"/>
          <w:szCs w:val="22"/>
        </w:rPr>
        <w:t>practice</w:t>
      </w:r>
      <w:r w:rsidR="003364D0">
        <w:rPr>
          <w:rFonts w:asciiTheme="minorHAnsi" w:hAnsiTheme="minorHAnsi" w:cstheme="minorHAnsi"/>
          <w:color w:val="auto"/>
          <w:sz w:val="22"/>
          <w:szCs w:val="22"/>
        </w:rPr>
        <w:t>s</w:t>
      </w:r>
      <w:r>
        <w:rPr>
          <w:rFonts w:asciiTheme="minorHAnsi" w:hAnsiTheme="minorHAnsi" w:cstheme="minorHAnsi"/>
          <w:color w:val="auto"/>
          <w:sz w:val="22"/>
          <w:szCs w:val="22"/>
        </w:rPr>
        <w:t xml:space="preserve"> </w:t>
      </w:r>
      <w:r w:rsidR="003364D0">
        <w:rPr>
          <w:rFonts w:asciiTheme="minorHAnsi" w:hAnsiTheme="minorHAnsi" w:cstheme="minorHAnsi"/>
          <w:color w:val="auto"/>
          <w:sz w:val="22"/>
          <w:szCs w:val="22"/>
        </w:rPr>
        <w:t>around</w:t>
      </w:r>
      <w:r>
        <w:rPr>
          <w:rFonts w:asciiTheme="minorHAnsi" w:hAnsiTheme="minorHAnsi" w:cstheme="minorHAnsi"/>
          <w:color w:val="auto"/>
          <w:sz w:val="22"/>
          <w:szCs w:val="22"/>
        </w:rPr>
        <w:t xml:space="preserve"> their processes. </w:t>
      </w:r>
      <w:r w:rsidR="003364D0">
        <w:rPr>
          <w:rFonts w:asciiTheme="minorHAnsi" w:hAnsiTheme="minorHAnsi" w:cstheme="minorHAnsi"/>
          <w:color w:val="auto"/>
          <w:sz w:val="22"/>
          <w:szCs w:val="22"/>
        </w:rPr>
        <w:t xml:space="preserve">There </w:t>
      </w:r>
      <w:r w:rsidR="008633DF">
        <w:rPr>
          <w:rFonts w:asciiTheme="minorHAnsi" w:hAnsiTheme="minorHAnsi" w:cstheme="minorHAnsi"/>
          <w:color w:val="auto"/>
          <w:sz w:val="22"/>
          <w:szCs w:val="22"/>
        </w:rPr>
        <w:t xml:space="preserve">are </w:t>
      </w:r>
      <w:r w:rsidR="003267DA">
        <w:rPr>
          <w:rFonts w:asciiTheme="minorHAnsi" w:hAnsiTheme="minorHAnsi" w:cstheme="minorHAnsi"/>
          <w:color w:val="auto"/>
          <w:sz w:val="22"/>
          <w:szCs w:val="22"/>
        </w:rPr>
        <w:t>several</w:t>
      </w:r>
      <w:r w:rsidR="008633DF">
        <w:rPr>
          <w:rFonts w:asciiTheme="minorHAnsi" w:hAnsiTheme="minorHAnsi" w:cstheme="minorHAnsi"/>
          <w:color w:val="auto"/>
          <w:sz w:val="22"/>
          <w:szCs w:val="22"/>
        </w:rPr>
        <w:t xml:space="preserve"> different method</w:t>
      </w:r>
      <w:r w:rsidR="003364D0">
        <w:rPr>
          <w:rFonts w:asciiTheme="minorHAnsi" w:hAnsiTheme="minorHAnsi" w:cstheme="minorHAnsi"/>
          <w:color w:val="auto"/>
          <w:sz w:val="22"/>
          <w:szCs w:val="22"/>
        </w:rPr>
        <w:t xml:space="preserve">s of recruitment and selection </w:t>
      </w:r>
      <w:r w:rsidR="008633DF">
        <w:rPr>
          <w:rFonts w:asciiTheme="minorHAnsi" w:hAnsiTheme="minorHAnsi" w:cstheme="minorHAnsi"/>
          <w:color w:val="auto"/>
          <w:sz w:val="22"/>
          <w:szCs w:val="22"/>
        </w:rPr>
        <w:t xml:space="preserve">that can be </w:t>
      </w:r>
      <w:r w:rsidR="00146B83">
        <w:rPr>
          <w:rFonts w:asciiTheme="minorHAnsi" w:hAnsiTheme="minorHAnsi" w:cstheme="minorHAnsi"/>
          <w:color w:val="auto"/>
          <w:sz w:val="22"/>
          <w:szCs w:val="22"/>
        </w:rPr>
        <w:t>utilised, and employers should ensure their processes are fair</w:t>
      </w:r>
      <w:r w:rsidR="008633DF">
        <w:rPr>
          <w:rFonts w:asciiTheme="minorHAnsi" w:hAnsiTheme="minorHAnsi" w:cstheme="minorHAnsi"/>
          <w:color w:val="auto"/>
          <w:sz w:val="22"/>
          <w:szCs w:val="22"/>
        </w:rPr>
        <w:t>.</w:t>
      </w:r>
      <w:r w:rsidR="00146B83">
        <w:rPr>
          <w:rFonts w:asciiTheme="minorHAnsi" w:hAnsiTheme="minorHAnsi" w:cstheme="minorHAnsi"/>
          <w:color w:val="auto"/>
          <w:sz w:val="22"/>
          <w:szCs w:val="22"/>
        </w:rPr>
        <w:t xml:space="preserve"> (CIPD, 2020)</w:t>
      </w:r>
      <w:r w:rsidR="008633DF">
        <w:rPr>
          <w:rFonts w:asciiTheme="minorHAnsi" w:hAnsiTheme="minorHAnsi" w:cstheme="minorHAnsi"/>
          <w:color w:val="auto"/>
          <w:sz w:val="22"/>
          <w:szCs w:val="22"/>
        </w:rPr>
        <w:t xml:space="preserve"> These</w:t>
      </w:r>
      <w:r w:rsidR="001A0E7F">
        <w:rPr>
          <w:rFonts w:asciiTheme="minorHAnsi" w:hAnsiTheme="minorHAnsi" w:cstheme="minorHAnsi"/>
          <w:color w:val="auto"/>
          <w:sz w:val="22"/>
          <w:szCs w:val="22"/>
        </w:rPr>
        <w:t xml:space="preserve"> approaches may be internal</w:t>
      </w:r>
      <w:r w:rsidR="003364D0">
        <w:rPr>
          <w:rFonts w:asciiTheme="minorHAnsi" w:hAnsiTheme="minorHAnsi" w:cstheme="minorHAnsi"/>
          <w:color w:val="auto"/>
          <w:sz w:val="22"/>
          <w:szCs w:val="22"/>
        </w:rPr>
        <w:t xml:space="preserve"> </w:t>
      </w:r>
      <w:r w:rsidR="001A0E7F">
        <w:rPr>
          <w:rFonts w:asciiTheme="minorHAnsi" w:hAnsiTheme="minorHAnsi" w:cstheme="minorHAnsi"/>
          <w:color w:val="auto"/>
          <w:sz w:val="22"/>
          <w:szCs w:val="22"/>
        </w:rPr>
        <w:t>‘in house’ recruitment</w:t>
      </w:r>
      <w:r w:rsidR="00146B83">
        <w:rPr>
          <w:rFonts w:asciiTheme="minorHAnsi" w:hAnsiTheme="minorHAnsi" w:cstheme="minorHAnsi"/>
          <w:color w:val="auto"/>
          <w:sz w:val="22"/>
          <w:szCs w:val="22"/>
        </w:rPr>
        <w:t xml:space="preserve"> and selection, which can be cost effective but there may be issues with a lack of diversity and innovation due to bias within the recruitment process. Many organisations now mitigate this risk by using selection tools such as assessments or testing to minimise any bias practices. A </w:t>
      </w:r>
      <w:r w:rsidR="001A0E7F">
        <w:rPr>
          <w:rFonts w:asciiTheme="minorHAnsi" w:hAnsiTheme="minorHAnsi" w:cstheme="minorHAnsi"/>
          <w:color w:val="auto"/>
          <w:sz w:val="22"/>
          <w:szCs w:val="22"/>
        </w:rPr>
        <w:t xml:space="preserve">business may </w:t>
      </w:r>
      <w:r w:rsidR="00146B83">
        <w:rPr>
          <w:rFonts w:asciiTheme="minorHAnsi" w:hAnsiTheme="minorHAnsi" w:cstheme="minorHAnsi"/>
          <w:color w:val="auto"/>
          <w:sz w:val="22"/>
          <w:szCs w:val="22"/>
        </w:rPr>
        <w:t xml:space="preserve">also </w:t>
      </w:r>
      <w:r w:rsidR="001A0E7F">
        <w:rPr>
          <w:rFonts w:asciiTheme="minorHAnsi" w:hAnsiTheme="minorHAnsi" w:cstheme="minorHAnsi"/>
          <w:color w:val="auto"/>
          <w:sz w:val="22"/>
          <w:szCs w:val="22"/>
        </w:rPr>
        <w:t>opt to use a recruitment agency</w:t>
      </w:r>
      <w:r w:rsidR="003364D0">
        <w:rPr>
          <w:rFonts w:asciiTheme="minorHAnsi" w:hAnsiTheme="minorHAnsi" w:cstheme="minorHAnsi"/>
          <w:color w:val="auto"/>
          <w:sz w:val="22"/>
          <w:szCs w:val="22"/>
        </w:rPr>
        <w:t xml:space="preserve"> </w:t>
      </w:r>
      <w:r w:rsidR="00146B83">
        <w:rPr>
          <w:rFonts w:asciiTheme="minorHAnsi" w:hAnsiTheme="minorHAnsi" w:cstheme="minorHAnsi"/>
          <w:color w:val="auto"/>
          <w:sz w:val="22"/>
          <w:szCs w:val="22"/>
        </w:rPr>
        <w:t>for example when a role is more specialised, or there is a requirement for multiple roles to be hired for. Using an external party can bring a new approach with less bias, however, using agencies can be time consuming and expensive. (</w:t>
      </w:r>
      <w:proofErr w:type="spellStart"/>
      <w:r w:rsidR="00146B83">
        <w:rPr>
          <w:rFonts w:asciiTheme="minorHAnsi" w:hAnsiTheme="minorHAnsi" w:cstheme="minorHAnsi"/>
          <w:color w:val="auto"/>
          <w:sz w:val="22"/>
          <w:szCs w:val="22"/>
        </w:rPr>
        <w:t>Campling</w:t>
      </w:r>
      <w:proofErr w:type="spellEnd"/>
      <w:r w:rsidR="00146B83">
        <w:rPr>
          <w:rFonts w:asciiTheme="minorHAnsi" w:hAnsiTheme="minorHAnsi" w:cstheme="minorHAnsi"/>
          <w:color w:val="auto"/>
          <w:sz w:val="22"/>
          <w:szCs w:val="22"/>
        </w:rPr>
        <w:t xml:space="preserve">, 2019) Organisations may have methods that work </w:t>
      </w:r>
      <w:r w:rsidR="00146B83">
        <w:rPr>
          <w:rFonts w:asciiTheme="minorHAnsi" w:hAnsiTheme="minorHAnsi" w:cstheme="minorHAnsi"/>
          <w:color w:val="auto"/>
          <w:sz w:val="22"/>
          <w:szCs w:val="22"/>
        </w:rPr>
        <w:lastRenderedPageBreak/>
        <w:t>specifically for them, such as referral schemes where employees are rewarded when someone they personally refer is employed</w:t>
      </w:r>
      <w:r w:rsidR="00C50718">
        <w:rPr>
          <w:rFonts w:asciiTheme="minorHAnsi" w:hAnsiTheme="minorHAnsi" w:cstheme="minorHAnsi"/>
          <w:color w:val="auto"/>
          <w:sz w:val="22"/>
          <w:szCs w:val="22"/>
        </w:rPr>
        <w:t xml:space="preserve">. However, this can lead to discrimination, </w:t>
      </w:r>
      <w:r w:rsidR="003364D0">
        <w:rPr>
          <w:rFonts w:asciiTheme="minorHAnsi" w:hAnsiTheme="minorHAnsi" w:cstheme="minorHAnsi"/>
          <w:color w:val="auto"/>
          <w:sz w:val="22"/>
          <w:szCs w:val="22"/>
        </w:rPr>
        <w:t xml:space="preserve">and </w:t>
      </w:r>
      <w:r w:rsidR="00C50718">
        <w:rPr>
          <w:rFonts w:asciiTheme="minorHAnsi" w:hAnsiTheme="minorHAnsi" w:cstheme="minorHAnsi"/>
          <w:color w:val="auto"/>
          <w:sz w:val="22"/>
          <w:szCs w:val="22"/>
        </w:rPr>
        <w:t>it may be prudent to advertise more widely to ensure a diverse talent pool. (CIPD, 2020)</w:t>
      </w:r>
      <w:r w:rsidR="00146B83">
        <w:rPr>
          <w:rFonts w:asciiTheme="minorHAnsi" w:hAnsiTheme="minorHAnsi" w:cstheme="minorHAnsi"/>
          <w:color w:val="auto"/>
          <w:sz w:val="22"/>
          <w:szCs w:val="22"/>
        </w:rPr>
        <w:t xml:space="preserve"> </w:t>
      </w:r>
      <w:r w:rsidR="00C50718">
        <w:rPr>
          <w:rFonts w:asciiTheme="minorHAnsi" w:hAnsiTheme="minorHAnsi" w:cstheme="minorHAnsi"/>
          <w:color w:val="auto"/>
          <w:sz w:val="22"/>
          <w:szCs w:val="22"/>
        </w:rPr>
        <w:t>A</w:t>
      </w:r>
      <w:r w:rsidR="00A47D4C">
        <w:rPr>
          <w:rFonts w:asciiTheme="minorHAnsi" w:hAnsiTheme="minorHAnsi" w:cstheme="minorHAnsi"/>
          <w:color w:val="auto"/>
          <w:sz w:val="22"/>
          <w:szCs w:val="22"/>
        </w:rPr>
        <w:t xml:space="preserve"> business may</w:t>
      </w:r>
      <w:r w:rsidR="00C50718">
        <w:rPr>
          <w:rFonts w:asciiTheme="minorHAnsi" w:hAnsiTheme="minorHAnsi" w:cstheme="minorHAnsi"/>
          <w:color w:val="auto"/>
          <w:sz w:val="22"/>
          <w:szCs w:val="22"/>
        </w:rPr>
        <w:t xml:space="preserve"> also</w:t>
      </w:r>
      <w:r w:rsidR="00A47D4C">
        <w:rPr>
          <w:rFonts w:asciiTheme="minorHAnsi" w:hAnsiTheme="minorHAnsi" w:cstheme="minorHAnsi"/>
          <w:color w:val="auto"/>
          <w:sz w:val="22"/>
          <w:szCs w:val="22"/>
        </w:rPr>
        <w:t xml:space="preserve"> have a robust apprenticeship, </w:t>
      </w:r>
      <w:r w:rsidR="003364D0">
        <w:rPr>
          <w:rFonts w:asciiTheme="minorHAnsi" w:hAnsiTheme="minorHAnsi" w:cstheme="minorHAnsi"/>
          <w:color w:val="auto"/>
          <w:sz w:val="22"/>
          <w:szCs w:val="22"/>
        </w:rPr>
        <w:t>graduate,</w:t>
      </w:r>
      <w:r w:rsidR="00A47D4C">
        <w:rPr>
          <w:rFonts w:asciiTheme="minorHAnsi" w:hAnsiTheme="minorHAnsi" w:cstheme="minorHAnsi"/>
          <w:color w:val="auto"/>
          <w:sz w:val="22"/>
          <w:szCs w:val="22"/>
        </w:rPr>
        <w:t xml:space="preserve"> or internship programme to ensure fresh talent is constantly being pipelined into the organisation.</w:t>
      </w:r>
      <w:r w:rsidR="00C50718">
        <w:rPr>
          <w:rFonts w:asciiTheme="minorHAnsi" w:hAnsiTheme="minorHAnsi" w:cstheme="minorHAnsi"/>
          <w:color w:val="auto"/>
          <w:sz w:val="22"/>
          <w:szCs w:val="22"/>
        </w:rPr>
        <w:t xml:space="preserve"> Again, it is important to remember that the selection process for such programmes is fair and diversity is considered, by having a larger pool of talent from different sources.</w:t>
      </w:r>
      <w:r w:rsidR="00A47D4C">
        <w:rPr>
          <w:rFonts w:asciiTheme="minorHAnsi" w:hAnsiTheme="minorHAnsi" w:cstheme="minorHAnsi"/>
          <w:color w:val="auto"/>
          <w:sz w:val="22"/>
          <w:szCs w:val="22"/>
        </w:rPr>
        <w:t xml:space="preserve"> (Stewart, 2000)</w:t>
      </w:r>
    </w:p>
    <w:p w14:paraId="0F330248" w14:textId="756D8565" w:rsidR="008633DF" w:rsidRDefault="008633DF" w:rsidP="006E2492">
      <w:pPr>
        <w:pStyle w:val="Default"/>
        <w:rPr>
          <w:rFonts w:asciiTheme="minorHAnsi" w:hAnsiTheme="minorHAnsi" w:cstheme="minorHAnsi"/>
          <w:color w:val="auto"/>
          <w:sz w:val="22"/>
          <w:szCs w:val="22"/>
        </w:rPr>
      </w:pPr>
    </w:p>
    <w:p w14:paraId="7EDB62AF" w14:textId="77777777" w:rsidR="003364D0" w:rsidRDefault="003267DA" w:rsidP="00C50718">
      <w:pPr>
        <w:pStyle w:val="Default"/>
        <w:rPr>
          <w:rFonts w:asciiTheme="minorHAnsi" w:eastAsia="Times New Roman" w:hAnsiTheme="minorHAnsi" w:cstheme="minorHAnsi"/>
          <w:color w:val="333333"/>
          <w:sz w:val="22"/>
          <w:szCs w:val="22"/>
          <w:lang w:eastAsia="en-GB"/>
        </w:rPr>
      </w:pPr>
      <w:r w:rsidRPr="00C50718">
        <w:rPr>
          <w:rFonts w:asciiTheme="minorHAnsi" w:hAnsiTheme="minorHAnsi" w:cstheme="minorHAnsi"/>
          <w:color w:val="auto"/>
          <w:sz w:val="22"/>
          <w:szCs w:val="22"/>
        </w:rPr>
        <w:t xml:space="preserve">Another consideration as part of the recruitment and selection process, but also as part of </w:t>
      </w:r>
      <w:r w:rsidR="003364D0">
        <w:rPr>
          <w:rFonts w:asciiTheme="minorHAnsi" w:hAnsiTheme="minorHAnsi" w:cstheme="minorHAnsi"/>
          <w:color w:val="auto"/>
          <w:sz w:val="22"/>
          <w:szCs w:val="22"/>
        </w:rPr>
        <w:t xml:space="preserve">the </w:t>
      </w:r>
      <w:r w:rsidR="003364D0" w:rsidRPr="00C50718">
        <w:rPr>
          <w:rFonts w:asciiTheme="minorHAnsi" w:hAnsiTheme="minorHAnsi" w:cstheme="minorHAnsi"/>
          <w:color w:val="auto"/>
          <w:sz w:val="22"/>
          <w:szCs w:val="22"/>
        </w:rPr>
        <w:t>business</w:t>
      </w:r>
      <w:r w:rsidR="003364D0">
        <w:rPr>
          <w:rFonts w:asciiTheme="minorHAnsi" w:hAnsiTheme="minorHAnsi" w:cstheme="minorHAnsi"/>
          <w:color w:val="auto"/>
          <w:sz w:val="22"/>
          <w:szCs w:val="22"/>
        </w:rPr>
        <w:t>, is</w:t>
      </w:r>
      <w:r w:rsidRPr="00C50718">
        <w:rPr>
          <w:rFonts w:asciiTheme="minorHAnsi" w:hAnsiTheme="minorHAnsi" w:cstheme="minorHAnsi"/>
          <w:color w:val="auto"/>
          <w:sz w:val="22"/>
          <w:szCs w:val="22"/>
        </w:rPr>
        <w:t xml:space="preserve"> ensuring that job descriptions and person specifications are appropriate for the role they relate to. </w:t>
      </w:r>
      <w:r w:rsidR="00C50718" w:rsidRPr="00C50718">
        <w:rPr>
          <w:rFonts w:asciiTheme="minorHAnsi" w:eastAsia="Times New Roman" w:hAnsiTheme="minorHAnsi" w:cstheme="minorHAnsi"/>
          <w:color w:val="333333"/>
          <w:sz w:val="22"/>
          <w:szCs w:val="22"/>
          <w:lang w:eastAsia="en-GB"/>
        </w:rPr>
        <w:t xml:space="preserve">A job description sets out the fundamentals of the role </w:t>
      </w:r>
      <w:r w:rsidR="0002585A">
        <w:rPr>
          <w:rFonts w:asciiTheme="minorHAnsi" w:eastAsia="Times New Roman" w:hAnsiTheme="minorHAnsi" w:cstheme="minorHAnsi"/>
          <w:color w:val="333333"/>
          <w:sz w:val="22"/>
          <w:szCs w:val="22"/>
          <w:lang w:eastAsia="en-GB"/>
        </w:rPr>
        <w:t xml:space="preserve">including </w:t>
      </w:r>
      <w:r w:rsidR="00C50718" w:rsidRPr="00C50718">
        <w:rPr>
          <w:rFonts w:asciiTheme="minorHAnsi" w:eastAsia="Times New Roman" w:hAnsiTheme="minorHAnsi" w:cstheme="minorHAnsi"/>
          <w:color w:val="333333"/>
          <w:sz w:val="22"/>
          <w:szCs w:val="22"/>
          <w:lang w:eastAsia="en-GB"/>
        </w:rPr>
        <w:t>purpose, main duties and the terms and conditions involved</w:t>
      </w:r>
      <w:r w:rsidR="003364D0">
        <w:rPr>
          <w:rFonts w:asciiTheme="minorHAnsi" w:eastAsia="Times New Roman" w:hAnsiTheme="minorHAnsi" w:cstheme="minorHAnsi"/>
          <w:color w:val="333333"/>
          <w:sz w:val="22"/>
          <w:szCs w:val="22"/>
          <w:lang w:eastAsia="en-GB"/>
        </w:rPr>
        <w:t>.</w:t>
      </w:r>
      <w:r w:rsidR="00C50718" w:rsidRPr="00C50718">
        <w:rPr>
          <w:rFonts w:asciiTheme="minorHAnsi" w:eastAsia="Times New Roman" w:hAnsiTheme="minorHAnsi" w:cstheme="minorHAnsi"/>
          <w:color w:val="333333"/>
          <w:sz w:val="22"/>
          <w:szCs w:val="22"/>
          <w:lang w:eastAsia="en-GB"/>
        </w:rPr>
        <w:t xml:space="preserve"> (Armstrong, 2009)</w:t>
      </w:r>
      <w:r w:rsidR="003364D0">
        <w:rPr>
          <w:rFonts w:asciiTheme="minorHAnsi" w:eastAsia="Times New Roman" w:hAnsiTheme="minorHAnsi" w:cstheme="minorHAnsi"/>
          <w:color w:val="333333"/>
          <w:sz w:val="22"/>
          <w:szCs w:val="22"/>
          <w:lang w:eastAsia="en-GB"/>
        </w:rPr>
        <w:t xml:space="preserve"> E</w:t>
      </w:r>
      <w:r w:rsidR="002218CD">
        <w:rPr>
          <w:rFonts w:asciiTheme="minorHAnsi" w:eastAsia="Times New Roman" w:hAnsiTheme="minorHAnsi" w:cstheme="minorHAnsi"/>
          <w:color w:val="333333"/>
          <w:sz w:val="22"/>
          <w:szCs w:val="22"/>
          <w:lang w:eastAsia="en-GB"/>
        </w:rPr>
        <w:t>ffective job description</w:t>
      </w:r>
      <w:r w:rsidR="003364D0">
        <w:rPr>
          <w:rFonts w:asciiTheme="minorHAnsi" w:eastAsia="Times New Roman" w:hAnsiTheme="minorHAnsi" w:cstheme="minorHAnsi"/>
          <w:color w:val="333333"/>
          <w:sz w:val="22"/>
          <w:szCs w:val="22"/>
          <w:lang w:eastAsia="en-GB"/>
        </w:rPr>
        <w:t>s</w:t>
      </w:r>
      <w:r w:rsidR="002218CD">
        <w:rPr>
          <w:rFonts w:asciiTheme="minorHAnsi" w:eastAsia="Times New Roman" w:hAnsiTheme="minorHAnsi" w:cstheme="minorHAnsi"/>
          <w:color w:val="333333"/>
          <w:sz w:val="22"/>
          <w:szCs w:val="22"/>
          <w:lang w:eastAsia="en-GB"/>
        </w:rPr>
        <w:t xml:space="preserve"> ensure expectations are communicated effectively to both current employees and prospective job candidates. Having clear job descriptions supports talent planning as they can</w:t>
      </w:r>
      <w:r w:rsidR="003364D0">
        <w:rPr>
          <w:rFonts w:asciiTheme="minorHAnsi" w:eastAsia="Times New Roman" w:hAnsiTheme="minorHAnsi" w:cstheme="minorHAnsi"/>
          <w:color w:val="333333"/>
          <w:sz w:val="22"/>
          <w:szCs w:val="22"/>
          <w:lang w:eastAsia="en-GB"/>
        </w:rPr>
        <w:t xml:space="preserve"> be used to </w:t>
      </w:r>
      <w:r w:rsidR="002218CD">
        <w:rPr>
          <w:rFonts w:asciiTheme="minorHAnsi" w:eastAsia="Times New Roman" w:hAnsiTheme="minorHAnsi" w:cstheme="minorHAnsi"/>
          <w:color w:val="333333"/>
          <w:sz w:val="22"/>
          <w:szCs w:val="22"/>
          <w:lang w:eastAsia="en-GB"/>
        </w:rPr>
        <w:t>understand the organisations</w:t>
      </w:r>
      <w:r w:rsidR="003364D0">
        <w:rPr>
          <w:rFonts w:asciiTheme="minorHAnsi" w:eastAsia="Times New Roman" w:hAnsiTheme="minorHAnsi" w:cstheme="minorHAnsi"/>
          <w:color w:val="333333"/>
          <w:sz w:val="22"/>
          <w:szCs w:val="22"/>
          <w:lang w:eastAsia="en-GB"/>
        </w:rPr>
        <w:t>’</w:t>
      </w:r>
      <w:r w:rsidR="002218CD">
        <w:rPr>
          <w:rFonts w:asciiTheme="minorHAnsi" w:eastAsia="Times New Roman" w:hAnsiTheme="minorHAnsi" w:cstheme="minorHAnsi"/>
          <w:color w:val="333333"/>
          <w:sz w:val="22"/>
          <w:szCs w:val="22"/>
          <w:lang w:eastAsia="en-GB"/>
        </w:rPr>
        <w:t xml:space="preserve"> current talent pool, what is needed</w:t>
      </w:r>
      <w:r w:rsidR="003364D0">
        <w:rPr>
          <w:rFonts w:asciiTheme="minorHAnsi" w:eastAsia="Times New Roman" w:hAnsiTheme="minorHAnsi" w:cstheme="minorHAnsi"/>
          <w:color w:val="333333"/>
          <w:sz w:val="22"/>
          <w:szCs w:val="22"/>
          <w:lang w:eastAsia="en-GB"/>
        </w:rPr>
        <w:t xml:space="preserve"> in terms of </w:t>
      </w:r>
      <w:r w:rsidR="002218CD">
        <w:rPr>
          <w:rFonts w:asciiTheme="minorHAnsi" w:eastAsia="Times New Roman" w:hAnsiTheme="minorHAnsi" w:cstheme="minorHAnsi"/>
          <w:color w:val="333333"/>
          <w:sz w:val="22"/>
          <w:szCs w:val="22"/>
          <w:lang w:eastAsia="en-GB"/>
        </w:rPr>
        <w:t xml:space="preserve">succession planning and where skills need to be developed, to enhance </w:t>
      </w:r>
      <w:r w:rsidR="0002585A">
        <w:rPr>
          <w:rFonts w:asciiTheme="minorHAnsi" w:eastAsia="Times New Roman" w:hAnsiTheme="minorHAnsi" w:cstheme="minorHAnsi"/>
          <w:color w:val="333333"/>
          <w:sz w:val="22"/>
          <w:szCs w:val="22"/>
          <w:lang w:eastAsia="en-GB"/>
        </w:rPr>
        <w:t>employees’</w:t>
      </w:r>
      <w:r w:rsidR="002218CD">
        <w:rPr>
          <w:rFonts w:asciiTheme="minorHAnsi" w:eastAsia="Times New Roman" w:hAnsiTheme="minorHAnsi" w:cstheme="minorHAnsi"/>
          <w:color w:val="333333"/>
          <w:sz w:val="22"/>
          <w:szCs w:val="22"/>
          <w:lang w:eastAsia="en-GB"/>
        </w:rPr>
        <w:t xml:space="preserve"> competencie</w:t>
      </w:r>
      <w:r w:rsidR="003364D0">
        <w:rPr>
          <w:rFonts w:asciiTheme="minorHAnsi" w:eastAsia="Times New Roman" w:hAnsiTheme="minorHAnsi" w:cstheme="minorHAnsi"/>
          <w:color w:val="333333"/>
          <w:sz w:val="22"/>
          <w:szCs w:val="22"/>
          <w:lang w:eastAsia="en-GB"/>
        </w:rPr>
        <w:t>s</w:t>
      </w:r>
      <w:r w:rsidR="002218CD">
        <w:rPr>
          <w:rFonts w:asciiTheme="minorHAnsi" w:eastAsia="Times New Roman" w:hAnsiTheme="minorHAnsi" w:cstheme="minorHAnsi"/>
          <w:color w:val="333333"/>
          <w:sz w:val="22"/>
          <w:szCs w:val="22"/>
          <w:lang w:eastAsia="en-GB"/>
        </w:rPr>
        <w:t>. (</w:t>
      </w:r>
      <w:proofErr w:type="spellStart"/>
      <w:r w:rsidR="002218CD">
        <w:rPr>
          <w:rFonts w:asciiTheme="minorHAnsi" w:eastAsia="Times New Roman" w:hAnsiTheme="minorHAnsi" w:cstheme="minorHAnsi"/>
          <w:color w:val="333333"/>
          <w:sz w:val="22"/>
          <w:szCs w:val="22"/>
          <w:lang w:eastAsia="en-GB"/>
        </w:rPr>
        <w:t>Ndukwe</w:t>
      </w:r>
      <w:proofErr w:type="spellEnd"/>
      <w:r w:rsidR="002218CD">
        <w:rPr>
          <w:rFonts w:asciiTheme="minorHAnsi" w:eastAsia="Times New Roman" w:hAnsiTheme="minorHAnsi" w:cstheme="minorHAnsi"/>
          <w:color w:val="333333"/>
          <w:sz w:val="22"/>
          <w:szCs w:val="22"/>
          <w:lang w:eastAsia="en-GB"/>
        </w:rPr>
        <w:t xml:space="preserve">, 2020) </w:t>
      </w:r>
    </w:p>
    <w:p w14:paraId="7C62F50D" w14:textId="77777777" w:rsidR="003364D0" w:rsidRDefault="003364D0" w:rsidP="00C50718">
      <w:pPr>
        <w:pStyle w:val="Default"/>
        <w:rPr>
          <w:rFonts w:asciiTheme="minorHAnsi" w:eastAsia="Times New Roman" w:hAnsiTheme="minorHAnsi" w:cstheme="minorHAnsi"/>
          <w:color w:val="333333"/>
          <w:sz w:val="22"/>
          <w:szCs w:val="22"/>
          <w:lang w:eastAsia="en-GB"/>
        </w:rPr>
      </w:pPr>
    </w:p>
    <w:p w14:paraId="49FDCF04" w14:textId="01F6BBE3" w:rsidR="00C50718" w:rsidRDefault="002218CD" w:rsidP="00C50718">
      <w:pPr>
        <w:pStyle w:val="Default"/>
        <w:rPr>
          <w:rFonts w:asciiTheme="minorHAnsi" w:eastAsia="Times New Roman" w:hAnsiTheme="minorHAnsi" w:cstheme="minorHAnsi"/>
          <w:color w:val="333333"/>
          <w:sz w:val="22"/>
          <w:szCs w:val="22"/>
          <w:lang w:eastAsia="en-GB"/>
        </w:rPr>
      </w:pPr>
      <w:r>
        <w:rPr>
          <w:rFonts w:asciiTheme="minorHAnsi" w:eastAsia="Times New Roman" w:hAnsiTheme="minorHAnsi" w:cstheme="minorHAnsi"/>
          <w:color w:val="333333"/>
          <w:sz w:val="22"/>
          <w:szCs w:val="22"/>
          <w:lang w:eastAsia="en-GB"/>
        </w:rPr>
        <w:t>C</w:t>
      </w:r>
      <w:r w:rsidR="00C50718" w:rsidRPr="00C50718">
        <w:rPr>
          <w:rFonts w:asciiTheme="minorHAnsi" w:eastAsia="Times New Roman" w:hAnsiTheme="minorHAnsi" w:cstheme="minorHAnsi"/>
          <w:color w:val="333333"/>
          <w:sz w:val="22"/>
          <w:szCs w:val="22"/>
          <w:lang w:eastAsia="en-GB"/>
        </w:rPr>
        <w:t xml:space="preserve">omparatively, </w:t>
      </w:r>
      <w:r>
        <w:rPr>
          <w:rFonts w:asciiTheme="minorHAnsi" w:eastAsia="Times New Roman" w:hAnsiTheme="minorHAnsi" w:cstheme="minorHAnsi"/>
          <w:color w:val="333333"/>
          <w:sz w:val="22"/>
          <w:szCs w:val="22"/>
          <w:lang w:eastAsia="en-GB"/>
        </w:rPr>
        <w:t xml:space="preserve">a </w:t>
      </w:r>
      <w:r w:rsidR="00C50718" w:rsidRPr="00C50718">
        <w:rPr>
          <w:rFonts w:asciiTheme="minorHAnsi" w:eastAsia="Times New Roman" w:hAnsiTheme="minorHAnsi" w:cstheme="minorHAnsi"/>
          <w:color w:val="333333"/>
          <w:sz w:val="22"/>
          <w:szCs w:val="22"/>
          <w:lang w:eastAsia="en-GB"/>
        </w:rPr>
        <w:t>person specification outlines the “attributes required of an employee to do the job to the required standard.” (</w:t>
      </w:r>
      <w:proofErr w:type="spellStart"/>
      <w:r w:rsidR="00C50718" w:rsidRPr="00C50718">
        <w:rPr>
          <w:rFonts w:asciiTheme="minorHAnsi" w:eastAsia="Times New Roman" w:hAnsiTheme="minorHAnsi" w:cstheme="minorHAnsi"/>
          <w:color w:val="333333"/>
          <w:sz w:val="22"/>
          <w:szCs w:val="22"/>
          <w:lang w:eastAsia="en-GB"/>
        </w:rPr>
        <w:t>Cushway</w:t>
      </w:r>
      <w:proofErr w:type="spellEnd"/>
      <w:r w:rsidR="00C50718" w:rsidRPr="00C50718">
        <w:rPr>
          <w:rFonts w:asciiTheme="minorHAnsi" w:eastAsia="Times New Roman" w:hAnsiTheme="minorHAnsi" w:cstheme="minorHAnsi"/>
          <w:color w:val="333333"/>
          <w:sz w:val="22"/>
          <w:szCs w:val="22"/>
          <w:lang w:eastAsia="en-GB"/>
        </w:rPr>
        <w:t xml:space="preserve">, 2003) </w:t>
      </w:r>
      <w:r w:rsidR="0002585A">
        <w:rPr>
          <w:rFonts w:asciiTheme="minorHAnsi" w:eastAsia="Times New Roman" w:hAnsiTheme="minorHAnsi" w:cstheme="minorHAnsi"/>
          <w:color w:val="333333"/>
          <w:sz w:val="22"/>
          <w:szCs w:val="22"/>
          <w:lang w:eastAsia="en-GB"/>
        </w:rPr>
        <w:t xml:space="preserve">This should include </w:t>
      </w:r>
      <w:r w:rsidR="00AC3CF4">
        <w:rPr>
          <w:rFonts w:asciiTheme="minorHAnsi" w:eastAsia="Times New Roman" w:hAnsiTheme="minorHAnsi" w:cstheme="minorHAnsi"/>
          <w:color w:val="333333"/>
          <w:sz w:val="22"/>
          <w:szCs w:val="22"/>
          <w:lang w:eastAsia="en-GB"/>
        </w:rPr>
        <w:t xml:space="preserve">what is </w:t>
      </w:r>
      <w:r w:rsidR="0002585A">
        <w:rPr>
          <w:rFonts w:asciiTheme="minorHAnsi" w:eastAsia="Times New Roman" w:hAnsiTheme="minorHAnsi" w:cstheme="minorHAnsi"/>
          <w:color w:val="333333"/>
          <w:sz w:val="22"/>
          <w:szCs w:val="22"/>
          <w:lang w:eastAsia="en-GB"/>
        </w:rPr>
        <w:t xml:space="preserve">required of the ‘ideal’ candidate for the role, such as core competencies and the type of experience required. Many person specifications include essential and desirable criteria, which can help </w:t>
      </w:r>
      <w:r w:rsidR="00AC3CF4">
        <w:rPr>
          <w:rFonts w:asciiTheme="minorHAnsi" w:eastAsia="Times New Roman" w:hAnsiTheme="minorHAnsi" w:cstheme="minorHAnsi"/>
          <w:color w:val="333333"/>
          <w:sz w:val="22"/>
          <w:szCs w:val="22"/>
          <w:lang w:eastAsia="en-GB"/>
        </w:rPr>
        <w:t>in the selection process. A</w:t>
      </w:r>
      <w:r w:rsidR="0002585A">
        <w:rPr>
          <w:rFonts w:asciiTheme="minorHAnsi" w:eastAsia="Times New Roman" w:hAnsiTheme="minorHAnsi" w:cstheme="minorHAnsi"/>
          <w:color w:val="333333"/>
          <w:sz w:val="22"/>
          <w:szCs w:val="22"/>
          <w:lang w:eastAsia="en-GB"/>
        </w:rPr>
        <w:t xml:space="preserve">s in all aspects of the recruitment process, it is important to ensure person specifications do not discriminate in any way. An accurate person specification can ensure that job adverts are accurate and where agencies are used, a person specification can be used to </w:t>
      </w:r>
      <w:r w:rsidR="00C0706C">
        <w:rPr>
          <w:rFonts w:asciiTheme="minorHAnsi" w:eastAsia="Times New Roman" w:hAnsiTheme="minorHAnsi" w:cstheme="minorHAnsi"/>
          <w:color w:val="333333"/>
          <w:sz w:val="22"/>
          <w:szCs w:val="22"/>
          <w:lang w:eastAsia="en-GB"/>
        </w:rPr>
        <w:t xml:space="preserve">brief a recruiter as to what is required. The person specification also underpins the interviewing and selection process, </w:t>
      </w:r>
      <w:r w:rsidR="003364D0">
        <w:rPr>
          <w:rFonts w:asciiTheme="minorHAnsi" w:eastAsia="Times New Roman" w:hAnsiTheme="minorHAnsi" w:cstheme="minorHAnsi"/>
          <w:color w:val="333333"/>
          <w:sz w:val="22"/>
          <w:szCs w:val="22"/>
          <w:lang w:eastAsia="en-GB"/>
        </w:rPr>
        <w:t>and</w:t>
      </w:r>
      <w:r w:rsidR="00C0706C">
        <w:rPr>
          <w:rFonts w:asciiTheme="minorHAnsi" w:eastAsia="Times New Roman" w:hAnsiTheme="minorHAnsi" w:cstheme="minorHAnsi"/>
          <w:color w:val="333333"/>
          <w:sz w:val="22"/>
          <w:szCs w:val="22"/>
          <w:lang w:eastAsia="en-GB"/>
        </w:rPr>
        <w:t xml:space="preserve"> the continued development of employees. (Rose, 2017)</w:t>
      </w:r>
    </w:p>
    <w:p w14:paraId="2030A14F" w14:textId="77777777" w:rsidR="0002585A" w:rsidRPr="00C50718" w:rsidRDefault="0002585A" w:rsidP="00C50718">
      <w:pPr>
        <w:pStyle w:val="Default"/>
        <w:rPr>
          <w:rFonts w:asciiTheme="minorHAnsi" w:hAnsiTheme="minorHAnsi" w:cstheme="minorHAnsi"/>
          <w:color w:val="auto"/>
          <w:sz w:val="22"/>
          <w:szCs w:val="22"/>
        </w:rPr>
      </w:pPr>
    </w:p>
    <w:p w14:paraId="4CA8A8F8" w14:textId="55DFDFA7" w:rsidR="00B65FFF" w:rsidRPr="00C50718" w:rsidRDefault="004174A4" w:rsidP="006E2492">
      <w:pPr>
        <w:pStyle w:val="Default"/>
        <w:rPr>
          <w:rFonts w:asciiTheme="minorHAnsi" w:hAnsiTheme="minorHAnsi" w:cstheme="minorHAnsi"/>
          <w:color w:val="auto"/>
          <w:sz w:val="22"/>
          <w:szCs w:val="22"/>
        </w:rPr>
      </w:pPr>
      <w:r>
        <w:rPr>
          <w:rFonts w:asciiTheme="minorHAnsi" w:hAnsiTheme="minorHAnsi" w:cstheme="minorHAnsi"/>
          <w:color w:val="auto"/>
          <w:sz w:val="22"/>
          <w:szCs w:val="22"/>
        </w:rPr>
        <w:t>Competency frameworks</w:t>
      </w:r>
      <w:r w:rsidR="0035247F">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proofErr w:type="gramStart"/>
      <w:r w:rsidR="00AC3CF4">
        <w:rPr>
          <w:rFonts w:asciiTheme="minorHAnsi" w:hAnsiTheme="minorHAnsi" w:cstheme="minorHAnsi"/>
          <w:color w:val="auto"/>
          <w:sz w:val="22"/>
          <w:szCs w:val="22"/>
        </w:rPr>
        <w:t>similarly</w:t>
      </w:r>
      <w:proofErr w:type="gramEnd"/>
      <w:r>
        <w:rPr>
          <w:rFonts w:asciiTheme="minorHAnsi" w:hAnsiTheme="minorHAnsi" w:cstheme="minorHAnsi"/>
          <w:color w:val="auto"/>
          <w:sz w:val="22"/>
          <w:szCs w:val="22"/>
        </w:rPr>
        <w:t xml:space="preserve"> to person specifications,</w:t>
      </w:r>
      <w:r w:rsidR="0035247F">
        <w:rPr>
          <w:rFonts w:asciiTheme="minorHAnsi" w:hAnsiTheme="minorHAnsi" w:cstheme="minorHAnsi"/>
          <w:color w:val="auto"/>
          <w:sz w:val="22"/>
          <w:szCs w:val="22"/>
        </w:rPr>
        <w:t xml:space="preserve"> define what an individual needs to </w:t>
      </w:r>
      <w:r w:rsidR="00AC3CF4">
        <w:rPr>
          <w:rFonts w:asciiTheme="minorHAnsi" w:hAnsiTheme="minorHAnsi" w:cstheme="minorHAnsi"/>
          <w:color w:val="auto"/>
          <w:sz w:val="22"/>
          <w:szCs w:val="22"/>
        </w:rPr>
        <w:t>succeed in their role. H</w:t>
      </w:r>
      <w:r w:rsidR="0035247F">
        <w:rPr>
          <w:rFonts w:asciiTheme="minorHAnsi" w:hAnsiTheme="minorHAnsi" w:cstheme="minorHAnsi"/>
          <w:color w:val="auto"/>
          <w:sz w:val="22"/>
          <w:szCs w:val="22"/>
        </w:rPr>
        <w:t>owever</w:t>
      </w:r>
      <w:r w:rsidR="00AC3CF4">
        <w:rPr>
          <w:rFonts w:asciiTheme="minorHAnsi" w:hAnsiTheme="minorHAnsi" w:cstheme="minorHAnsi"/>
          <w:color w:val="auto"/>
          <w:sz w:val="22"/>
          <w:szCs w:val="22"/>
        </w:rPr>
        <w:t>,</w:t>
      </w:r>
      <w:r w:rsidR="0035247F">
        <w:rPr>
          <w:rFonts w:asciiTheme="minorHAnsi" w:hAnsiTheme="minorHAnsi" w:cstheme="minorHAnsi"/>
          <w:color w:val="auto"/>
          <w:sz w:val="22"/>
          <w:szCs w:val="22"/>
        </w:rPr>
        <w:t xml:space="preserve"> </w:t>
      </w:r>
      <w:r w:rsidR="00AC3CF4">
        <w:rPr>
          <w:rFonts w:asciiTheme="minorHAnsi" w:hAnsiTheme="minorHAnsi" w:cstheme="minorHAnsi"/>
          <w:color w:val="auto"/>
          <w:sz w:val="22"/>
          <w:szCs w:val="22"/>
        </w:rPr>
        <w:t xml:space="preserve">core </w:t>
      </w:r>
      <w:r w:rsidR="0035247F">
        <w:rPr>
          <w:rFonts w:asciiTheme="minorHAnsi" w:hAnsiTheme="minorHAnsi" w:cstheme="minorHAnsi"/>
          <w:color w:val="auto"/>
          <w:sz w:val="22"/>
          <w:szCs w:val="22"/>
        </w:rPr>
        <w:t>competencies (for example a competency such as people management</w:t>
      </w:r>
      <w:r w:rsidR="00AC3CF4">
        <w:rPr>
          <w:rFonts w:asciiTheme="minorHAnsi" w:hAnsiTheme="minorHAnsi" w:cstheme="minorHAnsi"/>
          <w:color w:val="auto"/>
          <w:sz w:val="22"/>
          <w:szCs w:val="22"/>
        </w:rPr>
        <w:t xml:space="preserve">) </w:t>
      </w:r>
      <w:r w:rsidR="0035247F">
        <w:rPr>
          <w:rFonts w:asciiTheme="minorHAnsi" w:hAnsiTheme="minorHAnsi" w:cstheme="minorHAnsi"/>
          <w:color w:val="auto"/>
          <w:sz w:val="22"/>
          <w:szCs w:val="22"/>
        </w:rPr>
        <w:t xml:space="preserve">are generally related to the organisation or a part of an organisation as oppose to a specific role. (CIPD, 2020) </w:t>
      </w:r>
      <w:r w:rsidR="00B65FFF">
        <w:rPr>
          <w:rFonts w:asciiTheme="minorHAnsi" w:hAnsiTheme="minorHAnsi" w:cstheme="minorHAnsi"/>
          <w:color w:val="auto"/>
          <w:sz w:val="22"/>
          <w:szCs w:val="22"/>
        </w:rPr>
        <w:t>Competency frameworks allow for a defined expectation of how employees need to perform their jobs and allow for the process to be measured. Competency frameworks can however be slow to catch up with changing environments and may not always fit the situation or individual as they are standardised. This can lead to employees behaving the same way and could stifle innovation. (Weeks, 2020) In summary, a good recruitment and selection process</w:t>
      </w:r>
      <w:r w:rsidR="00E2692C">
        <w:rPr>
          <w:rFonts w:asciiTheme="minorHAnsi" w:hAnsiTheme="minorHAnsi" w:cstheme="minorHAnsi"/>
          <w:color w:val="auto"/>
          <w:sz w:val="22"/>
          <w:szCs w:val="22"/>
        </w:rPr>
        <w:t xml:space="preserve"> is key, </w:t>
      </w:r>
      <w:r w:rsidR="00B65FFF">
        <w:rPr>
          <w:rFonts w:asciiTheme="minorHAnsi" w:hAnsiTheme="minorHAnsi" w:cstheme="minorHAnsi"/>
          <w:color w:val="auto"/>
          <w:sz w:val="22"/>
          <w:szCs w:val="22"/>
        </w:rPr>
        <w:t xml:space="preserve">and having competency frameworks in place can support ongoing development of employees in the long term. However, organisations need to ensure practices such as these are continuously reviewed and fit for purpose to </w:t>
      </w:r>
      <w:r w:rsidR="00972795">
        <w:rPr>
          <w:rFonts w:asciiTheme="minorHAnsi" w:hAnsiTheme="minorHAnsi" w:cstheme="minorHAnsi"/>
          <w:color w:val="auto"/>
          <w:sz w:val="22"/>
          <w:szCs w:val="22"/>
        </w:rPr>
        <w:t>maximise their</w:t>
      </w:r>
      <w:r w:rsidR="00F55F1F">
        <w:rPr>
          <w:rFonts w:asciiTheme="minorHAnsi" w:hAnsiTheme="minorHAnsi" w:cstheme="minorHAnsi"/>
          <w:color w:val="auto"/>
          <w:sz w:val="22"/>
          <w:szCs w:val="22"/>
        </w:rPr>
        <w:t xml:space="preserve"> </w:t>
      </w:r>
      <w:r w:rsidR="00972795">
        <w:rPr>
          <w:rFonts w:asciiTheme="minorHAnsi" w:hAnsiTheme="minorHAnsi" w:cstheme="minorHAnsi"/>
          <w:color w:val="auto"/>
          <w:sz w:val="22"/>
          <w:szCs w:val="22"/>
        </w:rPr>
        <w:t>potential</w:t>
      </w:r>
      <w:r w:rsidR="00B65FFF">
        <w:rPr>
          <w:rFonts w:asciiTheme="minorHAnsi" w:hAnsiTheme="minorHAnsi" w:cstheme="minorHAnsi"/>
          <w:color w:val="auto"/>
          <w:sz w:val="22"/>
          <w:szCs w:val="22"/>
        </w:rPr>
        <w:t xml:space="preserve">. </w:t>
      </w:r>
    </w:p>
    <w:p w14:paraId="16220DD3" w14:textId="77777777" w:rsidR="00543256" w:rsidRDefault="00543256" w:rsidP="00543256">
      <w:pPr>
        <w:pStyle w:val="NoSpacing"/>
      </w:pPr>
    </w:p>
    <w:p w14:paraId="01C6872C" w14:textId="738C8FFB" w:rsidR="003E0C0D" w:rsidRDefault="00FB4990" w:rsidP="00A61C52">
      <w:r w:rsidRPr="00543256">
        <w:t xml:space="preserve">Dismissal relates to </w:t>
      </w:r>
      <w:r w:rsidR="00B73174" w:rsidRPr="00543256">
        <w:t>several</w:t>
      </w:r>
      <w:r w:rsidRPr="00543256">
        <w:t xml:space="preserve"> aspects, </w:t>
      </w:r>
      <w:r w:rsidR="00B73174" w:rsidRPr="00543256">
        <w:t>and it is best practice to ensure investigations are carried out as early as possible and ensure there is an opportunity for the individual to improve before dismissal is considered</w:t>
      </w:r>
      <w:r w:rsidR="00ED7A60" w:rsidRPr="00543256">
        <w:t>, for example through coaching</w:t>
      </w:r>
      <w:r w:rsidR="00B73174" w:rsidRPr="00543256">
        <w:t>. Dismissal can be fair or unfair;</w:t>
      </w:r>
      <w:r w:rsidR="00ED7A60" w:rsidRPr="00543256">
        <w:t xml:space="preserve"> to be fair employers must demonstrate that it was due to five specific reasons. </w:t>
      </w:r>
      <w:r w:rsidR="00F55F1F">
        <w:t>Employers need to also</w:t>
      </w:r>
      <w:r w:rsidR="00ED7A60" w:rsidRPr="00543256">
        <w:t xml:space="preserve"> show that </w:t>
      </w:r>
      <w:r w:rsidR="00F55F1F">
        <w:t xml:space="preserve">they have </w:t>
      </w:r>
      <w:r w:rsidR="00ED7A60" w:rsidRPr="00543256">
        <w:t>acted fairly and reasonably during the process. (</w:t>
      </w:r>
      <w:proofErr w:type="spellStart"/>
      <w:r w:rsidR="007372B5">
        <w:t>Suff</w:t>
      </w:r>
      <w:proofErr w:type="spellEnd"/>
      <w:r w:rsidR="00ED7A60" w:rsidRPr="00543256">
        <w:t>, 2020)</w:t>
      </w:r>
      <w:r w:rsidR="00F55F1F">
        <w:t xml:space="preserve"> </w:t>
      </w:r>
      <w:r w:rsidR="0054471A">
        <w:t>R</w:t>
      </w:r>
      <w:r w:rsidR="00ED7A60">
        <w:t>edundancy</w:t>
      </w:r>
      <w:r w:rsidR="0054471A">
        <w:t xml:space="preserve"> is a form of dismissal where a role is no longer </w:t>
      </w:r>
      <w:r w:rsidR="00F55F1F">
        <w:t>needed,</w:t>
      </w:r>
      <w:r w:rsidR="0054471A">
        <w:t xml:space="preserve"> and a fair selection process must be followed</w:t>
      </w:r>
      <w:r w:rsidR="00F55F1F">
        <w:t xml:space="preserve">. </w:t>
      </w:r>
      <w:r w:rsidR="0054471A">
        <w:t>Employees should be offered support</w:t>
      </w:r>
      <w:r w:rsidR="00F55F1F">
        <w:t>, treated sensitively,</w:t>
      </w:r>
      <w:r w:rsidR="0054471A">
        <w:t xml:space="preserve"> and should be allowed reasonable time off to look for employment. Employers who do not follow the correct process can be penalised. (ACAS, 2021) </w:t>
      </w:r>
      <w:r w:rsidR="00543256">
        <w:t>Where an employee is retiring, ensuring that all options are considered is important for the dismissal to be fair. The employee should be offered different working arrangements (i.e. reduced hours</w:t>
      </w:r>
      <w:r w:rsidR="00F55F1F">
        <w:t xml:space="preserve"> </w:t>
      </w:r>
      <w:r w:rsidR="00543256">
        <w:t xml:space="preserve">or a change of role) and could even become a consultant for the organisation if appropriate to their job role. An organisation should ensure guidance on retirement is available, </w:t>
      </w:r>
      <w:r w:rsidR="00F55F1F">
        <w:t xml:space="preserve">particularly </w:t>
      </w:r>
      <w:r w:rsidR="00543256">
        <w:t xml:space="preserve">from a financial </w:t>
      </w:r>
      <w:r w:rsidR="00543256">
        <w:lastRenderedPageBreak/>
        <w:t>perspective</w:t>
      </w:r>
      <w:r w:rsidR="00F55F1F">
        <w:t>, and s</w:t>
      </w:r>
      <w:r w:rsidR="00543256">
        <w:t>ome employers utilise the services of their pension provider to give advice to employee</w:t>
      </w:r>
      <w:r w:rsidR="00F55F1F">
        <w:t>s</w:t>
      </w:r>
      <w:r w:rsidR="00A61C52">
        <w:t xml:space="preserve">. As there is no longer a legal age for retirement, employers cannot force employees to retire. (Age UK, 2021) </w:t>
      </w:r>
    </w:p>
    <w:p w14:paraId="4200F2D1" w14:textId="400C7132" w:rsidR="00A61C52" w:rsidRDefault="00A61C52" w:rsidP="00A61C52">
      <w:r>
        <w:t xml:space="preserve">Throughout any dismissal process, an organisation needs to ensure they are compliant with the law and their process is fair. Failure to do so can result in </w:t>
      </w:r>
      <w:r w:rsidR="00237670">
        <w:t>unfair dismissal</w:t>
      </w:r>
      <w:r>
        <w:t xml:space="preserve"> claims, and implications around discrimination. Dismissal</w:t>
      </w:r>
      <w:r w:rsidR="00237670">
        <w:t xml:space="preserve"> can be </w:t>
      </w:r>
      <w:r>
        <w:t xml:space="preserve">stressful for employees, so ensuring there is support at all stages of the process can help employers </w:t>
      </w:r>
      <w:r w:rsidR="003364D0">
        <w:t xml:space="preserve">achieve a smooth process. </w:t>
      </w:r>
    </w:p>
    <w:p w14:paraId="6D1DC5A4" w14:textId="2A3413EC" w:rsidR="00D8630D" w:rsidRDefault="00D8630D" w:rsidP="00D8630D"/>
    <w:p w14:paraId="6DF5C2F2" w14:textId="0844C2EA" w:rsidR="00D8630D" w:rsidRDefault="00D8630D" w:rsidP="00D8630D"/>
    <w:p w14:paraId="50F64E5E" w14:textId="1429514E" w:rsidR="00D8630D" w:rsidRDefault="00D8630D" w:rsidP="00D8630D"/>
    <w:p w14:paraId="1020D90F" w14:textId="77777777" w:rsidR="00D8630D" w:rsidRDefault="00D8630D" w:rsidP="00D8630D"/>
    <w:p w14:paraId="0015444B" w14:textId="7A04C999" w:rsidR="003E0C0D" w:rsidRDefault="003E0C0D" w:rsidP="003E0C0D"/>
    <w:p w14:paraId="63924A6A" w14:textId="77777777" w:rsidR="00093AEC" w:rsidRDefault="00093AEC" w:rsidP="003E0C0D">
      <w:pPr>
        <w:rPr>
          <w:b/>
          <w:bCs/>
          <w:u w:val="single"/>
        </w:rPr>
      </w:pPr>
    </w:p>
    <w:p w14:paraId="1E88BBA4" w14:textId="77777777" w:rsidR="00093AEC" w:rsidRDefault="00093AEC" w:rsidP="003E0C0D">
      <w:pPr>
        <w:rPr>
          <w:b/>
          <w:bCs/>
          <w:u w:val="single"/>
        </w:rPr>
      </w:pPr>
    </w:p>
    <w:p w14:paraId="74C65821" w14:textId="77777777" w:rsidR="00093AEC" w:rsidRDefault="00093AEC" w:rsidP="003E0C0D">
      <w:pPr>
        <w:rPr>
          <w:b/>
          <w:bCs/>
          <w:u w:val="single"/>
        </w:rPr>
      </w:pPr>
    </w:p>
    <w:p w14:paraId="5EEDC5EE" w14:textId="77777777" w:rsidR="00093AEC" w:rsidRDefault="00093AEC" w:rsidP="003E0C0D">
      <w:pPr>
        <w:rPr>
          <w:b/>
          <w:bCs/>
          <w:u w:val="single"/>
        </w:rPr>
      </w:pPr>
    </w:p>
    <w:p w14:paraId="3DEF76F4" w14:textId="77777777" w:rsidR="00093AEC" w:rsidRDefault="00093AEC" w:rsidP="003E0C0D">
      <w:pPr>
        <w:rPr>
          <w:b/>
          <w:bCs/>
          <w:u w:val="single"/>
        </w:rPr>
      </w:pPr>
    </w:p>
    <w:p w14:paraId="48719707" w14:textId="77777777" w:rsidR="00093AEC" w:rsidRDefault="00093AEC" w:rsidP="003E0C0D">
      <w:pPr>
        <w:rPr>
          <w:b/>
          <w:bCs/>
          <w:u w:val="single"/>
        </w:rPr>
      </w:pPr>
    </w:p>
    <w:p w14:paraId="63A0B92C" w14:textId="77777777" w:rsidR="00093AEC" w:rsidRDefault="00093AEC" w:rsidP="003E0C0D">
      <w:pPr>
        <w:rPr>
          <w:b/>
          <w:bCs/>
          <w:u w:val="single"/>
        </w:rPr>
      </w:pPr>
    </w:p>
    <w:p w14:paraId="3EB16857" w14:textId="77777777" w:rsidR="00093AEC" w:rsidRDefault="00093AEC" w:rsidP="003E0C0D">
      <w:pPr>
        <w:rPr>
          <w:b/>
          <w:bCs/>
          <w:u w:val="single"/>
        </w:rPr>
      </w:pPr>
    </w:p>
    <w:p w14:paraId="14B79832" w14:textId="77777777" w:rsidR="00093AEC" w:rsidRDefault="00093AEC" w:rsidP="003E0C0D">
      <w:pPr>
        <w:rPr>
          <w:b/>
          <w:bCs/>
          <w:u w:val="single"/>
        </w:rPr>
      </w:pPr>
    </w:p>
    <w:p w14:paraId="2847C871" w14:textId="77777777" w:rsidR="00093AEC" w:rsidRDefault="00093AEC" w:rsidP="003E0C0D">
      <w:pPr>
        <w:rPr>
          <w:b/>
          <w:bCs/>
          <w:u w:val="single"/>
        </w:rPr>
      </w:pPr>
    </w:p>
    <w:p w14:paraId="34BDCEA5" w14:textId="77777777" w:rsidR="00093AEC" w:rsidRDefault="00093AEC" w:rsidP="003E0C0D">
      <w:pPr>
        <w:rPr>
          <w:b/>
          <w:bCs/>
          <w:u w:val="single"/>
        </w:rPr>
      </w:pPr>
    </w:p>
    <w:p w14:paraId="43FFDA86" w14:textId="77777777" w:rsidR="00093AEC" w:rsidRDefault="00093AEC" w:rsidP="003E0C0D">
      <w:pPr>
        <w:rPr>
          <w:b/>
          <w:bCs/>
          <w:u w:val="single"/>
        </w:rPr>
      </w:pPr>
    </w:p>
    <w:p w14:paraId="467BE8C8" w14:textId="77777777" w:rsidR="00093AEC" w:rsidRDefault="00093AEC" w:rsidP="003E0C0D">
      <w:pPr>
        <w:rPr>
          <w:b/>
          <w:bCs/>
          <w:u w:val="single"/>
        </w:rPr>
      </w:pPr>
    </w:p>
    <w:p w14:paraId="401A7869" w14:textId="77777777" w:rsidR="00093AEC" w:rsidRDefault="00093AEC" w:rsidP="003E0C0D">
      <w:pPr>
        <w:rPr>
          <w:b/>
          <w:bCs/>
          <w:u w:val="single"/>
        </w:rPr>
      </w:pPr>
    </w:p>
    <w:p w14:paraId="195AF680" w14:textId="77777777" w:rsidR="00093AEC" w:rsidRDefault="00093AEC" w:rsidP="003E0C0D">
      <w:pPr>
        <w:rPr>
          <w:b/>
          <w:bCs/>
          <w:u w:val="single"/>
        </w:rPr>
      </w:pPr>
    </w:p>
    <w:p w14:paraId="4A6CF48B" w14:textId="77777777" w:rsidR="00093AEC" w:rsidRDefault="00093AEC" w:rsidP="003E0C0D">
      <w:pPr>
        <w:rPr>
          <w:b/>
          <w:bCs/>
          <w:u w:val="single"/>
        </w:rPr>
      </w:pPr>
    </w:p>
    <w:p w14:paraId="64C4DD4A" w14:textId="77777777" w:rsidR="00093AEC" w:rsidRDefault="00093AEC" w:rsidP="003E0C0D">
      <w:pPr>
        <w:rPr>
          <w:b/>
          <w:bCs/>
          <w:u w:val="single"/>
        </w:rPr>
      </w:pPr>
    </w:p>
    <w:p w14:paraId="598B7BFF" w14:textId="77777777" w:rsidR="00093AEC" w:rsidRDefault="00093AEC" w:rsidP="003E0C0D">
      <w:pPr>
        <w:rPr>
          <w:b/>
          <w:bCs/>
          <w:u w:val="single"/>
        </w:rPr>
      </w:pPr>
    </w:p>
    <w:p w14:paraId="22C54A4C" w14:textId="77777777" w:rsidR="00093AEC" w:rsidRDefault="00093AEC" w:rsidP="003E0C0D">
      <w:pPr>
        <w:rPr>
          <w:b/>
          <w:bCs/>
          <w:u w:val="single"/>
        </w:rPr>
      </w:pPr>
    </w:p>
    <w:p w14:paraId="35D11878" w14:textId="77777777" w:rsidR="00093AEC" w:rsidRDefault="00093AEC" w:rsidP="003E0C0D">
      <w:pPr>
        <w:rPr>
          <w:b/>
          <w:bCs/>
          <w:u w:val="single"/>
        </w:rPr>
      </w:pPr>
    </w:p>
    <w:p w14:paraId="0ECD4447" w14:textId="77777777" w:rsidR="00093AEC" w:rsidRDefault="00093AEC" w:rsidP="003E0C0D">
      <w:pPr>
        <w:rPr>
          <w:b/>
          <w:bCs/>
          <w:u w:val="single"/>
        </w:rPr>
      </w:pPr>
    </w:p>
    <w:p w14:paraId="62939B59" w14:textId="78CFDFFF" w:rsidR="00481334" w:rsidRDefault="007C1BD4" w:rsidP="006D7B26">
      <w:pPr>
        <w:rPr>
          <w:b/>
          <w:bCs/>
          <w:u w:val="single"/>
        </w:rPr>
      </w:pPr>
      <w:r w:rsidRPr="00093AEC">
        <w:rPr>
          <w:b/>
          <w:bCs/>
          <w:u w:val="single"/>
        </w:rPr>
        <w:lastRenderedPageBreak/>
        <w:t>References</w:t>
      </w:r>
    </w:p>
    <w:sdt>
      <w:sdtPr>
        <w:id w:val="-573587230"/>
        <w:bibliography/>
      </w:sdtPr>
      <w:sdtEndPr/>
      <w:sdtContent>
        <w:p w14:paraId="0E593CFF" w14:textId="77777777" w:rsidR="006D7B26" w:rsidRDefault="006D7B26" w:rsidP="006D7B26">
          <w:pPr>
            <w:pStyle w:val="Bibliography"/>
            <w:rPr>
              <w:noProof/>
              <w:sz w:val="24"/>
              <w:szCs w:val="24"/>
              <w:lang w:val="en-US"/>
            </w:rPr>
          </w:pPr>
          <w:r>
            <w:fldChar w:fldCharType="begin"/>
          </w:r>
          <w:r>
            <w:instrText xml:space="preserve"> BIBLIOGRAPHY </w:instrText>
          </w:r>
          <w:r>
            <w:fldChar w:fldCharType="separate"/>
          </w:r>
          <w:r>
            <w:rPr>
              <w:noProof/>
              <w:lang w:val="en-US"/>
            </w:rPr>
            <w:t xml:space="preserve">ABS, 2021. </w:t>
          </w:r>
          <w:r>
            <w:rPr>
              <w:i/>
              <w:iCs/>
              <w:noProof/>
              <w:lang w:val="en-US"/>
            </w:rPr>
            <w:t xml:space="preserve">Labour Force Australia. </w:t>
          </w:r>
          <w:r>
            <w:rPr>
              <w:noProof/>
              <w:lang w:val="en-US"/>
            </w:rPr>
            <w:t xml:space="preserve">[Online] </w:t>
          </w:r>
          <w:r>
            <w:rPr>
              <w:noProof/>
              <w:lang w:val="en-US"/>
            </w:rPr>
            <w:br/>
            <w:t xml:space="preserve">Available at: </w:t>
          </w:r>
          <w:r>
            <w:rPr>
              <w:noProof/>
              <w:u w:val="single"/>
              <w:lang w:val="en-US"/>
            </w:rPr>
            <w:t>https://www.abs.gov.au/statistics/labour/employment-and-unemployment/labour-force-australia/latest-release</w:t>
          </w:r>
          <w:r>
            <w:rPr>
              <w:noProof/>
              <w:lang w:val="en-US"/>
            </w:rPr>
            <w:br/>
            <w:t>[Accessed 19 April 2021].</w:t>
          </w:r>
        </w:p>
        <w:p w14:paraId="1085C4E0" w14:textId="77777777" w:rsidR="006D7B26" w:rsidRDefault="006D7B26" w:rsidP="006D7B26">
          <w:pPr>
            <w:pStyle w:val="Bibliography"/>
            <w:rPr>
              <w:noProof/>
              <w:lang w:val="en-US"/>
            </w:rPr>
          </w:pPr>
          <w:r>
            <w:rPr>
              <w:noProof/>
              <w:lang w:val="en-US"/>
            </w:rPr>
            <w:t xml:space="preserve">ACAS, 2021. </w:t>
          </w:r>
          <w:r>
            <w:rPr>
              <w:i/>
              <w:iCs/>
              <w:noProof/>
              <w:lang w:val="en-US"/>
            </w:rPr>
            <w:t xml:space="preserve">Managing staff redundancies: step by step. </w:t>
          </w:r>
          <w:r>
            <w:rPr>
              <w:noProof/>
              <w:lang w:val="en-US"/>
            </w:rPr>
            <w:t xml:space="preserve">[Online] </w:t>
          </w:r>
          <w:r>
            <w:rPr>
              <w:noProof/>
              <w:lang w:val="en-US"/>
            </w:rPr>
            <w:br/>
            <w:t xml:space="preserve">Available at: </w:t>
          </w:r>
          <w:r>
            <w:rPr>
              <w:noProof/>
              <w:u w:val="single"/>
              <w:lang w:val="en-US"/>
            </w:rPr>
            <w:t>https://www.acas.org.uk/manage-staff-redundancies/follow-the-right-process</w:t>
          </w:r>
          <w:r>
            <w:rPr>
              <w:noProof/>
              <w:lang w:val="en-US"/>
            </w:rPr>
            <w:br/>
            <w:t>[Accessed 19 April 2021].</w:t>
          </w:r>
        </w:p>
        <w:p w14:paraId="76DE8EBA" w14:textId="1A6B39C0" w:rsidR="006D7B26" w:rsidRDefault="006D7B26" w:rsidP="006D7B26">
          <w:pPr>
            <w:pStyle w:val="Bibliography"/>
            <w:rPr>
              <w:noProof/>
              <w:lang w:val="en-US"/>
            </w:rPr>
          </w:pPr>
          <w:r>
            <w:rPr>
              <w:noProof/>
              <w:lang w:val="en-US"/>
            </w:rPr>
            <w:t xml:space="preserve">Age UK , 2021. </w:t>
          </w:r>
          <w:r>
            <w:rPr>
              <w:i/>
              <w:iCs/>
              <w:noProof/>
              <w:lang w:val="en-US"/>
            </w:rPr>
            <w:t xml:space="preserve">Can I be forced to retire?. </w:t>
          </w:r>
          <w:r>
            <w:rPr>
              <w:noProof/>
              <w:lang w:val="en-US"/>
            </w:rPr>
            <w:t xml:space="preserve">[Online] </w:t>
          </w:r>
          <w:r>
            <w:rPr>
              <w:noProof/>
              <w:lang w:val="en-US"/>
            </w:rPr>
            <w:br/>
            <w:t xml:space="preserve">Available at: </w:t>
          </w:r>
          <w:r>
            <w:rPr>
              <w:noProof/>
              <w:u w:val="single"/>
              <w:lang w:val="en-US"/>
            </w:rPr>
            <w:t>https://www.ageuk.org.uk/information-advice/work-learning/retirement/retirement-age/</w:t>
          </w:r>
          <w:r>
            <w:rPr>
              <w:noProof/>
              <w:lang w:val="en-US"/>
            </w:rPr>
            <w:br/>
            <w:t>[Accessed 20 April 2021].</w:t>
          </w:r>
        </w:p>
        <w:p w14:paraId="1E934B3A" w14:textId="5CE743D5" w:rsidR="00000247" w:rsidRPr="00000247" w:rsidRDefault="00000247" w:rsidP="00000247">
          <w:pPr>
            <w:rPr>
              <w:lang w:val="en-US"/>
            </w:rPr>
          </w:pPr>
          <w:r>
            <w:t>Armstrong, M. &amp; Taylor, S. (2014). Armstrong's handbook of human resource management practice (13th ed.). London, UK: Kogan Page.</w:t>
          </w:r>
        </w:p>
        <w:p w14:paraId="53166F1A" w14:textId="77777777" w:rsidR="006D7B26" w:rsidRDefault="006D7B26" w:rsidP="006D7B26">
          <w:pPr>
            <w:pStyle w:val="Bibliography"/>
            <w:rPr>
              <w:noProof/>
              <w:lang w:val="en-US"/>
            </w:rPr>
          </w:pPr>
          <w:r>
            <w:rPr>
              <w:noProof/>
              <w:lang w:val="en-US"/>
            </w:rPr>
            <w:t xml:space="preserve">Borland, A., 2020. </w:t>
          </w:r>
          <w:r>
            <w:rPr>
              <w:i/>
              <w:iCs/>
              <w:noProof/>
              <w:lang w:val="en-US"/>
            </w:rPr>
            <w:t xml:space="preserve">The Australian Labour Market and the Early Impact of COVID‐19: An Assessment. </w:t>
          </w:r>
          <w:r>
            <w:rPr>
              <w:noProof/>
              <w:lang w:val="en-US"/>
            </w:rPr>
            <w:t xml:space="preserve">[Online] </w:t>
          </w:r>
          <w:r>
            <w:rPr>
              <w:noProof/>
              <w:lang w:val="en-US"/>
            </w:rPr>
            <w:br/>
            <w:t xml:space="preserve">Available at: </w:t>
          </w:r>
          <w:r>
            <w:rPr>
              <w:noProof/>
              <w:u w:val="single"/>
              <w:lang w:val="en-US"/>
            </w:rPr>
            <w:t>https://onlinelibrary.wiley.com/doi/10.1111/1467-8462.12386</w:t>
          </w:r>
          <w:r>
            <w:rPr>
              <w:noProof/>
              <w:lang w:val="en-US"/>
            </w:rPr>
            <w:br/>
            <w:t>[Accessed 20 April 2021].</w:t>
          </w:r>
        </w:p>
        <w:p w14:paraId="1EB12A44" w14:textId="77777777" w:rsidR="006D7B26" w:rsidRDefault="006D7B26" w:rsidP="006D7B26">
          <w:pPr>
            <w:pStyle w:val="Bibliography"/>
            <w:rPr>
              <w:noProof/>
              <w:lang w:val="en-US"/>
            </w:rPr>
          </w:pPr>
          <w:r>
            <w:rPr>
              <w:noProof/>
              <w:lang w:val="en-US"/>
            </w:rPr>
            <w:t xml:space="preserve">Campling, B., 2020. </w:t>
          </w:r>
          <w:r>
            <w:rPr>
              <w:i/>
              <w:iCs/>
              <w:noProof/>
              <w:lang w:val="en-US"/>
            </w:rPr>
            <w:t xml:space="preserve">12 Recruitment methods you need to know about. </w:t>
          </w:r>
          <w:r>
            <w:rPr>
              <w:noProof/>
              <w:lang w:val="en-US"/>
            </w:rPr>
            <w:t xml:space="preserve">[Online] </w:t>
          </w:r>
          <w:r>
            <w:rPr>
              <w:noProof/>
              <w:lang w:val="en-US"/>
            </w:rPr>
            <w:br/>
            <w:t xml:space="preserve">Available at: </w:t>
          </w:r>
          <w:r>
            <w:rPr>
              <w:noProof/>
              <w:u w:val="single"/>
              <w:lang w:val="en-US"/>
            </w:rPr>
            <w:t>https://blog.recruitee.com/recruitment-methods/</w:t>
          </w:r>
          <w:r>
            <w:rPr>
              <w:noProof/>
              <w:lang w:val="en-US"/>
            </w:rPr>
            <w:br/>
            <w:t>[Accessed 21 April 2021].</w:t>
          </w:r>
        </w:p>
        <w:p w14:paraId="0DAF22CF" w14:textId="77777777" w:rsidR="006D7B26" w:rsidRDefault="006D7B26" w:rsidP="006D7B26">
          <w:pPr>
            <w:pStyle w:val="Bibliography"/>
            <w:rPr>
              <w:noProof/>
              <w:lang w:val="en-US"/>
            </w:rPr>
          </w:pPr>
          <w:r>
            <w:rPr>
              <w:noProof/>
              <w:lang w:val="en-US"/>
            </w:rPr>
            <w:t xml:space="preserve">Chirpanhura, B., 2021. </w:t>
          </w:r>
          <w:r>
            <w:rPr>
              <w:i/>
              <w:iCs/>
              <w:noProof/>
              <w:lang w:val="en-US"/>
            </w:rPr>
            <w:t xml:space="preserve">Coronavirus and redundancies in the UK labour market: September to November 2020.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https://www.ons.gov.uk/employmentandlabourmarket/peopleinwork/employmentandemployeetypes/articles/labourmarketeconomicanalysisquarterly/december2020</w:t>
          </w:r>
          <w:r>
            <w:rPr>
              <w:noProof/>
              <w:lang w:val="en-US"/>
            </w:rPr>
            <w:br/>
            <w:t>[Accessed 12 April 2021].</w:t>
          </w:r>
        </w:p>
        <w:p w14:paraId="12D72A35" w14:textId="77777777" w:rsidR="006D7B26" w:rsidRDefault="006D7B26" w:rsidP="006D7B26">
          <w:pPr>
            <w:pStyle w:val="Bibliography"/>
            <w:rPr>
              <w:noProof/>
              <w:lang w:val="en-US"/>
            </w:rPr>
          </w:pPr>
          <w:r>
            <w:rPr>
              <w:noProof/>
              <w:lang w:val="en-US"/>
            </w:rPr>
            <w:t xml:space="preserve">CIPD, 2020. </w:t>
          </w:r>
          <w:r>
            <w:rPr>
              <w:i/>
              <w:iCs/>
              <w:noProof/>
              <w:lang w:val="en-US"/>
            </w:rPr>
            <w:t xml:space="preserve">Talent Management. </w:t>
          </w:r>
          <w:r>
            <w:rPr>
              <w:noProof/>
              <w:lang w:val="en-US"/>
            </w:rPr>
            <w:t xml:space="preserve">[Online] </w:t>
          </w:r>
          <w:r>
            <w:rPr>
              <w:noProof/>
              <w:lang w:val="en-US"/>
            </w:rPr>
            <w:br/>
            <w:t xml:space="preserve">Available at: </w:t>
          </w:r>
          <w:r>
            <w:rPr>
              <w:noProof/>
              <w:u w:val="single"/>
              <w:lang w:val="en-US"/>
            </w:rPr>
            <w:t>https://www.cipd.co.uk/knowledge/strategy/resourcing/talent-factsheet#gref</w:t>
          </w:r>
          <w:r>
            <w:rPr>
              <w:noProof/>
              <w:lang w:val="en-US"/>
            </w:rPr>
            <w:br/>
            <w:t>[Accessed 14 April 2021].</w:t>
          </w:r>
        </w:p>
        <w:p w14:paraId="637ADFE9" w14:textId="77777777" w:rsidR="006D7B26" w:rsidRDefault="006D7B26" w:rsidP="006D7B26">
          <w:pPr>
            <w:pStyle w:val="Bibliography"/>
            <w:rPr>
              <w:noProof/>
              <w:lang w:val="en-US"/>
            </w:rPr>
          </w:pPr>
          <w:r>
            <w:rPr>
              <w:noProof/>
              <w:lang w:val="en-US"/>
            </w:rPr>
            <w:t xml:space="preserve">CIPD, 2021. </w:t>
          </w:r>
          <w:r>
            <w:rPr>
              <w:i/>
              <w:iCs/>
              <w:noProof/>
              <w:lang w:val="en-US"/>
            </w:rPr>
            <w:t xml:space="preserve">Labour Market Outlook Surveys. </w:t>
          </w:r>
          <w:r>
            <w:rPr>
              <w:noProof/>
              <w:lang w:val="en-US"/>
            </w:rPr>
            <w:t xml:space="preserve">[Online] </w:t>
          </w:r>
          <w:r>
            <w:rPr>
              <w:noProof/>
              <w:lang w:val="en-US"/>
            </w:rPr>
            <w:br/>
            <w:t xml:space="preserve">Available at: </w:t>
          </w:r>
          <w:r>
            <w:rPr>
              <w:noProof/>
              <w:u w:val="single"/>
              <w:lang w:val="en-US"/>
            </w:rPr>
            <w:t>https://www.cipd.co.uk/knowledge/work/trends/labour-market-outlook#gref</w:t>
          </w:r>
          <w:r>
            <w:rPr>
              <w:noProof/>
              <w:lang w:val="en-US"/>
            </w:rPr>
            <w:br/>
            <w:t>[Accessed 28 March 2021].</w:t>
          </w:r>
        </w:p>
        <w:p w14:paraId="7BECD15F" w14:textId="77777777" w:rsidR="006D7B26" w:rsidRDefault="006D7B26" w:rsidP="006D7B26">
          <w:pPr>
            <w:pStyle w:val="Bibliography"/>
            <w:rPr>
              <w:noProof/>
              <w:lang w:val="en-US"/>
            </w:rPr>
          </w:pPr>
          <w:r>
            <w:rPr>
              <w:noProof/>
              <w:lang w:val="en-US"/>
            </w:rPr>
            <w:t xml:space="preserve">CIPD, 2021. </w:t>
          </w:r>
          <w:r>
            <w:rPr>
              <w:i/>
              <w:iCs/>
              <w:noProof/>
              <w:lang w:val="en-US"/>
            </w:rPr>
            <w:t xml:space="preserve">Recruitment and Selection Q&amp;A's. </w:t>
          </w:r>
          <w:r>
            <w:rPr>
              <w:noProof/>
              <w:lang w:val="en-US"/>
            </w:rPr>
            <w:t xml:space="preserve">[Online] </w:t>
          </w:r>
          <w:r>
            <w:rPr>
              <w:noProof/>
              <w:lang w:val="en-US"/>
            </w:rPr>
            <w:br/>
            <w:t xml:space="preserve">Available at: </w:t>
          </w:r>
          <w:r>
            <w:rPr>
              <w:noProof/>
              <w:u w:val="single"/>
              <w:lang w:val="en-US"/>
            </w:rPr>
            <w:t>https://www.cipd.co.uk/knowledge/fundamentals/emp-law/recruitment/questions</w:t>
          </w:r>
          <w:r>
            <w:rPr>
              <w:noProof/>
              <w:lang w:val="en-US"/>
            </w:rPr>
            <w:br/>
            <w:t>[Accessed 21 April 2021].</w:t>
          </w:r>
        </w:p>
        <w:p w14:paraId="472920A6" w14:textId="77777777" w:rsidR="006D7B26" w:rsidRDefault="006D7B26" w:rsidP="006D7B26">
          <w:pPr>
            <w:pStyle w:val="Bibliography"/>
            <w:rPr>
              <w:noProof/>
              <w:lang w:val="en-US"/>
            </w:rPr>
          </w:pPr>
          <w:r>
            <w:rPr>
              <w:noProof/>
              <w:lang w:val="en-US"/>
            </w:rPr>
            <w:t xml:space="preserve">Clark, A., 2020. </w:t>
          </w:r>
          <w:r>
            <w:rPr>
              <w:i/>
              <w:iCs/>
              <w:noProof/>
              <w:lang w:val="en-US"/>
            </w:rPr>
            <w:t xml:space="preserve">Public vs Private - Which sector has coronavirus hit the hardest?. </w:t>
          </w:r>
          <w:r>
            <w:rPr>
              <w:noProof/>
              <w:lang w:val="en-US"/>
            </w:rPr>
            <w:t xml:space="preserve">[Online] </w:t>
          </w:r>
          <w:r>
            <w:rPr>
              <w:noProof/>
              <w:lang w:val="en-US"/>
            </w:rPr>
            <w:br/>
            <w:t xml:space="preserve">Available at: </w:t>
          </w:r>
          <w:r>
            <w:rPr>
              <w:noProof/>
              <w:u w:val="single"/>
              <w:lang w:val="en-US"/>
            </w:rPr>
            <w:t>https://www.telegraph.co.uk/news/2020/11/20/public-sector-vs-private-sector-has-coronavirus-hit-hardest/</w:t>
          </w:r>
          <w:r>
            <w:rPr>
              <w:noProof/>
              <w:lang w:val="en-US"/>
            </w:rPr>
            <w:br/>
            <w:t>[Accessed 19 April 2021].</w:t>
          </w:r>
        </w:p>
        <w:p w14:paraId="0FD652F4" w14:textId="77777777" w:rsidR="006D7B26" w:rsidRDefault="006D7B26" w:rsidP="006D7B26">
          <w:pPr>
            <w:pStyle w:val="Bibliography"/>
            <w:rPr>
              <w:noProof/>
              <w:lang w:val="en-US"/>
            </w:rPr>
          </w:pPr>
          <w:r>
            <w:rPr>
              <w:noProof/>
              <w:lang w:val="en-US"/>
            </w:rPr>
            <w:lastRenderedPageBreak/>
            <w:t xml:space="preserve">Crush, T., 2017. </w:t>
          </w:r>
          <w:r>
            <w:rPr>
              <w:i/>
              <w:iCs/>
              <w:noProof/>
              <w:lang w:val="en-US"/>
            </w:rPr>
            <w:t xml:space="preserve">Benefits are the most cost effective way of retaining staff. </w:t>
          </w:r>
          <w:r>
            <w:rPr>
              <w:noProof/>
              <w:lang w:val="en-US"/>
            </w:rPr>
            <w:t xml:space="preserve">[Online] </w:t>
          </w:r>
          <w:r>
            <w:rPr>
              <w:noProof/>
              <w:lang w:val="en-US"/>
            </w:rPr>
            <w:br/>
            <w:t xml:space="preserve">Available at: </w:t>
          </w:r>
          <w:r>
            <w:rPr>
              <w:noProof/>
              <w:u w:val="single"/>
              <w:lang w:val="en-US"/>
            </w:rPr>
            <w:t>https://www.hrmagazine.co.uk/content/features/benefits-are-the-most-cost-effective-way-of-motivating-staff</w:t>
          </w:r>
          <w:r>
            <w:rPr>
              <w:noProof/>
              <w:lang w:val="en-US"/>
            </w:rPr>
            <w:br/>
            <w:t>[Accessed 10 April 2021].</w:t>
          </w:r>
        </w:p>
        <w:p w14:paraId="2C391B88" w14:textId="77777777" w:rsidR="006D7B26" w:rsidRDefault="006D7B26" w:rsidP="006D7B26">
          <w:pPr>
            <w:pStyle w:val="Bibliography"/>
            <w:rPr>
              <w:noProof/>
              <w:lang w:val="en-US"/>
            </w:rPr>
          </w:pPr>
          <w:r>
            <w:rPr>
              <w:noProof/>
              <w:lang w:val="en-US"/>
            </w:rPr>
            <w:t xml:space="preserve">Gibson, A., 2020. </w:t>
          </w:r>
          <w:r>
            <w:rPr>
              <w:i/>
              <w:iCs/>
              <w:noProof/>
              <w:lang w:val="en-US"/>
            </w:rPr>
            <w:t xml:space="preserve">Identifying your critical workforce. </w:t>
          </w:r>
          <w:r>
            <w:rPr>
              <w:noProof/>
              <w:lang w:val="en-US"/>
            </w:rPr>
            <w:t xml:space="preserve">[Online] </w:t>
          </w:r>
          <w:r>
            <w:rPr>
              <w:noProof/>
              <w:lang w:val="en-US"/>
            </w:rPr>
            <w:br/>
            <w:t xml:space="preserve">Available at: </w:t>
          </w:r>
          <w:r>
            <w:rPr>
              <w:noProof/>
              <w:u w:val="single"/>
              <w:lang w:val="en-US"/>
            </w:rPr>
            <w:t>http://agileworkforceplanning.com/combatting-capability-decay-copy/</w:t>
          </w:r>
          <w:r>
            <w:rPr>
              <w:noProof/>
              <w:lang w:val="en-US"/>
            </w:rPr>
            <w:br/>
            <w:t>[Accessed 29 March 2021].</w:t>
          </w:r>
        </w:p>
        <w:p w14:paraId="25E1EF6C" w14:textId="77777777" w:rsidR="006D7B26" w:rsidRDefault="006D7B26" w:rsidP="006D7B26">
          <w:pPr>
            <w:pStyle w:val="Bibliography"/>
            <w:rPr>
              <w:noProof/>
              <w:lang w:val="en-US"/>
            </w:rPr>
          </w:pPr>
          <w:r>
            <w:rPr>
              <w:noProof/>
              <w:lang w:val="en-US"/>
            </w:rPr>
            <w:t xml:space="preserve">Helm, T., 2020. </w:t>
          </w:r>
          <w:r>
            <w:rPr>
              <w:i/>
              <w:iCs/>
              <w:noProof/>
              <w:lang w:val="en-US"/>
            </w:rPr>
            <w:t xml:space="preserve">Brexit fuels brain drain as skilled Britons head to the EU. </w:t>
          </w:r>
          <w:r>
            <w:rPr>
              <w:noProof/>
              <w:lang w:val="en-US"/>
            </w:rPr>
            <w:t xml:space="preserve">[Online] </w:t>
          </w:r>
          <w:r>
            <w:rPr>
              <w:noProof/>
              <w:lang w:val="en-US"/>
            </w:rPr>
            <w:br/>
            <w:t xml:space="preserve">Available at: </w:t>
          </w:r>
          <w:r>
            <w:rPr>
              <w:noProof/>
              <w:u w:val="single"/>
              <w:lang w:val="en-US"/>
            </w:rPr>
            <w:t>https://www.theguardian.com/world/2020/aug/02/brexit-fuels-brain-drain-as-skilled-britons-head-to-the-eu</w:t>
          </w:r>
          <w:r>
            <w:rPr>
              <w:noProof/>
              <w:lang w:val="en-US"/>
            </w:rPr>
            <w:br/>
            <w:t>[Accessed 11 April 2021].</w:t>
          </w:r>
        </w:p>
        <w:p w14:paraId="67AAD2DB" w14:textId="77777777" w:rsidR="006D7B26" w:rsidRDefault="006D7B26" w:rsidP="006D7B26">
          <w:pPr>
            <w:pStyle w:val="Bibliography"/>
            <w:rPr>
              <w:noProof/>
              <w:lang w:val="en-US"/>
            </w:rPr>
          </w:pPr>
          <w:r>
            <w:rPr>
              <w:noProof/>
              <w:lang w:val="en-US"/>
            </w:rPr>
            <w:t xml:space="preserve">Hill, L., Ready, D. &amp; Thomas , R., 2014. Building a game changing talent strategy. </w:t>
          </w:r>
          <w:r>
            <w:rPr>
              <w:i/>
              <w:iCs/>
              <w:noProof/>
              <w:lang w:val="en-US"/>
            </w:rPr>
            <w:t xml:space="preserve">Havard Business Review , </w:t>
          </w:r>
          <w:r>
            <w:rPr>
              <w:noProof/>
              <w:lang w:val="en-US"/>
            </w:rPr>
            <w:t>Issue 1.</w:t>
          </w:r>
        </w:p>
        <w:p w14:paraId="1F68067C" w14:textId="77777777" w:rsidR="006D7B26" w:rsidRDefault="006D7B26" w:rsidP="006D7B26">
          <w:pPr>
            <w:pStyle w:val="Bibliography"/>
            <w:rPr>
              <w:noProof/>
              <w:lang w:val="en-US"/>
            </w:rPr>
          </w:pPr>
          <w:r>
            <w:rPr>
              <w:noProof/>
              <w:lang w:val="en-US"/>
            </w:rPr>
            <w:t xml:space="preserve">Houghton, E., 2020. </w:t>
          </w:r>
          <w:r>
            <w:rPr>
              <w:i/>
              <w:iCs/>
              <w:noProof/>
              <w:lang w:val="en-US"/>
            </w:rPr>
            <w:t xml:space="preserve">Workforce Reporting. </w:t>
          </w:r>
          <w:r>
            <w:rPr>
              <w:noProof/>
              <w:lang w:val="en-US"/>
            </w:rPr>
            <w:t xml:space="preserve">[Online] </w:t>
          </w:r>
          <w:r>
            <w:rPr>
              <w:noProof/>
              <w:lang w:val="en-US"/>
            </w:rPr>
            <w:br/>
            <w:t xml:space="preserve">Available at: </w:t>
          </w:r>
          <w:r>
            <w:rPr>
              <w:noProof/>
              <w:u w:val="single"/>
              <w:lang w:val="en-US"/>
            </w:rPr>
            <w:t>https://www.cipd.co.uk/knowledge/strategy/analytics/workforce-reporting-factsheet</w:t>
          </w:r>
          <w:r>
            <w:rPr>
              <w:noProof/>
              <w:lang w:val="en-US"/>
            </w:rPr>
            <w:br/>
            <w:t>[Accessed 14 April 2021].</w:t>
          </w:r>
        </w:p>
        <w:p w14:paraId="74CD7E3D" w14:textId="77777777" w:rsidR="006D7B26" w:rsidRDefault="006D7B26" w:rsidP="006D7B26">
          <w:pPr>
            <w:pStyle w:val="Bibliography"/>
            <w:rPr>
              <w:noProof/>
              <w:lang w:val="en-US"/>
            </w:rPr>
          </w:pPr>
          <w:r>
            <w:rPr>
              <w:noProof/>
              <w:lang w:val="en-US"/>
            </w:rPr>
            <w:t xml:space="preserve">HRT, 2021. </w:t>
          </w:r>
          <w:r>
            <w:rPr>
              <w:i/>
              <w:iCs/>
              <w:noProof/>
              <w:lang w:val="en-US"/>
            </w:rPr>
            <w:t xml:space="preserve">Top 5 Workforce Planning Tools. </w:t>
          </w:r>
          <w:r>
            <w:rPr>
              <w:noProof/>
              <w:lang w:val="en-US"/>
            </w:rPr>
            <w:t xml:space="preserve">[Online] </w:t>
          </w:r>
          <w:r>
            <w:rPr>
              <w:noProof/>
              <w:lang w:val="en-US"/>
            </w:rPr>
            <w:br/>
            <w:t xml:space="preserve">Available at: </w:t>
          </w:r>
          <w:r>
            <w:rPr>
              <w:noProof/>
              <w:u w:val="single"/>
              <w:lang w:val="en-US"/>
            </w:rPr>
            <w:t>https://www.humanresourcestoday.com/tools/workforce-planning/?open-article-id=14706891&amp;article-title=top-5-workforce-planning-tools&amp;blog-domain=talenx.io&amp;blog-title=talenx</w:t>
          </w:r>
          <w:r>
            <w:rPr>
              <w:noProof/>
              <w:lang w:val="en-US"/>
            </w:rPr>
            <w:br/>
            <w:t>[Accessed 30 March 2021].</w:t>
          </w:r>
        </w:p>
        <w:p w14:paraId="0A70D709" w14:textId="77777777" w:rsidR="006D7B26" w:rsidRDefault="006D7B26" w:rsidP="006D7B26">
          <w:pPr>
            <w:pStyle w:val="Bibliography"/>
            <w:rPr>
              <w:noProof/>
              <w:lang w:val="en-US"/>
            </w:rPr>
          </w:pPr>
          <w:r>
            <w:rPr>
              <w:noProof/>
              <w:lang w:val="en-US"/>
            </w:rPr>
            <w:t xml:space="preserve">Keller, S. &amp; Meaney, M., 2017. </w:t>
          </w:r>
          <w:r>
            <w:rPr>
              <w:i/>
              <w:iCs/>
              <w:noProof/>
              <w:lang w:val="en-US"/>
            </w:rPr>
            <w:t xml:space="preserve">Attracting and retaining the right talent. </w:t>
          </w:r>
          <w:r>
            <w:rPr>
              <w:noProof/>
              <w:lang w:val="en-US"/>
            </w:rPr>
            <w:t xml:space="preserve">[Online] </w:t>
          </w:r>
          <w:r>
            <w:rPr>
              <w:noProof/>
              <w:lang w:val="en-US"/>
            </w:rPr>
            <w:br/>
            <w:t xml:space="preserve">Available at: </w:t>
          </w:r>
          <w:r>
            <w:rPr>
              <w:noProof/>
              <w:u w:val="single"/>
              <w:lang w:val="en-US"/>
            </w:rPr>
            <w:t>https://www.mckinsey.com/business-functions/organization/our-insights/attracting-and-retaining-the-right-talent</w:t>
          </w:r>
          <w:r>
            <w:rPr>
              <w:noProof/>
              <w:lang w:val="en-US"/>
            </w:rPr>
            <w:br/>
            <w:t>[Accessed 10 April 2021].</w:t>
          </w:r>
        </w:p>
        <w:p w14:paraId="25F624E6" w14:textId="77777777" w:rsidR="006D7B26" w:rsidRDefault="006D7B26" w:rsidP="006D7B26">
          <w:pPr>
            <w:pStyle w:val="Bibliography"/>
            <w:rPr>
              <w:noProof/>
              <w:lang w:val="en-US"/>
            </w:rPr>
          </w:pPr>
          <w:r>
            <w:rPr>
              <w:noProof/>
              <w:lang w:val="en-US"/>
            </w:rPr>
            <w:t xml:space="preserve">Leaker, D., 2020. </w:t>
          </w:r>
          <w:r>
            <w:rPr>
              <w:i/>
              <w:iCs/>
              <w:noProof/>
              <w:lang w:val="en-US"/>
            </w:rPr>
            <w:t xml:space="preserve">Labour Market Overview - UK - October 2020.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https://www.ons.gov.uk/employmentandlabourmarket/peopleinwork/employmentandemployeetypes/bulletins/uklabourmarket/october2020</w:t>
          </w:r>
          <w:r>
            <w:rPr>
              <w:noProof/>
              <w:lang w:val="en-US"/>
            </w:rPr>
            <w:br/>
            <w:t>[Accessed 16 April 2021].</w:t>
          </w:r>
        </w:p>
        <w:p w14:paraId="6EF260F8" w14:textId="77777777" w:rsidR="006D7B26" w:rsidRDefault="006D7B26" w:rsidP="006D7B26">
          <w:pPr>
            <w:pStyle w:val="Bibliography"/>
            <w:rPr>
              <w:noProof/>
              <w:lang w:val="en-US"/>
            </w:rPr>
          </w:pPr>
          <w:r>
            <w:rPr>
              <w:noProof/>
              <w:lang w:val="en-US"/>
            </w:rPr>
            <w:t xml:space="preserve">Leaker, D., 2021. </w:t>
          </w:r>
          <w:r>
            <w:rPr>
              <w:i/>
              <w:iCs/>
              <w:noProof/>
              <w:lang w:val="en-US"/>
            </w:rPr>
            <w:t xml:space="preserve">Labour Market overview - UK - January 2021.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https://www.ons.gov.uk/employmentandlabourmarket/peopleinwork/employmentandemployeetypes/bulletins/uklabourmarket/january2021</w:t>
          </w:r>
          <w:r>
            <w:rPr>
              <w:noProof/>
              <w:lang w:val="en-US"/>
            </w:rPr>
            <w:br/>
            <w:t>[Accessed 16 April 2021].</w:t>
          </w:r>
        </w:p>
        <w:p w14:paraId="637F0CFE" w14:textId="77777777" w:rsidR="006D7B26" w:rsidRDefault="006D7B26" w:rsidP="006D7B26">
          <w:pPr>
            <w:pStyle w:val="Bibliography"/>
            <w:rPr>
              <w:noProof/>
              <w:lang w:val="en-US"/>
            </w:rPr>
          </w:pPr>
          <w:r>
            <w:rPr>
              <w:noProof/>
              <w:lang w:val="en-US"/>
            </w:rPr>
            <w:t xml:space="preserve">Mason, H., 2019. </w:t>
          </w:r>
          <w:r>
            <w:rPr>
              <w:i/>
              <w:iCs/>
              <w:noProof/>
              <w:lang w:val="en-US"/>
            </w:rPr>
            <w:t xml:space="preserve">How to attract and retain the best talent. </w:t>
          </w:r>
          <w:r>
            <w:rPr>
              <w:noProof/>
              <w:lang w:val="en-US"/>
            </w:rPr>
            <w:t xml:space="preserve">[Online] </w:t>
          </w:r>
          <w:r>
            <w:rPr>
              <w:noProof/>
              <w:lang w:val="en-US"/>
            </w:rPr>
            <w:br/>
            <w:t xml:space="preserve">Available at: </w:t>
          </w:r>
          <w:r>
            <w:rPr>
              <w:noProof/>
              <w:u w:val="single"/>
              <w:lang w:val="en-US"/>
            </w:rPr>
            <w:t>https://pmjobs.cipd.co.uk/article/how-to-attract-and-retain-the-best-talent/</w:t>
          </w:r>
          <w:r>
            <w:rPr>
              <w:noProof/>
              <w:lang w:val="en-US"/>
            </w:rPr>
            <w:br/>
            <w:t>[Accessed 12 April 2021].</w:t>
          </w:r>
        </w:p>
        <w:p w14:paraId="1C2252B4" w14:textId="77777777" w:rsidR="006D7B26" w:rsidRDefault="006D7B26" w:rsidP="006D7B26">
          <w:pPr>
            <w:pStyle w:val="Bibliography"/>
            <w:rPr>
              <w:noProof/>
              <w:lang w:val="en-US"/>
            </w:rPr>
          </w:pPr>
          <w:r>
            <w:rPr>
              <w:noProof/>
              <w:lang w:val="en-US"/>
            </w:rPr>
            <w:t xml:space="preserve">McCartney, C., 2017. </w:t>
          </w:r>
          <w:r>
            <w:rPr>
              <w:i/>
              <w:iCs/>
              <w:noProof/>
              <w:lang w:val="en-US"/>
            </w:rPr>
            <w:t xml:space="preserve">How to be an employer of choice in an increasingly competitive job market.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w:t>
          </w:r>
          <w:r>
            <w:rPr>
              <w:noProof/>
              <w:u w:val="single"/>
              <w:lang w:val="en-US"/>
            </w:rPr>
            <w:lastRenderedPageBreak/>
            <w:t>es/articles/labourmarketeconomicanalysisquarterly/december2020</w:t>
          </w:r>
          <w:r>
            <w:rPr>
              <w:noProof/>
              <w:lang w:val="en-US"/>
            </w:rPr>
            <w:br/>
            <w:t>[Accessed 12 April 2021].</w:t>
          </w:r>
        </w:p>
        <w:p w14:paraId="6BCB827A" w14:textId="77777777" w:rsidR="006D7B26" w:rsidRDefault="006D7B26" w:rsidP="006D7B26">
          <w:pPr>
            <w:pStyle w:val="Bibliography"/>
            <w:rPr>
              <w:noProof/>
              <w:lang w:val="en-US"/>
            </w:rPr>
          </w:pPr>
          <w:r>
            <w:rPr>
              <w:noProof/>
              <w:lang w:val="en-US"/>
            </w:rPr>
            <w:t xml:space="preserve">Ndukwe, O., 2020. </w:t>
          </w:r>
          <w:r>
            <w:rPr>
              <w:i/>
              <w:iCs/>
              <w:noProof/>
              <w:lang w:val="en-US"/>
            </w:rPr>
            <w:t xml:space="preserve">Best practices for writing effective job descriptions. </w:t>
          </w:r>
          <w:r>
            <w:rPr>
              <w:noProof/>
              <w:lang w:val="en-US"/>
            </w:rPr>
            <w:t xml:space="preserve">[Online] </w:t>
          </w:r>
          <w:r>
            <w:rPr>
              <w:noProof/>
              <w:lang w:val="en-US"/>
            </w:rPr>
            <w:br/>
            <w:t xml:space="preserve">Available at: </w:t>
          </w:r>
          <w:r>
            <w:rPr>
              <w:noProof/>
              <w:u w:val="single"/>
              <w:lang w:val="en-US"/>
            </w:rPr>
            <w:t>https://resources.hrsg.ca/blog/best-practices-for-writing-effective-job-descriptions</w:t>
          </w:r>
          <w:r>
            <w:rPr>
              <w:noProof/>
              <w:lang w:val="en-US"/>
            </w:rPr>
            <w:br/>
            <w:t>[Accessed 20 April 2021].</w:t>
          </w:r>
        </w:p>
        <w:p w14:paraId="79598046" w14:textId="77777777" w:rsidR="006D7B26" w:rsidRDefault="006D7B26" w:rsidP="006D7B26">
          <w:pPr>
            <w:pStyle w:val="Bibliography"/>
            <w:rPr>
              <w:noProof/>
              <w:lang w:val="en-US"/>
            </w:rPr>
          </w:pPr>
          <w:r>
            <w:rPr>
              <w:noProof/>
              <w:lang w:val="en-US"/>
            </w:rPr>
            <w:t xml:space="preserve">ONS, 2020. </w:t>
          </w:r>
          <w:r>
            <w:rPr>
              <w:i/>
              <w:iCs/>
              <w:noProof/>
              <w:lang w:val="en-US"/>
            </w:rPr>
            <w:t xml:space="preserve">Coronavirus (COVID-19) roundup: Economy, business and jobs. </w:t>
          </w:r>
          <w:r>
            <w:rPr>
              <w:noProof/>
              <w:lang w:val="en-US"/>
            </w:rPr>
            <w:t xml:space="preserve">[Online] </w:t>
          </w:r>
          <w:r>
            <w:rPr>
              <w:noProof/>
              <w:lang w:val="en-US"/>
            </w:rPr>
            <w:br/>
            <w:t xml:space="preserve">Available at: </w:t>
          </w:r>
          <w:r>
            <w:rPr>
              <w:noProof/>
              <w:u w:val="single"/>
              <w:lang w:val="en-US"/>
            </w:rPr>
            <w:t>https://www.ons.gov.uk/peoplepopulationandcommunity/healthandsocialcare/conditionsanddiseases/articles/coronaviruscovid19roundupeconomybusinessandjobs/2020-07-02</w:t>
          </w:r>
          <w:r>
            <w:rPr>
              <w:noProof/>
              <w:lang w:val="en-US"/>
            </w:rPr>
            <w:br/>
            <w:t>[Accessed 20 April 2021].</w:t>
          </w:r>
        </w:p>
        <w:p w14:paraId="799AE44E" w14:textId="77777777" w:rsidR="006D7B26" w:rsidRDefault="006D7B26" w:rsidP="006D7B26">
          <w:pPr>
            <w:pStyle w:val="Bibliography"/>
            <w:rPr>
              <w:noProof/>
              <w:lang w:val="en-US"/>
            </w:rPr>
          </w:pPr>
          <w:r>
            <w:rPr>
              <w:noProof/>
              <w:lang w:val="en-US"/>
            </w:rPr>
            <w:t xml:space="preserve">Reilly, P. et al., 2018. </w:t>
          </w:r>
          <w:r>
            <w:rPr>
              <w:i/>
              <w:iCs/>
              <w:noProof/>
              <w:lang w:val="en-US"/>
            </w:rPr>
            <w:t xml:space="preserve">Workforce Planning Practice, </w:t>
          </w:r>
          <w:r>
            <w:rPr>
              <w:noProof/>
              <w:lang w:val="en-US"/>
            </w:rPr>
            <w:t>London: Chartered Institute of Personnel and Development.</w:t>
          </w:r>
        </w:p>
        <w:p w14:paraId="46356D4F" w14:textId="77777777" w:rsidR="006D7B26" w:rsidRDefault="006D7B26" w:rsidP="006D7B26">
          <w:pPr>
            <w:pStyle w:val="Bibliography"/>
            <w:rPr>
              <w:noProof/>
              <w:lang w:val="en-US"/>
            </w:rPr>
          </w:pPr>
          <w:r>
            <w:rPr>
              <w:noProof/>
              <w:lang w:val="en-US"/>
            </w:rPr>
            <w:t xml:space="preserve">Robinson, D. &amp; Hirsh, W., 2008. </w:t>
          </w:r>
          <w:r>
            <w:rPr>
              <w:i/>
              <w:iCs/>
              <w:noProof/>
              <w:lang w:val="en-US"/>
            </w:rPr>
            <w:t xml:space="preserve">Workforce Planning guide , </w:t>
          </w:r>
          <w:r>
            <w:rPr>
              <w:noProof/>
              <w:lang w:val="en-US"/>
            </w:rPr>
            <w:t>Brighton: Institute for Employment Studies .</w:t>
          </w:r>
        </w:p>
        <w:p w14:paraId="0AAF5BF9" w14:textId="77777777" w:rsidR="006D7B26" w:rsidRDefault="006D7B26" w:rsidP="006D7B26">
          <w:pPr>
            <w:pStyle w:val="Bibliography"/>
            <w:rPr>
              <w:noProof/>
              <w:lang w:val="en-US"/>
            </w:rPr>
          </w:pPr>
          <w:r>
            <w:rPr>
              <w:noProof/>
              <w:lang w:val="en-US"/>
            </w:rPr>
            <w:t xml:space="preserve">Suff, R., 2020. </w:t>
          </w:r>
          <w:r>
            <w:rPr>
              <w:i/>
              <w:iCs/>
              <w:noProof/>
              <w:lang w:val="en-US"/>
            </w:rPr>
            <w:t xml:space="preserve">Dismissal Procedures. </w:t>
          </w:r>
          <w:r>
            <w:rPr>
              <w:noProof/>
              <w:lang w:val="en-US"/>
            </w:rPr>
            <w:t xml:space="preserve">[Online] </w:t>
          </w:r>
          <w:r>
            <w:rPr>
              <w:noProof/>
              <w:lang w:val="en-US"/>
            </w:rPr>
            <w:br/>
            <w:t xml:space="preserve">Available at: </w:t>
          </w:r>
          <w:r>
            <w:rPr>
              <w:noProof/>
              <w:u w:val="single"/>
              <w:lang w:val="en-US"/>
            </w:rPr>
            <w:t>https://www.cipd.co.uk/knowledge/fundamentals/emp-law/dismissal/factsheet</w:t>
          </w:r>
          <w:r>
            <w:rPr>
              <w:noProof/>
              <w:lang w:val="en-US"/>
            </w:rPr>
            <w:br/>
            <w:t>[Accessed 19 April 2021].</w:t>
          </w:r>
        </w:p>
        <w:p w14:paraId="046824FF" w14:textId="77777777" w:rsidR="006D7B26" w:rsidRDefault="006D7B26" w:rsidP="006D7B26">
          <w:pPr>
            <w:pStyle w:val="Bibliography"/>
            <w:rPr>
              <w:noProof/>
              <w:lang w:val="en-US"/>
            </w:rPr>
          </w:pPr>
          <w:r>
            <w:rPr>
              <w:noProof/>
              <w:lang w:val="en-US"/>
            </w:rPr>
            <w:t xml:space="preserve">Van Vulpen, E., 2018. </w:t>
          </w:r>
          <w:r>
            <w:rPr>
              <w:i/>
              <w:iCs/>
              <w:noProof/>
              <w:lang w:val="en-US"/>
            </w:rPr>
            <w:t xml:space="preserve">5 Essential workforce planning tools for any HR professional. </w:t>
          </w:r>
          <w:r>
            <w:rPr>
              <w:noProof/>
              <w:lang w:val="en-US"/>
            </w:rPr>
            <w:t xml:space="preserve">[Online] </w:t>
          </w:r>
          <w:r>
            <w:rPr>
              <w:noProof/>
              <w:lang w:val="en-US"/>
            </w:rPr>
            <w:br/>
            <w:t xml:space="preserve">Available at: </w:t>
          </w:r>
          <w:r>
            <w:rPr>
              <w:noProof/>
              <w:u w:val="single"/>
              <w:lang w:val="en-US"/>
            </w:rPr>
            <w:t>https://www.analyticsinhr.com/blog/strategic-workforce-planning-tools/</w:t>
          </w:r>
          <w:r>
            <w:rPr>
              <w:noProof/>
              <w:lang w:val="en-US"/>
            </w:rPr>
            <w:br/>
            <w:t>[Accessed 15 April 2021].</w:t>
          </w:r>
        </w:p>
        <w:p w14:paraId="2A5FED55" w14:textId="77777777" w:rsidR="006D7B26" w:rsidRDefault="006D7B26" w:rsidP="006D7B26">
          <w:pPr>
            <w:pStyle w:val="Bibliography"/>
            <w:rPr>
              <w:noProof/>
              <w:lang w:val="en-US"/>
            </w:rPr>
          </w:pPr>
          <w:r>
            <w:rPr>
              <w:noProof/>
              <w:lang w:val="en-US"/>
            </w:rPr>
            <w:t xml:space="preserve">Weeks, A., 2020. </w:t>
          </w:r>
          <w:r>
            <w:rPr>
              <w:i/>
              <w:iCs/>
              <w:noProof/>
              <w:lang w:val="en-US"/>
            </w:rPr>
            <w:t xml:space="preserve">Competence and Competency Frameworks. </w:t>
          </w:r>
          <w:r>
            <w:rPr>
              <w:noProof/>
              <w:lang w:val="en-US"/>
            </w:rPr>
            <w:t xml:space="preserve">[Online] </w:t>
          </w:r>
          <w:r>
            <w:rPr>
              <w:noProof/>
              <w:lang w:val="en-US"/>
            </w:rPr>
            <w:br/>
            <w:t xml:space="preserve">Available at: </w:t>
          </w:r>
          <w:r>
            <w:rPr>
              <w:noProof/>
              <w:u w:val="single"/>
              <w:lang w:val="en-US"/>
            </w:rPr>
            <w:t>https://www.cipd.co.uk/knowledge/fundamentals/people/performance/competency-factsheet#gref</w:t>
          </w:r>
          <w:r>
            <w:rPr>
              <w:noProof/>
              <w:lang w:val="en-US"/>
            </w:rPr>
            <w:br/>
            <w:t>[Accessed 20 April 2021].</w:t>
          </w:r>
        </w:p>
        <w:p w14:paraId="3D208D2D" w14:textId="77777777" w:rsidR="006D7B26" w:rsidRDefault="006D7B26" w:rsidP="006D7B26">
          <w:pPr>
            <w:pStyle w:val="Bibliography"/>
            <w:rPr>
              <w:noProof/>
              <w:lang w:val="en-US"/>
            </w:rPr>
          </w:pPr>
          <w:r>
            <w:rPr>
              <w:noProof/>
              <w:lang w:val="en-US"/>
            </w:rPr>
            <w:t xml:space="preserve">Weeks, A., 2020. </w:t>
          </w:r>
          <w:r>
            <w:rPr>
              <w:i/>
              <w:iCs/>
              <w:noProof/>
              <w:lang w:val="en-US"/>
            </w:rPr>
            <w:t xml:space="preserve">Talent Planning. </w:t>
          </w:r>
          <w:r>
            <w:rPr>
              <w:noProof/>
              <w:lang w:val="en-US"/>
            </w:rPr>
            <w:t xml:space="preserve">[Online] </w:t>
          </w:r>
          <w:r>
            <w:rPr>
              <w:noProof/>
              <w:lang w:val="en-US"/>
            </w:rPr>
            <w:br/>
            <w:t xml:space="preserve">Available at: </w:t>
          </w:r>
          <w:r>
            <w:rPr>
              <w:noProof/>
              <w:u w:val="single"/>
              <w:lang w:val="en-US"/>
            </w:rPr>
            <w:t>https://www.cipd.co.uk/knowledge/strategy/resourcing/talent-factsheet#gref</w:t>
          </w:r>
          <w:r>
            <w:rPr>
              <w:noProof/>
              <w:lang w:val="en-US"/>
            </w:rPr>
            <w:br/>
            <w:t>[Accessed 10 April 2021].</w:t>
          </w:r>
        </w:p>
        <w:p w14:paraId="24D4D323" w14:textId="77777777" w:rsidR="006D7B26" w:rsidRDefault="006D7B26" w:rsidP="006D7B26">
          <w:pPr>
            <w:pStyle w:val="Bibliography"/>
            <w:rPr>
              <w:noProof/>
              <w:lang w:val="en-US"/>
            </w:rPr>
          </w:pPr>
          <w:r>
            <w:rPr>
              <w:noProof/>
              <w:lang w:val="en-US"/>
            </w:rPr>
            <w:t xml:space="preserve">Weeks, A., 2020. </w:t>
          </w:r>
          <w:r>
            <w:rPr>
              <w:i/>
              <w:iCs/>
              <w:noProof/>
              <w:lang w:val="en-US"/>
            </w:rPr>
            <w:t xml:space="preserve">Workforce Planning. </w:t>
          </w:r>
          <w:r>
            <w:rPr>
              <w:noProof/>
              <w:lang w:val="en-US"/>
            </w:rPr>
            <w:t xml:space="preserve">[Online] </w:t>
          </w:r>
          <w:r>
            <w:rPr>
              <w:noProof/>
              <w:lang w:val="en-US"/>
            </w:rPr>
            <w:br/>
            <w:t xml:space="preserve">Available at: </w:t>
          </w:r>
          <w:r>
            <w:rPr>
              <w:noProof/>
              <w:u w:val="single"/>
              <w:lang w:val="en-US"/>
            </w:rPr>
            <w:t>https://www.cipd.co.uk/knowledge/strategy/organisational-development/workforce-planning-factsheet#gref</w:t>
          </w:r>
          <w:r>
            <w:rPr>
              <w:noProof/>
              <w:lang w:val="en-US"/>
            </w:rPr>
            <w:br/>
            <w:t>[Accessed 29 March 2021].</w:t>
          </w:r>
        </w:p>
        <w:p w14:paraId="13B4ACC0" w14:textId="77777777" w:rsidR="006D7B26" w:rsidRDefault="006D7B26" w:rsidP="006D7B26">
          <w:r>
            <w:rPr>
              <w:b/>
              <w:bCs/>
              <w:noProof/>
            </w:rPr>
            <w:fldChar w:fldCharType="end"/>
          </w:r>
        </w:p>
      </w:sdtContent>
    </w:sdt>
    <w:p w14:paraId="1C1C8CFB" w14:textId="77777777" w:rsidR="006D7B26" w:rsidRPr="006D7B26" w:rsidRDefault="006D7B26" w:rsidP="006D7B26">
      <w:pPr>
        <w:rPr>
          <w:b/>
          <w:bCs/>
          <w:u w:val="single"/>
        </w:rPr>
      </w:pPr>
    </w:p>
    <w:sectPr w:rsidR="006D7B26" w:rsidRPr="006D7B2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CD4D9" w14:textId="77777777" w:rsidR="00A555DF" w:rsidRDefault="00A555DF" w:rsidP="003E0C0D">
      <w:pPr>
        <w:spacing w:after="0" w:line="240" w:lineRule="auto"/>
      </w:pPr>
      <w:r>
        <w:separator/>
      </w:r>
    </w:p>
  </w:endnote>
  <w:endnote w:type="continuationSeparator" w:id="0">
    <w:p w14:paraId="1FA68739" w14:textId="77777777" w:rsidR="00A555DF" w:rsidRDefault="00A555DF" w:rsidP="003E0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7B8CC2" w14:textId="77777777" w:rsidR="00A555DF" w:rsidRDefault="00A555DF" w:rsidP="003E0C0D">
      <w:pPr>
        <w:spacing w:after="0" w:line="240" w:lineRule="auto"/>
      </w:pPr>
      <w:r>
        <w:separator/>
      </w:r>
    </w:p>
  </w:footnote>
  <w:footnote w:type="continuationSeparator" w:id="0">
    <w:p w14:paraId="555FAC9E" w14:textId="77777777" w:rsidR="00A555DF" w:rsidRDefault="00A555DF" w:rsidP="003E0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98905" w14:textId="61DA7992" w:rsidR="00A555DF" w:rsidRDefault="00A555DF">
    <w:pPr>
      <w:pStyle w:val="Header"/>
    </w:pPr>
    <w:r>
      <w:t>Understanding Resourcing and Talent Planning</w:t>
    </w:r>
    <w:r>
      <w:tab/>
    </w:r>
    <w:r>
      <w:tab/>
      <w:t>Student Number: 1707444</w:t>
    </w:r>
  </w:p>
  <w:p w14:paraId="431FE8BB" w14:textId="77777777" w:rsidR="00A555DF" w:rsidRDefault="00A555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F25F7"/>
    <w:multiLevelType w:val="multilevel"/>
    <w:tmpl w:val="5AAE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23CE8"/>
    <w:multiLevelType w:val="hybridMultilevel"/>
    <w:tmpl w:val="C776A518"/>
    <w:lvl w:ilvl="0" w:tplc="075E1AE0">
      <w:start w:val="1"/>
      <w:numFmt w:val="bullet"/>
      <w:lvlText w:val="•"/>
      <w:lvlJc w:val="left"/>
      <w:pPr>
        <w:tabs>
          <w:tab w:val="num" w:pos="720"/>
        </w:tabs>
        <w:ind w:left="720" w:hanging="360"/>
      </w:pPr>
      <w:rPr>
        <w:rFonts w:ascii="Arial" w:hAnsi="Arial" w:hint="default"/>
      </w:rPr>
    </w:lvl>
    <w:lvl w:ilvl="1" w:tplc="8A22D6B4" w:tentative="1">
      <w:start w:val="1"/>
      <w:numFmt w:val="bullet"/>
      <w:lvlText w:val="•"/>
      <w:lvlJc w:val="left"/>
      <w:pPr>
        <w:tabs>
          <w:tab w:val="num" w:pos="1440"/>
        </w:tabs>
        <w:ind w:left="1440" w:hanging="360"/>
      </w:pPr>
      <w:rPr>
        <w:rFonts w:ascii="Arial" w:hAnsi="Arial" w:hint="default"/>
      </w:rPr>
    </w:lvl>
    <w:lvl w:ilvl="2" w:tplc="617C3C12" w:tentative="1">
      <w:start w:val="1"/>
      <w:numFmt w:val="bullet"/>
      <w:lvlText w:val="•"/>
      <w:lvlJc w:val="left"/>
      <w:pPr>
        <w:tabs>
          <w:tab w:val="num" w:pos="2160"/>
        </w:tabs>
        <w:ind w:left="2160" w:hanging="360"/>
      </w:pPr>
      <w:rPr>
        <w:rFonts w:ascii="Arial" w:hAnsi="Arial" w:hint="default"/>
      </w:rPr>
    </w:lvl>
    <w:lvl w:ilvl="3" w:tplc="EBB64750" w:tentative="1">
      <w:start w:val="1"/>
      <w:numFmt w:val="bullet"/>
      <w:lvlText w:val="•"/>
      <w:lvlJc w:val="left"/>
      <w:pPr>
        <w:tabs>
          <w:tab w:val="num" w:pos="2880"/>
        </w:tabs>
        <w:ind w:left="2880" w:hanging="360"/>
      </w:pPr>
      <w:rPr>
        <w:rFonts w:ascii="Arial" w:hAnsi="Arial" w:hint="default"/>
      </w:rPr>
    </w:lvl>
    <w:lvl w:ilvl="4" w:tplc="5F3881D6" w:tentative="1">
      <w:start w:val="1"/>
      <w:numFmt w:val="bullet"/>
      <w:lvlText w:val="•"/>
      <w:lvlJc w:val="left"/>
      <w:pPr>
        <w:tabs>
          <w:tab w:val="num" w:pos="3600"/>
        </w:tabs>
        <w:ind w:left="3600" w:hanging="360"/>
      </w:pPr>
      <w:rPr>
        <w:rFonts w:ascii="Arial" w:hAnsi="Arial" w:hint="default"/>
      </w:rPr>
    </w:lvl>
    <w:lvl w:ilvl="5" w:tplc="502AB5AE" w:tentative="1">
      <w:start w:val="1"/>
      <w:numFmt w:val="bullet"/>
      <w:lvlText w:val="•"/>
      <w:lvlJc w:val="left"/>
      <w:pPr>
        <w:tabs>
          <w:tab w:val="num" w:pos="4320"/>
        </w:tabs>
        <w:ind w:left="4320" w:hanging="360"/>
      </w:pPr>
      <w:rPr>
        <w:rFonts w:ascii="Arial" w:hAnsi="Arial" w:hint="default"/>
      </w:rPr>
    </w:lvl>
    <w:lvl w:ilvl="6" w:tplc="62AA9E18" w:tentative="1">
      <w:start w:val="1"/>
      <w:numFmt w:val="bullet"/>
      <w:lvlText w:val="•"/>
      <w:lvlJc w:val="left"/>
      <w:pPr>
        <w:tabs>
          <w:tab w:val="num" w:pos="5040"/>
        </w:tabs>
        <w:ind w:left="5040" w:hanging="360"/>
      </w:pPr>
      <w:rPr>
        <w:rFonts w:ascii="Arial" w:hAnsi="Arial" w:hint="default"/>
      </w:rPr>
    </w:lvl>
    <w:lvl w:ilvl="7" w:tplc="8FDECE44" w:tentative="1">
      <w:start w:val="1"/>
      <w:numFmt w:val="bullet"/>
      <w:lvlText w:val="•"/>
      <w:lvlJc w:val="left"/>
      <w:pPr>
        <w:tabs>
          <w:tab w:val="num" w:pos="5760"/>
        </w:tabs>
        <w:ind w:left="5760" w:hanging="360"/>
      </w:pPr>
      <w:rPr>
        <w:rFonts w:ascii="Arial" w:hAnsi="Arial" w:hint="default"/>
      </w:rPr>
    </w:lvl>
    <w:lvl w:ilvl="8" w:tplc="9844D7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2414E06"/>
    <w:multiLevelType w:val="hybridMultilevel"/>
    <w:tmpl w:val="9BB2A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B1582E"/>
    <w:multiLevelType w:val="hybridMultilevel"/>
    <w:tmpl w:val="66F64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51470D"/>
    <w:multiLevelType w:val="hybridMultilevel"/>
    <w:tmpl w:val="E17002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4B42008"/>
    <w:multiLevelType w:val="hybridMultilevel"/>
    <w:tmpl w:val="A6463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514037A"/>
    <w:multiLevelType w:val="multilevel"/>
    <w:tmpl w:val="38A8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B472F"/>
    <w:multiLevelType w:val="hybridMultilevel"/>
    <w:tmpl w:val="8B7EE976"/>
    <w:lvl w:ilvl="0" w:tplc="0809000F">
      <w:start w:val="2"/>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D53A1D"/>
    <w:multiLevelType w:val="hybridMultilevel"/>
    <w:tmpl w:val="EDA6A384"/>
    <w:lvl w:ilvl="0" w:tplc="0809000F">
      <w:start w:val="2"/>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902AC1"/>
    <w:multiLevelType w:val="hybridMultilevel"/>
    <w:tmpl w:val="AE1A9E20"/>
    <w:lvl w:ilvl="0" w:tplc="C5D63232">
      <w:start w:val="1"/>
      <w:numFmt w:val="bullet"/>
      <w:lvlText w:val="•"/>
      <w:lvlJc w:val="left"/>
      <w:pPr>
        <w:tabs>
          <w:tab w:val="num" w:pos="720"/>
        </w:tabs>
        <w:ind w:left="720" w:hanging="360"/>
      </w:pPr>
      <w:rPr>
        <w:rFonts w:ascii="Arial" w:hAnsi="Arial" w:hint="default"/>
      </w:rPr>
    </w:lvl>
    <w:lvl w:ilvl="1" w:tplc="F274FB14">
      <w:numFmt w:val="bullet"/>
      <w:lvlText w:val="–"/>
      <w:lvlJc w:val="left"/>
      <w:pPr>
        <w:tabs>
          <w:tab w:val="num" w:pos="1440"/>
        </w:tabs>
        <w:ind w:left="1440" w:hanging="360"/>
      </w:pPr>
      <w:rPr>
        <w:rFonts w:ascii="Arial" w:hAnsi="Arial" w:hint="default"/>
      </w:rPr>
    </w:lvl>
    <w:lvl w:ilvl="2" w:tplc="E4AE7422" w:tentative="1">
      <w:start w:val="1"/>
      <w:numFmt w:val="bullet"/>
      <w:lvlText w:val="•"/>
      <w:lvlJc w:val="left"/>
      <w:pPr>
        <w:tabs>
          <w:tab w:val="num" w:pos="2160"/>
        </w:tabs>
        <w:ind w:left="2160" w:hanging="360"/>
      </w:pPr>
      <w:rPr>
        <w:rFonts w:ascii="Arial" w:hAnsi="Arial" w:hint="default"/>
      </w:rPr>
    </w:lvl>
    <w:lvl w:ilvl="3" w:tplc="DED895C6" w:tentative="1">
      <w:start w:val="1"/>
      <w:numFmt w:val="bullet"/>
      <w:lvlText w:val="•"/>
      <w:lvlJc w:val="left"/>
      <w:pPr>
        <w:tabs>
          <w:tab w:val="num" w:pos="2880"/>
        </w:tabs>
        <w:ind w:left="2880" w:hanging="360"/>
      </w:pPr>
      <w:rPr>
        <w:rFonts w:ascii="Arial" w:hAnsi="Arial" w:hint="default"/>
      </w:rPr>
    </w:lvl>
    <w:lvl w:ilvl="4" w:tplc="313AD526" w:tentative="1">
      <w:start w:val="1"/>
      <w:numFmt w:val="bullet"/>
      <w:lvlText w:val="•"/>
      <w:lvlJc w:val="left"/>
      <w:pPr>
        <w:tabs>
          <w:tab w:val="num" w:pos="3600"/>
        </w:tabs>
        <w:ind w:left="3600" w:hanging="360"/>
      </w:pPr>
      <w:rPr>
        <w:rFonts w:ascii="Arial" w:hAnsi="Arial" w:hint="default"/>
      </w:rPr>
    </w:lvl>
    <w:lvl w:ilvl="5" w:tplc="9A46F0CC" w:tentative="1">
      <w:start w:val="1"/>
      <w:numFmt w:val="bullet"/>
      <w:lvlText w:val="•"/>
      <w:lvlJc w:val="left"/>
      <w:pPr>
        <w:tabs>
          <w:tab w:val="num" w:pos="4320"/>
        </w:tabs>
        <w:ind w:left="4320" w:hanging="360"/>
      </w:pPr>
      <w:rPr>
        <w:rFonts w:ascii="Arial" w:hAnsi="Arial" w:hint="default"/>
      </w:rPr>
    </w:lvl>
    <w:lvl w:ilvl="6" w:tplc="65CA8EFA" w:tentative="1">
      <w:start w:val="1"/>
      <w:numFmt w:val="bullet"/>
      <w:lvlText w:val="•"/>
      <w:lvlJc w:val="left"/>
      <w:pPr>
        <w:tabs>
          <w:tab w:val="num" w:pos="5040"/>
        </w:tabs>
        <w:ind w:left="5040" w:hanging="360"/>
      </w:pPr>
      <w:rPr>
        <w:rFonts w:ascii="Arial" w:hAnsi="Arial" w:hint="default"/>
      </w:rPr>
    </w:lvl>
    <w:lvl w:ilvl="7" w:tplc="96525354" w:tentative="1">
      <w:start w:val="1"/>
      <w:numFmt w:val="bullet"/>
      <w:lvlText w:val="•"/>
      <w:lvlJc w:val="left"/>
      <w:pPr>
        <w:tabs>
          <w:tab w:val="num" w:pos="5760"/>
        </w:tabs>
        <w:ind w:left="5760" w:hanging="360"/>
      </w:pPr>
      <w:rPr>
        <w:rFonts w:ascii="Arial" w:hAnsi="Arial" w:hint="default"/>
      </w:rPr>
    </w:lvl>
    <w:lvl w:ilvl="8" w:tplc="5890F0F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2877551"/>
    <w:multiLevelType w:val="hybridMultilevel"/>
    <w:tmpl w:val="0952F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5F12DA"/>
    <w:multiLevelType w:val="hybridMultilevel"/>
    <w:tmpl w:val="4BEAB018"/>
    <w:lvl w:ilvl="0" w:tplc="34F883F4">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5E4F5C"/>
    <w:multiLevelType w:val="hybridMultilevel"/>
    <w:tmpl w:val="6CB0FE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FAC414A"/>
    <w:multiLevelType w:val="hybridMultilevel"/>
    <w:tmpl w:val="DD26B428"/>
    <w:lvl w:ilvl="0" w:tplc="E34A20FE">
      <w:start w:val="1"/>
      <w:numFmt w:val="bullet"/>
      <w:lvlText w:val="•"/>
      <w:lvlJc w:val="left"/>
      <w:pPr>
        <w:tabs>
          <w:tab w:val="num" w:pos="720"/>
        </w:tabs>
        <w:ind w:left="720" w:hanging="360"/>
      </w:pPr>
      <w:rPr>
        <w:rFonts w:ascii="Arial" w:hAnsi="Arial" w:hint="default"/>
      </w:rPr>
    </w:lvl>
    <w:lvl w:ilvl="1" w:tplc="05C8042E" w:tentative="1">
      <w:start w:val="1"/>
      <w:numFmt w:val="bullet"/>
      <w:lvlText w:val="•"/>
      <w:lvlJc w:val="left"/>
      <w:pPr>
        <w:tabs>
          <w:tab w:val="num" w:pos="1440"/>
        </w:tabs>
        <w:ind w:left="1440" w:hanging="360"/>
      </w:pPr>
      <w:rPr>
        <w:rFonts w:ascii="Arial" w:hAnsi="Arial" w:hint="default"/>
      </w:rPr>
    </w:lvl>
    <w:lvl w:ilvl="2" w:tplc="DC74FD48" w:tentative="1">
      <w:start w:val="1"/>
      <w:numFmt w:val="bullet"/>
      <w:lvlText w:val="•"/>
      <w:lvlJc w:val="left"/>
      <w:pPr>
        <w:tabs>
          <w:tab w:val="num" w:pos="2160"/>
        </w:tabs>
        <w:ind w:left="2160" w:hanging="360"/>
      </w:pPr>
      <w:rPr>
        <w:rFonts w:ascii="Arial" w:hAnsi="Arial" w:hint="default"/>
      </w:rPr>
    </w:lvl>
    <w:lvl w:ilvl="3" w:tplc="727428BA" w:tentative="1">
      <w:start w:val="1"/>
      <w:numFmt w:val="bullet"/>
      <w:lvlText w:val="•"/>
      <w:lvlJc w:val="left"/>
      <w:pPr>
        <w:tabs>
          <w:tab w:val="num" w:pos="2880"/>
        </w:tabs>
        <w:ind w:left="2880" w:hanging="360"/>
      </w:pPr>
      <w:rPr>
        <w:rFonts w:ascii="Arial" w:hAnsi="Arial" w:hint="default"/>
      </w:rPr>
    </w:lvl>
    <w:lvl w:ilvl="4" w:tplc="DA8CE87A" w:tentative="1">
      <w:start w:val="1"/>
      <w:numFmt w:val="bullet"/>
      <w:lvlText w:val="•"/>
      <w:lvlJc w:val="left"/>
      <w:pPr>
        <w:tabs>
          <w:tab w:val="num" w:pos="3600"/>
        </w:tabs>
        <w:ind w:left="3600" w:hanging="360"/>
      </w:pPr>
      <w:rPr>
        <w:rFonts w:ascii="Arial" w:hAnsi="Arial" w:hint="default"/>
      </w:rPr>
    </w:lvl>
    <w:lvl w:ilvl="5" w:tplc="155859C0" w:tentative="1">
      <w:start w:val="1"/>
      <w:numFmt w:val="bullet"/>
      <w:lvlText w:val="•"/>
      <w:lvlJc w:val="left"/>
      <w:pPr>
        <w:tabs>
          <w:tab w:val="num" w:pos="4320"/>
        </w:tabs>
        <w:ind w:left="4320" w:hanging="360"/>
      </w:pPr>
      <w:rPr>
        <w:rFonts w:ascii="Arial" w:hAnsi="Arial" w:hint="default"/>
      </w:rPr>
    </w:lvl>
    <w:lvl w:ilvl="6" w:tplc="8A460488" w:tentative="1">
      <w:start w:val="1"/>
      <w:numFmt w:val="bullet"/>
      <w:lvlText w:val="•"/>
      <w:lvlJc w:val="left"/>
      <w:pPr>
        <w:tabs>
          <w:tab w:val="num" w:pos="5040"/>
        </w:tabs>
        <w:ind w:left="5040" w:hanging="360"/>
      </w:pPr>
      <w:rPr>
        <w:rFonts w:ascii="Arial" w:hAnsi="Arial" w:hint="default"/>
      </w:rPr>
    </w:lvl>
    <w:lvl w:ilvl="7" w:tplc="3AAEB86E" w:tentative="1">
      <w:start w:val="1"/>
      <w:numFmt w:val="bullet"/>
      <w:lvlText w:val="•"/>
      <w:lvlJc w:val="left"/>
      <w:pPr>
        <w:tabs>
          <w:tab w:val="num" w:pos="5760"/>
        </w:tabs>
        <w:ind w:left="5760" w:hanging="360"/>
      </w:pPr>
      <w:rPr>
        <w:rFonts w:ascii="Arial" w:hAnsi="Arial" w:hint="default"/>
      </w:rPr>
    </w:lvl>
    <w:lvl w:ilvl="8" w:tplc="C9FEA1C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471492C"/>
    <w:multiLevelType w:val="hybridMultilevel"/>
    <w:tmpl w:val="BBE6D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741089"/>
    <w:multiLevelType w:val="hybridMultilevel"/>
    <w:tmpl w:val="26BEBAF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E330C47"/>
    <w:multiLevelType w:val="multilevel"/>
    <w:tmpl w:val="5D1E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0357160"/>
    <w:multiLevelType w:val="hybridMultilevel"/>
    <w:tmpl w:val="A3FC63F2"/>
    <w:lvl w:ilvl="0" w:tplc="B81463FA">
      <w:start w:val="1"/>
      <w:numFmt w:val="bullet"/>
      <w:lvlText w:val="•"/>
      <w:lvlJc w:val="left"/>
      <w:pPr>
        <w:tabs>
          <w:tab w:val="num" w:pos="720"/>
        </w:tabs>
        <w:ind w:left="720" w:hanging="360"/>
      </w:pPr>
      <w:rPr>
        <w:rFonts w:ascii="Arial" w:hAnsi="Arial" w:hint="default"/>
      </w:rPr>
    </w:lvl>
    <w:lvl w:ilvl="1" w:tplc="D4B81088" w:tentative="1">
      <w:start w:val="1"/>
      <w:numFmt w:val="bullet"/>
      <w:lvlText w:val="•"/>
      <w:lvlJc w:val="left"/>
      <w:pPr>
        <w:tabs>
          <w:tab w:val="num" w:pos="1440"/>
        </w:tabs>
        <w:ind w:left="1440" w:hanging="360"/>
      </w:pPr>
      <w:rPr>
        <w:rFonts w:ascii="Arial" w:hAnsi="Arial" w:hint="default"/>
      </w:rPr>
    </w:lvl>
    <w:lvl w:ilvl="2" w:tplc="AC9A10B2" w:tentative="1">
      <w:start w:val="1"/>
      <w:numFmt w:val="bullet"/>
      <w:lvlText w:val="•"/>
      <w:lvlJc w:val="left"/>
      <w:pPr>
        <w:tabs>
          <w:tab w:val="num" w:pos="2160"/>
        </w:tabs>
        <w:ind w:left="2160" w:hanging="360"/>
      </w:pPr>
      <w:rPr>
        <w:rFonts w:ascii="Arial" w:hAnsi="Arial" w:hint="default"/>
      </w:rPr>
    </w:lvl>
    <w:lvl w:ilvl="3" w:tplc="CE12273A" w:tentative="1">
      <w:start w:val="1"/>
      <w:numFmt w:val="bullet"/>
      <w:lvlText w:val="•"/>
      <w:lvlJc w:val="left"/>
      <w:pPr>
        <w:tabs>
          <w:tab w:val="num" w:pos="2880"/>
        </w:tabs>
        <w:ind w:left="2880" w:hanging="360"/>
      </w:pPr>
      <w:rPr>
        <w:rFonts w:ascii="Arial" w:hAnsi="Arial" w:hint="default"/>
      </w:rPr>
    </w:lvl>
    <w:lvl w:ilvl="4" w:tplc="4E2073B6" w:tentative="1">
      <w:start w:val="1"/>
      <w:numFmt w:val="bullet"/>
      <w:lvlText w:val="•"/>
      <w:lvlJc w:val="left"/>
      <w:pPr>
        <w:tabs>
          <w:tab w:val="num" w:pos="3600"/>
        </w:tabs>
        <w:ind w:left="3600" w:hanging="360"/>
      </w:pPr>
      <w:rPr>
        <w:rFonts w:ascii="Arial" w:hAnsi="Arial" w:hint="default"/>
      </w:rPr>
    </w:lvl>
    <w:lvl w:ilvl="5" w:tplc="A87E9844" w:tentative="1">
      <w:start w:val="1"/>
      <w:numFmt w:val="bullet"/>
      <w:lvlText w:val="•"/>
      <w:lvlJc w:val="left"/>
      <w:pPr>
        <w:tabs>
          <w:tab w:val="num" w:pos="4320"/>
        </w:tabs>
        <w:ind w:left="4320" w:hanging="360"/>
      </w:pPr>
      <w:rPr>
        <w:rFonts w:ascii="Arial" w:hAnsi="Arial" w:hint="default"/>
      </w:rPr>
    </w:lvl>
    <w:lvl w:ilvl="6" w:tplc="FB080744" w:tentative="1">
      <w:start w:val="1"/>
      <w:numFmt w:val="bullet"/>
      <w:lvlText w:val="•"/>
      <w:lvlJc w:val="left"/>
      <w:pPr>
        <w:tabs>
          <w:tab w:val="num" w:pos="5040"/>
        </w:tabs>
        <w:ind w:left="5040" w:hanging="360"/>
      </w:pPr>
      <w:rPr>
        <w:rFonts w:ascii="Arial" w:hAnsi="Arial" w:hint="default"/>
      </w:rPr>
    </w:lvl>
    <w:lvl w:ilvl="7" w:tplc="33CEC0B0" w:tentative="1">
      <w:start w:val="1"/>
      <w:numFmt w:val="bullet"/>
      <w:lvlText w:val="•"/>
      <w:lvlJc w:val="left"/>
      <w:pPr>
        <w:tabs>
          <w:tab w:val="num" w:pos="5760"/>
        </w:tabs>
        <w:ind w:left="5760" w:hanging="360"/>
      </w:pPr>
      <w:rPr>
        <w:rFonts w:ascii="Arial" w:hAnsi="Arial" w:hint="default"/>
      </w:rPr>
    </w:lvl>
    <w:lvl w:ilvl="8" w:tplc="BBE27F1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1"/>
  </w:num>
  <w:num w:numId="3">
    <w:abstractNumId w:val="5"/>
  </w:num>
  <w:num w:numId="4">
    <w:abstractNumId w:val="4"/>
  </w:num>
  <w:num w:numId="5">
    <w:abstractNumId w:val="15"/>
  </w:num>
  <w:num w:numId="6">
    <w:abstractNumId w:val="12"/>
  </w:num>
  <w:num w:numId="7">
    <w:abstractNumId w:val="1"/>
  </w:num>
  <w:num w:numId="8">
    <w:abstractNumId w:val="10"/>
  </w:num>
  <w:num w:numId="9">
    <w:abstractNumId w:val="8"/>
  </w:num>
  <w:num w:numId="10">
    <w:abstractNumId w:val="7"/>
  </w:num>
  <w:num w:numId="11">
    <w:abstractNumId w:val="9"/>
  </w:num>
  <w:num w:numId="12">
    <w:abstractNumId w:val="13"/>
  </w:num>
  <w:num w:numId="13">
    <w:abstractNumId w:val="17"/>
  </w:num>
  <w:num w:numId="14">
    <w:abstractNumId w:val="14"/>
  </w:num>
  <w:num w:numId="15">
    <w:abstractNumId w:val="3"/>
  </w:num>
  <w:num w:numId="16">
    <w:abstractNumId w:val="16"/>
  </w:num>
  <w:num w:numId="17">
    <w:abstractNumId w:val="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C0D"/>
    <w:rsid w:val="00000247"/>
    <w:rsid w:val="000234CF"/>
    <w:rsid w:val="0002585A"/>
    <w:rsid w:val="00066DC3"/>
    <w:rsid w:val="0008053B"/>
    <w:rsid w:val="00093AEC"/>
    <w:rsid w:val="000C303E"/>
    <w:rsid w:val="0013375F"/>
    <w:rsid w:val="00146B83"/>
    <w:rsid w:val="001A0E7F"/>
    <w:rsid w:val="001A5E61"/>
    <w:rsid w:val="002218CD"/>
    <w:rsid w:val="00237670"/>
    <w:rsid w:val="00240E12"/>
    <w:rsid w:val="0028624F"/>
    <w:rsid w:val="0029253E"/>
    <w:rsid w:val="002E5A3E"/>
    <w:rsid w:val="003267DA"/>
    <w:rsid w:val="00330942"/>
    <w:rsid w:val="003349D1"/>
    <w:rsid w:val="003364D0"/>
    <w:rsid w:val="0034100B"/>
    <w:rsid w:val="0035247F"/>
    <w:rsid w:val="003A51ED"/>
    <w:rsid w:val="003B4BA0"/>
    <w:rsid w:val="003E0C0D"/>
    <w:rsid w:val="004150F7"/>
    <w:rsid w:val="004174A4"/>
    <w:rsid w:val="00481334"/>
    <w:rsid w:val="004A317D"/>
    <w:rsid w:val="004E38FF"/>
    <w:rsid w:val="004E4C0E"/>
    <w:rsid w:val="00543256"/>
    <w:rsid w:val="0054471A"/>
    <w:rsid w:val="00576D5A"/>
    <w:rsid w:val="005C240A"/>
    <w:rsid w:val="005E1274"/>
    <w:rsid w:val="00621723"/>
    <w:rsid w:val="00623064"/>
    <w:rsid w:val="006D41B5"/>
    <w:rsid w:val="006D6EE0"/>
    <w:rsid w:val="006D7B26"/>
    <w:rsid w:val="006E2492"/>
    <w:rsid w:val="00717A34"/>
    <w:rsid w:val="00736F66"/>
    <w:rsid w:val="007372B5"/>
    <w:rsid w:val="007C1BD4"/>
    <w:rsid w:val="00815F81"/>
    <w:rsid w:val="00824DF1"/>
    <w:rsid w:val="00825F54"/>
    <w:rsid w:val="0083503F"/>
    <w:rsid w:val="008545D5"/>
    <w:rsid w:val="008633DF"/>
    <w:rsid w:val="008876FC"/>
    <w:rsid w:val="008B1F75"/>
    <w:rsid w:val="008D600B"/>
    <w:rsid w:val="00930F37"/>
    <w:rsid w:val="0093430D"/>
    <w:rsid w:val="00972795"/>
    <w:rsid w:val="009A005E"/>
    <w:rsid w:val="009A751A"/>
    <w:rsid w:val="009F4181"/>
    <w:rsid w:val="00A2532A"/>
    <w:rsid w:val="00A32DD5"/>
    <w:rsid w:val="00A47D4C"/>
    <w:rsid w:val="00A53581"/>
    <w:rsid w:val="00A555DF"/>
    <w:rsid w:val="00A61C52"/>
    <w:rsid w:val="00A640C6"/>
    <w:rsid w:val="00AA747F"/>
    <w:rsid w:val="00AC3CF4"/>
    <w:rsid w:val="00B37C02"/>
    <w:rsid w:val="00B65FFF"/>
    <w:rsid w:val="00B66248"/>
    <w:rsid w:val="00B73174"/>
    <w:rsid w:val="00BB42BB"/>
    <w:rsid w:val="00C0706C"/>
    <w:rsid w:val="00C11D86"/>
    <w:rsid w:val="00C50718"/>
    <w:rsid w:val="00C72B39"/>
    <w:rsid w:val="00CF1B32"/>
    <w:rsid w:val="00D757E1"/>
    <w:rsid w:val="00D8630D"/>
    <w:rsid w:val="00DD297D"/>
    <w:rsid w:val="00DE441C"/>
    <w:rsid w:val="00E02365"/>
    <w:rsid w:val="00E2692C"/>
    <w:rsid w:val="00E448DD"/>
    <w:rsid w:val="00E634FE"/>
    <w:rsid w:val="00E728ED"/>
    <w:rsid w:val="00E72C8A"/>
    <w:rsid w:val="00ED7A60"/>
    <w:rsid w:val="00F55F1F"/>
    <w:rsid w:val="00F849B0"/>
    <w:rsid w:val="00FB3B05"/>
    <w:rsid w:val="00FB4990"/>
    <w:rsid w:val="00FD615C"/>
    <w:rsid w:val="00FF0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A1B44"/>
  <w15:chartTrackingRefBased/>
  <w15:docId w15:val="{6B13C115-5113-48D1-9FAA-DD70B44D0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7B2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B65FF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0C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C0D"/>
  </w:style>
  <w:style w:type="paragraph" w:styleId="Footer">
    <w:name w:val="footer"/>
    <w:basedOn w:val="Normal"/>
    <w:link w:val="FooterChar"/>
    <w:uiPriority w:val="99"/>
    <w:unhideWhenUsed/>
    <w:rsid w:val="003E0C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C0D"/>
  </w:style>
  <w:style w:type="paragraph" w:styleId="ListParagraph">
    <w:name w:val="List Paragraph"/>
    <w:basedOn w:val="Normal"/>
    <w:uiPriority w:val="34"/>
    <w:qFormat/>
    <w:rsid w:val="003E0C0D"/>
    <w:pPr>
      <w:ind w:left="720"/>
      <w:contextualSpacing/>
    </w:pPr>
  </w:style>
  <w:style w:type="paragraph" w:customStyle="1" w:styleId="Default">
    <w:name w:val="Default"/>
    <w:rsid w:val="003E0C0D"/>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3E0C0D"/>
    <w:pPr>
      <w:spacing w:after="0" w:line="240" w:lineRule="auto"/>
    </w:pPr>
  </w:style>
  <w:style w:type="character" w:styleId="Hyperlink">
    <w:name w:val="Hyperlink"/>
    <w:basedOn w:val="DefaultParagraphFont"/>
    <w:uiPriority w:val="99"/>
    <w:unhideWhenUsed/>
    <w:rsid w:val="007C1BD4"/>
    <w:rPr>
      <w:color w:val="0563C1" w:themeColor="hyperlink"/>
      <w:u w:val="single"/>
    </w:rPr>
  </w:style>
  <w:style w:type="character" w:styleId="UnresolvedMention">
    <w:name w:val="Unresolved Mention"/>
    <w:basedOn w:val="DefaultParagraphFont"/>
    <w:uiPriority w:val="99"/>
    <w:semiHidden/>
    <w:unhideWhenUsed/>
    <w:rsid w:val="007C1BD4"/>
    <w:rPr>
      <w:color w:val="605E5C"/>
      <w:shd w:val="clear" w:color="auto" w:fill="E1DFDD"/>
    </w:rPr>
  </w:style>
  <w:style w:type="character" w:styleId="Strong">
    <w:name w:val="Strong"/>
    <w:basedOn w:val="DefaultParagraphFont"/>
    <w:uiPriority w:val="22"/>
    <w:qFormat/>
    <w:rsid w:val="00C50718"/>
    <w:rPr>
      <w:b/>
      <w:bCs/>
    </w:rPr>
  </w:style>
  <w:style w:type="character" w:customStyle="1" w:styleId="Heading3Char">
    <w:name w:val="Heading 3 Char"/>
    <w:basedOn w:val="DefaultParagraphFont"/>
    <w:link w:val="Heading3"/>
    <w:uiPriority w:val="9"/>
    <w:rsid w:val="00B65FF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65F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81334"/>
    <w:rPr>
      <w:color w:val="954F72" w:themeColor="followedHyperlink"/>
      <w:u w:val="single"/>
    </w:rPr>
  </w:style>
  <w:style w:type="character" w:customStyle="1" w:styleId="Heading1Char">
    <w:name w:val="Heading 1 Char"/>
    <w:basedOn w:val="DefaultParagraphFont"/>
    <w:link w:val="Heading1"/>
    <w:uiPriority w:val="9"/>
    <w:rsid w:val="006D7B2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D7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5689615">
      <w:bodyDiv w:val="1"/>
      <w:marLeft w:val="0"/>
      <w:marRight w:val="0"/>
      <w:marTop w:val="0"/>
      <w:marBottom w:val="0"/>
      <w:divBdr>
        <w:top w:val="none" w:sz="0" w:space="0" w:color="auto"/>
        <w:left w:val="none" w:sz="0" w:space="0" w:color="auto"/>
        <w:bottom w:val="none" w:sz="0" w:space="0" w:color="auto"/>
        <w:right w:val="none" w:sz="0" w:space="0" w:color="auto"/>
      </w:divBdr>
      <w:divsChild>
        <w:div w:id="802769798">
          <w:marLeft w:val="547"/>
          <w:marRight w:val="0"/>
          <w:marTop w:val="120"/>
          <w:marBottom w:val="0"/>
          <w:divBdr>
            <w:top w:val="none" w:sz="0" w:space="0" w:color="auto"/>
            <w:left w:val="none" w:sz="0" w:space="0" w:color="auto"/>
            <w:bottom w:val="none" w:sz="0" w:space="0" w:color="auto"/>
            <w:right w:val="none" w:sz="0" w:space="0" w:color="auto"/>
          </w:divBdr>
        </w:div>
        <w:div w:id="1270160878">
          <w:marLeft w:val="1166"/>
          <w:marRight w:val="0"/>
          <w:marTop w:val="106"/>
          <w:marBottom w:val="0"/>
          <w:divBdr>
            <w:top w:val="none" w:sz="0" w:space="0" w:color="auto"/>
            <w:left w:val="none" w:sz="0" w:space="0" w:color="auto"/>
            <w:bottom w:val="none" w:sz="0" w:space="0" w:color="auto"/>
            <w:right w:val="none" w:sz="0" w:space="0" w:color="auto"/>
          </w:divBdr>
        </w:div>
        <w:div w:id="1305699492">
          <w:marLeft w:val="1166"/>
          <w:marRight w:val="0"/>
          <w:marTop w:val="106"/>
          <w:marBottom w:val="0"/>
          <w:divBdr>
            <w:top w:val="none" w:sz="0" w:space="0" w:color="auto"/>
            <w:left w:val="none" w:sz="0" w:space="0" w:color="auto"/>
            <w:bottom w:val="none" w:sz="0" w:space="0" w:color="auto"/>
            <w:right w:val="none" w:sz="0" w:space="0" w:color="auto"/>
          </w:divBdr>
        </w:div>
        <w:div w:id="1308776357">
          <w:marLeft w:val="547"/>
          <w:marRight w:val="0"/>
          <w:marTop w:val="120"/>
          <w:marBottom w:val="0"/>
          <w:divBdr>
            <w:top w:val="none" w:sz="0" w:space="0" w:color="auto"/>
            <w:left w:val="none" w:sz="0" w:space="0" w:color="auto"/>
            <w:bottom w:val="none" w:sz="0" w:space="0" w:color="auto"/>
            <w:right w:val="none" w:sz="0" w:space="0" w:color="auto"/>
          </w:divBdr>
        </w:div>
        <w:div w:id="1339960220">
          <w:marLeft w:val="547"/>
          <w:marRight w:val="0"/>
          <w:marTop w:val="120"/>
          <w:marBottom w:val="0"/>
          <w:divBdr>
            <w:top w:val="none" w:sz="0" w:space="0" w:color="auto"/>
            <w:left w:val="none" w:sz="0" w:space="0" w:color="auto"/>
            <w:bottom w:val="none" w:sz="0" w:space="0" w:color="auto"/>
            <w:right w:val="none" w:sz="0" w:space="0" w:color="auto"/>
          </w:divBdr>
        </w:div>
      </w:divsChild>
    </w:div>
    <w:div w:id="380206779">
      <w:bodyDiv w:val="1"/>
      <w:marLeft w:val="0"/>
      <w:marRight w:val="0"/>
      <w:marTop w:val="0"/>
      <w:marBottom w:val="0"/>
      <w:divBdr>
        <w:top w:val="none" w:sz="0" w:space="0" w:color="auto"/>
        <w:left w:val="none" w:sz="0" w:space="0" w:color="auto"/>
        <w:bottom w:val="none" w:sz="0" w:space="0" w:color="auto"/>
        <w:right w:val="none" w:sz="0" w:space="0" w:color="auto"/>
      </w:divBdr>
      <w:divsChild>
        <w:div w:id="400949574">
          <w:marLeft w:val="547"/>
          <w:marRight w:val="0"/>
          <w:marTop w:val="106"/>
          <w:marBottom w:val="0"/>
          <w:divBdr>
            <w:top w:val="none" w:sz="0" w:space="0" w:color="auto"/>
            <w:left w:val="none" w:sz="0" w:space="0" w:color="auto"/>
            <w:bottom w:val="none" w:sz="0" w:space="0" w:color="auto"/>
            <w:right w:val="none" w:sz="0" w:space="0" w:color="auto"/>
          </w:divBdr>
        </w:div>
        <w:div w:id="1052659821">
          <w:marLeft w:val="547"/>
          <w:marRight w:val="0"/>
          <w:marTop w:val="106"/>
          <w:marBottom w:val="0"/>
          <w:divBdr>
            <w:top w:val="none" w:sz="0" w:space="0" w:color="auto"/>
            <w:left w:val="none" w:sz="0" w:space="0" w:color="auto"/>
            <w:bottom w:val="none" w:sz="0" w:space="0" w:color="auto"/>
            <w:right w:val="none" w:sz="0" w:space="0" w:color="auto"/>
          </w:divBdr>
        </w:div>
        <w:div w:id="1445811482">
          <w:marLeft w:val="547"/>
          <w:marRight w:val="0"/>
          <w:marTop w:val="106"/>
          <w:marBottom w:val="0"/>
          <w:divBdr>
            <w:top w:val="none" w:sz="0" w:space="0" w:color="auto"/>
            <w:left w:val="none" w:sz="0" w:space="0" w:color="auto"/>
            <w:bottom w:val="none" w:sz="0" w:space="0" w:color="auto"/>
            <w:right w:val="none" w:sz="0" w:space="0" w:color="auto"/>
          </w:divBdr>
        </w:div>
        <w:div w:id="1782069049">
          <w:marLeft w:val="547"/>
          <w:marRight w:val="0"/>
          <w:marTop w:val="106"/>
          <w:marBottom w:val="0"/>
          <w:divBdr>
            <w:top w:val="none" w:sz="0" w:space="0" w:color="auto"/>
            <w:left w:val="none" w:sz="0" w:space="0" w:color="auto"/>
            <w:bottom w:val="none" w:sz="0" w:space="0" w:color="auto"/>
            <w:right w:val="none" w:sz="0" w:space="0" w:color="auto"/>
          </w:divBdr>
        </w:div>
      </w:divsChild>
    </w:div>
    <w:div w:id="1574927906">
      <w:bodyDiv w:val="1"/>
      <w:marLeft w:val="0"/>
      <w:marRight w:val="0"/>
      <w:marTop w:val="0"/>
      <w:marBottom w:val="0"/>
      <w:divBdr>
        <w:top w:val="none" w:sz="0" w:space="0" w:color="auto"/>
        <w:left w:val="none" w:sz="0" w:space="0" w:color="auto"/>
        <w:bottom w:val="none" w:sz="0" w:space="0" w:color="auto"/>
        <w:right w:val="none" w:sz="0" w:space="0" w:color="auto"/>
      </w:divBdr>
    </w:div>
    <w:div w:id="1637687854">
      <w:bodyDiv w:val="1"/>
      <w:marLeft w:val="0"/>
      <w:marRight w:val="0"/>
      <w:marTop w:val="0"/>
      <w:marBottom w:val="0"/>
      <w:divBdr>
        <w:top w:val="none" w:sz="0" w:space="0" w:color="auto"/>
        <w:left w:val="none" w:sz="0" w:space="0" w:color="auto"/>
        <w:bottom w:val="none" w:sz="0" w:space="0" w:color="auto"/>
        <w:right w:val="none" w:sz="0" w:space="0" w:color="auto"/>
      </w:divBdr>
      <w:divsChild>
        <w:div w:id="891963680">
          <w:marLeft w:val="547"/>
          <w:marRight w:val="0"/>
          <w:marTop w:val="130"/>
          <w:marBottom w:val="0"/>
          <w:divBdr>
            <w:top w:val="none" w:sz="0" w:space="0" w:color="auto"/>
            <w:left w:val="none" w:sz="0" w:space="0" w:color="auto"/>
            <w:bottom w:val="none" w:sz="0" w:space="0" w:color="auto"/>
            <w:right w:val="none" w:sz="0" w:space="0" w:color="auto"/>
          </w:divBdr>
        </w:div>
        <w:div w:id="1050611104">
          <w:marLeft w:val="547"/>
          <w:marRight w:val="0"/>
          <w:marTop w:val="130"/>
          <w:marBottom w:val="0"/>
          <w:divBdr>
            <w:top w:val="none" w:sz="0" w:space="0" w:color="auto"/>
            <w:left w:val="none" w:sz="0" w:space="0" w:color="auto"/>
            <w:bottom w:val="none" w:sz="0" w:space="0" w:color="auto"/>
            <w:right w:val="none" w:sz="0" w:space="0" w:color="auto"/>
          </w:divBdr>
        </w:div>
        <w:div w:id="2130322048">
          <w:marLeft w:val="547"/>
          <w:marRight w:val="0"/>
          <w:marTop w:val="130"/>
          <w:marBottom w:val="0"/>
          <w:divBdr>
            <w:top w:val="none" w:sz="0" w:space="0" w:color="auto"/>
            <w:left w:val="none" w:sz="0" w:space="0" w:color="auto"/>
            <w:bottom w:val="none" w:sz="0" w:space="0" w:color="auto"/>
            <w:right w:val="none" w:sz="0" w:space="0" w:color="auto"/>
          </w:divBdr>
        </w:div>
      </w:divsChild>
    </w:div>
    <w:div w:id="1660035372">
      <w:bodyDiv w:val="1"/>
      <w:marLeft w:val="0"/>
      <w:marRight w:val="0"/>
      <w:marTop w:val="0"/>
      <w:marBottom w:val="0"/>
      <w:divBdr>
        <w:top w:val="none" w:sz="0" w:space="0" w:color="auto"/>
        <w:left w:val="none" w:sz="0" w:space="0" w:color="auto"/>
        <w:bottom w:val="none" w:sz="0" w:space="0" w:color="auto"/>
        <w:right w:val="none" w:sz="0" w:space="0" w:color="auto"/>
      </w:divBdr>
    </w:div>
    <w:div w:id="2025671239">
      <w:bodyDiv w:val="1"/>
      <w:marLeft w:val="0"/>
      <w:marRight w:val="0"/>
      <w:marTop w:val="0"/>
      <w:marBottom w:val="0"/>
      <w:divBdr>
        <w:top w:val="none" w:sz="0" w:space="0" w:color="auto"/>
        <w:left w:val="none" w:sz="0" w:space="0" w:color="auto"/>
        <w:bottom w:val="none" w:sz="0" w:space="0" w:color="auto"/>
        <w:right w:val="none" w:sz="0" w:space="0" w:color="auto"/>
      </w:divBdr>
      <w:divsChild>
        <w:div w:id="49499134">
          <w:marLeft w:val="547"/>
          <w:marRight w:val="0"/>
          <w:marTop w:val="154"/>
          <w:marBottom w:val="0"/>
          <w:divBdr>
            <w:top w:val="none" w:sz="0" w:space="0" w:color="auto"/>
            <w:left w:val="none" w:sz="0" w:space="0" w:color="auto"/>
            <w:bottom w:val="none" w:sz="0" w:space="0" w:color="auto"/>
            <w:right w:val="none" w:sz="0" w:space="0" w:color="auto"/>
          </w:divBdr>
        </w:div>
        <w:div w:id="936406186">
          <w:marLeft w:val="547"/>
          <w:marRight w:val="0"/>
          <w:marTop w:val="154"/>
          <w:marBottom w:val="0"/>
          <w:divBdr>
            <w:top w:val="none" w:sz="0" w:space="0" w:color="auto"/>
            <w:left w:val="none" w:sz="0" w:space="0" w:color="auto"/>
            <w:bottom w:val="none" w:sz="0" w:space="0" w:color="auto"/>
            <w:right w:val="none" w:sz="0" w:space="0" w:color="auto"/>
          </w:divBdr>
        </w:div>
        <w:div w:id="1428427811">
          <w:marLeft w:val="547"/>
          <w:marRight w:val="0"/>
          <w:marTop w:val="154"/>
          <w:marBottom w:val="0"/>
          <w:divBdr>
            <w:top w:val="none" w:sz="0" w:space="0" w:color="auto"/>
            <w:left w:val="none" w:sz="0" w:space="0" w:color="auto"/>
            <w:bottom w:val="none" w:sz="0" w:space="0" w:color="auto"/>
            <w:right w:val="none" w:sz="0" w:space="0" w:color="auto"/>
          </w:divBdr>
        </w:div>
      </w:divsChild>
    </w:div>
    <w:div w:id="208440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CIP21</b:Tag>
    <b:SourceType>InternetSite</b:SourceType>
    <b:Guid>{68821120-45D3-4E8A-8035-8F1C518BB208}</b:Guid>
    <b:Title>Labour Market Outlook Surveys</b:Title>
    <b:Year>2021</b:Year>
    <b:Author>
      <b:Author>
        <b:Corporate>CIPD</b:Corporate>
      </b:Author>
    </b:Author>
    <b:YearAccessed>2021</b:YearAccessed>
    <b:MonthAccessed>March </b:MonthAccessed>
    <b:DayAccessed>28</b:DayAccessed>
    <b:URL>https://www.cipd.co.uk/knowledge/work/trends/labour-market-outlook#gref</b:URL>
    <b:RefOrder>1</b:RefOrder>
  </b:Source>
  <b:Source>
    <b:Tag>Gib20</b:Tag>
    <b:SourceType>InternetSite</b:SourceType>
    <b:Guid>{A66655FF-71A7-4112-9A50-96DCCFDCBA79}</b:Guid>
    <b:Author>
      <b:Author>
        <b:NameList>
          <b:Person>
            <b:Last>Gibson</b:Last>
            <b:First>A</b:First>
          </b:Person>
        </b:NameList>
      </b:Author>
    </b:Author>
    <b:Title>Identifying your critical workforce </b:Title>
    <b:Year>2020</b:Year>
    <b:YearAccessed>2021</b:YearAccessed>
    <b:MonthAccessed>March </b:MonthAccessed>
    <b:DayAccessed>29</b:DayAccessed>
    <b:URL>http://agileworkforceplanning.com/combatting-capability-decay-copy/</b:URL>
    <b:RefOrder>2</b:RefOrder>
  </b:Source>
  <b:Source>
    <b:Tag>Wee20</b:Tag>
    <b:SourceType>InternetSite</b:SourceType>
    <b:Guid>{CB4745FE-79BF-4EE7-9FBD-062FF126ED48}</b:Guid>
    <b:Author>
      <b:Author>
        <b:NameList>
          <b:Person>
            <b:Last>Weeks</b:Last>
            <b:First>A</b:First>
          </b:Person>
        </b:NameList>
      </b:Author>
    </b:Author>
    <b:Title>Workforce Planning </b:Title>
    <b:Year>2020</b:Year>
    <b:YearAccessed>2021</b:YearAccessed>
    <b:MonthAccessed>March </b:MonthAccessed>
    <b:DayAccessed>29 </b:DayAccessed>
    <b:URL>https://www.cipd.co.uk/knowledge/strategy/organisational-development/workforce-planning-factsheet#gref</b:URL>
    <b:RefOrder>3</b:RefOrder>
  </b:Source>
  <b:Source>
    <b:Tag>HRT21</b:Tag>
    <b:SourceType>InternetSite</b:SourceType>
    <b:Guid>{D8BA1871-B58E-452D-A04F-56F683A5B1DE}</b:Guid>
    <b:Author>
      <b:Author>
        <b:Corporate>HRT</b:Corporate>
      </b:Author>
    </b:Author>
    <b:Title>Top 5 Workforce Planning Tools </b:Title>
    <b:Year>2021</b:Year>
    <b:YearAccessed>2021</b:YearAccessed>
    <b:MonthAccessed>March </b:MonthAccessed>
    <b:DayAccessed>30</b:DayAccessed>
    <b:URL>https://www.humanresourcestoday.com/tools/workforce-planning/?open-article-id=14706891&amp;article-title=top-5-workforce-planning-tools&amp;blog-domain=talenx.io&amp;blog-title=talenx</b:URL>
    <b:RefOrder>4</b:RefOrder>
  </b:Source>
  <b:Source>
    <b:Tag>Wee201</b:Tag>
    <b:SourceType>InternetSite</b:SourceType>
    <b:Guid>{4A67C29C-3431-4B34-8E6E-7660FAE633B2}</b:Guid>
    <b:Author>
      <b:Author>
        <b:NameList>
          <b:Person>
            <b:Last>Weeks</b:Last>
            <b:First>A</b:First>
          </b:Person>
        </b:NameList>
      </b:Author>
    </b:Author>
    <b:Title>Talent Planning </b:Title>
    <b:Year>2020</b:Year>
    <b:YearAccessed>2021</b:YearAccessed>
    <b:MonthAccessed>April </b:MonthAccessed>
    <b:DayAccessed>10</b:DayAccessed>
    <b:URL>https://www.cipd.co.uk/knowledge/strategy/resourcing/talent-factsheet#gref</b:URL>
    <b:RefOrder>5</b:RefOrder>
  </b:Source>
  <b:Source>
    <b:Tag>Kel17</b:Tag>
    <b:SourceType>InternetSite</b:SourceType>
    <b:Guid>{FF512523-9C89-4045-93C7-3381D392E160}</b:Guid>
    <b:Author>
      <b:Author>
        <b:NameList>
          <b:Person>
            <b:Last>Keller</b:Last>
            <b:First>S</b:First>
          </b:Person>
          <b:Person>
            <b:Last>Meaney</b:Last>
            <b:First>M</b:First>
          </b:Person>
        </b:NameList>
      </b:Author>
    </b:Author>
    <b:Title>Attracting and retaining the right talent </b:Title>
    <b:Year>2017</b:Year>
    <b:YearAccessed>2021</b:YearAccessed>
    <b:MonthAccessed>April </b:MonthAccessed>
    <b:DayAccessed>10</b:DayAccessed>
    <b:URL>https://www.mckinsey.com/business-functions/organization/our-insights/attracting-and-retaining-the-right-talent</b:URL>
    <b:RefOrder>6</b:RefOrder>
  </b:Source>
  <b:Source>
    <b:Tag>Hel20</b:Tag>
    <b:SourceType>InternetSite</b:SourceType>
    <b:Guid>{1284A62D-601F-4B1A-8BD6-0648DB7BD8BC}</b:Guid>
    <b:Author>
      <b:Author>
        <b:NameList>
          <b:Person>
            <b:Last>Helm</b:Last>
            <b:First>T</b:First>
          </b:Person>
        </b:NameList>
      </b:Author>
    </b:Author>
    <b:Title>Brexit fuels brain drain as skilled Britons head to the EU</b:Title>
    <b:Year>2020</b:Year>
    <b:YearAccessed>2021</b:YearAccessed>
    <b:MonthAccessed>April </b:MonthAccessed>
    <b:DayAccessed>11</b:DayAccessed>
    <b:URL>https://www.theguardian.com/world/2020/aug/02/brexit-fuels-brain-drain-as-skilled-britons-head-to-the-eu</b:URL>
    <b:RefOrder>7</b:RefOrder>
  </b:Source>
  <b:Source>
    <b:Tag>Hil14</b:Tag>
    <b:SourceType>JournalArticle</b:SourceType>
    <b:Guid>{CFC575C7-8476-47AE-922A-2FB898AAE528}</b:Guid>
    <b:Title>Building a game changing talent strategy </b:Title>
    <b:Year>2014</b:Year>
    <b:JournalName>Havard Business Review </b:JournalName>
    <b:Issue>1</b:Issue>
    <b:Author>
      <b:Author>
        <b:NameList>
          <b:Person>
            <b:Last>Hill</b:Last>
            <b:First>L</b:First>
          </b:Person>
          <b:Person>
            <b:Last>Ready</b:Last>
            <b:First>D</b:First>
          </b:Person>
          <b:Person>
            <b:Last>Thomas </b:Last>
            <b:First>R</b:First>
          </b:Person>
        </b:NameList>
      </b:Author>
    </b:Author>
    <b:RefOrder>8</b:RefOrder>
  </b:Source>
  <b:Source>
    <b:Tag>Cru17</b:Tag>
    <b:SourceType>InternetSite</b:SourceType>
    <b:Guid>{D377B005-CBE3-4AB6-B3AA-BA35509EF5F6}</b:Guid>
    <b:Title>Benefits are the most cost effective way of retaining staff </b:Title>
    <b:Year>2017</b:Year>
    <b:Author>
      <b:Author>
        <b:NameList>
          <b:Person>
            <b:Last>Crush</b:Last>
            <b:First>T</b:First>
          </b:Person>
        </b:NameList>
      </b:Author>
    </b:Author>
    <b:YearAccessed>2021</b:YearAccessed>
    <b:MonthAccessed>April </b:MonthAccessed>
    <b:DayAccessed>10 </b:DayAccessed>
    <b:URL>https://www.hrmagazine.co.uk/content/features/benefits-are-the-most-cost-effective-way-of-motivating-staff</b:URL>
    <b:RefOrder>9</b:RefOrder>
  </b:Source>
  <b:Source>
    <b:Tag>Chi21</b:Tag>
    <b:SourceType>InternetSite</b:SourceType>
    <b:Guid>{5625D1D2-997A-42CF-B118-AA266DDEFB50}</b:Guid>
    <b:Author>
      <b:Author>
        <b:NameList>
          <b:Person>
            <b:Last>Chirpanhura</b:Last>
            <b:First>B</b:First>
          </b:Person>
        </b:NameList>
      </b:Author>
    </b:Author>
    <b:Title>Coronavirus and redundancies in the UK labour market: September to November 2020</b:Title>
    <b:Year>2021</b:Year>
    <b:YearAccessed>2021</b:YearAccessed>
    <b:MonthAccessed>April </b:MonthAccessed>
    <b:DayAccessed>12</b:DayAccessed>
    <b:URL>https://www.ons.gov.uk/employmentandlabourmarket/peopleinwork/employmentandemployeetypes/articles/labourmarketeconomicanalysisquarterly/december2020</b:URL>
    <b:RefOrder>10</b:RefOrder>
  </b:Source>
  <b:Source>
    <b:Tag>McC17</b:Tag>
    <b:SourceType>InternetSite</b:SourceType>
    <b:Guid>{FF8F5EA1-4EE2-499C-9D94-6AC62809DA6B}</b:Guid>
    <b:Author>
      <b:Author>
        <b:NameList>
          <b:Person>
            <b:Last>McCartney</b:Last>
            <b:First>C</b:First>
          </b:Person>
        </b:NameList>
      </b:Author>
    </b:Author>
    <b:Title>How to be an employer of choice in an increasingly competitive job market</b:Title>
    <b:Year>2017</b:Year>
    <b:YearAccessed>2021</b:YearAccessed>
    <b:MonthAccessed>April </b:MonthAccessed>
    <b:DayAccessed>12</b:DayAccessed>
    <b:URL>https://www.ons.gov.uk/employmentandlabourmarket/peopleinwork/employmentandemployeetypes/articles/labourmarketeconomicanalysisquarterly/december2020</b:URL>
    <b:RefOrder>11</b:RefOrder>
  </b:Source>
  <b:Source>
    <b:Tag>Mas19</b:Tag>
    <b:SourceType>InternetSite</b:SourceType>
    <b:Guid>{322FDB7E-1E5E-4B3C-8B2C-2BA814DD2EE8}</b:Guid>
    <b:Author>
      <b:Author>
        <b:NameList>
          <b:Person>
            <b:Last>Mason</b:Last>
            <b:First>H</b:First>
          </b:Person>
        </b:NameList>
      </b:Author>
    </b:Author>
    <b:Title>How to attract and retain the best talent </b:Title>
    <b:Year>2019</b:Year>
    <b:YearAccessed>2021</b:YearAccessed>
    <b:MonthAccessed>April </b:MonthAccessed>
    <b:DayAccessed>12</b:DayAccessed>
    <b:URL>https://pmjobs.cipd.co.uk/article/how-to-attract-and-retain-the-best-talent/</b:URL>
    <b:RefOrder>12</b:RefOrder>
  </b:Source>
  <b:Source>
    <b:Tag>Hou20</b:Tag>
    <b:SourceType>InternetSite</b:SourceType>
    <b:Guid>{5447C3BB-6818-4D0F-BB78-FCD4D2D85983}</b:Guid>
    <b:Author>
      <b:Author>
        <b:NameList>
          <b:Person>
            <b:Last>Houghton</b:Last>
            <b:First>E</b:First>
          </b:Person>
        </b:NameList>
      </b:Author>
    </b:Author>
    <b:Title>Workforce Reporting </b:Title>
    <b:Year>2020</b:Year>
    <b:YearAccessed>2021</b:YearAccessed>
    <b:MonthAccessed>April </b:MonthAccessed>
    <b:DayAccessed>14</b:DayAccessed>
    <b:URL>https://www.cipd.co.uk/knowledge/strategy/analytics/workforce-reporting-factsheet</b:URL>
    <b:RefOrder>13</b:RefOrder>
  </b:Source>
  <b:Source>
    <b:Tag>CIP2010</b:Tag>
    <b:SourceType>InternetSite</b:SourceType>
    <b:Guid>{3EEB4E91-8EFC-432E-9BE2-E39D0FA7DFEA}</b:Guid>
    <b:Author>
      <b:Author>
        <b:Corporate>CIPD</b:Corporate>
      </b:Author>
    </b:Author>
    <b:Title>Talent Management</b:Title>
    <b:Year>2020</b:Year>
    <b:YearAccessed>2021</b:YearAccessed>
    <b:MonthAccessed>April </b:MonthAccessed>
    <b:DayAccessed>14</b:DayAccessed>
    <b:URL>https://www.cipd.co.uk/knowledge/strategy/resourcing/talent-factsheet#gref</b:URL>
    <b:RefOrder>14</b:RefOrder>
  </b:Source>
  <b:Source>
    <b:Tag>Rei18</b:Tag>
    <b:SourceType>Report</b:SourceType>
    <b:Guid>{5C3A37FC-EF88-42AD-8ED8-DFAA46F724E2}</b:Guid>
    <b:Title>Workforce Planning Practice</b:Title>
    <b:Year>2018</b:Year>
    <b:Author>
      <b:Author>
        <b:NameList>
          <b:Person>
            <b:Last>Reilly</b:Last>
            <b:First>P</b:First>
          </b:Person>
          <b:Person>
            <b:Last>Hirsh</b:Last>
            <b:First>A</b:First>
          </b:Person>
          <b:Person>
            <b:Last>Weeks</b:Last>
            <b:First>A</b:First>
          </b:Person>
          <b:Person>
            <b:Last>Robinson</b:Last>
            <b:First>D</b:First>
          </b:Person>
          <b:Person>
            <b:Last>Martin </b:Last>
            <b:First>A</b:First>
          </b:Person>
        </b:NameList>
      </b:Author>
    </b:Author>
    <b:Publisher>Chartered Institute of Personnel and Development</b:Publisher>
    <b:City>London</b:City>
    <b:RefOrder>15</b:RefOrder>
  </b:Source>
  <b:Source>
    <b:Tag>Van18</b:Tag>
    <b:SourceType>InternetSite</b:SourceType>
    <b:Guid>{70BADF69-5EC1-4809-8974-0667EEFE03A8}</b:Guid>
    <b:Title>5 Essential workforce planning tools for any HR professional</b:Title>
    <b:Year>2018</b:Year>
    <b:Author>
      <b:Author>
        <b:NameList>
          <b:Person>
            <b:Last>Van Vulpen</b:Last>
            <b:First>E</b:First>
          </b:Person>
        </b:NameList>
      </b:Author>
    </b:Author>
    <b:YearAccessed>2021</b:YearAccessed>
    <b:MonthAccessed>April </b:MonthAccessed>
    <b:DayAccessed>15 </b:DayAccessed>
    <b:URL>https://www.analyticsinhr.com/blog/strategic-workforce-planning-tools/</b:URL>
    <b:RefOrder>16</b:RefOrder>
  </b:Source>
  <b:Source>
    <b:Tag>Lea20</b:Tag>
    <b:SourceType>InternetSite</b:SourceType>
    <b:Guid>{4F77117A-A5BB-4B01-BFBE-0797744793E8}</b:Guid>
    <b:Author>
      <b:Author>
        <b:NameList>
          <b:Person>
            <b:Last>Leaker</b:Last>
            <b:First>D</b:First>
          </b:Person>
        </b:NameList>
      </b:Author>
    </b:Author>
    <b:Title>Labour Market Overview - UK - October 2020</b:Title>
    <b:Year>2020</b:Year>
    <b:YearAccessed>2021</b:YearAccessed>
    <b:MonthAccessed>April </b:MonthAccessed>
    <b:DayAccessed>16</b:DayAccessed>
    <b:URL>https://www.ons.gov.uk/employmentandlabourmarket/peopleinwork/employmentandemployeetypes/bulletins/uklabourmarket/october2020</b:URL>
    <b:RefOrder>17</b:RefOrder>
  </b:Source>
  <b:Source>
    <b:Tag>Lea21</b:Tag>
    <b:SourceType>InternetSite</b:SourceType>
    <b:Guid>{8E7E4D30-80C8-4427-B83D-B93A9E5BD0B4}</b:Guid>
    <b:Author>
      <b:Author>
        <b:NameList>
          <b:Person>
            <b:Last>Leaker</b:Last>
            <b:First>D</b:First>
          </b:Person>
        </b:NameList>
      </b:Author>
    </b:Author>
    <b:Title>Labour Market overview - UK - January 2021 </b:Title>
    <b:Year>2021</b:Year>
    <b:YearAccessed>2021</b:YearAccessed>
    <b:MonthAccessed>April </b:MonthAccessed>
    <b:DayAccessed>16</b:DayAccessed>
    <b:URL>https://www.ons.gov.uk/employmentandlabourmarket/peopleinwork/employmentandemployeetypes/bulletins/uklabourmarket/january2021</b:URL>
    <b:RefOrder>18</b:RefOrder>
  </b:Source>
  <b:Source>
    <b:Tag>Cla20</b:Tag>
    <b:SourceType>InternetSite</b:SourceType>
    <b:Guid>{CD166A57-CC75-476E-B27D-B6DB073EC29E}</b:Guid>
    <b:Author>
      <b:Author>
        <b:NameList>
          <b:Person>
            <b:Last>Clark</b:Last>
            <b:First>A</b:First>
          </b:Person>
        </b:NameList>
      </b:Author>
    </b:Author>
    <b:Title>Public vs Private - Which sector has coronavirus hit the hardest?</b:Title>
    <b:Year>2020</b:Year>
    <b:YearAccessed>2021</b:YearAccessed>
    <b:MonthAccessed>April </b:MonthAccessed>
    <b:DayAccessed>19</b:DayAccessed>
    <b:URL>https://www.telegraph.co.uk/news/2020/11/20/public-sector-vs-private-sector-has-coronavirus-hit-hardest/</b:URL>
    <b:RefOrder>19</b:RefOrder>
  </b:Source>
  <b:Source>
    <b:Tag>ONS20</b:Tag>
    <b:SourceType>InternetSite</b:SourceType>
    <b:Guid>{53E5415C-2B95-4D02-9266-53C0C1809483}</b:Guid>
    <b:Author>
      <b:Author>
        <b:Corporate>ONS</b:Corporate>
      </b:Author>
    </b:Author>
    <b:Title>Coronavirus (COVID-19) roundup: Economy, business and jobs </b:Title>
    <b:Year>2020</b:Year>
    <b:YearAccessed>2021</b:YearAccessed>
    <b:MonthAccessed>April </b:MonthAccessed>
    <b:DayAccessed>20</b:DayAccessed>
    <b:URL>https://www.ons.gov.uk/peoplepopulationandcommunity/healthandsocialcare/conditionsanddiseases/articles/coronaviruscovid19roundupeconomybusinessandjobs/2020-07-02</b:URL>
    <b:RefOrder>20</b:RefOrder>
  </b:Source>
  <b:Source>
    <b:Tag>ABS21</b:Tag>
    <b:SourceType>InternetSite</b:SourceType>
    <b:Guid>{2289C919-B916-42D7-95CD-BC302BD62E25}</b:Guid>
    <b:Author>
      <b:Author>
        <b:Corporate>ABS</b:Corporate>
      </b:Author>
    </b:Author>
    <b:Title>Labour Force Australia </b:Title>
    <b:Year>2021</b:Year>
    <b:YearAccessed>2021</b:YearAccessed>
    <b:MonthAccessed>April </b:MonthAccessed>
    <b:DayAccessed>19</b:DayAccessed>
    <b:URL>https://www.abs.gov.au/statistics/labour/employment-and-unemployment/labour-force-australia/latest-release</b:URL>
    <b:RefOrder>21</b:RefOrder>
  </b:Source>
  <b:Source>
    <b:Tag>Bor20</b:Tag>
    <b:SourceType>InternetSite</b:SourceType>
    <b:Guid>{D2FD54B4-ED77-4626-ACD9-193A7DD917B9}</b:Guid>
    <b:Author>
      <b:Author>
        <b:NameList>
          <b:Person>
            <b:Last>Borland</b:Last>
            <b:First>A</b:First>
          </b:Person>
        </b:NameList>
      </b:Author>
    </b:Author>
    <b:Title>The Australian Labour Market and the Early Impact of COVID‐19: An Assessment </b:Title>
    <b:Year>2020</b:Year>
    <b:YearAccessed>2021</b:YearAccessed>
    <b:MonthAccessed>April </b:MonthAccessed>
    <b:DayAccessed>20</b:DayAccessed>
    <b:URL>https://onlinelibrary.wiley.com/doi/10.1111/1467-8462.12386</b:URL>
    <b:RefOrder>22</b:RefOrder>
  </b:Source>
  <b:Source>
    <b:Tag>Age21</b:Tag>
    <b:SourceType>InternetSite</b:SourceType>
    <b:Guid>{FB18983E-B0DF-4937-B0AF-D1DC3F5DF50E}</b:Guid>
    <b:Author>
      <b:Author>
        <b:Corporate>Age UK </b:Corporate>
      </b:Author>
    </b:Author>
    <b:Title>Can I be forced to retire?</b:Title>
    <b:Year>2021</b:Year>
    <b:YearAccessed>2021</b:YearAccessed>
    <b:MonthAccessed>April </b:MonthAccessed>
    <b:DayAccessed>20</b:DayAccessed>
    <b:URL>https://www.ageuk.org.uk/information-advice/work-learning/retirement/retirement-age/</b:URL>
    <b:RefOrder>23</b:RefOrder>
  </b:Source>
  <b:Source>
    <b:Tag>ACA21</b:Tag>
    <b:SourceType>InternetSite</b:SourceType>
    <b:Guid>{AC78D3C5-377A-4A94-97DD-34003925FD17}</b:Guid>
    <b:Author>
      <b:Author>
        <b:Corporate>ACAS</b:Corporate>
      </b:Author>
    </b:Author>
    <b:Title>Managing staff redundancies: step by step </b:Title>
    <b:Year>2021</b:Year>
    <b:YearAccessed>2021</b:YearAccessed>
    <b:MonthAccessed>April </b:MonthAccessed>
    <b:DayAccessed>19</b:DayAccessed>
    <b:URL>https://www.acas.org.uk/manage-staff-redundancies/follow-the-right-process</b:URL>
    <b:RefOrder>24</b:RefOrder>
  </b:Source>
  <b:Source>
    <b:Tag>Suf20</b:Tag>
    <b:SourceType>InternetSite</b:SourceType>
    <b:Guid>{0EB39E95-B9A8-4D3F-8D9B-E325AC5E7586}</b:Guid>
    <b:Author>
      <b:Author>
        <b:NameList>
          <b:Person>
            <b:Last>Suff</b:Last>
            <b:First>R</b:First>
          </b:Person>
        </b:NameList>
      </b:Author>
    </b:Author>
    <b:Title>Dismissal Procedures </b:Title>
    <b:Year>2020</b:Year>
    <b:YearAccessed>2021</b:YearAccessed>
    <b:MonthAccessed>April </b:MonthAccessed>
    <b:DayAccessed>19</b:DayAccessed>
    <b:URL>https://www.cipd.co.uk/knowledge/fundamentals/emp-law/dismissal/factsheet</b:URL>
    <b:RefOrder>25</b:RefOrder>
  </b:Source>
  <b:Source>
    <b:Tag>Wee202</b:Tag>
    <b:SourceType>InternetSite</b:SourceType>
    <b:Guid>{CEF1AF3B-CB39-4835-BC91-1139B5AB3302}</b:Guid>
    <b:Author>
      <b:Author>
        <b:NameList>
          <b:Person>
            <b:Last>Weeks</b:Last>
            <b:First>A</b:First>
          </b:Person>
        </b:NameList>
      </b:Author>
    </b:Author>
    <b:Title>Competence and Competency Frameworks </b:Title>
    <b:Year>2020</b:Year>
    <b:YearAccessed>2021</b:YearAccessed>
    <b:MonthAccessed>April </b:MonthAccessed>
    <b:DayAccessed>20</b:DayAccessed>
    <b:URL>https://www.cipd.co.uk/knowledge/fundamentals/people/performance/competency-factsheet#gref</b:URL>
    <b:RefOrder>26</b:RefOrder>
  </b:Source>
  <b:Source>
    <b:Tag>CIP211</b:Tag>
    <b:SourceType>InternetSite</b:SourceType>
    <b:Guid>{C528A428-831B-4B87-8AA6-DF69EC6652DB}</b:Guid>
    <b:Author>
      <b:Author>
        <b:Corporate>CIPD</b:Corporate>
      </b:Author>
    </b:Author>
    <b:Title>Recruitment and Selection Q&amp;A's </b:Title>
    <b:Year>2021</b:Year>
    <b:YearAccessed>2021</b:YearAccessed>
    <b:MonthAccessed>April </b:MonthAccessed>
    <b:DayAccessed>21</b:DayAccessed>
    <b:URL>https://www.cipd.co.uk/knowledge/fundamentals/emp-law/recruitment/questions</b:URL>
    <b:RefOrder>27</b:RefOrder>
  </b:Source>
  <b:Source>
    <b:Tag>Ndu20</b:Tag>
    <b:SourceType>InternetSite</b:SourceType>
    <b:Guid>{DC27137D-BAAF-43D2-8CD9-D1299ABB0AFA}</b:Guid>
    <b:Author>
      <b:Author>
        <b:NameList>
          <b:Person>
            <b:Last>Ndukwe</b:Last>
            <b:First>O</b:First>
          </b:Person>
        </b:NameList>
      </b:Author>
    </b:Author>
    <b:Title>Best practices for writing effective job descriptions </b:Title>
    <b:Year>2020</b:Year>
    <b:YearAccessed>2021</b:YearAccessed>
    <b:MonthAccessed>April </b:MonthAccessed>
    <b:DayAccessed>20</b:DayAccessed>
    <b:URL>https://resources.hrsg.ca/blog/best-practices-for-writing-effective-job-descriptions</b:URL>
    <b:RefOrder>28</b:RefOrder>
  </b:Source>
  <b:Source>
    <b:Tag>Cam20</b:Tag>
    <b:SourceType>InternetSite</b:SourceType>
    <b:Guid>{F0E71658-1E91-494F-A071-25B80049A575}</b:Guid>
    <b:Author>
      <b:Author>
        <b:NameList>
          <b:Person>
            <b:Last>Campling</b:Last>
            <b:First>B</b:First>
          </b:Person>
        </b:NameList>
      </b:Author>
    </b:Author>
    <b:Title>12 Recruitment methods you need to know about </b:Title>
    <b:Year>2020</b:Year>
    <b:YearAccessed>2021</b:YearAccessed>
    <b:MonthAccessed>April </b:MonthAccessed>
    <b:DayAccessed>21</b:DayAccessed>
    <b:URL>https://blog.recruitee.com/recruitment-methods/</b:URL>
    <b:RefOrder>29</b:RefOrder>
  </b:Source>
  <b:Source>
    <b:Tag>Rob08</b:Tag>
    <b:SourceType>Report</b:SourceType>
    <b:Guid>{9671285A-DBA9-4D57-A840-BAC488A280AE}</b:Guid>
    <b:Title>Workforce Planning guide </b:Title>
    <b:Year>2008</b:Year>
    <b:Author>
      <b:Author>
        <b:NameList>
          <b:Person>
            <b:Last>Robinson</b:Last>
            <b:First>D</b:First>
          </b:Person>
          <b:Person>
            <b:Last>Hirsh</b:Last>
            <b:First>W</b:First>
          </b:Person>
        </b:NameList>
      </b:Author>
    </b:Author>
    <b:Publisher>Institute for Employment Studies </b:Publisher>
    <b:City>Brighton</b:City>
    <b:RefOrder>30</b:RefOrder>
  </b:Source>
</b:Sources>
</file>

<file path=customXml/itemProps1.xml><?xml version="1.0" encoding="utf-8"?>
<ds:datastoreItem xmlns:ds="http://schemas.openxmlformats.org/officeDocument/2006/customXml" ds:itemID="{67B795E0-D996-4179-B89E-18EC193F6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10839</TotalTime>
  <Pages>10</Pages>
  <Words>4150</Words>
  <Characters>23658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Evans</dc:creator>
  <cp:keywords/>
  <dc:description/>
  <cp:lastModifiedBy>Victoria Evans</cp:lastModifiedBy>
  <cp:revision>47</cp:revision>
  <dcterms:created xsi:type="dcterms:W3CDTF">2021-04-08T09:49:00Z</dcterms:created>
  <dcterms:modified xsi:type="dcterms:W3CDTF">2021-04-26T15:35:00Z</dcterms:modified>
</cp:coreProperties>
</file>