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A6ADC5" w14:textId="3A0A5BBB" w:rsidR="000B429E" w:rsidRPr="00190699" w:rsidRDefault="00BA310B" w:rsidP="00190699">
      <w:pPr>
        <w:spacing w:line="480" w:lineRule="auto"/>
        <w:rPr>
          <w:rFonts w:ascii="Arial" w:hAnsi="Arial" w:cs="Arial"/>
        </w:rPr>
      </w:pPr>
      <w:r w:rsidRPr="00190699">
        <w:rPr>
          <w:rFonts w:ascii="Arial" w:hAnsi="Arial" w:cs="Arial"/>
        </w:rPr>
        <w:t>Gwerthusiad beirniadol a nodi’r camau dysgu ac addysgu nesaf gan ganolbwyntio ar astudiaeth achos am ddysgwr unigol neu grŵp o ddysgwyr, wedi’i seilio ar ddigwyddiad critigol a arsylwyd.</w:t>
      </w:r>
    </w:p>
    <w:p w14:paraId="7F35E0D3" w14:textId="77777777" w:rsidR="0046256E" w:rsidRPr="00190699" w:rsidRDefault="0046256E" w:rsidP="00190699">
      <w:pPr>
        <w:spacing w:line="480" w:lineRule="auto"/>
        <w:rPr>
          <w:rFonts w:ascii="Arial" w:hAnsi="Arial" w:cs="Arial"/>
        </w:rPr>
      </w:pPr>
    </w:p>
    <w:p w14:paraId="3DDCE6D4" w14:textId="77777777" w:rsidR="0046256E" w:rsidRPr="00777E98" w:rsidRDefault="00BA310B" w:rsidP="00777E98">
      <w:pPr>
        <w:spacing w:line="480" w:lineRule="auto"/>
        <w:rPr>
          <w:rFonts w:ascii="Arial" w:hAnsi="Arial" w:cs="Arial"/>
          <w:b/>
          <w:bCs/>
          <w:u w:val="single"/>
        </w:rPr>
      </w:pPr>
      <w:r w:rsidRPr="00777E98">
        <w:rPr>
          <w:rFonts w:ascii="Arial" w:hAnsi="Arial" w:cs="Arial"/>
          <w:b/>
          <w:bCs/>
          <w:u w:val="single"/>
        </w:rPr>
        <w:t xml:space="preserve">CYFLWYNIAD </w:t>
      </w:r>
    </w:p>
    <w:p w14:paraId="5A5D78DF" w14:textId="77777777" w:rsidR="0000381A" w:rsidRDefault="0000381A" w:rsidP="0000381A">
      <w:pPr>
        <w:spacing w:line="480" w:lineRule="auto"/>
        <w:rPr>
          <w:rFonts w:ascii="Arial" w:hAnsi="Arial" w:cs="Arial"/>
        </w:rPr>
      </w:pPr>
      <w:r w:rsidRPr="0000381A">
        <w:rPr>
          <w:rFonts w:ascii="Arial" w:hAnsi="Arial" w:cs="Arial"/>
        </w:rPr>
        <w:t xml:space="preserve">Fy mhrif amcan yn y papur hwn yw cyflwyno digwyddiad critigol yr arsylwyd yn ystod profiad Pontio 1. Bwriadaf ysgrifennu werthusiad am y digwyddiad yn seiliedig ar athroniaeth boblogaidd, gan ddefnyddio damcaniaethau enwog yn gefn i’m rhesymeg. Fel y dywed Tripp, </w:t>
      </w:r>
    </w:p>
    <w:p w14:paraId="17E19399" w14:textId="325DFA70" w:rsidR="009A592F" w:rsidRPr="00190699" w:rsidRDefault="006213C6" w:rsidP="00190699">
      <w:pPr>
        <w:spacing w:line="480" w:lineRule="auto"/>
        <w:ind w:left="720"/>
        <w:rPr>
          <w:rFonts w:ascii="Arial" w:hAnsi="Arial" w:cs="Arial"/>
          <w:lang w:val="en-US"/>
        </w:rPr>
      </w:pPr>
      <w:r w:rsidRPr="00190699">
        <w:rPr>
          <w:rFonts w:ascii="Arial" w:hAnsi="Arial" w:cs="Arial"/>
          <w:lang w:val="en-US"/>
        </w:rPr>
        <w:t>‘…teaching routines are essential, but to keep them successful, we must constantly challenge and monitor them. One of the aims of incident analysis is to scientifically and systematically initiate, assist and record the process of developing personally and professionally as a teacher.’</w:t>
      </w:r>
      <w:r w:rsidR="00313CC5" w:rsidRPr="00190699">
        <w:rPr>
          <w:rFonts w:ascii="Arial" w:hAnsi="Arial" w:cs="Arial"/>
          <w:lang w:val="en-US"/>
        </w:rPr>
        <w:t xml:space="preserve"> Tripp, (2011, t.41)</w:t>
      </w:r>
    </w:p>
    <w:p w14:paraId="090AA3A0" w14:textId="77777777" w:rsidR="009269A0" w:rsidRDefault="009269A0" w:rsidP="0071153C">
      <w:pPr>
        <w:spacing w:line="480" w:lineRule="auto"/>
        <w:rPr>
          <w:rFonts w:ascii="Arial" w:hAnsi="Arial" w:cs="Arial"/>
        </w:rPr>
      </w:pPr>
      <w:r w:rsidRPr="009269A0">
        <w:rPr>
          <w:rFonts w:ascii="Arial" w:hAnsi="Arial" w:cs="Arial"/>
        </w:rPr>
        <w:t>Felly, pwrpas gwerthuso digwyddiadau critigol yw gwella perfformiad yr athro. Ond nid yn unig i ddangos datblygiad yn eu perfformiad hwy, ond yn natblygiad y dysgwr yn ogystal. Heb os, mae’n strategaeth effeithiol er mwyn adfyfyrio yn y maes. Mae’n gyfle i gyfiawnhau’r ymarferion pedagogaidd, ac yn arbennig ar gyfer rhannu canfyddiadau gyda chyd-ddarpar athrawon. Trwy wneud hyn, mae’n gyfle i athrawon gydweithio ar syniadau a strategaethau dysgu effeithiol</w:t>
      </w:r>
      <w:r>
        <w:rPr>
          <w:rFonts w:ascii="Arial" w:hAnsi="Arial" w:cs="Arial"/>
        </w:rPr>
        <w:t>.</w:t>
      </w:r>
    </w:p>
    <w:p w14:paraId="3A65D8F3" w14:textId="5F310C1F" w:rsidR="006E3390" w:rsidRDefault="001C6A0F" w:rsidP="00190699">
      <w:pPr>
        <w:spacing w:line="480" w:lineRule="auto"/>
        <w:rPr>
          <w:rFonts w:ascii="Arial" w:hAnsi="Arial" w:cs="Arial"/>
        </w:rPr>
      </w:pPr>
      <w:r w:rsidRPr="001C6A0F">
        <w:rPr>
          <w:rFonts w:ascii="Arial" w:hAnsi="Arial" w:cs="Arial"/>
        </w:rPr>
        <w:t xml:space="preserve">Dywed Tripp (1993) y dyfernir digwyddiadau critigol gennym ni, yr arsylwr. Os ydyn ni’n barnu ei fod yn ddigwyddiad sylweddol, ac o ganlyniad yn drobwynt yn y dysgu, felly mae’n ddilys i’w galw’n ddigwyddiadau critigol. Yn yr un ffordd, atgyfnertha Angelides (2001) nad yw digwyddiadau critigol o reidrwydd yn ddigwyddiadau syfrdanol, ond gellir bod yn rhai bychain, ond eto, arwyddocaol. Dywed, ‘Their classification as critical incidents is based on the significance and the meaning that the teachers attribute to them.’ (Angelides, 2001). Bydd y gwerthuso yn paratoi ar gyfer ymarfer personol, a gellir defnyddio’r technegau a </w:t>
      </w:r>
      <w:r w:rsidRPr="001C6A0F">
        <w:rPr>
          <w:rFonts w:ascii="Arial" w:hAnsi="Arial" w:cs="Arial"/>
        </w:rPr>
        <w:lastRenderedPageBreak/>
        <w:t xml:space="preserve">ganfuwyd mewn lleoliadau proffesiynol yn y dyfodol. Wrth wneud yr ymchwil, ystyriwyd cyfyngiadau Cofid-19, a chydnabyddir y posibilrwydd o heriau’n codi wrth geisio cwblhau’r ymchwil. </w:t>
      </w:r>
    </w:p>
    <w:p w14:paraId="77AAF925" w14:textId="77777777" w:rsidR="001C6A0F" w:rsidRPr="00190699" w:rsidRDefault="001C6A0F" w:rsidP="00190699">
      <w:pPr>
        <w:spacing w:line="480" w:lineRule="auto"/>
        <w:rPr>
          <w:rFonts w:ascii="Arial" w:hAnsi="Arial" w:cs="Arial"/>
        </w:rPr>
      </w:pPr>
    </w:p>
    <w:p w14:paraId="1F67E1B9" w14:textId="341D76D7" w:rsidR="00777E98" w:rsidRPr="00777E98" w:rsidRDefault="00777E98" w:rsidP="003404AF">
      <w:pPr>
        <w:spacing w:line="480" w:lineRule="auto"/>
        <w:rPr>
          <w:rFonts w:ascii="Arial" w:hAnsi="Arial" w:cs="Arial"/>
          <w:b/>
          <w:bCs/>
          <w:u w:val="single"/>
        </w:rPr>
      </w:pPr>
      <w:r w:rsidRPr="00777E98">
        <w:rPr>
          <w:rFonts w:ascii="Arial" w:hAnsi="Arial" w:cs="Arial"/>
          <w:b/>
          <w:bCs/>
          <w:u w:val="single"/>
        </w:rPr>
        <w:t>R</w:t>
      </w:r>
      <w:r>
        <w:rPr>
          <w:rFonts w:ascii="Arial" w:hAnsi="Arial" w:cs="Arial"/>
          <w:b/>
          <w:bCs/>
          <w:u w:val="single"/>
        </w:rPr>
        <w:t>Ô</w:t>
      </w:r>
      <w:r w:rsidRPr="00777E98">
        <w:rPr>
          <w:rFonts w:ascii="Arial" w:hAnsi="Arial" w:cs="Arial"/>
          <w:b/>
          <w:bCs/>
          <w:u w:val="single"/>
        </w:rPr>
        <w:t>L ADFYFYRIOL BEIRNIADOL</w:t>
      </w:r>
    </w:p>
    <w:p w14:paraId="3A06AAFE" w14:textId="77777777" w:rsidR="00294347" w:rsidRPr="00294347" w:rsidRDefault="001103FB" w:rsidP="00294347">
      <w:pPr>
        <w:spacing w:line="480" w:lineRule="auto"/>
        <w:rPr>
          <w:rFonts w:ascii="Arial" w:hAnsi="Arial" w:cs="Arial"/>
        </w:rPr>
      </w:pPr>
      <w:r w:rsidRPr="001103FB">
        <w:rPr>
          <w:rFonts w:ascii="Arial" w:hAnsi="Arial" w:cs="Arial"/>
        </w:rPr>
        <w:t xml:space="preserve">Gan fod y dyfarniad SAC yn gwbl ddibynadwy ar dystiolaeth Safonau Dysgu a ddyfarnwyd gan y PDPA, teimlwyd ei fod yn angenrheidiol i chwilio amdanynt yn nysg yr athro. Er i nifer o rinweddau cryf ddod i’r amlwg, y rhai mwyaf blaenllaw oedd gwerthuso, a ddaw o dan addysgeg mireinio, gyda’r athro’n arddangos sgiliau tu hwnt i ddisgwyliadau, gydag ‘ehangder a dyfnder gwybodaeth am ddisgwyliadau uchel ac arferion effeithiol i ddiwallu anghenion yr holl ddysgwyr, waeth beth fo’u gwahanol anghenion’. Un arall, a ddaw o dan arweinyddiaeth oedd, ‘arfer cyfrifoldeb corfforaethol, gyda’r athro’n hyderus yn ei ymwybyddiaeth a’i ddealltwriaeth o’i gyfrifoldebau contractiol, bugeiliol, iechyd a diogelwch, cyfreithiol a phroffesiynol. </w:t>
      </w:r>
      <w:r w:rsidR="00294347" w:rsidRPr="00294347">
        <w:rPr>
          <w:rFonts w:ascii="Arial" w:hAnsi="Arial" w:cs="Arial"/>
        </w:rPr>
        <w:t>Y drydedd safon amlwg oedd o’r addysgeg arloesi, gyda’r ‘athro yn modelu stoc eang o dechnegau dysgu, wrth i arbenigedd ffynnu, er mwyn helpu a chyfoethogi datblygiad eraill’.</w:t>
      </w:r>
    </w:p>
    <w:p w14:paraId="73F463BD" w14:textId="77777777" w:rsidR="006021B5" w:rsidRPr="006021B5" w:rsidRDefault="00294347" w:rsidP="006021B5">
      <w:pPr>
        <w:spacing w:line="480" w:lineRule="auto"/>
        <w:rPr>
          <w:rFonts w:ascii="Arial" w:hAnsi="Arial" w:cs="Arial"/>
        </w:rPr>
      </w:pPr>
      <w:r w:rsidRPr="00294347">
        <w:rPr>
          <w:rFonts w:ascii="Arial" w:hAnsi="Arial" w:cs="Arial"/>
        </w:rPr>
        <w:t xml:space="preserve">Drwy edrych am y safonau SAC, roedd yn bosib adfyfyrio ar addysgu’r athro. Mae adfyfyrio yn nodwedd allweddol mewn addysg. Fel hyn, medra’r athro edrych yn ôl ar ei berfformiad a gweld beth fyddai’n bosib gwella erbyn y wers nesaf. Gellid adfyfyrio ar bob agwedd o wers, fel y sonia Myers (2012): Beth a ddysgwyd? Sut y dysgwyd ef? A oedd y wers yn un llwyddiannus? Pa strategaethau dysgu oedd yn llwyddiannus neu’n aflwyddiannus? Beth fedr cael ei addasu er mwyn gwella perfformiad y tro nesaf? Mae’n holl bwysig gwneud hyn er mwyn datgelu unrhyw broblemau a geir yn y gwersi. Pwysleisiwyd y pwysigrwydd o ymarfer adfyfyrio fel crefft, er mwyn gwella perfformiad. Fel hyn, bydd yr athro mor gyfarwydd ag ef fel ei fod yn medru ei wneud yn ystod gwers, ac addasu’r wers wrth iddi fynd yn ei blaen, gan sicrhau effeithlonrwydd y ddysg. </w:t>
      </w:r>
      <w:r w:rsidR="006021B5" w:rsidRPr="006021B5">
        <w:rPr>
          <w:rFonts w:ascii="Arial" w:hAnsi="Arial" w:cs="Arial"/>
        </w:rPr>
        <w:t xml:space="preserve">Gall hyn hefyd arddangos mwy o </w:t>
      </w:r>
      <w:r w:rsidR="006021B5" w:rsidRPr="006021B5">
        <w:rPr>
          <w:rFonts w:ascii="Arial" w:hAnsi="Arial" w:cs="Arial"/>
        </w:rPr>
        <w:lastRenderedPageBreak/>
        <w:t xml:space="preserve">feistrolaeth o ran yr athro, am ei fod yn medru addasu’r wers, a chamu oddi wrth gynllun y wers pan fo angen, gan sicrhau rheolaeth ymhob agwedd o’r sesiwn ddysgu. </w:t>
      </w:r>
    </w:p>
    <w:p w14:paraId="01A33F3A" w14:textId="77777777" w:rsidR="006021B5" w:rsidRPr="006021B5" w:rsidRDefault="006021B5" w:rsidP="006021B5">
      <w:pPr>
        <w:spacing w:line="480" w:lineRule="auto"/>
        <w:rPr>
          <w:rFonts w:ascii="Arial" w:hAnsi="Arial" w:cs="Arial"/>
        </w:rPr>
      </w:pPr>
      <w:r w:rsidRPr="006021B5">
        <w:rPr>
          <w:rFonts w:ascii="Arial" w:hAnsi="Arial" w:cs="Arial"/>
        </w:rPr>
        <w:t xml:space="preserve">Penderfynwyd defnyddio model arfer adfyfyriol Brookfield (1998 &amp; 2005) wrth adfyfyrio yn y papur hwn (gweler Atodiad 2). Cyniga’r model pedwar lens y gall athrawon eu defnyddio mewn proses adfyfyrio beirniadol: </w:t>
      </w:r>
    </w:p>
    <w:p w14:paraId="6EBD4765" w14:textId="77777777" w:rsidR="006021B5" w:rsidRPr="006021B5" w:rsidRDefault="006021B5" w:rsidP="006021B5">
      <w:pPr>
        <w:spacing w:line="480" w:lineRule="auto"/>
        <w:rPr>
          <w:rFonts w:ascii="Arial" w:hAnsi="Arial" w:cs="Arial"/>
        </w:rPr>
      </w:pPr>
      <w:r w:rsidRPr="006021B5">
        <w:rPr>
          <w:rFonts w:ascii="Arial" w:hAnsi="Arial" w:cs="Arial"/>
        </w:rPr>
        <w:t>1) yr hunangofiannol: Dywed Myers (2012) bod adfyfyrio yn ganolog yng ngwaith athro, a dylid bod yn ymrwymedig i wneud hyn er mwyn gallu gwneud beirniadaeth broffesiynol o’ch addysgu.</w:t>
      </w:r>
    </w:p>
    <w:p w14:paraId="6E68D7CA" w14:textId="77777777" w:rsidR="006021B5" w:rsidRPr="006021B5" w:rsidRDefault="006021B5" w:rsidP="006021B5">
      <w:pPr>
        <w:spacing w:line="480" w:lineRule="auto"/>
        <w:rPr>
          <w:rFonts w:ascii="Arial" w:hAnsi="Arial" w:cs="Arial"/>
        </w:rPr>
      </w:pPr>
      <w:r w:rsidRPr="006021B5">
        <w:rPr>
          <w:rFonts w:ascii="Arial" w:hAnsi="Arial" w:cs="Arial"/>
        </w:rPr>
        <w:t>2) drwy lygad y myfyriwr: Sonia Thompson a Wolstencroft (2018) bod adfyfyrio ar berfformiad yn gymorth i ddysgu o brofiad, sydd yn galluogi unigolyn i ddatblygu.</w:t>
      </w:r>
    </w:p>
    <w:p w14:paraId="5141F04A" w14:textId="77777777" w:rsidR="006021B5" w:rsidRDefault="006021B5" w:rsidP="006021B5">
      <w:pPr>
        <w:spacing w:line="480" w:lineRule="auto"/>
        <w:rPr>
          <w:rFonts w:ascii="Arial" w:hAnsi="Arial" w:cs="Arial"/>
        </w:rPr>
      </w:pPr>
      <w:r w:rsidRPr="006021B5">
        <w:rPr>
          <w:rFonts w:ascii="Arial" w:hAnsi="Arial" w:cs="Arial"/>
        </w:rPr>
        <w:t>3) profiadau cydweithwyr: Atgyfnerthwyd gan Ghaye a Ghaye (1998) bod rhannu sgyrsiau adfyfyriol yn galluogi athrawon i rannu profiadau a gwerthuso’n fanylach.</w:t>
      </w:r>
    </w:p>
    <w:p w14:paraId="4E75C48B" w14:textId="0C15C747" w:rsidR="00036C94" w:rsidRDefault="006021B5" w:rsidP="00190699">
      <w:pPr>
        <w:spacing w:line="480" w:lineRule="auto"/>
        <w:rPr>
          <w:rFonts w:ascii="Arial" w:hAnsi="Arial" w:cs="Arial"/>
        </w:rPr>
      </w:pPr>
      <w:r w:rsidRPr="006021B5">
        <w:rPr>
          <w:rFonts w:ascii="Arial" w:hAnsi="Arial" w:cs="Arial"/>
        </w:rPr>
        <w:t>4) llenyddiaeth ddamcaniaethol: Mae rheswm dros bob techneg dysgu gan athrawon, a ddaw o ddamcaniaethau gan athronwyr a gwyddonwyr, a soniwyd am rai ohonynt yn y papur. Seiliwyd y Cwricwlwm i Gymru (2020) ar ddamcaniaeth Donaldson (2015), am fod ei theorïau wedi’u cefnu gan ddata dilys.</w:t>
      </w:r>
    </w:p>
    <w:p w14:paraId="3A8AB573" w14:textId="77777777" w:rsidR="006021B5" w:rsidRPr="00FF1940" w:rsidRDefault="006021B5" w:rsidP="00190699">
      <w:pPr>
        <w:spacing w:line="480" w:lineRule="auto"/>
        <w:rPr>
          <w:rFonts w:ascii="Arial" w:hAnsi="Arial" w:cs="Arial"/>
        </w:rPr>
      </w:pPr>
    </w:p>
    <w:p w14:paraId="2DF8F779" w14:textId="32F46EEE" w:rsidR="009A592F" w:rsidRPr="00036C94" w:rsidRDefault="00BA310B" w:rsidP="00036C94">
      <w:pPr>
        <w:spacing w:line="480" w:lineRule="auto"/>
        <w:rPr>
          <w:rFonts w:ascii="Arial" w:hAnsi="Arial" w:cs="Arial"/>
          <w:b/>
          <w:bCs/>
          <w:u w:val="single"/>
        </w:rPr>
      </w:pPr>
      <w:r w:rsidRPr="00036C94">
        <w:rPr>
          <w:rFonts w:ascii="Arial" w:hAnsi="Arial" w:cs="Arial"/>
          <w:b/>
          <w:bCs/>
          <w:u w:val="single"/>
        </w:rPr>
        <w:t xml:space="preserve">ARSYLWI </w:t>
      </w:r>
    </w:p>
    <w:p w14:paraId="65456096" w14:textId="7BB3A742" w:rsidR="000F6F16" w:rsidRPr="000F6F16" w:rsidRDefault="000F6F16" w:rsidP="000F6F16">
      <w:pPr>
        <w:spacing w:line="480" w:lineRule="auto"/>
        <w:rPr>
          <w:rFonts w:ascii="Arial" w:hAnsi="Arial" w:cs="Arial"/>
        </w:rPr>
      </w:pPr>
      <w:r w:rsidRPr="000F6F16">
        <w:rPr>
          <w:rFonts w:ascii="Arial" w:hAnsi="Arial" w:cs="Arial"/>
        </w:rPr>
        <w:t xml:space="preserve">Wrth arsylwi, cedwir mewn cof neges hollbwysig BERA (2018) am bwysigrwydd parchu’r staff a’r disgyblion oll, gan ddangos urddas drwy gydol unrhyw astudiaeth. Fel hyn, byddai modd sicrhau ymchwiliad proffesiynol a moesegol. Felly, ni nodir unrhyw enw cyfreithlon cywir drwy gydol y papur, ond yn hytrach, defnyddir ffugenw, (teimlir bod y defnydd o lythrennau neu rifau yn tanseilio gwerth unigolyn), a gwnaed hyn er mwyn cadw anhysbysrwydd llwyr. </w:t>
      </w:r>
      <w:r w:rsidR="00D738DA">
        <w:rPr>
          <w:rFonts w:ascii="Arial" w:hAnsi="Arial" w:cs="Arial"/>
        </w:rPr>
        <w:t>Aled fydd enw’r disgybl</w:t>
      </w:r>
      <w:r w:rsidR="00370ED9">
        <w:rPr>
          <w:rFonts w:ascii="Arial" w:hAnsi="Arial" w:cs="Arial"/>
        </w:rPr>
        <w:t xml:space="preserve"> ar gyfer yr astudiaeth. </w:t>
      </w:r>
      <w:r w:rsidRPr="000F6F16">
        <w:rPr>
          <w:rFonts w:ascii="Arial" w:hAnsi="Arial" w:cs="Arial"/>
        </w:rPr>
        <w:t>Defnyddiwyd dull arsylwi anghyfranogol wrth gwblhau’r ymchwiliad hwn.</w:t>
      </w:r>
    </w:p>
    <w:p w14:paraId="48CE3F5D" w14:textId="77777777" w:rsidR="000F6F16" w:rsidRDefault="000F6F16" w:rsidP="000F6F16">
      <w:pPr>
        <w:spacing w:line="480" w:lineRule="auto"/>
        <w:rPr>
          <w:rFonts w:ascii="Arial" w:hAnsi="Arial" w:cs="Arial"/>
        </w:rPr>
      </w:pPr>
      <w:r w:rsidRPr="000F6F16">
        <w:rPr>
          <w:rFonts w:ascii="Arial" w:hAnsi="Arial" w:cs="Arial"/>
        </w:rPr>
        <w:lastRenderedPageBreak/>
        <w:t xml:space="preserve">Ysgol Uwchradd cyfrwng Cymraeg oedd hi, gyda bron i fil o ddisgyblion. Er mai Cymraeg oedd iaith yr ysgol, llawer o Saesneg a glywyd ar y coriodaru ac ar yr iard, ond serch hynny, roedd y Gymraeg a sylwyd yn y dosbarth o safon uchel tu hwnt. Arsylwyd gwersi blynyddoedd 7 i 11, gydag thua 30 ym mhob un. Roedd yna gydbwysedd yn y nifer o fechgyn a merched, ac roedd mwy na hanner yn dod o gartrefi Cymraeg. Arsylwyd dosbarthiadau o allu cymysg gyda blwyddyn 7, a rannwyd y blynyddoedd dysgu eraill mewn i grwpiau set. </w:t>
      </w:r>
    </w:p>
    <w:p w14:paraId="533B4777" w14:textId="3A7F06B6" w:rsidR="009A592F" w:rsidRDefault="00C25D34" w:rsidP="00190699">
      <w:pPr>
        <w:spacing w:line="480" w:lineRule="auto"/>
        <w:rPr>
          <w:rFonts w:ascii="Arial" w:hAnsi="Arial" w:cs="Arial"/>
        </w:rPr>
      </w:pPr>
      <w:r w:rsidRPr="00C25D34">
        <w:rPr>
          <w:rFonts w:ascii="Arial" w:hAnsi="Arial" w:cs="Arial"/>
        </w:rPr>
        <w:t>Mae datblygu’r unigolyn yn gyflawn yn hollbwysig i’r ysgol, wrth iddo ddatgan yn y prosbectws cyfredol, ‘Cynigir yr un cyfle cyfartal i bob disgybl ddatblygu hyd eithaf ei allu yn academaidd, yn gymdeithasol, yn ddiwylliannol, yn feddyliol ac yn gorfforol.' (2021)</w:t>
      </w:r>
    </w:p>
    <w:p w14:paraId="363154ED" w14:textId="77777777" w:rsidR="00C25D34" w:rsidRPr="00190699" w:rsidRDefault="00C25D34" w:rsidP="00190699">
      <w:pPr>
        <w:spacing w:line="480" w:lineRule="auto"/>
        <w:rPr>
          <w:rFonts w:ascii="Arial" w:hAnsi="Arial" w:cs="Arial"/>
          <w:highlight w:val="lightGray"/>
        </w:rPr>
      </w:pPr>
    </w:p>
    <w:p w14:paraId="1883DD75" w14:textId="46EC16AC" w:rsidR="009A592F" w:rsidRPr="00B562CA" w:rsidRDefault="00777E98" w:rsidP="00190699">
      <w:pPr>
        <w:spacing w:line="480" w:lineRule="auto"/>
        <w:rPr>
          <w:rFonts w:ascii="Arial" w:hAnsi="Arial" w:cs="Arial"/>
          <w:b/>
          <w:bCs/>
          <w:u w:val="single"/>
        </w:rPr>
      </w:pPr>
      <w:r w:rsidRPr="00B562CA">
        <w:rPr>
          <w:rFonts w:ascii="Arial" w:hAnsi="Arial" w:cs="Arial"/>
          <w:b/>
          <w:bCs/>
          <w:u w:val="single"/>
        </w:rPr>
        <w:t xml:space="preserve">DIGWYDDIAD CRITIGOL YN GYSYLLDIEDIG </w:t>
      </w:r>
      <w:r w:rsidR="00B562CA" w:rsidRPr="00B562CA">
        <w:rPr>
          <w:rFonts w:ascii="Arial" w:hAnsi="Arial" w:cs="Arial"/>
          <w:b/>
          <w:bCs/>
          <w:u w:val="single"/>
        </w:rPr>
        <w:t xml:space="preserve">Â’R PEDWAR DIBEN </w:t>
      </w:r>
    </w:p>
    <w:p w14:paraId="2558BA4D" w14:textId="70750EF9" w:rsidR="00D529A4" w:rsidRPr="00190699" w:rsidRDefault="005B6552" w:rsidP="00190699">
      <w:pPr>
        <w:spacing w:line="480" w:lineRule="auto"/>
        <w:rPr>
          <w:rFonts w:ascii="Arial" w:hAnsi="Arial" w:cs="Arial"/>
          <w:highlight w:val="lightGray"/>
        </w:rPr>
      </w:pPr>
      <w:r w:rsidRPr="00190699">
        <w:rPr>
          <w:rFonts w:ascii="Arial" w:hAnsi="Arial" w:cs="Arial"/>
        </w:rPr>
        <w:t xml:space="preserve">Er nad oedd yr adran wedi cymryd camau tuag at drawsnewid i’r cwricwlwm newydd eto, nid oedd yn bryder am fod themâu’r gwersi yn addas ar gyfer y gofynion newydd beth bynnag. </w:t>
      </w:r>
      <w:r w:rsidR="00647C02" w:rsidRPr="00190699">
        <w:rPr>
          <w:rFonts w:ascii="Arial" w:hAnsi="Arial" w:cs="Arial"/>
        </w:rPr>
        <w:t>Gan fod y Cwricwlwm i Gymru</w:t>
      </w:r>
      <w:r w:rsidR="00D529A4" w:rsidRPr="00190699">
        <w:rPr>
          <w:rFonts w:ascii="Arial" w:hAnsi="Arial" w:cs="Arial"/>
        </w:rPr>
        <w:t xml:space="preserve"> wedi’i se</w:t>
      </w:r>
      <w:r w:rsidR="00210DA2" w:rsidRPr="00190699">
        <w:rPr>
          <w:rFonts w:ascii="Arial" w:hAnsi="Arial" w:cs="Arial"/>
        </w:rPr>
        <w:t>i</w:t>
      </w:r>
      <w:r w:rsidR="00D529A4" w:rsidRPr="00190699">
        <w:rPr>
          <w:rFonts w:ascii="Arial" w:hAnsi="Arial" w:cs="Arial"/>
        </w:rPr>
        <w:t>lio ar adolygiad Donaldson (2015), cyflwynwyd 4 diben i sicrhau fod plant yn barod am y dyfodol, gan greu:</w:t>
      </w:r>
    </w:p>
    <w:p w14:paraId="6FA86D33" w14:textId="7C17E263" w:rsidR="00040103" w:rsidRPr="00190699" w:rsidRDefault="00040103" w:rsidP="00190699">
      <w:pPr>
        <w:spacing w:line="480" w:lineRule="auto"/>
        <w:rPr>
          <w:rFonts w:ascii="Arial" w:hAnsi="Arial" w:cs="Arial"/>
        </w:rPr>
      </w:pPr>
      <w:r w:rsidRPr="00190699">
        <w:rPr>
          <w:rFonts w:ascii="Arial" w:hAnsi="Arial" w:cs="Arial"/>
        </w:rPr>
        <w:t>› dysgwyr uchelgeisiol, galluog sy’n barod i ddysgu drwy gydol eu hoes</w:t>
      </w:r>
    </w:p>
    <w:p w14:paraId="3F0EB8BB" w14:textId="1BD54120" w:rsidR="00040103" w:rsidRPr="00190699" w:rsidRDefault="00040103" w:rsidP="00190699">
      <w:pPr>
        <w:spacing w:line="480" w:lineRule="auto"/>
        <w:rPr>
          <w:rFonts w:ascii="Arial" w:hAnsi="Arial" w:cs="Arial"/>
        </w:rPr>
      </w:pPr>
      <w:r w:rsidRPr="00190699">
        <w:rPr>
          <w:rFonts w:ascii="Arial" w:hAnsi="Arial" w:cs="Arial"/>
        </w:rPr>
        <w:t xml:space="preserve">› </w:t>
      </w:r>
      <w:r w:rsidR="00D529A4" w:rsidRPr="00190699">
        <w:rPr>
          <w:rFonts w:ascii="Arial" w:hAnsi="Arial" w:cs="Arial"/>
        </w:rPr>
        <w:t>c</w:t>
      </w:r>
      <w:r w:rsidRPr="00190699">
        <w:rPr>
          <w:rFonts w:ascii="Arial" w:hAnsi="Arial" w:cs="Arial"/>
        </w:rPr>
        <w:t>yfranwyr mentrus, creadigol sy’n barod i chwarae eu rhan yn llawn yn eu bywyd a’u</w:t>
      </w:r>
      <w:r w:rsidR="00D529A4" w:rsidRPr="00190699">
        <w:rPr>
          <w:rFonts w:ascii="Arial" w:hAnsi="Arial" w:cs="Arial"/>
        </w:rPr>
        <w:t xml:space="preserve"> </w:t>
      </w:r>
      <w:r w:rsidRPr="00190699">
        <w:rPr>
          <w:rFonts w:ascii="Arial" w:hAnsi="Arial" w:cs="Arial"/>
        </w:rPr>
        <w:t>gwaith</w:t>
      </w:r>
    </w:p>
    <w:p w14:paraId="2F14602D" w14:textId="179F87A5" w:rsidR="00040103" w:rsidRPr="00190699" w:rsidRDefault="00040103" w:rsidP="00190699">
      <w:pPr>
        <w:spacing w:line="480" w:lineRule="auto"/>
        <w:rPr>
          <w:rFonts w:ascii="Arial" w:hAnsi="Arial" w:cs="Arial"/>
        </w:rPr>
      </w:pPr>
      <w:r w:rsidRPr="00190699">
        <w:rPr>
          <w:rFonts w:ascii="Arial" w:hAnsi="Arial" w:cs="Arial"/>
        </w:rPr>
        <w:t>› dinasyddion egwyddorol, gwybodus yng Nghymru a’r byd</w:t>
      </w:r>
    </w:p>
    <w:p w14:paraId="10D08604" w14:textId="58532DD5" w:rsidR="00040103" w:rsidRPr="00190699" w:rsidRDefault="00040103" w:rsidP="00190699">
      <w:pPr>
        <w:spacing w:line="480" w:lineRule="auto"/>
        <w:rPr>
          <w:rFonts w:ascii="Arial" w:hAnsi="Arial" w:cs="Arial"/>
        </w:rPr>
      </w:pPr>
      <w:r w:rsidRPr="00190699">
        <w:rPr>
          <w:rFonts w:ascii="Arial" w:hAnsi="Arial" w:cs="Arial"/>
        </w:rPr>
        <w:t>› unigolion iach, hyderus sy’n barod i fyw bywyd gan wireddu eu dyheadau fel aelodau</w:t>
      </w:r>
      <w:r w:rsidR="00D529A4" w:rsidRPr="00190699">
        <w:rPr>
          <w:rFonts w:ascii="Arial" w:hAnsi="Arial" w:cs="Arial"/>
        </w:rPr>
        <w:t xml:space="preserve"> </w:t>
      </w:r>
      <w:r w:rsidRPr="00190699">
        <w:rPr>
          <w:rFonts w:ascii="Arial" w:hAnsi="Arial" w:cs="Arial"/>
        </w:rPr>
        <w:t>gwerthfawr o gymdeithas.”</w:t>
      </w:r>
    </w:p>
    <w:p w14:paraId="10FB1E42" w14:textId="6312C8B9" w:rsidR="00AD2F96" w:rsidRPr="00190699" w:rsidRDefault="00040103" w:rsidP="00190699">
      <w:pPr>
        <w:spacing w:line="480" w:lineRule="auto"/>
        <w:rPr>
          <w:rFonts w:ascii="Arial" w:hAnsi="Arial" w:cs="Arial"/>
        </w:rPr>
      </w:pPr>
      <w:r w:rsidRPr="00190699">
        <w:rPr>
          <w:rFonts w:ascii="Arial" w:hAnsi="Arial" w:cs="Arial"/>
        </w:rPr>
        <w:t>(Donaldson, 2015. t25)</w:t>
      </w:r>
    </w:p>
    <w:p w14:paraId="44E21466" w14:textId="77777777" w:rsidR="000E7F46" w:rsidRPr="000E7F46" w:rsidRDefault="000E7F46" w:rsidP="000E7F46">
      <w:pPr>
        <w:spacing w:line="480" w:lineRule="auto"/>
        <w:rPr>
          <w:rFonts w:ascii="Arial" w:hAnsi="Arial" w:cs="Arial"/>
        </w:rPr>
      </w:pPr>
      <w:r w:rsidRPr="000E7F46">
        <w:rPr>
          <w:rFonts w:ascii="Arial" w:hAnsi="Arial" w:cs="Arial"/>
        </w:rPr>
        <w:t xml:space="preserve">Gyda’r pedwar diben yn ganolog i addysg, penderfynwyd chwilio am y datblygiadau yma yn nigwyddiadau critigol dros y cyfnod pontio. Er gwaethaf yr enw ‘digwyddiad critigol’, fel y </w:t>
      </w:r>
      <w:r w:rsidRPr="000E7F46">
        <w:rPr>
          <w:rFonts w:ascii="Arial" w:hAnsi="Arial" w:cs="Arial"/>
        </w:rPr>
        <w:lastRenderedPageBreak/>
        <w:t>sonia Bell a Water, nid yw’n rhaid iddo fod yn ddigwyddiad dramatig neu syfrdanol, dim ond ei fod yn arwyddocaol. (Bell &amp; Waters 2018)</w:t>
      </w:r>
    </w:p>
    <w:p w14:paraId="32D6FEE7" w14:textId="77777777" w:rsidR="000E7F46" w:rsidRDefault="000E7F46" w:rsidP="000E7F46">
      <w:pPr>
        <w:spacing w:line="480" w:lineRule="auto"/>
        <w:rPr>
          <w:rFonts w:ascii="Arial" w:hAnsi="Arial" w:cs="Arial"/>
        </w:rPr>
      </w:pPr>
      <w:r w:rsidRPr="000E7F46">
        <w:rPr>
          <w:rFonts w:ascii="Arial" w:hAnsi="Arial" w:cs="Arial"/>
        </w:rPr>
        <w:t>Gwelwyd yng ngwers gyntaf y bore gyda dosbarth o flwyddyn 7, dysgwr, a elwir yn Aled yn y papur hwn, yn cael trwbl yn deall gofynion y dasg ofynnol. Gyda’i ben yn ei ddwylo, yn ysgwyd ei ben wrth i’r athro esbonio’r dasg, roedd yn amlwg ar goll. Anwybyddwyd hyn gan yr athro, a pharhaodd i esbonio’r dasg i weddill y dosbarth, a oedd yn deall. Parhad o’r wers flaenorol ydoedd, a defnyddiwyd ailadrodd yn gyson, gyda’r disgyblion yn gorffen brawddegau’r athro.</w:t>
      </w:r>
    </w:p>
    <w:p w14:paraId="62D78FAA" w14:textId="77777777" w:rsidR="00CB4368" w:rsidRPr="00CB4368" w:rsidRDefault="00CB4368" w:rsidP="00CB4368">
      <w:pPr>
        <w:spacing w:line="480" w:lineRule="auto"/>
        <w:rPr>
          <w:rFonts w:ascii="Arial" w:hAnsi="Arial" w:cs="Arial"/>
        </w:rPr>
      </w:pPr>
      <w:r w:rsidRPr="00CB4368">
        <w:rPr>
          <w:rFonts w:ascii="Arial" w:hAnsi="Arial" w:cs="Arial"/>
        </w:rPr>
        <w:t xml:space="preserve">Ar ôl gofyn i’r dosbarth parhau a’u gwaith, plygodd i lawr ger Aled, ac esbonio’r dasg iddo’n bersonol. Cynigiwyd tasg wahanol iddo, mwy cyraeddadwy, a chyn pen dim, rhoddodd ben at bapur a pharhaodd gyda’r dasg. Ar ôl i’r wers orffen, esboniwyd bod Aled wedi colli’r wythnos flaenorol o achos Cofid-19, felly nid oedd ganddo’r wybodaeth flaenorol i ddeall y dasg. </w:t>
      </w:r>
    </w:p>
    <w:p w14:paraId="4C6D1092" w14:textId="77777777" w:rsidR="00CB4368" w:rsidRDefault="00CB4368" w:rsidP="00AE45C7">
      <w:pPr>
        <w:spacing w:line="480" w:lineRule="auto"/>
        <w:rPr>
          <w:rFonts w:ascii="Arial" w:hAnsi="Arial" w:cs="Arial"/>
        </w:rPr>
      </w:pPr>
      <w:r w:rsidRPr="00CB4368">
        <w:rPr>
          <w:rFonts w:ascii="Arial" w:hAnsi="Arial" w:cs="Arial"/>
        </w:rPr>
        <w:t xml:space="preserve">Felly, llwyddodd yr athro i gynnig tasgau dealladwy iddo, gan sicrhau ei fod yn cael ei gynnwys yn y wers. Er mwyn peidio ag amharu ar addysg y gweddill, mae’r ffaith yr esboniwyd y dasg iddo’n bersonol yn dangos bod yr athro wedi ystyried anghenion y dosbarth yn ei gyfanrwydd. Gwnaed hyn gan yr athro i sicrhau bod pob un disgybl yn cyrraedd eu potensial, ac yn herio’i hunain. Drwy hyn, mae’n datblygu ‘cyfranwyr mentrus, creadigol sy’n barod i chwarae eu rhan yn llawn yn eu bywyd a’u gwaith’, sydd yn un o’r pedwar diben (Donaldson 2015). </w:t>
      </w:r>
    </w:p>
    <w:p w14:paraId="5960B24E" w14:textId="77777777" w:rsidR="00CB4368" w:rsidRPr="00CB4368" w:rsidRDefault="00CB4368" w:rsidP="00AE45C7">
      <w:pPr>
        <w:spacing w:line="480" w:lineRule="auto"/>
        <w:rPr>
          <w:rFonts w:ascii="Arial" w:hAnsi="Arial" w:cs="Arial"/>
        </w:rPr>
      </w:pPr>
      <w:r w:rsidRPr="00CB4368">
        <w:rPr>
          <w:rFonts w:ascii="Arial" w:hAnsi="Arial" w:cs="Arial"/>
        </w:rPr>
        <w:t xml:space="preserve">Mae sawl maes y gellir ymchwilio iddynt ynghylch y digwyddiad critigol hwn. A oedd gan yr unigolyn anghenion dysgu ychwanegol? A oedd wedi cael brecwast y bore hwnnw? A oedd yn poeni am ei fod wedi colli’r wythnos gynt? A oedd y gwaith yn rhy heriol? A oedd yn darged i unrhyw gamdriniaeth adref neu ar wefannau cymdeithasol? Rhestr faith a all fod yn ffactorau ‘o dan y bonet’ gyda’r unigolyn. Gellir hefyd ddadansoddi ymateb yr athro drwy ei anwybyddu ac atal tynnu sylw ato, yn ogystal â mynd i siarad ag ef yn unigol, heb amlygu ei </w:t>
      </w:r>
      <w:r w:rsidRPr="00CB4368">
        <w:rPr>
          <w:rFonts w:ascii="Arial" w:hAnsi="Arial" w:cs="Arial"/>
        </w:rPr>
        <w:lastRenderedPageBreak/>
        <w:t xml:space="preserve">anghenion. Gellir hefyd ymchwilio mewn i’r digwyddiad o safbwynt Aled- a oedd y llwyth gwaith yn ormod iddo? Pam oedd y dasg yn anghyraeddadwy iddo? Yn ogystal â hyn, gellir ymchwilio’n ddyfnach mewn i’r technegau dysgu, y dulliau ailadrodd ac ateb. </w:t>
      </w:r>
    </w:p>
    <w:p w14:paraId="7703062E" w14:textId="77777777" w:rsidR="00CB4368" w:rsidRDefault="00CB4368" w:rsidP="00190699">
      <w:pPr>
        <w:spacing w:line="480" w:lineRule="auto"/>
        <w:rPr>
          <w:rFonts w:ascii="Arial" w:hAnsi="Arial" w:cs="Arial"/>
          <w:b/>
          <w:bCs/>
          <w:u w:val="single"/>
        </w:rPr>
      </w:pPr>
    </w:p>
    <w:p w14:paraId="68AC8CFB" w14:textId="6DA53C31" w:rsidR="009A592F" w:rsidRPr="00B562CA" w:rsidRDefault="00BA310B" w:rsidP="00190699">
      <w:pPr>
        <w:spacing w:line="480" w:lineRule="auto"/>
        <w:rPr>
          <w:rFonts w:ascii="Arial" w:hAnsi="Arial" w:cs="Arial"/>
          <w:b/>
          <w:bCs/>
          <w:u w:val="single"/>
        </w:rPr>
      </w:pPr>
      <w:r w:rsidRPr="00B562CA">
        <w:rPr>
          <w:rFonts w:ascii="Arial" w:hAnsi="Arial" w:cs="Arial"/>
          <w:b/>
          <w:bCs/>
          <w:u w:val="single"/>
        </w:rPr>
        <w:t xml:space="preserve">ADOLYGIAD LLENYDDIAETH </w:t>
      </w:r>
    </w:p>
    <w:p w14:paraId="6B817E19" w14:textId="77777777" w:rsidR="00A14F54" w:rsidRPr="00A14F54" w:rsidRDefault="00A14F54" w:rsidP="00A14F54">
      <w:pPr>
        <w:spacing w:line="480" w:lineRule="auto"/>
        <w:rPr>
          <w:rFonts w:ascii="Arial" w:hAnsi="Arial" w:cs="Arial"/>
        </w:rPr>
      </w:pPr>
      <w:r w:rsidRPr="00A14F54">
        <w:rPr>
          <w:rFonts w:ascii="Arial" w:hAnsi="Arial" w:cs="Arial"/>
        </w:rPr>
        <w:t>Yn y bennod hon, byddaf yn canolbwyntio ar ddau faes astudiaeth: Llythrennedd emosiynol ac iechyd meddwl a gwyddoniaeth wybyddol ym myd addysg.</w:t>
      </w:r>
    </w:p>
    <w:p w14:paraId="61CF8129" w14:textId="77777777" w:rsidR="00A14F54" w:rsidRPr="00A14F54" w:rsidRDefault="00A14F54" w:rsidP="00A14F54">
      <w:pPr>
        <w:spacing w:line="480" w:lineRule="auto"/>
        <w:rPr>
          <w:rFonts w:ascii="Arial" w:hAnsi="Arial" w:cs="Arial"/>
          <w:b/>
          <w:bCs/>
        </w:rPr>
      </w:pPr>
      <w:r w:rsidRPr="00A14F54">
        <w:rPr>
          <w:rFonts w:ascii="Arial" w:hAnsi="Arial" w:cs="Arial"/>
          <w:b/>
          <w:bCs/>
        </w:rPr>
        <w:t>Llythrennedd Emosiynol ac Iechyd Meddwl</w:t>
      </w:r>
    </w:p>
    <w:p w14:paraId="709AFA4D" w14:textId="77777777" w:rsidR="00A14F54" w:rsidRPr="00A14F54" w:rsidRDefault="00A14F54" w:rsidP="00A14F54">
      <w:pPr>
        <w:spacing w:line="480" w:lineRule="auto"/>
        <w:rPr>
          <w:rFonts w:ascii="Arial" w:hAnsi="Arial" w:cs="Arial"/>
        </w:rPr>
      </w:pPr>
      <w:r w:rsidRPr="00A14F54">
        <w:rPr>
          <w:rFonts w:ascii="Arial" w:hAnsi="Arial" w:cs="Arial"/>
        </w:rPr>
        <w:t>Creda Howard, Burton, Levermore a Barrell (2017) bod gan ysgolion rôl eithriadol o sylweddol er mwyn gwarchod lles ac iechyd meddwl plant, a’i fod yn gyfrifoldeb ysgol gyfan. Fel y gweler ym model Ecolegol Bronfenbrenner (1977) (Atodiad 1), mae’r ysgol yn ddylanwad sylweddol ar y plentyn. Mae pob dim sy’n digwydd yn yr ysgol felly, yn mynd i effeithio ar ddatblygiad emosiynol, yn ogystal â datblygiad addysgiadol y plentyn.</w:t>
      </w:r>
    </w:p>
    <w:p w14:paraId="3277F8BE" w14:textId="77777777" w:rsidR="00A14F54" w:rsidRDefault="00A14F54" w:rsidP="00A14F54">
      <w:pPr>
        <w:spacing w:line="480" w:lineRule="auto"/>
        <w:rPr>
          <w:rFonts w:ascii="Arial" w:hAnsi="Arial" w:cs="Arial"/>
        </w:rPr>
      </w:pPr>
      <w:r w:rsidRPr="00A14F54">
        <w:rPr>
          <w:rFonts w:ascii="Arial" w:hAnsi="Arial" w:cs="Arial"/>
        </w:rPr>
        <w:t>Mae lles ac iechyd meddwl yn cael sylw mawr ym myd addysg, ac mae’n bwysicach nag erioed (Deddf Llesiant Cenedlaethau’r Dyfodol Cymru, 2015). Ceir gwasanaethau sy’n cynnig cymorth i’r dysgwyr sy’n teimlo pwysau meddyliol, er enghraifft CAHMS a SEAL.</w:t>
      </w:r>
    </w:p>
    <w:p w14:paraId="5912089B" w14:textId="77777777" w:rsidR="003E0F41" w:rsidRDefault="003E0F41" w:rsidP="00190699">
      <w:pPr>
        <w:spacing w:line="480" w:lineRule="auto"/>
        <w:rPr>
          <w:rFonts w:ascii="Arial" w:hAnsi="Arial" w:cs="Arial"/>
        </w:rPr>
      </w:pPr>
      <w:r w:rsidRPr="003E0F41">
        <w:rPr>
          <w:rFonts w:ascii="Arial" w:hAnsi="Arial" w:cs="Arial"/>
        </w:rPr>
        <w:t>Mae SEAL (2010) yn hybu sgiliau emosiynol sy’n arwain at ddysgu effeithiol, agwedd bositif, presenoldeb, effeithiolrwydd staff a lles ac iechyd dygwyr o fewn yr ysgol. Serch hynny, dengys arolwg cenedlaethol (Wiglesworth, &amp; Lendrum 2010) nad yw’r gwasanaeth yn un effeithiol o lawer. Cymharwyd chwe ysgol, a dengys y cyfan ganlyniadau gwahanol. Gwelwyd ymateb da i’r cynllun mewn tair ysgol, gyda’r ymateb yn addawol i’r gwellhad y gwelwyd, ond ni chytunwyd hyn gan y tair ysgol arall. Dadleuwyd ganddynt hwy na fu  unrhyw gynnydd wedi’i weld o ganlyniad i’r cynllun.</w:t>
      </w:r>
    </w:p>
    <w:p w14:paraId="245B649A" w14:textId="77777777" w:rsidR="00B6137F" w:rsidRDefault="00B6137F" w:rsidP="00190699">
      <w:pPr>
        <w:spacing w:line="480" w:lineRule="auto"/>
        <w:rPr>
          <w:rFonts w:ascii="Arial" w:hAnsi="Arial" w:cs="Arial"/>
        </w:rPr>
      </w:pPr>
      <w:r w:rsidRPr="00B6137F">
        <w:rPr>
          <w:rFonts w:ascii="Arial" w:hAnsi="Arial" w:cs="Arial"/>
        </w:rPr>
        <w:t xml:space="preserve">Cytuna Lev. Vygotsky (1978) bod yn rhaid i ddisgybl ddeall y gwaith yn drylwyr cyn medru ei ddysgu. Cred Vygotsky bod dysgwr yn dysgu ar ei orau yn y Parth Dysgu Procsimol, sy’n </w:t>
      </w:r>
      <w:r w:rsidRPr="00B6137F">
        <w:rPr>
          <w:rFonts w:ascii="Arial" w:hAnsi="Arial" w:cs="Arial"/>
        </w:rPr>
        <w:lastRenderedPageBreak/>
        <w:t xml:space="preserve">golygu bod y gwaith yn ddigon heriol i ennyn diddordeb, ond eto ddim yn rhy anodd fel ei fod yn digalonni. Dywed ganddo fod y parth dysgu procsimol yn bosib i’w gyrraedd gyda help unigolyn mwy galluog, hynny yw, yr athro. Mae’r disgybl felly yn agosach at fwrw ei darged potensial gyda’r help yma, a dyma, yn ei grediniaeth ef, yw pwrpas athro. Er i ddamcaniaethau Vygotsky fod yn allweddol ym myd addysg, rhaid cofio nad yw ei waith yn 100% dibynadwy oherwydd i’w gyfrolau niferus wedi’u haddasu gan awduron, megis Children’s Mental Development in the Process of Education (1935) (R. Veer 1997). </w:t>
      </w:r>
    </w:p>
    <w:p w14:paraId="38C8ABAE" w14:textId="77777777" w:rsidR="00CC52E6" w:rsidRPr="00CC52E6" w:rsidRDefault="00CC52E6" w:rsidP="00CC52E6">
      <w:pPr>
        <w:spacing w:line="480" w:lineRule="auto"/>
        <w:rPr>
          <w:rFonts w:ascii="Arial" w:hAnsi="Arial" w:cs="Arial"/>
        </w:rPr>
      </w:pPr>
      <w:r w:rsidRPr="00CC52E6">
        <w:rPr>
          <w:rFonts w:ascii="Arial" w:hAnsi="Arial" w:cs="Arial"/>
        </w:rPr>
        <w:t>Rhaid ystyried sefyllfa’r cartref, sydd hefyd o fewn lefel cyntaf model ecolegol Bronfenbrenner. Er na chodwyd unrhyw wybodaeth o’r sefyllfa gartref, sonia Shonkoff nad yw’r ymennydd yn medru gweithredu ar ei orau os nad yw’r unigolyn wedi derbyn magwraeth feithringar. Golyga hyn hefyd bod amrywiaeth yn y ffordd y mae’n cyfathrebu a phrosesu gwybodaeth yn mynd i amrywio (Rose 2016).</w:t>
      </w:r>
    </w:p>
    <w:p w14:paraId="5E9C84D4" w14:textId="77777777" w:rsidR="00CC52E6" w:rsidRDefault="00CC52E6" w:rsidP="00CC52E6">
      <w:pPr>
        <w:spacing w:line="480" w:lineRule="auto"/>
        <w:rPr>
          <w:rFonts w:ascii="Arial" w:hAnsi="Arial" w:cs="Arial"/>
        </w:rPr>
      </w:pPr>
      <w:r w:rsidRPr="00CC52E6">
        <w:rPr>
          <w:rFonts w:ascii="Arial" w:hAnsi="Arial" w:cs="Arial"/>
        </w:rPr>
        <w:t>Llwyddodd yr athro i gynnig tasg gyfeiriol wahanol i’r disgybl er mwyn iddo barhau â’r gwaith. Gwnaeth yr athro'r hyn ar yr unfan, gan weithio’n hyblyg, sy’n rhinwedd bwysig mewn athro. Pwysleisiwyd hyn gan LaBoskey (1993), bod angen i athro gynhyrchu datrysiadau gwahanol wrth law, ar gyfer pob math o broblemau posib. Atgyfnertha Rose (2016) syniadaeth Rushton (2010), bod y gweithredu, ymateb a rhyngweithio rhwng plentyn ac oedolyn yn chwarae rhan anferthol yng nghanlyniad y dysgu, yn ogystal â datblygiad y plentyn.</w:t>
      </w:r>
    </w:p>
    <w:p w14:paraId="1F509603" w14:textId="77777777" w:rsidR="00793F1A" w:rsidRPr="00793F1A" w:rsidRDefault="00793F1A" w:rsidP="00793F1A">
      <w:pPr>
        <w:spacing w:line="480" w:lineRule="auto"/>
        <w:rPr>
          <w:rFonts w:ascii="Arial" w:hAnsi="Arial" w:cs="Arial"/>
        </w:rPr>
      </w:pPr>
    </w:p>
    <w:p w14:paraId="7197A696" w14:textId="77777777" w:rsidR="00793F1A" w:rsidRPr="00793F1A" w:rsidRDefault="00793F1A" w:rsidP="00793F1A">
      <w:pPr>
        <w:spacing w:line="480" w:lineRule="auto"/>
        <w:rPr>
          <w:rFonts w:ascii="Arial" w:hAnsi="Arial" w:cs="Arial"/>
        </w:rPr>
      </w:pPr>
      <w:r w:rsidRPr="00793F1A">
        <w:rPr>
          <w:rFonts w:ascii="Arial" w:hAnsi="Arial" w:cs="Arial"/>
        </w:rPr>
        <w:t>Mae’n bwysig bod gan y naill ddealltwriaeth o’i gilydd er mwyn medru cydweithio’n effeithiol, gan sicrhau llwyddiant i’r ddau. Felly, mae’n bwysig bod gan yr oedolyn lefel o empathi er mwyn medru uniaethu gyda’r plentyn. Mae’r ffaith yr aeth yr athro at y dysgwr yn ddistaw heb dynnu sylw ato yn arwyddocaol. Dengys lefel o empathi drwy wneud hyn, sydd yn ôl Rose (2016), yn elfen hanfodol ar gyfer bod yn athro da.</w:t>
      </w:r>
    </w:p>
    <w:p w14:paraId="01E85807" w14:textId="61DEBCDB" w:rsidR="008901F4" w:rsidRPr="00190699" w:rsidRDefault="00793F1A" w:rsidP="00793F1A">
      <w:pPr>
        <w:spacing w:line="480" w:lineRule="auto"/>
        <w:rPr>
          <w:rFonts w:ascii="Arial" w:hAnsi="Arial" w:cs="Arial"/>
        </w:rPr>
      </w:pPr>
      <w:r w:rsidRPr="00793F1A">
        <w:rPr>
          <w:rFonts w:ascii="Arial" w:hAnsi="Arial" w:cs="Arial"/>
        </w:rPr>
        <w:t xml:space="preserve">Roedd gan Vygotsky’r gred bod sgiliau iaith yn hanfodol ar gyfer datblygiad plentyn, a gan mai gwers Gymraeg oedd hi, penderfynwyd ymchwilio i mewn i’r technegau dysgu. Atega </w:t>
      </w:r>
      <w:r w:rsidRPr="00793F1A">
        <w:rPr>
          <w:rFonts w:ascii="Arial" w:hAnsi="Arial" w:cs="Arial"/>
        </w:rPr>
        <w:lastRenderedPageBreak/>
        <w:t xml:space="preserve">Needham (2019) neges Swella am bwysigrwydd defnyddio technegau arbennig wrth  ddysgu iaith. Saesneg yw’r iaith dan sylw ganddynt, ond yr un patrymau fyddai’n briodol ar gyfer y Gymraeg. Gan mai gwers iaith ydoedd, y gred yw y dylai strwythurau brawddegau ac esiamplau ffurfiol, effeithiol cael eu datgan i’r dysgwyr fel eu bod yn medru eu hefelychu a’u mewnoli ar gyfer y dyfodol. </w:t>
      </w:r>
      <w:r w:rsidR="007B21C8" w:rsidRPr="00190699">
        <w:rPr>
          <w:rFonts w:ascii="Arial" w:hAnsi="Arial" w:cs="Arial"/>
        </w:rPr>
        <w:t xml:space="preserve">Serch hyn, dywed </w:t>
      </w:r>
      <w:r w:rsidR="008E46F4" w:rsidRPr="00190699">
        <w:rPr>
          <w:rFonts w:ascii="Arial" w:hAnsi="Arial" w:cs="Arial"/>
        </w:rPr>
        <w:t>Johnson</w:t>
      </w:r>
      <w:r w:rsidR="007B21C8" w:rsidRPr="00190699">
        <w:rPr>
          <w:rFonts w:ascii="Arial" w:hAnsi="Arial" w:cs="Arial"/>
        </w:rPr>
        <w:t xml:space="preserve"> (</w:t>
      </w:r>
      <w:r w:rsidR="00A4102B">
        <w:rPr>
          <w:rFonts w:ascii="Arial" w:hAnsi="Arial" w:cs="Arial"/>
        </w:rPr>
        <w:t>1</w:t>
      </w:r>
      <w:r w:rsidR="007B21C8" w:rsidRPr="00190699">
        <w:rPr>
          <w:rFonts w:ascii="Arial" w:hAnsi="Arial" w:cs="Arial"/>
        </w:rPr>
        <w:t>986) y methodd Vygotsky i greu theori datblygiad meddyliol oherwydd</w:t>
      </w:r>
      <w:r w:rsidR="008E46F4" w:rsidRPr="00190699">
        <w:rPr>
          <w:rFonts w:ascii="Arial" w:hAnsi="Arial" w:cs="Arial"/>
        </w:rPr>
        <w:t xml:space="preserve"> iddo esgeuluso cystrawen mewn iaith, gan lunio </w:t>
      </w:r>
      <w:r w:rsidR="00A4102B">
        <w:rPr>
          <w:rFonts w:ascii="Arial" w:hAnsi="Arial" w:cs="Arial"/>
        </w:rPr>
        <w:t>t</w:t>
      </w:r>
      <w:r w:rsidR="008E46F4" w:rsidRPr="00190699">
        <w:rPr>
          <w:rFonts w:ascii="Arial" w:hAnsi="Arial" w:cs="Arial"/>
        </w:rPr>
        <w:t xml:space="preserve">erfyniaeth </w:t>
      </w:r>
      <w:r w:rsidR="00A4102B">
        <w:rPr>
          <w:rFonts w:ascii="Arial" w:hAnsi="Arial" w:cs="Arial"/>
        </w:rPr>
        <w:t>ar</w:t>
      </w:r>
      <w:r w:rsidR="008E46F4" w:rsidRPr="00190699">
        <w:rPr>
          <w:rFonts w:ascii="Arial" w:hAnsi="Arial" w:cs="Arial"/>
        </w:rPr>
        <w:t xml:space="preserve"> </w:t>
      </w:r>
      <w:r w:rsidR="00A4102B">
        <w:rPr>
          <w:rFonts w:ascii="Arial" w:hAnsi="Arial" w:cs="Arial"/>
        </w:rPr>
        <w:t>b</w:t>
      </w:r>
      <w:r w:rsidR="008E46F4" w:rsidRPr="00190699">
        <w:rPr>
          <w:rFonts w:ascii="Arial" w:hAnsi="Arial" w:cs="Arial"/>
        </w:rPr>
        <w:t>rosesau esblygol a diwylliannol a oed</w:t>
      </w:r>
      <w:r w:rsidR="00A4102B">
        <w:rPr>
          <w:rFonts w:ascii="Arial" w:hAnsi="Arial" w:cs="Arial"/>
        </w:rPr>
        <w:t xml:space="preserve">d </w:t>
      </w:r>
      <w:r w:rsidR="008E46F4" w:rsidRPr="00190699">
        <w:rPr>
          <w:rFonts w:ascii="Arial" w:hAnsi="Arial" w:cs="Arial"/>
        </w:rPr>
        <w:t>yn anghydnaws â thystiolaeth anth</w:t>
      </w:r>
      <w:r w:rsidR="00A4102B">
        <w:rPr>
          <w:rFonts w:ascii="Arial" w:hAnsi="Arial" w:cs="Arial"/>
        </w:rPr>
        <w:t>ro</w:t>
      </w:r>
      <w:r w:rsidR="008E46F4" w:rsidRPr="00190699">
        <w:rPr>
          <w:rFonts w:ascii="Arial" w:hAnsi="Arial" w:cs="Arial"/>
        </w:rPr>
        <w:t>polegol.</w:t>
      </w:r>
      <w:r w:rsidR="00A4102B">
        <w:rPr>
          <w:rFonts w:ascii="Arial" w:hAnsi="Arial" w:cs="Arial"/>
        </w:rPr>
        <w:t xml:space="preserve"> </w:t>
      </w:r>
      <w:r w:rsidR="008E46F4" w:rsidRPr="00190699">
        <w:rPr>
          <w:rFonts w:ascii="Arial" w:hAnsi="Arial" w:cs="Arial"/>
        </w:rPr>
        <w:t>(Johnson 1986).</w:t>
      </w:r>
    </w:p>
    <w:p w14:paraId="7A3B0E60" w14:textId="1B4CD8ED" w:rsidR="008901F4" w:rsidRPr="00190699" w:rsidRDefault="008901F4" w:rsidP="00190699">
      <w:pPr>
        <w:spacing w:line="480" w:lineRule="auto"/>
        <w:rPr>
          <w:rFonts w:ascii="Arial" w:hAnsi="Arial" w:cs="Arial"/>
        </w:rPr>
      </w:pPr>
      <w:r w:rsidRPr="00190699">
        <w:rPr>
          <w:rFonts w:ascii="Arial" w:hAnsi="Arial" w:cs="Arial"/>
        </w:rPr>
        <w:t xml:space="preserve">Fel y soniwyd gan Mayer Roberts a Barsade (2008), mae astudiaethau’n dangos bod </w:t>
      </w:r>
      <w:r w:rsidR="00A4102B">
        <w:rPr>
          <w:rFonts w:ascii="Arial" w:hAnsi="Arial" w:cs="Arial"/>
        </w:rPr>
        <w:t>yna g</w:t>
      </w:r>
      <w:r w:rsidRPr="00190699">
        <w:rPr>
          <w:rFonts w:ascii="Arial" w:hAnsi="Arial" w:cs="Arial"/>
        </w:rPr>
        <w:t xml:space="preserve">ysylltiad cryf iawn </w:t>
      </w:r>
      <w:r w:rsidR="00A4102B">
        <w:rPr>
          <w:rFonts w:ascii="Arial" w:hAnsi="Arial" w:cs="Arial"/>
        </w:rPr>
        <w:t>rhwng</w:t>
      </w:r>
      <w:r w:rsidRPr="00190699">
        <w:rPr>
          <w:rFonts w:ascii="Arial" w:hAnsi="Arial" w:cs="Arial"/>
        </w:rPr>
        <w:t xml:space="preserve"> llythrennedd emosiynol a pherfformiad academaidd. Mae lles mewnol a gallu allanol yn dylanwadu ar ei gilydd</w:t>
      </w:r>
      <w:r w:rsidR="00577299">
        <w:rPr>
          <w:rFonts w:ascii="Arial" w:hAnsi="Arial" w:cs="Arial"/>
        </w:rPr>
        <w:t xml:space="preserve">, ac mae yna </w:t>
      </w:r>
      <w:r w:rsidR="003A41F5">
        <w:rPr>
          <w:rFonts w:ascii="Arial" w:hAnsi="Arial" w:cs="Arial"/>
        </w:rPr>
        <w:t>g</w:t>
      </w:r>
      <w:r w:rsidR="00577299">
        <w:rPr>
          <w:rFonts w:ascii="Arial" w:hAnsi="Arial" w:cs="Arial"/>
        </w:rPr>
        <w:t>ydberthynas rhwng</w:t>
      </w:r>
      <w:r w:rsidR="00086F00" w:rsidRPr="00190699">
        <w:rPr>
          <w:rFonts w:ascii="Arial" w:hAnsi="Arial" w:cs="Arial"/>
        </w:rPr>
        <w:t xml:space="preserve"> llythrennedd emosiynol bositif </w:t>
      </w:r>
      <w:r w:rsidR="00577299">
        <w:rPr>
          <w:rFonts w:ascii="Arial" w:hAnsi="Arial" w:cs="Arial"/>
        </w:rPr>
        <w:t>â</w:t>
      </w:r>
      <w:r w:rsidR="00086F00" w:rsidRPr="00190699">
        <w:rPr>
          <w:rFonts w:ascii="Arial" w:hAnsi="Arial" w:cs="Arial"/>
        </w:rPr>
        <w:t xml:space="preserve"> pherthnasoedd cymdeithasol da</w:t>
      </w:r>
      <w:r w:rsidR="00577299">
        <w:rPr>
          <w:rFonts w:ascii="Arial" w:hAnsi="Arial" w:cs="Arial"/>
        </w:rPr>
        <w:t>.</w:t>
      </w:r>
      <w:r w:rsidR="00086F00" w:rsidRPr="00190699">
        <w:rPr>
          <w:rFonts w:ascii="Arial" w:hAnsi="Arial" w:cs="Arial"/>
        </w:rPr>
        <w:t xml:space="preserve"> </w:t>
      </w:r>
      <w:r w:rsidR="00577299">
        <w:rPr>
          <w:rFonts w:ascii="Arial" w:hAnsi="Arial" w:cs="Arial"/>
        </w:rPr>
        <w:t xml:space="preserve">Yn yr un modd, ceir </w:t>
      </w:r>
      <w:r w:rsidR="003A41F5">
        <w:rPr>
          <w:rFonts w:ascii="Arial" w:hAnsi="Arial" w:cs="Arial"/>
        </w:rPr>
        <w:t>c</w:t>
      </w:r>
      <w:r w:rsidR="00577299">
        <w:rPr>
          <w:rFonts w:ascii="Arial" w:hAnsi="Arial" w:cs="Arial"/>
        </w:rPr>
        <w:t xml:space="preserve">ydberthynas negyddol </w:t>
      </w:r>
      <w:r w:rsidR="00086F00" w:rsidRPr="00190699">
        <w:rPr>
          <w:rFonts w:ascii="Arial" w:hAnsi="Arial" w:cs="Arial"/>
        </w:rPr>
        <w:t>gyda diffyg perthynas cymdeithasol. Mae unigolion</w:t>
      </w:r>
      <w:r w:rsidR="003B1587">
        <w:rPr>
          <w:rFonts w:ascii="Arial" w:hAnsi="Arial" w:cs="Arial"/>
        </w:rPr>
        <w:t xml:space="preserve"> a fedda ar </w:t>
      </w:r>
      <w:r w:rsidR="00086F00" w:rsidRPr="00190699">
        <w:rPr>
          <w:rFonts w:ascii="Arial" w:hAnsi="Arial" w:cs="Arial"/>
        </w:rPr>
        <w:t xml:space="preserve">lythrennedd emosiynol uwch hefyd yn derbyn mwy o sylw cadarnhaol wrth eraill, gyda sgiliau cyfathrebu mwy effeithiol, ac yn bwysicach na dim, iechyd meddwl gwell. </w:t>
      </w:r>
    </w:p>
    <w:p w14:paraId="79A5CF68" w14:textId="77777777" w:rsidR="00D80FE2" w:rsidRDefault="00D80FE2" w:rsidP="00190699">
      <w:pPr>
        <w:spacing w:line="480" w:lineRule="auto"/>
        <w:rPr>
          <w:rFonts w:ascii="Arial" w:hAnsi="Arial" w:cs="Arial"/>
        </w:rPr>
      </w:pPr>
      <w:r w:rsidRPr="00D80FE2">
        <w:rPr>
          <w:rFonts w:ascii="Arial" w:hAnsi="Arial" w:cs="Arial"/>
        </w:rPr>
        <w:t>Mae’n debyg bod llwyddiant ysgol yn dibynnu ar wydnwch ac agwedd bositif gan ddisgyblion (Yeager &amp; Dweck, 2012). Mae diffyg gwydnwch yn golygu ildio ‘n hawdd a’r anallu i weithio’n effeithlon. Dengys sut mae meddylfryd yn medru cyfrannu at y ddau ffactor mwyaf problematig ym myd addysg, sef tangyflawniad academaidd, a’r effaith o waharddiad cyd-ddisgyblion. Pwysleisiwyd bod y cyfnod pontio o’r ysgol Gynradd i’r Uwchradd yn hynod o frawychus, ac mae’n rhaid i athrawon gydnabod bod llawer yn digwydd y tu ôl i’r llen. Mae plant, yn enwedig disgyblion blwyddyn 7, yn teimlo’r pwysau i fod yn gydradd â’u ffrindiau, ac i beidio â bod yn wahanol. Awgrymwyd y dylid athrawon wneud ymdrech ychwanegol i sicrhau bod meddylfryd plant wedi’u ffocysu ar y dasg er mwyn sicrhau dysgu effeithlon (Yeager &amp; Dweck, 2012).</w:t>
      </w:r>
    </w:p>
    <w:p w14:paraId="638C5175" w14:textId="57B60C42" w:rsidR="008901F4" w:rsidRPr="00190699" w:rsidRDefault="001F711C" w:rsidP="00190699">
      <w:pPr>
        <w:spacing w:line="480" w:lineRule="auto"/>
        <w:rPr>
          <w:rFonts w:ascii="Arial" w:hAnsi="Arial" w:cs="Arial"/>
        </w:rPr>
      </w:pPr>
      <w:r w:rsidRPr="001F711C">
        <w:rPr>
          <w:rFonts w:ascii="Arial" w:hAnsi="Arial" w:cs="Arial"/>
        </w:rPr>
        <w:t xml:space="preserve">Ysgolhaig a greda’n gryf o blaid llythrennedd emosiynol yw Daniel Goleman. Gwelwyd yn ei fodel (Atodiad 2) o’r ffactorau sy’n ymyrryd â llythrennedd emosiynol. Yn dadlau gyda’r </w:t>
      </w:r>
      <w:r w:rsidRPr="001F711C">
        <w:rPr>
          <w:rFonts w:ascii="Arial" w:hAnsi="Arial" w:cs="Arial"/>
        </w:rPr>
        <w:lastRenderedPageBreak/>
        <w:t>model hwn mae Mayer a Barsade (2008) wrth iddynt grybwyll ei fod yn rhy gymhleth a bod gormod wedi’u hychwanegu ato. Mae Hierarchaeth Maslow (1943) (Atodiad 3), hefyd yn amlinellu’r rhinweddau sydd angen ar gyfer lles ac iechyd meddwl da, ond ceir beirniadaeth yn erbyn hyn, gyda’r farn ei fod yn fan cychwyn da, ond nid yn gyflawn (Haque, Haque, islam 2014)</w:t>
      </w:r>
      <w:r>
        <w:rPr>
          <w:rFonts w:ascii="Arial" w:hAnsi="Arial" w:cs="Arial"/>
        </w:rPr>
        <w:t>.</w:t>
      </w:r>
    </w:p>
    <w:p w14:paraId="5DE6B265" w14:textId="7656A242" w:rsidR="008901F4" w:rsidRPr="00190699" w:rsidRDefault="008901F4" w:rsidP="00190699">
      <w:pPr>
        <w:spacing w:line="480" w:lineRule="auto"/>
        <w:rPr>
          <w:rFonts w:ascii="Arial" w:hAnsi="Arial" w:cs="Arial"/>
          <w:b/>
          <w:bCs/>
        </w:rPr>
      </w:pPr>
      <w:r w:rsidRPr="00190699">
        <w:rPr>
          <w:rFonts w:ascii="Arial" w:hAnsi="Arial" w:cs="Arial"/>
          <w:b/>
          <w:bCs/>
        </w:rPr>
        <w:t>Gwyddoniaeth Gwybyddol ym myd Addysg</w:t>
      </w:r>
    </w:p>
    <w:p w14:paraId="48DD3950" w14:textId="77777777" w:rsidR="0000079B" w:rsidRPr="0000079B" w:rsidRDefault="00AC3D6B" w:rsidP="0000079B">
      <w:pPr>
        <w:spacing w:line="480" w:lineRule="auto"/>
        <w:rPr>
          <w:rFonts w:ascii="Arial" w:hAnsi="Arial" w:cs="Arial"/>
        </w:rPr>
      </w:pPr>
      <w:r w:rsidRPr="00AC3D6B">
        <w:rPr>
          <w:rFonts w:ascii="Arial" w:hAnsi="Arial" w:cs="Arial"/>
        </w:rPr>
        <w:t>Er i’r athro lwyddo i drosglwyddo gwybodaeth a chyfarwyddiadau clir a chadarn i’r disgyblion, sydd yn gwbl hanfodol mewn gwersi (Needham 2019), ni ddeallodd y dysgwr amcanion y dasg. Oherwydd y collodd yr wythnos flaenorol, gall hwn fod yn ateb i’r ymddygiad. Wrth feddwl yn wyddonol, mae llawer o sylw wedi’i roi i Lwyth Theori Wybyddol, neu Cognitive Load Theory (CLT) mewn addysg, a gafodd ei drafod gyntaf gan Sweller (Sweller 1998). Mae hyn yn effeithio ar y gallu dysgwr i drosglwyddo gwybodaeth o’r cof tymor byr i’r cof tymor hir. Soniwyd ei bod hi’n bwysig bod gan ddysgwr wybodaeth flaenorol o bwnc er mwyn medru gwneud hyn. Felly, gan fod y dysgwr wedi colli’r wers flaenorol o achos Cofid-19, ac roedd y wers yn un dilynol, mae’n hawdd credu bod yr unigolyn yn profi anhawster Llwyth gwybyddol cynhenid. (Paas, Renkl &amp; Sweller 2003</w:t>
      </w:r>
      <w:r w:rsidR="0000079B" w:rsidRPr="0000079B">
        <w:rPr>
          <w:rFonts w:ascii="Arial" w:hAnsi="Arial" w:cs="Arial"/>
        </w:rPr>
        <w:t>). Golyga hyn bod y llwyth gwaith yn ormod i’r ymennydd ddeall, felly ni chaiff unrhyw beth ei amsugno mewn i’r cof tymor hir. Yn ôl Gathercole a Alloway (2007), gall hyn arwain at fethiant i ailadrodd yr hyn yr esboniwyd, anallu i ddilyn cyfarwyddiadau, gwallau yn y gwaith, a’r risg o’r dysgwr yn cefnu ar y gwaith yn gyfan gwbl.</w:t>
      </w:r>
    </w:p>
    <w:p w14:paraId="0AC52ECA" w14:textId="77777777" w:rsidR="00580189" w:rsidRPr="00580189" w:rsidRDefault="0000079B" w:rsidP="00580189">
      <w:pPr>
        <w:spacing w:line="480" w:lineRule="auto"/>
        <w:rPr>
          <w:rFonts w:ascii="Arial" w:hAnsi="Arial" w:cs="Arial"/>
        </w:rPr>
      </w:pPr>
      <w:r w:rsidRPr="0000079B">
        <w:rPr>
          <w:rFonts w:ascii="Arial" w:hAnsi="Arial" w:cs="Arial"/>
        </w:rPr>
        <w:t xml:space="preserve">Mae’r ffaith yr oedd y dysgwr yn cuddio’i wyneb gan siglo’i ben yn awgrymu yr oedd wedi rhoi’r ffidil yn y to, ond fel yr awgryma Schore (1994), gwelwyd yr ‘automnic stress response’ ar waith fan hyn. Yn draddodiadol, taniwyd yr ymateb hwn gan beryglon hela, ond heddiw, taniwyd gan fygythiadau mwy cymdeithasol megis bwlian, unigrwydd a thlodi. Gall hefyd fod yn gysylltiadol â’r methiant i ddeall y dasg. O ganlyniad i hyn, daw teimladau o ansicrwydd, gorbryder ac iselder (Rose, 2016). </w:t>
      </w:r>
      <w:r w:rsidR="00580189" w:rsidRPr="00580189">
        <w:rPr>
          <w:rFonts w:ascii="Arial" w:hAnsi="Arial" w:cs="Arial"/>
        </w:rPr>
        <w:t xml:space="preserve">Mae teimladau, fel y sonia Davidson a Begley (2012) yn chwarae rhan sylweddol mewn addysg, am eu bod yn gatalydd i ddysgu effeithiol. Rhaid </w:t>
      </w:r>
      <w:r w:rsidR="00580189" w:rsidRPr="00580189">
        <w:rPr>
          <w:rFonts w:ascii="Arial" w:hAnsi="Arial" w:cs="Arial"/>
        </w:rPr>
        <w:lastRenderedPageBreak/>
        <w:t>ystyried a oedd gan yr unigolyn unrhyw ADY, fel y sonia Goldstein bod dysgwyr ADHD fel rheol gydag anallu i ganolbwyntio am gyfnodau hir (Goldstein 2019), ond cadarnhawyd gan yr athro nad oedd ganddo unrhyw anghenion.</w:t>
      </w:r>
    </w:p>
    <w:p w14:paraId="7A8DA78A" w14:textId="6D09D24A" w:rsidR="008901F4" w:rsidRPr="00190699" w:rsidRDefault="00580189" w:rsidP="00190699">
      <w:pPr>
        <w:spacing w:line="480" w:lineRule="auto"/>
        <w:rPr>
          <w:rFonts w:ascii="Arial" w:hAnsi="Arial" w:cs="Arial"/>
        </w:rPr>
      </w:pPr>
      <w:r w:rsidRPr="00580189">
        <w:rPr>
          <w:rFonts w:ascii="Arial" w:hAnsi="Arial" w:cs="Arial"/>
        </w:rPr>
        <w:t xml:space="preserve">Wrth edrych ar yr ymateb drwy sbectol wyddonydd, mae’r system limbig sy’n ddwfn yn yr ymennydd, ac i fod mwy penodol, yr </w:t>
      </w:r>
      <w:r w:rsidRPr="00580189">
        <w:rPr>
          <w:rFonts w:ascii="Arial" w:hAnsi="Arial" w:cs="Arial"/>
          <w:i/>
          <w:iCs/>
        </w:rPr>
        <w:t>amygdala</w:t>
      </w:r>
      <w:r w:rsidRPr="00580189">
        <w:rPr>
          <w:rFonts w:ascii="Arial" w:hAnsi="Arial" w:cs="Arial"/>
        </w:rPr>
        <w:t xml:space="preserve">, yn gyfrifol am greu ymatebion sy’n bygwth bywyd (Rose 2016). Hwn sy’n gyfrifol am deimlo emosiwn, cofio digwyddiadau a theimladau. Mae’r cerebral cortecs, sydd o amgylch y system limbig yn gyfrifol am feddwl, siarad, rhesymu, darllen, ysgrifennu, deall iaith, empathi a threfnu. </w:t>
      </w:r>
      <w:r w:rsidR="00E5184F" w:rsidRPr="00E5184F">
        <w:rPr>
          <w:rFonts w:ascii="Arial" w:hAnsi="Arial" w:cs="Arial"/>
        </w:rPr>
        <w:t>Wrth i ni, fel dynol ryw ddysgu, mae’r</w:t>
      </w:r>
      <w:r w:rsidR="00E5184F" w:rsidRPr="00E5184F">
        <w:rPr>
          <w:rFonts w:ascii="Arial" w:hAnsi="Arial" w:cs="Arial"/>
          <w:i/>
          <w:iCs/>
        </w:rPr>
        <w:t xml:space="preserve"> synapse</w:t>
      </w:r>
      <w:r w:rsidR="00E5184F" w:rsidRPr="00E5184F">
        <w:rPr>
          <w:rFonts w:ascii="Arial" w:hAnsi="Arial" w:cs="Arial"/>
        </w:rPr>
        <w:t xml:space="preserve"> yn yr ymennydd yn cysylltu â chreu atgof, a dyna sut rydym yn datblygu, ond os ydym ni dan fygythiad, mae’r cysylltiadau hynny yn diflannu. Mae’r system limbig yn gyrru negeseuon o bryder i baratoi‘r corff i weithredu yn erbyn y bygythiad – a dyma pryd mae’r plentyn yn gweithredu. Ni cheir unrhyw gysylltiadau yn yr ymennydd yn y stad hon, ac felly ni all y disgybl ganolbwyntio na gweithredu i unrhyw dasg gosod.</w:t>
      </w:r>
      <w:r w:rsidR="00E5184F">
        <w:rPr>
          <w:rFonts w:ascii="Arial" w:hAnsi="Arial" w:cs="Arial"/>
        </w:rPr>
        <w:t xml:space="preserve"> </w:t>
      </w:r>
      <w:r w:rsidR="00090234" w:rsidRPr="00090234">
        <w:rPr>
          <w:rFonts w:ascii="Arial" w:hAnsi="Arial" w:cs="Arial"/>
        </w:rPr>
        <w:t>Mae deall yr ymennydd, yn ôl Rose (2016) yn hynod bwysig fel bod yr athro yn medru cyfiawnhau emosiynau, digwyddiadau posib, ac o ganlyniad yn medru dysgu’n fwy effeithiol. Oherwydd natur y dasg, sef ysgrifennu araith, a fyddai’n cael ei gyflwyno ar lafar i’r athro yn y wers ddilynol, daw hwn â’r cyfle i’r dysgwyr profi’r hyn yr ysgrifennwyd. Y mae profiad, yn ôl Freud yn allweddol o ran datblygiad plentyn, a’r ffordd orau i ddarganfod personoliaeth yw trwy ddadlau (Gallard &amp; Cartmell 2015). Mae’r ffaith y dangosodd yr athro’n union beth i’w wneud i’r dysgwr yn arwyddocaol, gan mai cred Bandura (1971, 1977, 1986, 1989, 2001) oedd bod bodau dynol yn datblygu gan ddefnyddio’u gallu gwybyddol mewn sefyllfaoedd cymdeithasol drwy efelychu eraill (Gallard &amp; Cartmell 2015). Atgyfnerthwyd hyn gan Rose (2016), wrth ddywed bod y ‘mirror neurons’ yn cryfhau wrth wneud hyn.</w:t>
      </w:r>
    </w:p>
    <w:p w14:paraId="096CB5F2" w14:textId="77777777" w:rsidR="007E5D04" w:rsidRDefault="007E5D04" w:rsidP="00AE45C7">
      <w:pPr>
        <w:spacing w:line="480" w:lineRule="auto"/>
        <w:rPr>
          <w:rFonts w:ascii="Arial" w:hAnsi="Arial" w:cs="Arial"/>
        </w:rPr>
      </w:pPr>
      <w:r w:rsidRPr="007E5D04">
        <w:rPr>
          <w:rFonts w:ascii="Arial" w:hAnsi="Arial" w:cs="Arial"/>
        </w:rPr>
        <w:t xml:space="preserve">Er na ddeallodd pob un plentyn y dasg, llwyddodd yr athro i gadw agwedd bositif, gadarnhaol, drwy gydol y wers. Cytuna Piaget a Vygotsky yn y ffaith y dylid athro fod yn hwylusydd, yn tywys y dysgwyr ac nid eu rheoli. Mae hyn, yn ôl Janet Rose, yn hanfodol, ac ni feda neb danseilio pŵer ymgysylltiad positif gyda disgyblion. Â ymlaen gan draethu ei fod </w:t>
      </w:r>
      <w:r w:rsidRPr="007E5D04">
        <w:rPr>
          <w:rFonts w:ascii="Arial" w:hAnsi="Arial" w:cs="Arial"/>
        </w:rPr>
        <w:lastRenderedPageBreak/>
        <w:t>yn hanfodol i gydnabod y pwysigrwydd o ddangos esiampl i ddysgwyr, a gwneud ymdrech i ddysgu’r dylanwad a geir ar eu lles a’u hiechyd meddwl (Rose 2016). Mae angen y cymorth priodol ar gyfer dysgwyr oed Uwchradd gymaint ag unrhyw oed arall, oherwydd nid yw eu gallu i wneud penderfyniadau, cynllunio na beirniadu yn aeddfedu nes iddynt gyrraedd yr ugeiniau (Rose, 2016). Sonia Rose (2016) hefyd, wrth i’r ymennydd aeddfedu, mae niwronau yn gwneud mwy o gysylltiadau ac felly mae’n galluogi i blant ymuno a sgyrsiau mwy cymhleth, ac yn medru storio mwy o wybodaeth. Felly, wrth gadw hyn mewn cof, bydd gwersi blwyddyn 7 yn gorfod bod yn gwbl wahanol i flwyddyn 11, oherwydd eu datblygiad gwybyddol.</w:t>
      </w:r>
    </w:p>
    <w:p w14:paraId="2C09996A" w14:textId="77777777" w:rsidR="008A403E" w:rsidRPr="008A403E" w:rsidRDefault="008A403E" w:rsidP="00AE45C7">
      <w:pPr>
        <w:spacing w:line="480" w:lineRule="auto"/>
        <w:rPr>
          <w:rFonts w:ascii="Arial" w:hAnsi="Arial" w:cs="Arial"/>
        </w:rPr>
      </w:pPr>
      <w:r w:rsidRPr="008A403E">
        <w:rPr>
          <w:rFonts w:ascii="Arial" w:hAnsi="Arial" w:cs="Arial"/>
        </w:rPr>
        <w:t>O ran y defnydd o ailadrodd a chwestiynu y defnyddiwyd gan yr athro, gwelwyd yn ymchwil Donald Hebb (1949) bod y niwronau sy’n cysylltu â thanio gyda’i gilydd ond yn cryfhau wrth eu defnyddio dro ar ôl tro, gan greu cysylltiadau cryfach, sy’n caniatáu mwy o wybodaeth gael ei amsugno (Rose 2016). Felly, llwyddodd yr athro i gryfhau’r wybodaeth oedd gan y dysgwyr drwy wneud hyn, roedd y posibilrwydd o’r wybodaeth yn cyrraedd  cof tymor hir llawer mwy tebygol. Serch hynny, crybwyllwyd gan Brooks a Brooks (2001) nad yw cwestiynu parhaus o hyd yn dechneg lwyddiannus, a dylid caniatáu i’r dysgwyr feddwl am dipyn cyn medru rhoi ateb lawn.</w:t>
      </w:r>
    </w:p>
    <w:p w14:paraId="074F53AC" w14:textId="77777777" w:rsidR="008A403E" w:rsidRPr="008A403E" w:rsidRDefault="008A403E" w:rsidP="00AE45C7">
      <w:pPr>
        <w:spacing w:line="480" w:lineRule="auto"/>
        <w:rPr>
          <w:rFonts w:ascii="Arial" w:hAnsi="Arial" w:cs="Arial"/>
        </w:rPr>
      </w:pPr>
    </w:p>
    <w:p w14:paraId="3793BC36" w14:textId="771CE72E" w:rsidR="009A592F" w:rsidRPr="00F04479" w:rsidRDefault="00BA310B" w:rsidP="00AE45C7">
      <w:pPr>
        <w:spacing w:line="480" w:lineRule="auto"/>
        <w:rPr>
          <w:rFonts w:ascii="Arial" w:hAnsi="Arial" w:cs="Arial"/>
          <w:b/>
          <w:bCs/>
          <w:u w:val="single"/>
        </w:rPr>
      </w:pPr>
      <w:r w:rsidRPr="00F04479">
        <w:rPr>
          <w:rFonts w:ascii="Arial" w:hAnsi="Arial" w:cs="Arial"/>
          <w:b/>
          <w:bCs/>
          <w:u w:val="single"/>
        </w:rPr>
        <w:t xml:space="preserve">ADFYFYRIO / GWERTHUSO </w:t>
      </w:r>
      <w:r w:rsidR="00F04479">
        <w:rPr>
          <w:rFonts w:ascii="Arial" w:hAnsi="Arial" w:cs="Arial"/>
          <w:b/>
          <w:bCs/>
          <w:u w:val="single"/>
        </w:rPr>
        <w:t>A’R</w:t>
      </w:r>
      <w:r w:rsidRPr="00F04479">
        <w:rPr>
          <w:rFonts w:ascii="Arial" w:hAnsi="Arial" w:cs="Arial"/>
          <w:b/>
          <w:bCs/>
          <w:u w:val="single"/>
        </w:rPr>
        <w:t xml:space="preserve"> CAMAU NESAF  </w:t>
      </w:r>
    </w:p>
    <w:p w14:paraId="32FD01C1" w14:textId="5D629B5D" w:rsidR="00CD4817" w:rsidRPr="00190699" w:rsidRDefault="00CD4817" w:rsidP="00AE45C7">
      <w:pPr>
        <w:tabs>
          <w:tab w:val="left" w:pos="6240"/>
        </w:tabs>
        <w:spacing w:line="480" w:lineRule="auto"/>
        <w:rPr>
          <w:rFonts w:ascii="Arial" w:hAnsi="Arial" w:cs="Arial"/>
        </w:rPr>
      </w:pPr>
      <w:r w:rsidRPr="00190699">
        <w:rPr>
          <w:rFonts w:ascii="Arial" w:hAnsi="Arial" w:cs="Arial"/>
        </w:rPr>
        <w:t>Pe bawn i’n dod ar draws</w:t>
      </w:r>
      <w:r w:rsidR="00712464" w:rsidRPr="00190699">
        <w:rPr>
          <w:rFonts w:ascii="Arial" w:hAnsi="Arial" w:cs="Arial"/>
        </w:rPr>
        <w:t xml:space="preserve"> digwyddiad critigol fel hyn yn fy ngyrfa broffes</w:t>
      </w:r>
      <w:r w:rsidR="00670A05">
        <w:rPr>
          <w:rFonts w:ascii="Arial" w:hAnsi="Arial" w:cs="Arial"/>
        </w:rPr>
        <w:t>i</w:t>
      </w:r>
      <w:r w:rsidR="00712464" w:rsidRPr="00190699">
        <w:rPr>
          <w:rFonts w:ascii="Arial" w:hAnsi="Arial" w:cs="Arial"/>
        </w:rPr>
        <w:t>ynol i</w:t>
      </w:r>
      <w:r w:rsidRPr="00190699">
        <w:rPr>
          <w:rFonts w:ascii="Arial" w:hAnsi="Arial" w:cs="Arial"/>
        </w:rPr>
        <w:t>, fe fyddwn i’n ceisio rhoi hyd yn oed mwy o sicrwydd i</w:t>
      </w:r>
      <w:r w:rsidR="00670A05">
        <w:rPr>
          <w:rFonts w:ascii="Arial" w:hAnsi="Arial" w:cs="Arial"/>
        </w:rPr>
        <w:t>’r dysgwr y</w:t>
      </w:r>
      <w:r w:rsidRPr="00190699">
        <w:rPr>
          <w:rFonts w:ascii="Arial" w:hAnsi="Arial" w:cs="Arial"/>
        </w:rPr>
        <w:t xml:space="preserve"> bydd popeth yn iawn, er iddo golli’r wers flaenorol. Pwysleisia Rose (2016) am bwysigrwydd stad emosiynol ar gyfer dysgu effeithiol, ac felly byddem yn gwneud hyd yn oed yn fwy o ymdrech i wneud y plentyn deimlo’n gyffyrddus. Fedr hyn cael ei wneud drwy eistedd gydag ef, a siarad trwy’r dasg yn araf, fel bod amser ganddo i ams</w:t>
      </w:r>
      <w:r w:rsidR="00655D4D">
        <w:rPr>
          <w:rFonts w:ascii="Arial" w:hAnsi="Arial" w:cs="Arial"/>
        </w:rPr>
        <w:t>u</w:t>
      </w:r>
      <w:r w:rsidRPr="00190699">
        <w:rPr>
          <w:rFonts w:ascii="Arial" w:hAnsi="Arial" w:cs="Arial"/>
        </w:rPr>
        <w:t>gno’r wybodaeth gyfan, a’i helpu i wneud y dasg am ychydig, fel ei fod yn hollol sicr o beth yw gofynion y dasg.</w:t>
      </w:r>
    </w:p>
    <w:p w14:paraId="3A47F0F3" w14:textId="6401A395" w:rsidR="00C25484" w:rsidRPr="00190699" w:rsidRDefault="00712464" w:rsidP="00AE45C7">
      <w:pPr>
        <w:spacing w:line="480" w:lineRule="auto"/>
        <w:rPr>
          <w:rFonts w:ascii="Arial" w:hAnsi="Arial" w:cs="Arial"/>
        </w:rPr>
      </w:pPr>
      <w:r w:rsidRPr="00190699">
        <w:rPr>
          <w:rFonts w:ascii="Arial" w:hAnsi="Arial" w:cs="Arial"/>
        </w:rPr>
        <w:lastRenderedPageBreak/>
        <w:t xml:space="preserve">Byddem hefyd yn hoffi mynd o dan groen </w:t>
      </w:r>
      <w:r w:rsidR="00655D4D">
        <w:rPr>
          <w:rFonts w:ascii="Arial" w:hAnsi="Arial" w:cs="Arial"/>
        </w:rPr>
        <w:t xml:space="preserve">y dysgwr, er mwyn </w:t>
      </w:r>
      <w:r w:rsidRPr="00190699">
        <w:rPr>
          <w:rFonts w:ascii="Arial" w:hAnsi="Arial" w:cs="Arial"/>
        </w:rPr>
        <w:t>darganfod a oes yna broblemau ychwanegol yn bodoli. Gofyn a yw popeth yn iawn, a yw’n teimlo’n hapus, yn drist; a oes blinder arno, gan gofio bod hybu iechyd a l</w:t>
      </w:r>
      <w:r w:rsidR="00B65CDF">
        <w:rPr>
          <w:rFonts w:ascii="Arial" w:hAnsi="Arial" w:cs="Arial"/>
        </w:rPr>
        <w:t>l</w:t>
      </w:r>
      <w:r w:rsidRPr="00190699">
        <w:rPr>
          <w:rFonts w:ascii="Arial" w:hAnsi="Arial" w:cs="Arial"/>
        </w:rPr>
        <w:t>es emosiynol yn cyfrannu at berfformiad addawol (Llywodraeth Cymru 2010)</w:t>
      </w:r>
      <w:r w:rsidR="0074460A" w:rsidRPr="00190699">
        <w:rPr>
          <w:rFonts w:ascii="Arial" w:hAnsi="Arial" w:cs="Arial"/>
        </w:rPr>
        <w:t>. Mae teimlo’n gy</w:t>
      </w:r>
      <w:r w:rsidR="00B65CDF">
        <w:rPr>
          <w:rFonts w:ascii="Arial" w:hAnsi="Arial" w:cs="Arial"/>
        </w:rPr>
        <w:t>fl</w:t>
      </w:r>
      <w:r w:rsidR="0074460A" w:rsidRPr="00190699">
        <w:rPr>
          <w:rFonts w:ascii="Arial" w:hAnsi="Arial" w:cs="Arial"/>
        </w:rPr>
        <w:t>awn yn hanfodol ar gyfer lles plentyn (GoodChild Report 2020).</w:t>
      </w:r>
    </w:p>
    <w:p w14:paraId="5D27225F" w14:textId="77777777" w:rsidR="00F35817" w:rsidRPr="00F35817" w:rsidRDefault="00F35817" w:rsidP="00AE45C7">
      <w:pPr>
        <w:spacing w:line="480" w:lineRule="auto"/>
        <w:rPr>
          <w:rFonts w:ascii="Arial" w:hAnsi="Arial" w:cs="Arial"/>
        </w:rPr>
      </w:pPr>
      <w:r w:rsidRPr="00F35817">
        <w:rPr>
          <w:rFonts w:ascii="Arial" w:hAnsi="Arial" w:cs="Arial"/>
        </w:rPr>
        <w:t>Byddem hefyd yn ystyried defnyddio mwy o dechnoleg yn y wers, a chynnig gwefannau perthnasol fel bod y dysgwr yn medru mynd ati yn ei amser ei hun i wneud ymchwil annibynnol, i ehangu ei wybodaeth a’i ddealltwriaeth. Sonia Myers (2012) bod cynnig dulliau aml-gyfryngol yn bwysig mewn addysg yn y ganrif hon oherwydd datblygiad technoleg. Cytunaf â hyn, a chredaf y dylid gafael yn y cyfle i ddatblygu cymhwysedd digidol ymhob gwers, oherwydd bod technoleg mor gyfarwydd i ddysgwyr heddiw.</w:t>
      </w:r>
    </w:p>
    <w:p w14:paraId="4F4F783A" w14:textId="77777777" w:rsidR="00F6696E" w:rsidRDefault="00F35817" w:rsidP="00AE45C7">
      <w:pPr>
        <w:spacing w:line="480" w:lineRule="auto"/>
        <w:rPr>
          <w:rFonts w:ascii="Arial" w:hAnsi="Arial" w:cs="Arial"/>
        </w:rPr>
      </w:pPr>
      <w:r w:rsidRPr="00F35817">
        <w:rPr>
          <w:rFonts w:ascii="Arial" w:hAnsi="Arial" w:cs="Arial"/>
        </w:rPr>
        <w:t>Â Myers (2012) ymlaen gan ddatgan bod dysgu dosbarth cyfan yn effeithiol yn golygu bod yn rhaid cynnig gwaith unigryw at bob plentyn. Wrth gwrs, y byddai’n amhosib teilwra gwaith unigol i bob unigolyn, ond mae yna fodd dosbarthu gwaith o ran gallu a diddordeb. Mae hyn yn dod yn sgil gwahaniaethu, sydd hefyd yn elfen hollbwysig mewn addysg.</w:t>
      </w:r>
      <w:r>
        <w:rPr>
          <w:rFonts w:ascii="Arial" w:hAnsi="Arial" w:cs="Arial"/>
        </w:rPr>
        <w:t xml:space="preserve"> </w:t>
      </w:r>
    </w:p>
    <w:p w14:paraId="68E31264" w14:textId="5ACE5A8C" w:rsidR="007B21C8" w:rsidRPr="00190699" w:rsidRDefault="00F6696E" w:rsidP="00AE45C7">
      <w:pPr>
        <w:spacing w:line="480" w:lineRule="auto"/>
        <w:rPr>
          <w:rFonts w:ascii="Arial" w:hAnsi="Arial" w:cs="Arial"/>
        </w:rPr>
      </w:pPr>
      <w:r w:rsidRPr="00F6696E">
        <w:rPr>
          <w:rFonts w:ascii="Arial" w:hAnsi="Arial" w:cs="Arial"/>
        </w:rPr>
        <w:t>Byddem hefyd yn sicrhau fy mod yn gwybod beth yw lefel dysgu pob unigolyn yn y dosbarth, a gwneud yn siŵr bod y gwaith a ddosbarthwyd yn addas. Gan gofio bod Myers (2012) yn pwysleisio bod yn rhaid i’r gwaith gyd-fynd gyda lefel datblygiad yr unigolyn er mwyn gwneud cynnydd, mae hyn yn hynod bwysig. Golyga hyn na fydd gan bob dysgwr yr un dasg, ond yn hytrach bydd ganddynt wahanol heriau i’w cyrraedd, a byddai’r rhyddid ganddynt i ddewis pa lefel yr hoffent wneud. Atgyfnerthwyd hyn gan Hornby (2015) gyda phwyslais o greu amgylchedd cynhwysol, fel y gellir cwrdd ag anghenion pob dysgwr. Dylid creu strategaethau wedi’i liwio i unigolion fesul grŵp neu’n unigol fel bod y dosbarth cyfan yn cyrraedd eu gwir botensial.</w:t>
      </w:r>
      <w:r>
        <w:rPr>
          <w:rFonts w:ascii="Arial" w:hAnsi="Arial" w:cs="Arial"/>
        </w:rPr>
        <w:t xml:space="preserve"> </w:t>
      </w:r>
      <w:r w:rsidR="0002532F" w:rsidRPr="0002532F">
        <w:rPr>
          <w:rFonts w:ascii="Arial" w:hAnsi="Arial" w:cs="Arial"/>
        </w:rPr>
        <w:t xml:space="preserve">Ffordd effeithiol o wneud hyn yw dosbarthu tablau geirfa allweddol a strwythurau brawddegau fel bod gan y dysgwr gopi. Drwy wneud hyn, bydd gwaith y dysgwr yn fwy ffurfiol a chywir o lawer, a heb os, bydd eu sgiliau iaith yn datblygu </w:t>
      </w:r>
      <w:r w:rsidR="0002532F" w:rsidRPr="0002532F">
        <w:rPr>
          <w:rFonts w:ascii="Arial" w:hAnsi="Arial" w:cs="Arial"/>
        </w:rPr>
        <w:lastRenderedPageBreak/>
        <w:t>(Needham 2019). Darparwyd taflenni geirfa i’r disgyblion oll, a oedd yn help llaw wych iddynt wrth gwblhau’r dasg.</w:t>
      </w:r>
    </w:p>
    <w:p w14:paraId="00D732A6" w14:textId="1FCBD727" w:rsidR="00BE11FA" w:rsidRDefault="00BE11FA" w:rsidP="00AE45C7">
      <w:pPr>
        <w:spacing w:line="480" w:lineRule="auto"/>
        <w:rPr>
          <w:rFonts w:ascii="Arial" w:hAnsi="Arial" w:cs="Arial"/>
        </w:rPr>
      </w:pPr>
    </w:p>
    <w:p w14:paraId="5A8A397A" w14:textId="5B07208C" w:rsidR="00D22A75" w:rsidRPr="00F04479" w:rsidRDefault="00BA310B" w:rsidP="00AE45C7">
      <w:pPr>
        <w:spacing w:line="480" w:lineRule="auto"/>
        <w:rPr>
          <w:rFonts w:ascii="Arial" w:hAnsi="Arial" w:cs="Arial"/>
          <w:b/>
          <w:bCs/>
          <w:u w:val="single"/>
        </w:rPr>
      </w:pPr>
      <w:r w:rsidRPr="00F04479">
        <w:rPr>
          <w:rFonts w:ascii="Arial" w:hAnsi="Arial" w:cs="Arial"/>
          <w:b/>
          <w:bCs/>
          <w:u w:val="single"/>
        </w:rPr>
        <w:t xml:space="preserve">CASGLIAD </w:t>
      </w:r>
    </w:p>
    <w:p w14:paraId="68453C21" w14:textId="53576CA1" w:rsidR="00FC79EC" w:rsidRPr="0046256E" w:rsidRDefault="00FC79EC" w:rsidP="00AE45C7">
      <w:pPr>
        <w:spacing w:line="480" w:lineRule="auto"/>
        <w:rPr>
          <w:rFonts w:ascii="Arial" w:hAnsi="Arial" w:cs="Arial"/>
        </w:rPr>
      </w:pPr>
      <w:r w:rsidRPr="0046256E">
        <w:rPr>
          <w:rFonts w:ascii="Arial" w:hAnsi="Arial" w:cs="Arial"/>
        </w:rPr>
        <w:t>“...it is critical that we do everything we can to support them, setting high expectations, so that we achieve our ambitions for our citizens and for our country.” – Kirsty Williams AM (2017)</w:t>
      </w:r>
    </w:p>
    <w:p w14:paraId="5E6EB4B7" w14:textId="77777777" w:rsidR="00494205" w:rsidRPr="00494205" w:rsidRDefault="00494205" w:rsidP="00AE45C7">
      <w:pPr>
        <w:spacing w:line="480" w:lineRule="auto"/>
        <w:rPr>
          <w:rFonts w:ascii="Arial" w:hAnsi="Arial" w:cs="Arial"/>
          <w:shd w:val="clear" w:color="auto" w:fill="FFFFFF"/>
        </w:rPr>
      </w:pPr>
      <w:r w:rsidRPr="00494205">
        <w:rPr>
          <w:rFonts w:ascii="Arial" w:hAnsi="Arial" w:cs="Arial"/>
          <w:shd w:val="clear" w:color="auto" w:fill="FFFFFF"/>
        </w:rPr>
        <w:t>Yn ôl fframwaith y Cwricwlwm i Gymru (2020), dylai dysgu gyfuno ystod lydan o wybodaeth a sgiliau gan alluogi’r dysgwyr i’w defnyddio a’u cymhwyso mewn cyd-destunau newydd a heriol. Mae hyn yn dwyn i gof syniadaeth Jean Piaget a soniodd mewn cyfweliad gyda Jean-Claude Bringuier (1980), bod yn rhaid i’r dysgwr adeiladu blociau o ddealltwriaeth ei hunan, ac nid yw’n bosib dysgu heb eisiau dysgu, felly mae yna bwyslais ar yr angen i’r athro rhoi’r blociau dysgu iddo er mwyn medru dechrau dysgu. Felly, mae’n ddyletswydd ar athrawon i ddarparu’r deunyddiau angenrheidiol hyn sydd angen ar blant i allu cyrraedd eu gwir botensial.</w:t>
      </w:r>
    </w:p>
    <w:p w14:paraId="419139E9" w14:textId="77777777" w:rsidR="0088493A" w:rsidRPr="0088493A" w:rsidRDefault="00494205" w:rsidP="00AE45C7">
      <w:pPr>
        <w:spacing w:line="480" w:lineRule="auto"/>
        <w:rPr>
          <w:rFonts w:ascii="Arial" w:hAnsi="Arial" w:cs="Arial"/>
        </w:rPr>
      </w:pPr>
      <w:r w:rsidRPr="00494205">
        <w:rPr>
          <w:rFonts w:ascii="Arial" w:hAnsi="Arial" w:cs="Arial"/>
          <w:shd w:val="clear" w:color="auto" w:fill="FFFFFF"/>
        </w:rPr>
        <w:t>Mae sicrhau gwarchod lles a gwella iechyd meddwl wedi bod yn ganolog i’r papur, a dengys ei fod yn gwbl hanfodol i’w ystyried yn ganolog yn addysg. Cyfrifwyd yn The Good Childhood Report (2020), roedd 18% o blant wedi sgorio’n is na’r pwynt canol wrth fesur boddhad bywyd, ac ystyriwyd bod ganddynt les isel.</w:t>
      </w:r>
      <w:r w:rsidR="00A23796">
        <w:rPr>
          <w:rFonts w:ascii="Arial" w:hAnsi="Arial" w:cs="Arial"/>
        </w:rPr>
        <w:t xml:space="preserve"> </w:t>
      </w:r>
      <w:r w:rsidR="0088493A" w:rsidRPr="0088493A">
        <w:rPr>
          <w:rFonts w:ascii="Arial" w:hAnsi="Arial" w:cs="Arial"/>
        </w:rPr>
        <w:t xml:space="preserve">Felly, wrth gofio bod yr ysgol yn ganolog ym mywyd unigolyn wrth edrych ar fodel ecolegol Bronfenbrenner, dylid gwneud y mwyaf posibl er mwyn sicrhau lles ac iechyd meddwl da mewn plant a phobl ifanc. </w:t>
      </w:r>
    </w:p>
    <w:p w14:paraId="330724DB" w14:textId="751CCF01" w:rsidR="00426810" w:rsidRDefault="0088493A" w:rsidP="00AE45C7">
      <w:pPr>
        <w:spacing w:line="480" w:lineRule="auto"/>
        <w:rPr>
          <w:rFonts w:ascii="Arial" w:hAnsi="Arial" w:cs="Arial"/>
        </w:rPr>
      </w:pPr>
      <w:r w:rsidRPr="0088493A">
        <w:rPr>
          <w:rFonts w:ascii="Arial" w:hAnsi="Arial" w:cs="Arial"/>
        </w:rPr>
        <w:t xml:space="preserve">Mae cymryd rhan mewn arsylwad anghyfranogol wedi fy ngalluogi i fyfyrio ar addysg o bersbectif y ddau ochr; drwy lygad y dysgwr a hefyd yr athro. Heb amheuaeth, mae addysg yn chwarae rhan hynod bwerus ym mywydau dysgwyr, ac felly dylid dilyn y strategaethau mwyaf addas er mwyn sicrhau dysgu effeithiol. Rahis cofio bod pob unigolyn yn wahanol, ac felly dylid teilwra’r ddysg yn ôl y plentyn. Byddaf yn cymryd nifer o’r dulliau a’r technegau </w:t>
      </w:r>
      <w:r w:rsidRPr="0088493A">
        <w:rPr>
          <w:rFonts w:ascii="Arial" w:hAnsi="Arial" w:cs="Arial"/>
        </w:rPr>
        <w:lastRenderedPageBreak/>
        <w:t>dysgu y gwelais i mewn i’m haddysgu i yn y dyfodol, a cheisio ymegnïo i fod yr athrawes orau y medraf fod.</w:t>
      </w:r>
    </w:p>
    <w:p w14:paraId="6D3E597D" w14:textId="08DEC99F" w:rsidR="0088493A" w:rsidRDefault="0088493A" w:rsidP="0088493A">
      <w:pPr>
        <w:spacing w:line="360" w:lineRule="auto"/>
        <w:rPr>
          <w:rFonts w:ascii="Arial" w:hAnsi="Arial" w:cs="Arial"/>
          <w:u w:val="single"/>
        </w:rPr>
      </w:pPr>
    </w:p>
    <w:p w14:paraId="65E98F88" w14:textId="77777777" w:rsidR="00AE45C7" w:rsidRDefault="00AE45C7" w:rsidP="0088493A">
      <w:pPr>
        <w:spacing w:line="360" w:lineRule="auto"/>
        <w:rPr>
          <w:rFonts w:ascii="Arial" w:hAnsi="Arial" w:cs="Arial"/>
          <w:u w:val="single"/>
        </w:rPr>
      </w:pPr>
    </w:p>
    <w:p w14:paraId="317A5C99" w14:textId="08AD6C0F" w:rsidR="00E97528" w:rsidRDefault="00D22A75" w:rsidP="00E97528">
      <w:pPr>
        <w:spacing w:line="360" w:lineRule="auto"/>
        <w:rPr>
          <w:rFonts w:ascii="Arial" w:hAnsi="Arial" w:cs="Arial"/>
          <w:b/>
          <w:bCs/>
          <w:u w:val="single"/>
        </w:rPr>
      </w:pPr>
      <w:r w:rsidRPr="00426810">
        <w:rPr>
          <w:rFonts w:ascii="Arial" w:hAnsi="Arial" w:cs="Arial"/>
          <w:b/>
          <w:bCs/>
          <w:u w:val="single"/>
        </w:rPr>
        <w:t>Llyfryddiaeth</w:t>
      </w:r>
    </w:p>
    <w:p w14:paraId="00173346" w14:textId="77777777" w:rsidR="005230C9" w:rsidRDefault="005230C9" w:rsidP="00E97528">
      <w:pPr>
        <w:spacing w:line="360" w:lineRule="auto"/>
        <w:rPr>
          <w:rFonts w:ascii="Arial" w:hAnsi="Arial" w:cs="Arial"/>
          <w:b/>
          <w:bCs/>
          <w:u w:val="single"/>
        </w:rPr>
      </w:pPr>
    </w:p>
    <w:p w14:paraId="0B19C3FF" w14:textId="1B34B172" w:rsidR="00D55E74" w:rsidRPr="00A07693" w:rsidRDefault="00E97528" w:rsidP="00D55E74">
      <w:pPr>
        <w:pStyle w:val="ListParagraph"/>
        <w:numPr>
          <w:ilvl w:val="0"/>
          <w:numId w:val="8"/>
        </w:numPr>
        <w:spacing w:line="360" w:lineRule="auto"/>
        <w:rPr>
          <w:rFonts w:ascii="Arial" w:hAnsi="Arial" w:cs="Arial"/>
          <w:b/>
          <w:bCs/>
          <w:u w:val="single"/>
        </w:rPr>
      </w:pPr>
      <w:r w:rsidRPr="00E97528">
        <w:rPr>
          <w:rFonts w:eastAsia="Times New Roman" w:cstheme="minorHAnsi"/>
          <w:lang w:eastAsia="en-GB"/>
        </w:rPr>
        <w:t>Angelides, P. (2001). The development of an efficient technique for collecting and analyzing qualitative data: the analysis of critical incidents. International Journal of Qualitative Studies in Education, 14(3), 429-442.</w:t>
      </w:r>
      <w:r w:rsidRPr="00E97528">
        <w:rPr>
          <w:rFonts w:eastAsia="Times New Roman" w:cstheme="minorHAnsi"/>
          <w:lang w:val="en-GB" w:eastAsia="en-GB"/>
        </w:rPr>
        <w:t> </w:t>
      </w:r>
    </w:p>
    <w:p w14:paraId="4F883030" w14:textId="77777777" w:rsidR="00A07693" w:rsidRPr="00D55E74" w:rsidRDefault="00A07693" w:rsidP="005230C9">
      <w:pPr>
        <w:pStyle w:val="ListParagraph"/>
        <w:spacing w:before="240" w:line="360" w:lineRule="auto"/>
        <w:ind w:left="502"/>
        <w:rPr>
          <w:rFonts w:ascii="Arial" w:hAnsi="Arial" w:cs="Arial"/>
          <w:b/>
          <w:bCs/>
          <w:u w:val="single"/>
        </w:rPr>
      </w:pPr>
    </w:p>
    <w:p w14:paraId="286F3F92" w14:textId="5999A171" w:rsidR="00D55E74" w:rsidRDefault="00E97528" w:rsidP="005230C9">
      <w:pPr>
        <w:pStyle w:val="ListParagraph"/>
        <w:numPr>
          <w:ilvl w:val="0"/>
          <w:numId w:val="8"/>
        </w:numPr>
        <w:spacing w:before="240" w:after="0" w:line="480" w:lineRule="auto"/>
        <w:textAlignment w:val="baseline"/>
        <w:rPr>
          <w:rFonts w:eastAsia="Times New Roman" w:cstheme="minorHAnsi"/>
          <w:lang w:val="en-GB" w:eastAsia="en-GB"/>
        </w:rPr>
      </w:pPr>
      <w:r w:rsidRPr="00E97528">
        <w:rPr>
          <w:rFonts w:eastAsia="Times New Roman" w:cstheme="minorHAnsi"/>
          <w:lang w:eastAsia="en-GB"/>
        </w:rPr>
        <w:t>Bell, J. &amp; Waters, S. (2018) Doing your research project : a guide for first-time researchers. Seventh edition. London, England ;: McGraw-Hill Education, 229.</w:t>
      </w:r>
      <w:r w:rsidRPr="00E97528">
        <w:rPr>
          <w:rFonts w:eastAsia="Times New Roman" w:cstheme="minorHAnsi"/>
          <w:lang w:val="en-GB" w:eastAsia="en-GB"/>
        </w:rPr>
        <w:t> </w:t>
      </w:r>
    </w:p>
    <w:p w14:paraId="75D35087" w14:textId="77777777" w:rsidR="00A07693" w:rsidRPr="00A07693" w:rsidRDefault="00A07693" w:rsidP="00A07693">
      <w:pPr>
        <w:spacing w:after="0" w:line="480" w:lineRule="auto"/>
        <w:ind w:left="142"/>
        <w:textAlignment w:val="baseline"/>
        <w:rPr>
          <w:rFonts w:eastAsia="Times New Roman" w:cstheme="minorHAnsi"/>
          <w:lang w:val="en-GB" w:eastAsia="en-GB"/>
        </w:rPr>
      </w:pPr>
    </w:p>
    <w:p w14:paraId="7619C0BD" w14:textId="3F1C8351" w:rsidR="00E97528" w:rsidRDefault="00E97528" w:rsidP="00E97528">
      <w:pPr>
        <w:pStyle w:val="ListParagraph"/>
        <w:numPr>
          <w:ilvl w:val="0"/>
          <w:numId w:val="8"/>
        </w:numPr>
        <w:spacing w:after="0" w:line="480" w:lineRule="auto"/>
        <w:textAlignment w:val="baseline"/>
        <w:rPr>
          <w:rFonts w:eastAsia="Times New Roman" w:cstheme="minorHAnsi"/>
          <w:lang w:val="en-GB" w:eastAsia="en-GB"/>
        </w:rPr>
      </w:pPr>
      <w:r w:rsidRPr="00E97528">
        <w:rPr>
          <w:rFonts w:eastAsia="Times New Roman" w:cstheme="minorHAnsi"/>
          <w:shd w:val="clear" w:color="auto" w:fill="FFFFFF"/>
          <w:lang w:eastAsia="en-GB"/>
        </w:rPr>
        <w:t>Brooks, JG a Brooks MG (2001). </w:t>
      </w:r>
      <w:r w:rsidRPr="00E97528">
        <w:rPr>
          <w:rFonts w:eastAsia="Times New Roman" w:cstheme="minorHAnsi"/>
          <w:i/>
          <w:iCs/>
          <w:shd w:val="clear" w:color="auto" w:fill="FFFFFF"/>
          <w:lang w:eastAsia="en-GB"/>
        </w:rPr>
        <w:t>Becoming a constructivist teacher</w:t>
      </w:r>
      <w:r w:rsidRPr="00E97528">
        <w:rPr>
          <w:rFonts w:eastAsia="Times New Roman" w:cstheme="minorHAnsi"/>
          <w:shd w:val="clear" w:color="auto" w:fill="FFFFFF"/>
          <w:lang w:eastAsia="en-GB"/>
        </w:rPr>
        <w:t>. </w:t>
      </w:r>
      <w:r w:rsidRPr="00E97528">
        <w:rPr>
          <w:rFonts w:eastAsia="Times New Roman" w:cstheme="minorHAnsi"/>
          <w:i/>
          <w:iCs/>
          <w:shd w:val="clear" w:color="auto" w:fill="FFFFFF"/>
          <w:lang w:eastAsia="en-GB"/>
        </w:rPr>
        <w:t>Developing Minds: A Resource Book for Teaching Thinking</w:t>
      </w:r>
      <w:r w:rsidRPr="00E97528">
        <w:rPr>
          <w:rFonts w:eastAsia="Times New Roman" w:cstheme="minorHAnsi"/>
          <w:shd w:val="clear" w:color="auto" w:fill="FFFFFF"/>
          <w:lang w:eastAsia="en-GB"/>
        </w:rPr>
        <w:t> Alexandria, VA: Association for Supervision and Curriculum Development, 150.</w:t>
      </w:r>
      <w:r w:rsidRPr="00E97528">
        <w:rPr>
          <w:rFonts w:eastAsia="Times New Roman" w:cstheme="minorHAnsi"/>
          <w:lang w:val="en-GB" w:eastAsia="en-GB"/>
        </w:rPr>
        <w:t> </w:t>
      </w:r>
    </w:p>
    <w:p w14:paraId="43E6995C" w14:textId="77777777" w:rsidR="00A07693" w:rsidRPr="00E97528" w:rsidRDefault="00A07693" w:rsidP="00A07693">
      <w:pPr>
        <w:pStyle w:val="ListParagraph"/>
        <w:spacing w:after="0" w:line="480" w:lineRule="auto"/>
        <w:ind w:left="502"/>
        <w:textAlignment w:val="baseline"/>
        <w:rPr>
          <w:rFonts w:eastAsia="Times New Roman" w:cstheme="minorHAnsi"/>
          <w:lang w:val="en-GB" w:eastAsia="en-GB"/>
        </w:rPr>
      </w:pPr>
    </w:p>
    <w:p w14:paraId="550410EA" w14:textId="00963D96" w:rsidR="00E97528" w:rsidRDefault="00E97528" w:rsidP="00E97528">
      <w:pPr>
        <w:pStyle w:val="ListParagraph"/>
        <w:numPr>
          <w:ilvl w:val="0"/>
          <w:numId w:val="8"/>
        </w:numPr>
        <w:spacing w:after="0" w:line="480" w:lineRule="auto"/>
        <w:textAlignment w:val="baseline"/>
        <w:rPr>
          <w:rFonts w:eastAsia="Times New Roman" w:cstheme="minorHAnsi"/>
          <w:lang w:val="en-GB" w:eastAsia="en-GB"/>
        </w:rPr>
      </w:pPr>
      <w:r w:rsidRPr="00E97528">
        <w:rPr>
          <w:rFonts w:eastAsia="Times New Roman" w:cstheme="minorHAnsi"/>
          <w:lang w:eastAsia="en-GB"/>
        </w:rPr>
        <w:t>Gallard, D. &amp; Cartmell, K. M. (2015) Psychology and education. [Online]. Milton Park, Abingdon, Oxon ;: Routledge. 18 -20.</w:t>
      </w:r>
      <w:r w:rsidRPr="00E97528">
        <w:rPr>
          <w:rFonts w:eastAsia="Times New Roman" w:cstheme="minorHAnsi"/>
          <w:lang w:val="en-GB" w:eastAsia="en-GB"/>
        </w:rPr>
        <w:t> </w:t>
      </w:r>
    </w:p>
    <w:p w14:paraId="1EC54AD5" w14:textId="77777777" w:rsidR="00A07693" w:rsidRPr="00A07693" w:rsidRDefault="00A07693" w:rsidP="00A07693">
      <w:pPr>
        <w:spacing w:after="0" w:line="480" w:lineRule="auto"/>
        <w:textAlignment w:val="baseline"/>
        <w:rPr>
          <w:rFonts w:eastAsia="Times New Roman" w:cstheme="minorHAnsi"/>
          <w:lang w:val="en-GB" w:eastAsia="en-GB"/>
        </w:rPr>
      </w:pPr>
    </w:p>
    <w:p w14:paraId="1809D453" w14:textId="6D4EFED6" w:rsidR="00E97528" w:rsidRDefault="00E97528" w:rsidP="00E97528">
      <w:pPr>
        <w:pStyle w:val="ListParagraph"/>
        <w:numPr>
          <w:ilvl w:val="0"/>
          <w:numId w:val="8"/>
        </w:numPr>
        <w:spacing w:after="0" w:line="480" w:lineRule="auto"/>
        <w:textAlignment w:val="baseline"/>
        <w:rPr>
          <w:rFonts w:eastAsia="Times New Roman" w:cstheme="minorHAnsi"/>
          <w:lang w:val="en-GB" w:eastAsia="en-GB"/>
        </w:rPr>
      </w:pPr>
      <w:r w:rsidRPr="00E97528">
        <w:rPr>
          <w:rFonts w:eastAsia="Times New Roman" w:cstheme="minorHAnsi"/>
          <w:lang w:eastAsia="en-GB"/>
        </w:rPr>
        <w:t>Gatherole S &amp; Alloway T (2007) </w:t>
      </w:r>
      <w:r w:rsidRPr="00E97528">
        <w:rPr>
          <w:rFonts w:eastAsia="Times New Roman" w:cstheme="minorHAnsi"/>
          <w:i/>
          <w:iCs/>
          <w:lang w:eastAsia="en-GB"/>
        </w:rPr>
        <w:t>Understanding working memory. A classroom guide.</w:t>
      </w:r>
      <w:r w:rsidRPr="00E97528">
        <w:rPr>
          <w:rFonts w:eastAsia="Times New Roman" w:cstheme="minorHAnsi"/>
          <w:lang w:eastAsia="en-GB"/>
        </w:rPr>
        <w:t> Harcourt Assessment. </w:t>
      </w:r>
      <w:r w:rsidRPr="00E97528">
        <w:rPr>
          <w:rFonts w:eastAsia="Times New Roman" w:cstheme="minorHAnsi"/>
          <w:lang w:val="en-GB" w:eastAsia="en-GB"/>
        </w:rPr>
        <w:t> </w:t>
      </w:r>
    </w:p>
    <w:p w14:paraId="0A933CE6" w14:textId="77777777" w:rsidR="00A07693" w:rsidRPr="00A07693" w:rsidRDefault="00A07693" w:rsidP="00A07693">
      <w:pPr>
        <w:spacing w:after="0" w:line="480" w:lineRule="auto"/>
        <w:textAlignment w:val="baseline"/>
        <w:rPr>
          <w:rFonts w:eastAsia="Times New Roman" w:cstheme="minorHAnsi"/>
          <w:lang w:val="en-GB" w:eastAsia="en-GB"/>
        </w:rPr>
      </w:pPr>
    </w:p>
    <w:p w14:paraId="4C233C88" w14:textId="2DC06917" w:rsidR="00E97528" w:rsidRPr="00A07693" w:rsidRDefault="00E97528" w:rsidP="00E97528">
      <w:pPr>
        <w:pStyle w:val="ListParagraph"/>
        <w:numPr>
          <w:ilvl w:val="0"/>
          <w:numId w:val="8"/>
        </w:numPr>
        <w:spacing w:after="0" w:line="480" w:lineRule="auto"/>
        <w:textAlignment w:val="baseline"/>
        <w:rPr>
          <w:rFonts w:eastAsia="Times New Roman" w:cstheme="minorHAnsi"/>
          <w:sz w:val="18"/>
          <w:szCs w:val="18"/>
          <w:lang w:val="en-GB" w:eastAsia="en-GB"/>
        </w:rPr>
      </w:pPr>
      <w:r w:rsidRPr="00E97528">
        <w:rPr>
          <w:rFonts w:eastAsia="Times New Roman" w:cstheme="minorHAnsi"/>
          <w:lang w:eastAsia="en-GB"/>
        </w:rPr>
        <w:t>Goldstein, G. et al. (2019) </w:t>
      </w:r>
      <w:r w:rsidRPr="00E97528">
        <w:rPr>
          <w:rFonts w:eastAsia="Times New Roman" w:cstheme="minorHAnsi"/>
          <w:i/>
          <w:iCs/>
          <w:lang w:eastAsia="en-GB"/>
        </w:rPr>
        <w:t>Handbook of psychological assessment.</w:t>
      </w:r>
      <w:r w:rsidRPr="00E97528">
        <w:rPr>
          <w:rFonts w:eastAsia="Times New Roman" w:cstheme="minorHAnsi"/>
          <w:lang w:eastAsia="en-GB"/>
        </w:rPr>
        <w:t> 4th ed. London: Academic P. an imprint of Elsevier., 41.</w:t>
      </w:r>
      <w:r w:rsidRPr="00E97528">
        <w:rPr>
          <w:rFonts w:eastAsia="Times New Roman" w:cstheme="minorHAnsi"/>
          <w:lang w:val="en-GB" w:eastAsia="en-GB"/>
        </w:rPr>
        <w:t> </w:t>
      </w:r>
    </w:p>
    <w:p w14:paraId="498C5AF1" w14:textId="77777777" w:rsidR="00A07693" w:rsidRPr="00E97528" w:rsidRDefault="00A07693" w:rsidP="00A07693">
      <w:pPr>
        <w:pStyle w:val="ListParagraph"/>
        <w:spacing w:after="0" w:line="480" w:lineRule="auto"/>
        <w:ind w:left="502"/>
        <w:textAlignment w:val="baseline"/>
        <w:rPr>
          <w:rFonts w:eastAsia="Times New Roman" w:cstheme="minorHAnsi"/>
          <w:sz w:val="18"/>
          <w:szCs w:val="18"/>
          <w:lang w:val="en-GB" w:eastAsia="en-GB"/>
        </w:rPr>
      </w:pPr>
    </w:p>
    <w:p w14:paraId="7ED61913" w14:textId="015BC6C0" w:rsidR="00E97528" w:rsidRDefault="00E97528" w:rsidP="00E97528">
      <w:pPr>
        <w:pStyle w:val="ListParagraph"/>
        <w:numPr>
          <w:ilvl w:val="0"/>
          <w:numId w:val="8"/>
        </w:numPr>
        <w:spacing w:after="0" w:line="480" w:lineRule="auto"/>
        <w:textAlignment w:val="baseline"/>
        <w:rPr>
          <w:rFonts w:eastAsia="Times New Roman" w:cstheme="minorHAnsi"/>
          <w:lang w:val="en-GB" w:eastAsia="en-GB"/>
        </w:rPr>
      </w:pPr>
      <w:r w:rsidRPr="00E97528">
        <w:rPr>
          <w:rFonts w:eastAsia="Times New Roman" w:cstheme="minorHAnsi"/>
          <w:lang w:eastAsia="en-GB"/>
        </w:rPr>
        <w:lastRenderedPageBreak/>
        <w:t>Goleman, D. (2006). </w:t>
      </w:r>
      <w:r w:rsidRPr="00E97528">
        <w:rPr>
          <w:rFonts w:eastAsia="Times New Roman" w:cstheme="minorHAnsi"/>
          <w:i/>
          <w:iCs/>
          <w:lang w:eastAsia="en-GB"/>
        </w:rPr>
        <w:t>Emotional intelligence: Why it can matter more than IQ</w:t>
      </w:r>
      <w:r w:rsidRPr="00E97528">
        <w:rPr>
          <w:rFonts w:eastAsia="Times New Roman" w:cstheme="minorHAnsi"/>
          <w:lang w:eastAsia="en-GB"/>
        </w:rPr>
        <w:t>. Random House Digital.</w:t>
      </w:r>
      <w:r w:rsidRPr="00E97528">
        <w:rPr>
          <w:rFonts w:eastAsia="Times New Roman" w:cstheme="minorHAnsi"/>
          <w:lang w:val="en-GB" w:eastAsia="en-GB"/>
        </w:rPr>
        <w:t> </w:t>
      </w:r>
    </w:p>
    <w:p w14:paraId="38E469ED" w14:textId="77777777" w:rsidR="00A07693" w:rsidRPr="00E97528" w:rsidRDefault="00A07693" w:rsidP="00A07693">
      <w:pPr>
        <w:pStyle w:val="ListParagraph"/>
        <w:spacing w:after="0" w:line="480" w:lineRule="auto"/>
        <w:ind w:left="502"/>
        <w:textAlignment w:val="baseline"/>
        <w:rPr>
          <w:rFonts w:eastAsia="Times New Roman" w:cstheme="minorHAnsi"/>
          <w:lang w:val="en-GB" w:eastAsia="en-GB"/>
        </w:rPr>
      </w:pPr>
    </w:p>
    <w:p w14:paraId="768CEEC7" w14:textId="2830799E" w:rsidR="00E97528" w:rsidRDefault="00E97528" w:rsidP="00E97528">
      <w:pPr>
        <w:pStyle w:val="ListParagraph"/>
        <w:numPr>
          <w:ilvl w:val="0"/>
          <w:numId w:val="8"/>
        </w:numPr>
        <w:spacing w:after="0" w:line="480" w:lineRule="auto"/>
        <w:textAlignment w:val="baseline"/>
        <w:rPr>
          <w:rFonts w:eastAsia="Times New Roman" w:cstheme="minorHAnsi"/>
          <w:lang w:val="en-GB" w:eastAsia="en-GB"/>
        </w:rPr>
      </w:pPr>
      <w:r w:rsidRPr="00E97528">
        <w:rPr>
          <w:rFonts w:eastAsia="Times New Roman" w:cstheme="minorHAnsi"/>
          <w:shd w:val="clear" w:color="auto" w:fill="FFFFFF"/>
          <w:lang w:eastAsia="en-GB"/>
        </w:rPr>
        <w:t>Hornby, G., (2015). Inclusive special education: development of a new theory for the education of children with special educational needs and disabilities. </w:t>
      </w:r>
      <w:r w:rsidRPr="00E97528">
        <w:rPr>
          <w:rFonts w:eastAsia="Times New Roman" w:cstheme="minorHAnsi"/>
          <w:i/>
          <w:iCs/>
          <w:shd w:val="clear" w:color="auto" w:fill="FFFFFF"/>
          <w:lang w:eastAsia="en-GB"/>
        </w:rPr>
        <w:t>British Journal of Special Education</w:t>
      </w:r>
      <w:r w:rsidRPr="00E97528">
        <w:rPr>
          <w:rFonts w:eastAsia="Times New Roman" w:cstheme="minorHAnsi"/>
          <w:shd w:val="clear" w:color="auto" w:fill="FFFFFF"/>
          <w:lang w:eastAsia="en-GB"/>
        </w:rPr>
        <w:t>, 42(3), 234-256.</w:t>
      </w:r>
      <w:r w:rsidRPr="00E97528">
        <w:rPr>
          <w:rFonts w:eastAsia="Times New Roman" w:cstheme="minorHAnsi"/>
          <w:lang w:val="en-GB" w:eastAsia="en-GB"/>
        </w:rPr>
        <w:t> </w:t>
      </w:r>
    </w:p>
    <w:p w14:paraId="66B67963" w14:textId="77777777" w:rsidR="00A07693" w:rsidRPr="00E97528" w:rsidRDefault="00A07693" w:rsidP="00A07693">
      <w:pPr>
        <w:pStyle w:val="ListParagraph"/>
        <w:spacing w:after="0" w:line="480" w:lineRule="auto"/>
        <w:ind w:left="502"/>
        <w:textAlignment w:val="baseline"/>
        <w:rPr>
          <w:rFonts w:eastAsia="Times New Roman" w:cstheme="minorHAnsi"/>
          <w:lang w:val="en-GB" w:eastAsia="en-GB"/>
        </w:rPr>
      </w:pPr>
    </w:p>
    <w:p w14:paraId="47339CA5" w14:textId="0E7DB4D8" w:rsidR="00D55E74" w:rsidRDefault="00E97528" w:rsidP="00D55E74">
      <w:pPr>
        <w:pStyle w:val="ListParagraph"/>
        <w:numPr>
          <w:ilvl w:val="0"/>
          <w:numId w:val="8"/>
        </w:numPr>
        <w:spacing w:after="0" w:line="480" w:lineRule="auto"/>
        <w:textAlignment w:val="baseline"/>
        <w:rPr>
          <w:rFonts w:eastAsia="Times New Roman" w:cstheme="minorHAnsi"/>
          <w:lang w:val="en-GB" w:eastAsia="en-GB"/>
        </w:rPr>
      </w:pPr>
      <w:r w:rsidRPr="00E97528">
        <w:rPr>
          <w:rFonts w:eastAsia="Times New Roman" w:cstheme="minorHAnsi"/>
          <w:lang w:eastAsia="en-GB"/>
        </w:rPr>
        <w:t>Howard, C., Burton, M., Levermore, D., &amp; Barrell, R. (2017). </w:t>
      </w:r>
      <w:r w:rsidRPr="00E97528">
        <w:rPr>
          <w:rFonts w:eastAsia="Times New Roman" w:cstheme="minorHAnsi"/>
          <w:i/>
          <w:iCs/>
          <w:lang w:eastAsia="en-GB"/>
        </w:rPr>
        <w:t>Children’s Mental Health and Emotional Well-being in Primary Schools</w:t>
      </w:r>
      <w:r w:rsidRPr="00E97528">
        <w:rPr>
          <w:rFonts w:eastAsia="Times New Roman" w:cstheme="minorHAnsi"/>
          <w:lang w:eastAsia="en-GB"/>
        </w:rPr>
        <w:t>. London: Learning Matters.</w:t>
      </w:r>
      <w:r w:rsidRPr="00E97528">
        <w:rPr>
          <w:rFonts w:eastAsia="Times New Roman" w:cstheme="minorHAnsi"/>
          <w:lang w:val="en-GB" w:eastAsia="en-GB"/>
        </w:rPr>
        <w:t> </w:t>
      </w:r>
    </w:p>
    <w:p w14:paraId="078F86BB" w14:textId="77777777" w:rsidR="00A07693" w:rsidRDefault="00A07693" w:rsidP="00A07693">
      <w:pPr>
        <w:pStyle w:val="ListParagraph"/>
        <w:spacing w:after="0" w:line="480" w:lineRule="auto"/>
        <w:ind w:left="502"/>
        <w:textAlignment w:val="baseline"/>
        <w:rPr>
          <w:rFonts w:eastAsia="Times New Roman" w:cstheme="minorHAnsi"/>
          <w:lang w:val="en-GB" w:eastAsia="en-GB"/>
        </w:rPr>
      </w:pPr>
    </w:p>
    <w:p w14:paraId="03E4282B" w14:textId="6CDB7D89" w:rsidR="00E97528" w:rsidRPr="00AF3ACC" w:rsidRDefault="009800D5" w:rsidP="00AF3ACC">
      <w:pPr>
        <w:pStyle w:val="ListParagraph"/>
        <w:numPr>
          <w:ilvl w:val="0"/>
          <w:numId w:val="8"/>
        </w:numPr>
        <w:spacing w:after="0" w:line="480" w:lineRule="auto"/>
        <w:textAlignment w:val="baseline"/>
        <w:rPr>
          <w:rFonts w:eastAsia="Times New Roman" w:cstheme="minorHAnsi"/>
          <w:lang w:val="en-GB" w:eastAsia="en-GB"/>
        </w:rPr>
      </w:pPr>
      <w:hyperlink r:id="rId8" w:anchor="fframwaith-cwricwlwm-i-gymru" w:history="1">
        <w:r w:rsidR="00AF3ACC" w:rsidRPr="000B61CB">
          <w:rPr>
            <w:rStyle w:val="Hyperlink"/>
            <w:rFonts w:eastAsia="Times New Roman" w:cstheme="minorHAnsi"/>
            <w:lang w:val="en-GB" w:eastAsia="en-GB"/>
          </w:rPr>
          <w:t>https://hwb.gov.wales/cwricwlwm-i-gymru/cyflwyniad/#fframwaith-cwricwlwm-i-gymru</w:t>
        </w:r>
      </w:hyperlink>
    </w:p>
    <w:p w14:paraId="62E5ABD2" w14:textId="0DC68CAE" w:rsidR="00E97528" w:rsidRDefault="009800D5" w:rsidP="00AF3ACC">
      <w:pPr>
        <w:spacing w:after="0" w:line="480" w:lineRule="auto"/>
        <w:ind w:left="502"/>
        <w:textAlignment w:val="baseline"/>
        <w:rPr>
          <w:rFonts w:eastAsia="Times New Roman" w:cstheme="minorHAnsi"/>
          <w:lang w:val="en-GB" w:eastAsia="en-GB"/>
        </w:rPr>
      </w:pPr>
      <w:hyperlink r:id="rId9" w:anchor=":~:text=Maslow%27s%20Hierarchy%20of%20Needs%201%20Selfactualization.%20Instead%20of,2%20Educational%20applications.%20...%203%20Critical%20evaluation.%20" w:history="1">
        <w:r w:rsidR="00A07693" w:rsidRPr="000B61CB">
          <w:rPr>
            <w:rStyle w:val="Hyperlink"/>
            <w:rFonts w:eastAsia="Times New Roman" w:cstheme="minorHAnsi"/>
            <w:lang w:val="en-GB" w:eastAsia="en-GB"/>
          </w:rPr>
          <w:t>https://www.simplypsychology.org/maslow.html#:~:text=Maslow%27s%20Hierarchy%20of%20Needs%201%20Selfactualization.%20Instead%20of,2%20Educational%20applications.%20...%203%20Critical%20evaluation.%20</w:t>
        </w:r>
      </w:hyperlink>
    </w:p>
    <w:p w14:paraId="31946608" w14:textId="77777777" w:rsidR="00A07693" w:rsidRDefault="00A07693" w:rsidP="00AF3ACC">
      <w:pPr>
        <w:spacing w:after="0" w:line="480" w:lineRule="auto"/>
        <w:ind w:left="502"/>
        <w:textAlignment w:val="baseline"/>
        <w:rPr>
          <w:rFonts w:eastAsia="Times New Roman" w:cstheme="minorHAnsi"/>
          <w:lang w:val="en-GB" w:eastAsia="en-GB"/>
        </w:rPr>
      </w:pPr>
    </w:p>
    <w:p w14:paraId="1FFD8BF4" w14:textId="07765147" w:rsidR="00E97528" w:rsidRDefault="00E97528" w:rsidP="00E97528">
      <w:pPr>
        <w:pStyle w:val="ListParagraph"/>
        <w:numPr>
          <w:ilvl w:val="0"/>
          <w:numId w:val="8"/>
        </w:numPr>
        <w:spacing w:after="0" w:line="480" w:lineRule="auto"/>
        <w:textAlignment w:val="baseline"/>
        <w:rPr>
          <w:rFonts w:eastAsia="Times New Roman" w:cstheme="minorHAnsi"/>
          <w:lang w:val="en-GB" w:eastAsia="en-GB"/>
        </w:rPr>
      </w:pPr>
      <w:r w:rsidRPr="00E97528">
        <w:rPr>
          <w:rFonts w:eastAsia="Times New Roman" w:cstheme="minorHAnsi"/>
          <w:lang w:eastAsia="en-GB"/>
        </w:rPr>
        <w:t>Johnson, laird, P.N (1986) </w:t>
      </w:r>
      <w:r w:rsidRPr="00E97528">
        <w:rPr>
          <w:rFonts w:eastAsia="Times New Roman" w:cstheme="minorHAnsi"/>
          <w:i/>
          <w:iCs/>
          <w:lang w:eastAsia="en-GB"/>
        </w:rPr>
        <w:t>An artist constructs a science</w:t>
      </w:r>
      <w:r w:rsidRPr="00E97528">
        <w:rPr>
          <w:rFonts w:eastAsia="Times New Roman" w:cstheme="minorHAnsi"/>
          <w:lang w:eastAsia="en-GB"/>
        </w:rPr>
        <w:t>, The Times Literary Supplement, 879-80.</w:t>
      </w:r>
      <w:r w:rsidRPr="00E97528">
        <w:rPr>
          <w:rFonts w:eastAsia="Times New Roman" w:cstheme="minorHAnsi"/>
          <w:lang w:val="en-GB" w:eastAsia="en-GB"/>
        </w:rPr>
        <w:t> </w:t>
      </w:r>
    </w:p>
    <w:p w14:paraId="6118BECC" w14:textId="77777777" w:rsidR="00A07693" w:rsidRPr="00E97528" w:rsidRDefault="00A07693" w:rsidP="00A07693">
      <w:pPr>
        <w:pStyle w:val="ListParagraph"/>
        <w:spacing w:after="0" w:line="480" w:lineRule="auto"/>
        <w:ind w:left="502"/>
        <w:textAlignment w:val="baseline"/>
        <w:rPr>
          <w:rFonts w:eastAsia="Times New Roman" w:cstheme="minorHAnsi"/>
          <w:lang w:val="en-GB" w:eastAsia="en-GB"/>
        </w:rPr>
      </w:pPr>
    </w:p>
    <w:p w14:paraId="5CEEE25C" w14:textId="22C32C16" w:rsidR="00E97528" w:rsidRDefault="00E97528" w:rsidP="00D55E74">
      <w:pPr>
        <w:pStyle w:val="ListParagraph"/>
        <w:numPr>
          <w:ilvl w:val="0"/>
          <w:numId w:val="8"/>
        </w:numPr>
        <w:shd w:val="clear" w:color="auto" w:fill="FFFFFF"/>
        <w:spacing w:after="0" w:line="480" w:lineRule="auto"/>
        <w:textAlignment w:val="baseline"/>
        <w:rPr>
          <w:rFonts w:eastAsia="Times New Roman" w:cstheme="minorHAnsi"/>
          <w:lang w:val="en-GB" w:eastAsia="en-GB"/>
        </w:rPr>
      </w:pPr>
      <w:r w:rsidRPr="00D55E74">
        <w:rPr>
          <w:rFonts w:eastAsia="Times New Roman" w:cstheme="minorHAnsi"/>
          <w:lang w:eastAsia="en-GB"/>
        </w:rPr>
        <w:t>Lendrum, Ann, (2010), </w:t>
      </w:r>
      <w:r w:rsidRPr="00D55E74">
        <w:rPr>
          <w:rFonts w:eastAsia="Times New Roman" w:cstheme="minorHAnsi"/>
          <w:i/>
          <w:iCs/>
          <w:lang w:eastAsia="en-GB"/>
        </w:rPr>
        <w:t>Social and Emotional Aspects of Learning (SEAL) programme in secondary schools:</w:t>
      </w:r>
      <w:r w:rsidRPr="00D55E74">
        <w:rPr>
          <w:rFonts w:eastAsia="Times New Roman" w:cstheme="minorHAnsi"/>
          <w:lang w:eastAsia="en-GB"/>
        </w:rPr>
        <w:t> National evaluation Michael Wigelsworth. </w:t>
      </w:r>
      <w:r w:rsidRPr="00D55E74">
        <w:rPr>
          <w:rFonts w:eastAsia="Times New Roman" w:cstheme="minorHAnsi"/>
          <w:lang w:val="en-GB" w:eastAsia="en-GB"/>
        </w:rPr>
        <w:t> </w:t>
      </w:r>
    </w:p>
    <w:p w14:paraId="347F01D6" w14:textId="77777777" w:rsidR="00A07693" w:rsidRPr="00D55E74" w:rsidRDefault="00A07693" w:rsidP="00A07693">
      <w:pPr>
        <w:pStyle w:val="ListParagraph"/>
        <w:shd w:val="clear" w:color="auto" w:fill="FFFFFF"/>
        <w:spacing w:after="0" w:line="480" w:lineRule="auto"/>
        <w:ind w:left="502"/>
        <w:textAlignment w:val="baseline"/>
        <w:rPr>
          <w:rFonts w:eastAsia="Times New Roman" w:cstheme="minorHAnsi"/>
          <w:lang w:val="en-GB" w:eastAsia="en-GB"/>
        </w:rPr>
      </w:pPr>
    </w:p>
    <w:p w14:paraId="536ED1A4" w14:textId="33B9720B" w:rsidR="00E97528" w:rsidRDefault="00E97528" w:rsidP="00D55E74">
      <w:pPr>
        <w:pStyle w:val="ListParagraph"/>
        <w:numPr>
          <w:ilvl w:val="0"/>
          <w:numId w:val="8"/>
        </w:numPr>
        <w:spacing w:after="0" w:line="480" w:lineRule="auto"/>
        <w:textAlignment w:val="baseline"/>
        <w:rPr>
          <w:rFonts w:eastAsia="Times New Roman" w:cstheme="minorHAnsi"/>
          <w:lang w:val="en-GB" w:eastAsia="en-GB"/>
        </w:rPr>
      </w:pPr>
      <w:r w:rsidRPr="00D55E74">
        <w:rPr>
          <w:rFonts w:eastAsia="Times New Roman" w:cstheme="minorHAnsi"/>
          <w:lang w:eastAsia="en-GB"/>
        </w:rPr>
        <w:t>Mayer, Roberts &amp; Barsade, (2008), </w:t>
      </w:r>
      <w:r w:rsidRPr="00D55E74">
        <w:rPr>
          <w:rFonts w:eastAsia="Times New Roman" w:cstheme="minorHAnsi"/>
          <w:i/>
          <w:iCs/>
          <w:lang w:eastAsia="en-GB"/>
        </w:rPr>
        <w:t>The Annual Review of Psychology, Human Abilities: Emotional Intelligence</w:t>
      </w:r>
      <w:r w:rsidRPr="00D55E74">
        <w:rPr>
          <w:rFonts w:eastAsia="Times New Roman" w:cstheme="minorHAnsi"/>
          <w:lang w:eastAsia="en-GB"/>
        </w:rPr>
        <w:t>, 523-525.</w:t>
      </w:r>
      <w:r w:rsidRPr="00D55E74">
        <w:rPr>
          <w:rFonts w:eastAsia="Times New Roman" w:cstheme="minorHAnsi"/>
          <w:lang w:val="en-GB" w:eastAsia="en-GB"/>
        </w:rPr>
        <w:t> </w:t>
      </w:r>
    </w:p>
    <w:p w14:paraId="6C58D9F3" w14:textId="77777777" w:rsidR="00A07693" w:rsidRPr="00A07693" w:rsidRDefault="00A07693" w:rsidP="00A07693">
      <w:pPr>
        <w:spacing w:after="0" w:line="480" w:lineRule="auto"/>
        <w:ind w:left="142"/>
        <w:textAlignment w:val="baseline"/>
        <w:rPr>
          <w:rFonts w:eastAsia="Times New Roman" w:cstheme="minorHAnsi"/>
          <w:lang w:val="en-GB" w:eastAsia="en-GB"/>
        </w:rPr>
      </w:pPr>
    </w:p>
    <w:p w14:paraId="5D6D61D5" w14:textId="6A9E1EEA" w:rsidR="00E97528" w:rsidRDefault="00E97528" w:rsidP="00D55E74">
      <w:pPr>
        <w:pStyle w:val="ListParagraph"/>
        <w:numPr>
          <w:ilvl w:val="0"/>
          <w:numId w:val="8"/>
        </w:numPr>
        <w:spacing w:after="0" w:line="480" w:lineRule="auto"/>
        <w:textAlignment w:val="baseline"/>
        <w:rPr>
          <w:rFonts w:eastAsia="Times New Roman" w:cstheme="minorHAnsi"/>
          <w:lang w:val="en-GB" w:eastAsia="en-GB"/>
        </w:rPr>
      </w:pPr>
      <w:r w:rsidRPr="00D55E74">
        <w:rPr>
          <w:rFonts w:eastAsia="Times New Roman" w:cstheme="minorHAnsi"/>
          <w:lang w:eastAsia="en-GB"/>
        </w:rPr>
        <w:t>Needham, T, </w:t>
      </w:r>
      <w:hyperlink r:id="rId10" w:tgtFrame="_blank" w:history="1">
        <w:r w:rsidRPr="00D55E74">
          <w:rPr>
            <w:rFonts w:eastAsia="Times New Roman" w:cstheme="minorHAnsi"/>
            <w:u w:val="single"/>
            <w:lang w:eastAsia="en-GB"/>
          </w:rPr>
          <w:t>Cognitive load theory in the classroom - ResearchED</w:t>
        </w:r>
      </w:hyperlink>
      <w:r w:rsidRPr="00D55E74">
        <w:rPr>
          <w:rFonts w:eastAsia="Times New Roman" w:cstheme="minorHAnsi"/>
          <w:u w:val="single"/>
          <w:lang w:eastAsia="en-GB"/>
        </w:rPr>
        <w:t>, </w:t>
      </w:r>
      <w:r w:rsidRPr="00D55E74">
        <w:rPr>
          <w:rFonts w:eastAsia="Times New Roman" w:cstheme="minorHAnsi"/>
          <w:lang w:eastAsia="en-GB"/>
        </w:rPr>
        <w:t>2019.</w:t>
      </w:r>
      <w:r w:rsidRPr="00D55E74">
        <w:rPr>
          <w:rFonts w:eastAsia="Times New Roman" w:cstheme="minorHAnsi"/>
          <w:lang w:val="en-GB" w:eastAsia="en-GB"/>
        </w:rPr>
        <w:t> </w:t>
      </w:r>
    </w:p>
    <w:p w14:paraId="5C8F7DEA" w14:textId="77777777" w:rsidR="00A07693" w:rsidRDefault="00A07693" w:rsidP="00A07693">
      <w:pPr>
        <w:pStyle w:val="ListParagraph"/>
        <w:spacing w:after="0" w:line="480" w:lineRule="auto"/>
        <w:ind w:left="502"/>
        <w:textAlignment w:val="baseline"/>
        <w:rPr>
          <w:rFonts w:eastAsia="Times New Roman" w:cstheme="minorHAnsi"/>
          <w:shd w:val="clear" w:color="auto" w:fill="FFFFFF"/>
          <w:lang w:eastAsia="en-GB"/>
        </w:rPr>
      </w:pPr>
    </w:p>
    <w:p w14:paraId="484F1FBD" w14:textId="753CACAD" w:rsidR="00E97528" w:rsidRPr="00A07693" w:rsidRDefault="00E97528" w:rsidP="00A07693">
      <w:pPr>
        <w:pStyle w:val="ListParagraph"/>
        <w:numPr>
          <w:ilvl w:val="0"/>
          <w:numId w:val="8"/>
        </w:numPr>
        <w:spacing w:after="0" w:line="480" w:lineRule="auto"/>
        <w:textAlignment w:val="baseline"/>
        <w:rPr>
          <w:rFonts w:eastAsia="Times New Roman" w:cstheme="minorHAnsi"/>
          <w:lang w:val="en-GB" w:eastAsia="en-GB"/>
        </w:rPr>
      </w:pPr>
      <w:r w:rsidRPr="00A07693">
        <w:rPr>
          <w:rFonts w:eastAsia="Times New Roman" w:cstheme="minorHAnsi"/>
          <w:shd w:val="clear" w:color="auto" w:fill="FFFFFF"/>
          <w:lang w:eastAsia="en-GB"/>
        </w:rPr>
        <w:lastRenderedPageBreak/>
        <w:t>Paas F, Renkl A and Sweller J (2003) </w:t>
      </w:r>
      <w:r w:rsidRPr="00A07693">
        <w:rPr>
          <w:rFonts w:eastAsia="Times New Roman" w:cstheme="minorHAnsi"/>
          <w:i/>
          <w:iCs/>
          <w:shd w:val="clear" w:color="auto" w:fill="FFFFFF"/>
          <w:lang w:eastAsia="en-GB"/>
        </w:rPr>
        <w:t>Cognitive Load Theory and instructional design: Recent developments.</w:t>
      </w:r>
      <w:r w:rsidRPr="00A07693">
        <w:rPr>
          <w:rFonts w:eastAsia="Times New Roman" w:cstheme="minorHAnsi"/>
          <w:shd w:val="clear" w:color="auto" w:fill="FFFFFF"/>
          <w:lang w:eastAsia="en-GB"/>
        </w:rPr>
        <w:t> Educational Psychologist 38(1): 1-4.</w:t>
      </w:r>
    </w:p>
    <w:p w14:paraId="5ECC9C89" w14:textId="77777777" w:rsidR="00A07693" w:rsidRDefault="00A07693" w:rsidP="00D55E74">
      <w:pPr>
        <w:spacing w:after="0" w:line="480" w:lineRule="auto"/>
        <w:ind w:left="643"/>
        <w:textAlignment w:val="baseline"/>
        <w:rPr>
          <w:rFonts w:eastAsia="Times New Roman" w:cstheme="minorHAnsi"/>
          <w:lang w:val="en-GB" w:eastAsia="en-GB"/>
        </w:rPr>
      </w:pPr>
    </w:p>
    <w:p w14:paraId="1E817D10" w14:textId="2860FEFF" w:rsidR="00E97528" w:rsidRDefault="00E97528" w:rsidP="00D55E74">
      <w:pPr>
        <w:pStyle w:val="ListParagraph"/>
        <w:numPr>
          <w:ilvl w:val="0"/>
          <w:numId w:val="8"/>
        </w:numPr>
        <w:spacing w:after="0" w:line="480" w:lineRule="auto"/>
        <w:textAlignment w:val="baseline"/>
        <w:rPr>
          <w:rFonts w:eastAsia="Times New Roman" w:cstheme="minorHAnsi"/>
          <w:lang w:eastAsia="en-GB"/>
        </w:rPr>
      </w:pPr>
      <w:r w:rsidRPr="00D55E74">
        <w:rPr>
          <w:rFonts w:eastAsia="Times New Roman" w:cstheme="minorHAnsi"/>
          <w:lang w:eastAsia="en-GB"/>
        </w:rPr>
        <w:t>Rose, J. et al. (2016) </w:t>
      </w:r>
      <w:r w:rsidRPr="00D55E74">
        <w:rPr>
          <w:rFonts w:eastAsia="Times New Roman" w:cstheme="minorHAnsi"/>
          <w:i/>
          <w:iCs/>
          <w:lang w:eastAsia="en-GB"/>
        </w:rPr>
        <w:t>Health and well-being in early childhood.</w:t>
      </w:r>
      <w:r w:rsidRPr="00D55E74">
        <w:rPr>
          <w:rFonts w:eastAsia="Times New Roman" w:cstheme="minorHAnsi"/>
          <w:lang w:eastAsia="en-GB"/>
        </w:rPr>
        <w:t> First edition. Los Angeles: SAGE.16 - 34.</w:t>
      </w:r>
    </w:p>
    <w:p w14:paraId="2C2338CE" w14:textId="77777777" w:rsidR="00A07693" w:rsidRPr="00A07693" w:rsidRDefault="00A07693" w:rsidP="00A07693">
      <w:pPr>
        <w:spacing w:after="0" w:line="480" w:lineRule="auto"/>
        <w:textAlignment w:val="baseline"/>
        <w:rPr>
          <w:rFonts w:eastAsia="Times New Roman" w:cstheme="minorHAnsi"/>
          <w:lang w:eastAsia="en-GB"/>
        </w:rPr>
      </w:pPr>
    </w:p>
    <w:p w14:paraId="68A79BC3" w14:textId="5EB5947C" w:rsidR="00E97528" w:rsidRDefault="00E97528" w:rsidP="00D55E74">
      <w:pPr>
        <w:pStyle w:val="ListParagraph"/>
        <w:numPr>
          <w:ilvl w:val="0"/>
          <w:numId w:val="8"/>
        </w:numPr>
        <w:shd w:val="clear" w:color="auto" w:fill="FFFFFF"/>
        <w:spacing w:after="0" w:line="480" w:lineRule="auto"/>
        <w:textAlignment w:val="baseline"/>
        <w:rPr>
          <w:rFonts w:eastAsia="Times New Roman" w:cstheme="minorHAnsi"/>
          <w:lang w:val="en-GB" w:eastAsia="en-GB"/>
        </w:rPr>
      </w:pPr>
      <w:r w:rsidRPr="00D55E74">
        <w:rPr>
          <w:rFonts w:eastAsia="Times New Roman" w:cstheme="minorHAnsi"/>
          <w:lang w:eastAsia="en-GB"/>
        </w:rPr>
        <w:t>SA University Review, Vol. 8 No. 1, (2014), </w:t>
      </w:r>
      <w:r w:rsidRPr="00D55E74">
        <w:rPr>
          <w:rFonts w:eastAsia="Times New Roman" w:cstheme="minorHAnsi"/>
          <w:i/>
          <w:iCs/>
          <w:lang w:eastAsia="en-GB"/>
        </w:rPr>
        <w:t>Motivational Theories – A Critical Analysis Mohammad Faizul Haque* Mohammad Aminul Haque*</w:t>
      </w:r>
      <w:r w:rsidRPr="00D55E74">
        <w:rPr>
          <w:rFonts w:eastAsia="Times New Roman" w:cstheme="minorHAnsi"/>
          <w:lang w:eastAsia="en-GB"/>
        </w:rPr>
        <w:t>* </w:t>
      </w:r>
      <w:r w:rsidRPr="00D55E74">
        <w:rPr>
          <w:rFonts w:eastAsia="Times New Roman" w:cstheme="minorHAnsi"/>
          <w:i/>
          <w:iCs/>
          <w:lang w:eastAsia="en-GB"/>
        </w:rPr>
        <w:t>Md. Shamimul Islam***</w:t>
      </w:r>
      <w:r w:rsidRPr="00D55E74">
        <w:rPr>
          <w:rFonts w:eastAsia="Times New Roman" w:cstheme="minorHAnsi"/>
          <w:lang w:eastAsia="en-GB"/>
        </w:rPr>
        <w:t> , 63.</w:t>
      </w:r>
      <w:r w:rsidRPr="00D55E74">
        <w:rPr>
          <w:rFonts w:eastAsia="Times New Roman" w:cstheme="minorHAnsi"/>
          <w:lang w:val="en-GB" w:eastAsia="en-GB"/>
        </w:rPr>
        <w:t> </w:t>
      </w:r>
    </w:p>
    <w:p w14:paraId="770E39DA" w14:textId="77777777" w:rsidR="00AF3ACC" w:rsidRPr="00AF3ACC" w:rsidRDefault="00AF3ACC" w:rsidP="00AF3ACC">
      <w:pPr>
        <w:shd w:val="clear" w:color="auto" w:fill="FFFFFF"/>
        <w:spacing w:after="0" w:line="480" w:lineRule="auto"/>
        <w:ind w:left="142"/>
        <w:textAlignment w:val="baseline"/>
        <w:rPr>
          <w:rFonts w:eastAsia="Times New Roman" w:cstheme="minorHAnsi"/>
          <w:lang w:val="en-GB" w:eastAsia="en-GB"/>
        </w:rPr>
      </w:pPr>
    </w:p>
    <w:p w14:paraId="010F7697" w14:textId="2259D2E7" w:rsidR="00E97528" w:rsidRDefault="00E97528" w:rsidP="00D55E74">
      <w:pPr>
        <w:pStyle w:val="ListParagraph"/>
        <w:numPr>
          <w:ilvl w:val="0"/>
          <w:numId w:val="8"/>
        </w:numPr>
        <w:spacing w:after="0" w:line="480" w:lineRule="auto"/>
        <w:textAlignment w:val="baseline"/>
        <w:rPr>
          <w:rFonts w:eastAsia="Times New Roman" w:cstheme="minorHAnsi"/>
          <w:lang w:val="en-GB" w:eastAsia="en-GB"/>
        </w:rPr>
      </w:pPr>
      <w:r w:rsidRPr="00D55E74">
        <w:rPr>
          <w:rFonts w:eastAsia="Times New Roman" w:cstheme="minorHAnsi"/>
          <w:lang w:eastAsia="en-GB"/>
        </w:rPr>
        <w:t>Shilbi, Dominic &amp; West, Rachel, (2018) </w:t>
      </w:r>
      <w:hyperlink r:id="rId11" w:tgtFrame="_blank" w:history="1">
        <w:r w:rsidRPr="00D55E74">
          <w:rPr>
            <w:rFonts w:eastAsia="Times New Roman" w:cstheme="minorHAnsi"/>
            <w:u w:val="single"/>
            <w:lang w:eastAsia="en-GB"/>
          </w:rPr>
          <w:t>Cognitive Load Theory and its application in the</w:t>
        </w:r>
        <w:r w:rsidR="00AF3ACC">
          <w:rPr>
            <w:rFonts w:eastAsia="Times New Roman" w:cstheme="minorHAnsi"/>
            <w:u w:val="single"/>
            <w:lang w:eastAsia="en-GB"/>
          </w:rPr>
          <w:t xml:space="preserve"> </w:t>
        </w:r>
        <w:r w:rsidRPr="00D55E74">
          <w:rPr>
            <w:rFonts w:eastAsia="Times New Roman" w:cstheme="minorHAnsi"/>
            <w:u w:val="single"/>
            <w:lang w:eastAsia="en-GB"/>
          </w:rPr>
          <w:t>classroom - impact.chartered.college</w:t>
        </w:r>
      </w:hyperlink>
      <w:r w:rsidRPr="00D55E74">
        <w:rPr>
          <w:rFonts w:eastAsia="Times New Roman" w:cstheme="minorHAnsi"/>
          <w:lang w:eastAsia="en-GB"/>
        </w:rPr>
        <w:t>.</w:t>
      </w:r>
      <w:r w:rsidRPr="00D55E74">
        <w:rPr>
          <w:rFonts w:eastAsia="Times New Roman" w:cstheme="minorHAnsi"/>
          <w:lang w:val="en-GB" w:eastAsia="en-GB"/>
        </w:rPr>
        <w:t> </w:t>
      </w:r>
    </w:p>
    <w:p w14:paraId="6AFCBE75" w14:textId="77777777" w:rsidR="00AF3ACC" w:rsidRPr="00AF3ACC" w:rsidRDefault="00AF3ACC" w:rsidP="00AF3ACC">
      <w:pPr>
        <w:spacing w:after="0" w:line="480" w:lineRule="auto"/>
        <w:textAlignment w:val="baseline"/>
        <w:rPr>
          <w:rFonts w:eastAsia="Times New Roman" w:cstheme="minorHAnsi"/>
          <w:lang w:val="en-GB" w:eastAsia="en-GB"/>
        </w:rPr>
      </w:pPr>
    </w:p>
    <w:p w14:paraId="49451DCD" w14:textId="72017DF3" w:rsidR="00E97528" w:rsidRDefault="009800D5" w:rsidP="00D55E74">
      <w:pPr>
        <w:pStyle w:val="ListParagraph"/>
        <w:numPr>
          <w:ilvl w:val="0"/>
          <w:numId w:val="8"/>
        </w:numPr>
        <w:spacing w:after="0" w:line="480" w:lineRule="auto"/>
        <w:textAlignment w:val="baseline"/>
        <w:rPr>
          <w:rFonts w:eastAsia="Times New Roman" w:cstheme="minorHAnsi"/>
          <w:lang w:val="en-GB" w:eastAsia="en-GB"/>
        </w:rPr>
      </w:pPr>
      <w:hyperlink w:history="1">
        <w:r w:rsidR="00D55E74" w:rsidRPr="000B61CB">
          <w:rPr>
            <w:rStyle w:val="Hyperlink"/>
            <w:rFonts w:eastAsia="Times New Roman" w:cstheme="minorHAnsi"/>
            <w:lang w:eastAsia="en-GB"/>
          </w:rPr>
          <w:t>Social and emotional aspects of learning (SEAL) programme in secondary schools: national evaluation - GOV.UK (www.gov.uk)</w:t>
        </w:r>
      </w:hyperlink>
      <w:r w:rsidR="00E97528" w:rsidRPr="00D55E74">
        <w:rPr>
          <w:rFonts w:eastAsia="Times New Roman" w:cstheme="minorHAnsi"/>
          <w:lang w:eastAsia="en-GB"/>
        </w:rPr>
        <w:t> (2010)</w:t>
      </w:r>
      <w:r w:rsidR="00E97528" w:rsidRPr="00D55E74">
        <w:rPr>
          <w:rFonts w:eastAsia="Times New Roman" w:cstheme="minorHAnsi"/>
          <w:lang w:val="en-GB" w:eastAsia="en-GB"/>
        </w:rPr>
        <w:t> </w:t>
      </w:r>
    </w:p>
    <w:p w14:paraId="3E49D14F" w14:textId="77777777" w:rsidR="00AF3ACC" w:rsidRPr="00D7371F" w:rsidRDefault="00AF3ACC" w:rsidP="00D7371F">
      <w:pPr>
        <w:spacing w:after="0" w:line="480" w:lineRule="auto"/>
        <w:textAlignment w:val="baseline"/>
        <w:rPr>
          <w:rFonts w:eastAsia="Times New Roman" w:cstheme="minorHAnsi"/>
          <w:lang w:val="en-GB" w:eastAsia="en-GB"/>
        </w:rPr>
      </w:pPr>
    </w:p>
    <w:p w14:paraId="7B951BFC" w14:textId="73F5251F" w:rsidR="00E97528" w:rsidRDefault="00E97528" w:rsidP="00D7371F">
      <w:pPr>
        <w:pStyle w:val="ListParagraph"/>
        <w:numPr>
          <w:ilvl w:val="0"/>
          <w:numId w:val="8"/>
        </w:numPr>
        <w:spacing w:after="0" w:line="480" w:lineRule="auto"/>
        <w:textAlignment w:val="baseline"/>
        <w:rPr>
          <w:rFonts w:eastAsia="Times New Roman" w:cstheme="minorHAnsi"/>
          <w:lang w:val="en-GB" w:eastAsia="en-GB"/>
        </w:rPr>
      </w:pPr>
      <w:r w:rsidRPr="00D7371F">
        <w:rPr>
          <w:rFonts w:eastAsia="Times New Roman" w:cstheme="minorHAnsi"/>
          <w:shd w:val="clear" w:color="auto" w:fill="FFFFFF"/>
          <w:lang w:eastAsia="en-GB"/>
        </w:rPr>
        <w:t>Sweller J (1998) Cognitive load during problem solving: Effects on learning. Cognitive Science (12): 257-285.</w:t>
      </w:r>
      <w:r w:rsidRPr="00D7371F">
        <w:rPr>
          <w:rFonts w:eastAsia="Times New Roman" w:cstheme="minorHAnsi"/>
          <w:lang w:val="en-GB" w:eastAsia="en-GB"/>
        </w:rPr>
        <w:t> </w:t>
      </w:r>
    </w:p>
    <w:p w14:paraId="1E9E0947" w14:textId="77777777" w:rsidR="00D7371F" w:rsidRPr="00D7371F" w:rsidRDefault="00D7371F" w:rsidP="00D7371F">
      <w:pPr>
        <w:spacing w:after="0" w:line="480" w:lineRule="auto"/>
        <w:textAlignment w:val="baseline"/>
        <w:rPr>
          <w:rFonts w:eastAsia="Times New Roman" w:cstheme="minorHAnsi"/>
          <w:lang w:val="en-GB" w:eastAsia="en-GB"/>
        </w:rPr>
      </w:pPr>
    </w:p>
    <w:p w14:paraId="0576E952" w14:textId="0D0221E5" w:rsidR="00D7371F" w:rsidRPr="005230C9" w:rsidRDefault="00E97528" w:rsidP="005230C9">
      <w:pPr>
        <w:pStyle w:val="ListParagraph"/>
        <w:numPr>
          <w:ilvl w:val="0"/>
          <w:numId w:val="8"/>
        </w:numPr>
        <w:spacing w:after="0" w:line="480" w:lineRule="auto"/>
        <w:textAlignment w:val="baseline"/>
        <w:rPr>
          <w:rFonts w:eastAsia="Times New Roman" w:cstheme="minorHAnsi"/>
          <w:lang w:val="en-GB" w:eastAsia="en-GB"/>
        </w:rPr>
      </w:pPr>
      <w:r w:rsidRPr="00D7371F">
        <w:rPr>
          <w:rFonts w:eastAsia="Times New Roman" w:cstheme="minorHAnsi"/>
          <w:lang w:eastAsia="en-GB"/>
        </w:rPr>
        <w:t>Tripp, David. (2011), Critical Incidents in Teaching (Classic Edition) : Developing Professional Judgement, Taylor &amp; Francis Group.</w:t>
      </w:r>
      <w:r w:rsidRPr="00D7371F">
        <w:rPr>
          <w:rFonts w:eastAsia="Times New Roman" w:cstheme="minorHAnsi"/>
          <w:lang w:val="en-GB" w:eastAsia="en-GB"/>
        </w:rPr>
        <w:t> </w:t>
      </w:r>
    </w:p>
    <w:p w14:paraId="0C61228B" w14:textId="77777777" w:rsidR="00D7371F" w:rsidRPr="00D7371F" w:rsidRDefault="00D7371F" w:rsidP="00D7371F">
      <w:pPr>
        <w:spacing w:after="0" w:line="480" w:lineRule="auto"/>
        <w:textAlignment w:val="baseline"/>
        <w:rPr>
          <w:rFonts w:eastAsia="Times New Roman" w:cstheme="minorHAnsi"/>
          <w:lang w:val="en-GB" w:eastAsia="en-GB"/>
        </w:rPr>
      </w:pPr>
    </w:p>
    <w:p w14:paraId="45F293EA" w14:textId="766CA77D" w:rsidR="00E97528" w:rsidRDefault="00E97528" w:rsidP="00D7371F">
      <w:pPr>
        <w:pStyle w:val="ListParagraph"/>
        <w:numPr>
          <w:ilvl w:val="0"/>
          <w:numId w:val="8"/>
        </w:numPr>
        <w:spacing w:after="0" w:line="480" w:lineRule="auto"/>
        <w:textAlignment w:val="baseline"/>
        <w:rPr>
          <w:rFonts w:eastAsia="Times New Roman" w:cstheme="minorHAnsi"/>
          <w:sz w:val="23"/>
          <w:szCs w:val="23"/>
          <w:lang w:val="en-GB" w:eastAsia="en-GB"/>
        </w:rPr>
      </w:pPr>
      <w:r w:rsidRPr="00D7371F">
        <w:rPr>
          <w:rFonts w:eastAsia="Times New Roman" w:cstheme="minorHAnsi"/>
          <w:sz w:val="23"/>
          <w:szCs w:val="23"/>
          <w:lang w:eastAsia="en-GB"/>
        </w:rPr>
        <w:t>The Children’s Society, 2020</w:t>
      </w:r>
      <w:r w:rsidRPr="00D7371F">
        <w:rPr>
          <w:rFonts w:eastAsia="Times New Roman" w:cstheme="minorHAnsi"/>
          <w:i/>
          <w:iCs/>
          <w:sz w:val="23"/>
          <w:szCs w:val="23"/>
          <w:lang w:eastAsia="en-GB"/>
        </w:rPr>
        <w:t>, The guardian: goodchild report 2020</w:t>
      </w:r>
      <w:r w:rsidRPr="00D7371F">
        <w:rPr>
          <w:rFonts w:eastAsia="Times New Roman" w:cstheme="minorHAnsi"/>
          <w:sz w:val="23"/>
          <w:szCs w:val="23"/>
          <w:lang w:eastAsia="en-GB"/>
        </w:rPr>
        <w:t>. </w:t>
      </w:r>
      <w:r w:rsidRPr="00D7371F">
        <w:rPr>
          <w:rFonts w:eastAsia="Times New Roman" w:cstheme="minorHAnsi"/>
          <w:sz w:val="23"/>
          <w:szCs w:val="23"/>
          <w:lang w:val="en-GB" w:eastAsia="en-GB"/>
        </w:rPr>
        <w:t> </w:t>
      </w:r>
    </w:p>
    <w:p w14:paraId="41625E4C" w14:textId="77777777" w:rsidR="00D7371F" w:rsidRPr="00D7371F" w:rsidRDefault="00D7371F" w:rsidP="00D7371F">
      <w:pPr>
        <w:pStyle w:val="ListParagraph"/>
        <w:spacing w:after="0" w:line="480" w:lineRule="auto"/>
        <w:ind w:left="502"/>
        <w:textAlignment w:val="baseline"/>
        <w:rPr>
          <w:rFonts w:eastAsia="Times New Roman" w:cstheme="minorHAnsi"/>
          <w:sz w:val="23"/>
          <w:szCs w:val="23"/>
          <w:lang w:val="en-GB" w:eastAsia="en-GB"/>
        </w:rPr>
      </w:pPr>
    </w:p>
    <w:p w14:paraId="06215F43" w14:textId="75C8550F" w:rsidR="00E97528" w:rsidRDefault="00E97528" w:rsidP="00D7371F">
      <w:pPr>
        <w:pStyle w:val="ListParagraph"/>
        <w:numPr>
          <w:ilvl w:val="0"/>
          <w:numId w:val="8"/>
        </w:numPr>
        <w:spacing w:after="0" w:line="480" w:lineRule="auto"/>
        <w:textAlignment w:val="baseline"/>
        <w:rPr>
          <w:rFonts w:eastAsia="Times New Roman" w:cstheme="minorHAnsi"/>
          <w:lang w:val="en-GB" w:eastAsia="en-GB"/>
        </w:rPr>
      </w:pPr>
      <w:r w:rsidRPr="00D7371F">
        <w:rPr>
          <w:rFonts w:eastAsia="Times New Roman" w:cstheme="minorHAnsi"/>
          <w:lang w:eastAsia="en-GB"/>
        </w:rPr>
        <w:t>Thompson, C. &amp; Wolstencroft, P., (2018). </w:t>
      </w:r>
      <w:r w:rsidRPr="00D7371F">
        <w:rPr>
          <w:rFonts w:eastAsia="Times New Roman" w:cstheme="minorHAnsi"/>
          <w:i/>
          <w:iCs/>
          <w:lang w:eastAsia="en-GB"/>
        </w:rPr>
        <w:t>The Trainee Teacher’s Handbook</w:t>
      </w:r>
      <w:r w:rsidRPr="00D7371F">
        <w:rPr>
          <w:rFonts w:eastAsia="Times New Roman" w:cstheme="minorHAnsi"/>
          <w:lang w:eastAsia="en-GB"/>
        </w:rPr>
        <w:t>.</w:t>
      </w:r>
      <w:r w:rsidRPr="00D7371F">
        <w:rPr>
          <w:rFonts w:eastAsia="Times New Roman" w:cstheme="minorHAnsi"/>
          <w:lang w:val="en-GB" w:eastAsia="en-GB"/>
        </w:rPr>
        <w:t> </w:t>
      </w:r>
    </w:p>
    <w:p w14:paraId="21741D48" w14:textId="77777777" w:rsidR="00D7371F" w:rsidRPr="00D7371F" w:rsidRDefault="00D7371F" w:rsidP="00D7371F">
      <w:pPr>
        <w:spacing w:after="0" w:line="480" w:lineRule="auto"/>
        <w:textAlignment w:val="baseline"/>
        <w:rPr>
          <w:rFonts w:eastAsia="Times New Roman" w:cstheme="minorHAnsi"/>
          <w:lang w:val="en-GB" w:eastAsia="en-GB"/>
        </w:rPr>
      </w:pPr>
    </w:p>
    <w:p w14:paraId="49504C5B" w14:textId="2E5E75F0" w:rsidR="00E97528" w:rsidRPr="00D7371F" w:rsidRDefault="00E97528" w:rsidP="00D7371F">
      <w:pPr>
        <w:pStyle w:val="ListParagraph"/>
        <w:numPr>
          <w:ilvl w:val="0"/>
          <w:numId w:val="8"/>
        </w:numPr>
        <w:spacing w:after="0" w:line="480" w:lineRule="auto"/>
        <w:textAlignment w:val="baseline"/>
        <w:rPr>
          <w:rFonts w:eastAsia="Times New Roman" w:cstheme="minorHAnsi"/>
          <w:i/>
          <w:iCs/>
          <w:lang w:eastAsia="en-GB"/>
        </w:rPr>
      </w:pPr>
      <w:r w:rsidRPr="00D7371F">
        <w:rPr>
          <w:rFonts w:eastAsia="Times New Roman" w:cstheme="minorHAnsi"/>
          <w:lang w:eastAsia="en-GB"/>
        </w:rPr>
        <w:lastRenderedPageBreak/>
        <w:t>Veer, René van der, (1997</w:t>
      </w:r>
      <w:r w:rsidRPr="00D7371F">
        <w:rPr>
          <w:rFonts w:eastAsia="Times New Roman" w:cstheme="minorHAnsi"/>
          <w:i/>
          <w:iCs/>
          <w:lang w:eastAsia="en-GB"/>
        </w:rPr>
        <w:t>), Some major themes in vygotsky’s theoretical work. An introduction, Veer. , o The Collected Work of L.S.VYGOTSKY</w:t>
      </w:r>
      <w:r w:rsidRPr="00D7371F">
        <w:rPr>
          <w:rFonts w:eastAsia="Times New Roman" w:cstheme="minorHAnsi"/>
          <w:lang w:eastAsia="en-GB"/>
        </w:rPr>
        <w:t>, Volume 3. Problems of the Theory ad History of Psychology., Plenum press, New York and London, 1-2.</w:t>
      </w:r>
      <w:r w:rsidRPr="00D7371F">
        <w:rPr>
          <w:rFonts w:eastAsia="Times New Roman" w:cstheme="minorHAnsi"/>
          <w:lang w:val="en-GB" w:eastAsia="en-GB"/>
        </w:rPr>
        <w:t> </w:t>
      </w:r>
    </w:p>
    <w:p w14:paraId="78DF5326" w14:textId="77777777" w:rsidR="00D7371F" w:rsidRPr="00D7371F" w:rsidRDefault="00D7371F" w:rsidP="00D7371F">
      <w:pPr>
        <w:spacing w:after="0" w:line="480" w:lineRule="auto"/>
        <w:textAlignment w:val="baseline"/>
        <w:rPr>
          <w:rFonts w:eastAsia="Times New Roman" w:cstheme="minorHAnsi"/>
          <w:i/>
          <w:iCs/>
          <w:lang w:eastAsia="en-GB"/>
        </w:rPr>
      </w:pPr>
    </w:p>
    <w:p w14:paraId="288E0FAF" w14:textId="77A75DF1" w:rsidR="00E97528" w:rsidRDefault="00E97528" w:rsidP="00E97528">
      <w:pPr>
        <w:pStyle w:val="ListParagraph"/>
        <w:numPr>
          <w:ilvl w:val="0"/>
          <w:numId w:val="8"/>
        </w:numPr>
        <w:spacing w:after="0" w:line="480" w:lineRule="auto"/>
        <w:textAlignment w:val="baseline"/>
        <w:rPr>
          <w:rFonts w:eastAsia="Times New Roman" w:cstheme="minorHAnsi"/>
          <w:lang w:val="en-GB" w:eastAsia="en-GB"/>
        </w:rPr>
      </w:pPr>
      <w:r w:rsidRPr="00E97528">
        <w:rPr>
          <w:rFonts w:eastAsia="Times New Roman" w:cstheme="minorHAnsi"/>
          <w:lang w:eastAsia="en-GB"/>
        </w:rPr>
        <w:t>Vygostky, Lev</w:t>
      </w:r>
      <w:r>
        <w:rPr>
          <w:rFonts w:eastAsia="Times New Roman" w:cstheme="minorHAnsi"/>
          <w:lang w:eastAsia="en-GB"/>
        </w:rPr>
        <w:t xml:space="preserve"> </w:t>
      </w:r>
      <w:r w:rsidRPr="00E97528">
        <w:rPr>
          <w:rFonts w:eastAsia="Times New Roman" w:cstheme="minorHAnsi"/>
          <w:lang w:eastAsia="en-GB"/>
        </w:rPr>
        <w:t>(1978),</w:t>
      </w:r>
      <w:r>
        <w:rPr>
          <w:rFonts w:eastAsia="Times New Roman" w:cstheme="minorHAnsi"/>
          <w:u w:val="single"/>
          <w:lang w:eastAsia="en-GB"/>
        </w:rPr>
        <w:t xml:space="preserve"> </w:t>
      </w:r>
      <w:r w:rsidRPr="00E97528">
        <w:rPr>
          <w:rFonts w:eastAsia="Times New Roman" w:cstheme="minorHAnsi"/>
          <w:i/>
          <w:iCs/>
          <w:lang w:eastAsia="en-GB"/>
        </w:rPr>
        <w:t>Interaction Between Learning and Development,</w:t>
      </w:r>
      <w:r w:rsidRPr="00E97528">
        <w:rPr>
          <w:rFonts w:eastAsia="Times New Roman" w:cstheme="minorHAnsi"/>
          <w:lang w:eastAsia="en-GB"/>
        </w:rPr>
        <w:t> Harvard University, 32-39.</w:t>
      </w:r>
      <w:r w:rsidRPr="00E97528">
        <w:rPr>
          <w:rFonts w:eastAsia="Times New Roman" w:cstheme="minorHAnsi"/>
          <w:lang w:val="en-GB" w:eastAsia="en-GB"/>
        </w:rPr>
        <w:t> </w:t>
      </w:r>
    </w:p>
    <w:p w14:paraId="6ACBD8F7" w14:textId="77777777" w:rsidR="00D7371F" w:rsidRPr="00D7371F" w:rsidRDefault="00D7371F" w:rsidP="00D7371F">
      <w:pPr>
        <w:spacing w:after="0" w:line="480" w:lineRule="auto"/>
        <w:textAlignment w:val="baseline"/>
        <w:rPr>
          <w:rFonts w:eastAsia="Times New Roman" w:cstheme="minorHAnsi"/>
          <w:lang w:val="en-GB" w:eastAsia="en-GB"/>
        </w:rPr>
      </w:pPr>
    </w:p>
    <w:p w14:paraId="6CFC7122" w14:textId="73A16BAD" w:rsidR="00E97528" w:rsidRDefault="00E97528" w:rsidP="00D7371F">
      <w:pPr>
        <w:pStyle w:val="ListParagraph"/>
        <w:numPr>
          <w:ilvl w:val="0"/>
          <w:numId w:val="8"/>
        </w:numPr>
        <w:spacing w:after="0" w:line="480" w:lineRule="auto"/>
        <w:textAlignment w:val="baseline"/>
        <w:rPr>
          <w:rFonts w:eastAsia="Times New Roman" w:cstheme="minorHAnsi"/>
          <w:lang w:val="en-GB" w:eastAsia="en-GB"/>
        </w:rPr>
      </w:pPr>
      <w:r w:rsidRPr="00D7371F">
        <w:rPr>
          <w:rFonts w:eastAsia="Times New Roman" w:cstheme="minorHAnsi"/>
          <w:shd w:val="clear" w:color="auto" w:fill="FFFFFF"/>
          <w:lang w:eastAsia="en-GB"/>
        </w:rPr>
        <w:t>Williams, Kirsty</w:t>
      </w:r>
      <w:r w:rsidRPr="00D7371F">
        <w:rPr>
          <w:rFonts w:eastAsia="Times New Roman" w:cstheme="minorHAnsi"/>
          <w:i/>
          <w:iCs/>
          <w:shd w:val="clear" w:color="auto" w:fill="FFFFFF"/>
          <w:lang w:eastAsia="en-GB"/>
        </w:rPr>
        <w:t>. Education in Wales: Our National Mission 2017-2021,</w:t>
      </w:r>
      <w:r w:rsidRPr="00D7371F">
        <w:rPr>
          <w:rFonts w:eastAsia="Times New Roman" w:cstheme="minorHAnsi"/>
          <w:shd w:val="clear" w:color="auto" w:fill="FFFFFF"/>
          <w:lang w:eastAsia="en-GB"/>
        </w:rPr>
        <w:t> Llywodraeth Cymru: </w:t>
      </w:r>
      <w:hyperlink r:id="rId12" w:tgtFrame="_blank" w:history="1">
        <w:r w:rsidRPr="00D7371F">
          <w:rPr>
            <w:rFonts w:eastAsia="Times New Roman" w:cstheme="minorHAnsi"/>
            <w:u w:val="single"/>
            <w:lang w:eastAsia="en-GB"/>
          </w:rPr>
          <w:t>education-in-wales-our-national-mission.pdf (gov.wales)</w:t>
        </w:r>
      </w:hyperlink>
      <w:r w:rsidRPr="00D7371F">
        <w:rPr>
          <w:rFonts w:eastAsia="Times New Roman" w:cstheme="minorHAnsi"/>
          <w:lang w:val="en-GB" w:eastAsia="en-GB"/>
        </w:rPr>
        <w:t> </w:t>
      </w:r>
    </w:p>
    <w:p w14:paraId="12ACD3D8" w14:textId="77777777" w:rsidR="00D7371F" w:rsidRPr="00D7371F" w:rsidRDefault="00D7371F" w:rsidP="00D7371F">
      <w:pPr>
        <w:spacing w:after="0" w:line="480" w:lineRule="auto"/>
        <w:textAlignment w:val="baseline"/>
        <w:rPr>
          <w:rFonts w:eastAsia="Times New Roman" w:cstheme="minorHAnsi"/>
          <w:lang w:val="en-GB" w:eastAsia="en-GB"/>
        </w:rPr>
      </w:pPr>
    </w:p>
    <w:p w14:paraId="605F26B8" w14:textId="336BE615" w:rsidR="00D7371F" w:rsidRDefault="00E97528" w:rsidP="00D7371F">
      <w:pPr>
        <w:pStyle w:val="ListParagraph"/>
        <w:numPr>
          <w:ilvl w:val="0"/>
          <w:numId w:val="8"/>
        </w:numPr>
        <w:spacing w:after="0" w:line="480" w:lineRule="auto"/>
        <w:textAlignment w:val="baseline"/>
        <w:rPr>
          <w:rFonts w:eastAsia="Times New Roman" w:cstheme="minorHAnsi"/>
          <w:lang w:val="en-GB" w:eastAsia="en-GB"/>
        </w:rPr>
      </w:pPr>
      <w:r w:rsidRPr="00D7371F">
        <w:rPr>
          <w:rFonts w:eastAsia="Times New Roman" w:cstheme="minorHAnsi"/>
          <w:lang w:eastAsia="en-GB"/>
        </w:rPr>
        <w:t>Yeager, David. Scott &amp; Dweck (2012),  Carol. S, </w:t>
      </w:r>
      <w:r w:rsidRPr="00D7371F">
        <w:rPr>
          <w:rFonts w:eastAsia="Times New Roman" w:cstheme="minorHAnsi"/>
          <w:i/>
          <w:iCs/>
          <w:lang w:eastAsia="en-GB"/>
        </w:rPr>
        <w:t>Mindsets that promote resilience</w:t>
      </w:r>
      <w:r w:rsidRPr="00D7371F">
        <w:rPr>
          <w:rFonts w:eastAsia="Times New Roman" w:cstheme="minorHAnsi"/>
          <w:lang w:eastAsia="en-GB"/>
        </w:rPr>
        <w:t>, Stanford University, 302-314.</w:t>
      </w:r>
      <w:r w:rsidRPr="00D7371F">
        <w:rPr>
          <w:rFonts w:eastAsia="Times New Roman" w:cstheme="minorHAnsi"/>
          <w:lang w:val="en-GB" w:eastAsia="en-GB"/>
        </w:rPr>
        <w:t> </w:t>
      </w:r>
    </w:p>
    <w:p w14:paraId="4D668048" w14:textId="77777777" w:rsidR="00D7371F" w:rsidRPr="00D7371F" w:rsidRDefault="00D7371F" w:rsidP="00D7371F">
      <w:pPr>
        <w:spacing w:after="0" w:line="480" w:lineRule="auto"/>
        <w:textAlignment w:val="baseline"/>
        <w:rPr>
          <w:rFonts w:eastAsia="Times New Roman" w:cstheme="minorHAnsi"/>
          <w:lang w:val="en-GB" w:eastAsia="en-GB"/>
        </w:rPr>
      </w:pPr>
    </w:p>
    <w:p w14:paraId="5C4EDF4D" w14:textId="4CCFD394" w:rsidR="00E97528" w:rsidRPr="00D7371F" w:rsidRDefault="00E97528" w:rsidP="00D7371F">
      <w:pPr>
        <w:pStyle w:val="ListParagraph"/>
        <w:numPr>
          <w:ilvl w:val="0"/>
          <w:numId w:val="8"/>
        </w:numPr>
        <w:spacing w:after="0" w:line="480" w:lineRule="auto"/>
        <w:textAlignment w:val="baseline"/>
        <w:rPr>
          <w:rFonts w:eastAsia="Times New Roman" w:cstheme="minorHAnsi"/>
          <w:sz w:val="18"/>
          <w:szCs w:val="18"/>
          <w:lang w:val="en-GB" w:eastAsia="en-GB"/>
        </w:rPr>
      </w:pPr>
      <w:r w:rsidRPr="00D7371F">
        <w:rPr>
          <w:rFonts w:eastAsia="Times New Roman" w:cstheme="minorHAnsi"/>
          <w:lang w:eastAsia="en-GB"/>
        </w:rPr>
        <w:t>Zwozdiak-Myers, P. (2012) </w:t>
      </w:r>
      <w:r w:rsidRPr="00D7371F">
        <w:rPr>
          <w:rFonts w:eastAsia="Times New Roman" w:cstheme="minorHAnsi"/>
          <w:i/>
          <w:iCs/>
          <w:lang w:eastAsia="en-GB"/>
        </w:rPr>
        <w:t>The teacher’s reflective practice handbook : becoming an extended professional through capturing evidence-informed practice</w:t>
      </w:r>
      <w:r w:rsidRPr="00D7371F">
        <w:rPr>
          <w:rFonts w:eastAsia="Times New Roman" w:cstheme="minorHAnsi"/>
          <w:lang w:eastAsia="en-GB"/>
        </w:rPr>
        <w:t>. [Online]. New York: Routledge., 3, 25, 36.</w:t>
      </w:r>
      <w:r w:rsidRPr="00D7371F">
        <w:rPr>
          <w:rFonts w:eastAsia="Times New Roman" w:cstheme="minorHAnsi"/>
          <w:lang w:val="en-GB" w:eastAsia="en-GB"/>
        </w:rPr>
        <w:t> </w:t>
      </w:r>
    </w:p>
    <w:p w14:paraId="46943A10" w14:textId="3FDABDDB" w:rsidR="00D57812" w:rsidRDefault="00D57812" w:rsidP="00907E2F">
      <w:pPr>
        <w:spacing w:line="480" w:lineRule="auto"/>
        <w:rPr>
          <w:rStyle w:val="Hyperlink"/>
          <w:rFonts w:cstheme="minorHAnsi"/>
          <w:color w:val="auto"/>
        </w:rPr>
      </w:pPr>
    </w:p>
    <w:p w14:paraId="45B256F2" w14:textId="65BE5A54" w:rsidR="00E66086" w:rsidRDefault="00E66086" w:rsidP="00907E2F">
      <w:pPr>
        <w:spacing w:line="480" w:lineRule="auto"/>
        <w:rPr>
          <w:rStyle w:val="Hyperlink"/>
          <w:rFonts w:cstheme="minorHAnsi"/>
          <w:color w:val="auto"/>
        </w:rPr>
      </w:pPr>
    </w:p>
    <w:p w14:paraId="529C2F3E" w14:textId="4CCD387C" w:rsidR="00E66086" w:rsidRDefault="00E66086" w:rsidP="00907E2F">
      <w:pPr>
        <w:spacing w:line="480" w:lineRule="auto"/>
        <w:rPr>
          <w:rStyle w:val="Hyperlink"/>
          <w:rFonts w:cstheme="minorHAnsi"/>
          <w:color w:val="auto"/>
        </w:rPr>
      </w:pPr>
    </w:p>
    <w:p w14:paraId="77FCDA84" w14:textId="3A57E241" w:rsidR="00E66086" w:rsidRDefault="00E66086" w:rsidP="00907E2F">
      <w:pPr>
        <w:spacing w:line="480" w:lineRule="auto"/>
        <w:rPr>
          <w:rStyle w:val="Hyperlink"/>
          <w:rFonts w:cstheme="minorHAnsi"/>
          <w:color w:val="auto"/>
        </w:rPr>
      </w:pPr>
    </w:p>
    <w:p w14:paraId="588FAB75" w14:textId="1AB18B29" w:rsidR="00E66086" w:rsidRDefault="00E66086" w:rsidP="00907E2F">
      <w:pPr>
        <w:spacing w:line="480" w:lineRule="auto"/>
        <w:rPr>
          <w:rStyle w:val="Hyperlink"/>
          <w:rFonts w:cstheme="minorHAnsi"/>
          <w:color w:val="auto"/>
        </w:rPr>
      </w:pPr>
    </w:p>
    <w:p w14:paraId="28346DB3" w14:textId="7E6142A4" w:rsidR="00E66086" w:rsidRDefault="00E66086" w:rsidP="00907E2F">
      <w:pPr>
        <w:spacing w:line="480" w:lineRule="auto"/>
        <w:rPr>
          <w:rStyle w:val="Hyperlink"/>
          <w:rFonts w:cstheme="minorHAnsi"/>
          <w:color w:val="auto"/>
        </w:rPr>
      </w:pPr>
    </w:p>
    <w:p w14:paraId="74468CE1" w14:textId="519784F4" w:rsidR="00E66086" w:rsidRDefault="00E66086" w:rsidP="00907E2F">
      <w:pPr>
        <w:spacing w:line="480" w:lineRule="auto"/>
        <w:rPr>
          <w:rStyle w:val="Hyperlink"/>
          <w:rFonts w:cstheme="minorHAnsi"/>
          <w:color w:val="auto"/>
        </w:rPr>
      </w:pPr>
    </w:p>
    <w:p w14:paraId="6CDF7932" w14:textId="77777777" w:rsidR="00E66086" w:rsidRPr="00EE3F09" w:rsidRDefault="00E66086" w:rsidP="00907E2F">
      <w:pPr>
        <w:spacing w:line="480" w:lineRule="auto"/>
        <w:rPr>
          <w:rStyle w:val="Hyperlink"/>
          <w:rFonts w:cstheme="minorHAnsi"/>
          <w:color w:val="auto"/>
        </w:rPr>
      </w:pPr>
    </w:p>
    <w:p w14:paraId="1EACF455" w14:textId="77777777" w:rsidR="008D71C5" w:rsidRDefault="008D71C5" w:rsidP="00190699">
      <w:pPr>
        <w:spacing w:line="360" w:lineRule="auto"/>
        <w:rPr>
          <w:rStyle w:val="Hyperlink"/>
          <w:rFonts w:ascii="Arial" w:hAnsi="Arial" w:cs="Arial"/>
        </w:rPr>
      </w:pPr>
    </w:p>
    <w:p w14:paraId="5F5E66BB" w14:textId="411D5E06" w:rsidR="00190699" w:rsidRDefault="00190699" w:rsidP="00190699">
      <w:pPr>
        <w:spacing w:line="360" w:lineRule="auto"/>
        <w:rPr>
          <w:rFonts w:ascii="Arial" w:hAnsi="Arial" w:cs="Arial"/>
          <w:b/>
          <w:bCs/>
          <w:u w:val="single"/>
        </w:rPr>
      </w:pPr>
      <w:r w:rsidRPr="00800B5A">
        <w:rPr>
          <w:rFonts w:ascii="Arial" w:hAnsi="Arial" w:cs="Arial"/>
          <w:b/>
          <w:bCs/>
          <w:u w:val="single"/>
        </w:rPr>
        <w:t xml:space="preserve">ATODIADAU </w:t>
      </w:r>
    </w:p>
    <w:p w14:paraId="4ED44152" w14:textId="77777777" w:rsidR="00E66086" w:rsidRPr="00800B5A" w:rsidRDefault="00E66086" w:rsidP="00190699">
      <w:pPr>
        <w:spacing w:line="360" w:lineRule="auto"/>
        <w:rPr>
          <w:rFonts w:ascii="Arial" w:hAnsi="Arial" w:cs="Arial"/>
          <w:b/>
          <w:bCs/>
          <w:u w:val="single"/>
        </w:rPr>
      </w:pPr>
    </w:p>
    <w:p w14:paraId="7B912DAE" w14:textId="6E1B9B81" w:rsidR="00800B5A" w:rsidRPr="00E1445C" w:rsidRDefault="00B07C35" w:rsidP="00190699">
      <w:pPr>
        <w:spacing w:line="360" w:lineRule="auto"/>
        <w:rPr>
          <w:rFonts w:ascii="Arial" w:hAnsi="Arial" w:cs="Arial"/>
          <w:b/>
          <w:bCs/>
        </w:rPr>
      </w:pPr>
      <w:r w:rsidRPr="00E1445C">
        <w:rPr>
          <w:rFonts w:ascii="Arial" w:hAnsi="Arial" w:cs="Arial"/>
          <w:b/>
          <w:bCs/>
        </w:rPr>
        <w:t>Atodiad 1</w:t>
      </w:r>
    </w:p>
    <w:p w14:paraId="34298EA3" w14:textId="0F3DFAF3" w:rsidR="00B07C35" w:rsidRPr="00E1445C" w:rsidRDefault="00E66086" w:rsidP="00190699">
      <w:pPr>
        <w:spacing w:line="360" w:lineRule="auto"/>
        <w:rPr>
          <w:rFonts w:ascii="Georgia" w:hAnsi="Georgia"/>
          <w:color w:val="000000"/>
          <w:sz w:val="26"/>
          <w:szCs w:val="26"/>
          <w:shd w:val="clear" w:color="auto" w:fill="FFFFFF"/>
        </w:rPr>
      </w:pPr>
      <w:r>
        <w:rPr>
          <w:noProof/>
        </w:rPr>
        <w:drawing>
          <wp:inline distT="0" distB="0" distL="0" distR="0" wp14:anchorId="51EC3FD5" wp14:editId="364B485B">
            <wp:extent cx="3103897" cy="3147060"/>
            <wp:effectExtent l="0" t="0" r="1270" b="0"/>
            <wp:docPr id="3" name="Picture 3" descr="Bronfenbrenner's Ecological System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onfenbrenner's Ecological Systems Theor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28770" cy="3172279"/>
                    </a:xfrm>
                    <a:prstGeom prst="rect">
                      <a:avLst/>
                    </a:prstGeom>
                    <a:noFill/>
                    <a:ln>
                      <a:noFill/>
                    </a:ln>
                  </pic:spPr>
                </pic:pic>
              </a:graphicData>
            </a:graphic>
          </wp:inline>
        </w:drawing>
      </w:r>
      <w:r w:rsidR="00AF44F4" w:rsidRPr="00AF44F4">
        <w:rPr>
          <w:rFonts w:ascii="Arial" w:hAnsi="Arial" w:cs="Arial"/>
          <w:color w:val="000000"/>
          <w:shd w:val="clear" w:color="auto" w:fill="FFFFFF"/>
        </w:rPr>
        <w:t>Bronfenbrenner (1974)</w:t>
      </w:r>
    </w:p>
    <w:p w14:paraId="5EA579E9" w14:textId="096442EA" w:rsidR="00D57812" w:rsidRDefault="00D57812">
      <w:pPr>
        <w:rPr>
          <w:rStyle w:val="Hyperlink"/>
          <w:rFonts w:ascii="Arial" w:hAnsi="Arial" w:cs="Arial"/>
        </w:rPr>
      </w:pPr>
    </w:p>
    <w:p w14:paraId="53C715A3" w14:textId="1795E296" w:rsidR="00B07C35" w:rsidRDefault="00B07C35">
      <w:pPr>
        <w:rPr>
          <w:rStyle w:val="Hyperlink"/>
          <w:rFonts w:ascii="Arial" w:hAnsi="Arial" w:cs="Arial"/>
        </w:rPr>
      </w:pPr>
    </w:p>
    <w:p w14:paraId="6C225C32" w14:textId="77777777" w:rsidR="00B07C35" w:rsidRDefault="00B07C35">
      <w:pPr>
        <w:rPr>
          <w:rStyle w:val="Hyperlink"/>
          <w:rFonts w:ascii="Arial" w:hAnsi="Arial" w:cs="Arial"/>
        </w:rPr>
      </w:pPr>
    </w:p>
    <w:p w14:paraId="5733D4CA" w14:textId="103AE47E" w:rsidR="00D57812" w:rsidRPr="00E1445C" w:rsidRDefault="00694899">
      <w:pPr>
        <w:rPr>
          <w:rFonts w:ascii="Arial" w:hAnsi="Arial" w:cs="Arial"/>
          <w:b/>
          <w:bCs/>
        </w:rPr>
      </w:pPr>
      <w:r w:rsidRPr="00E1445C">
        <w:rPr>
          <w:rFonts w:ascii="Arial" w:hAnsi="Arial" w:cs="Arial"/>
          <w:b/>
          <w:bCs/>
        </w:rPr>
        <w:t xml:space="preserve">Atodiad </w:t>
      </w:r>
      <w:r w:rsidR="00B07C35" w:rsidRPr="00E1445C">
        <w:rPr>
          <w:rFonts w:ascii="Arial" w:hAnsi="Arial" w:cs="Arial"/>
          <w:b/>
          <w:bCs/>
        </w:rPr>
        <w:t>2</w:t>
      </w:r>
    </w:p>
    <w:p w14:paraId="3E5C6115" w14:textId="77777777" w:rsidR="00E1445C" w:rsidRDefault="00E1445C">
      <w:pPr>
        <w:rPr>
          <w:rStyle w:val="Hyperlink"/>
          <w:rFonts w:ascii="Arial" w:hAnsi="Arial" w:cs="Arial"/>
        </w:rPr>
      </w:pPr>
    </w:p>
    <w:p w14:paraId="5D536B09" w14:textId="57D0FF30" w:rsidR="008A33FC" w:rsidRDefault="003C5F13" w:rsidP="0046256E">
      <w:pPr>
        <w:spacing w:line="360" w:lineRule="auto"/>
        <w:rPr>
          <w:rFonts w:ascii="Arial" w:hAnsi="Arial" w:cs="Arial"/>
        </w:rPr>
      </w:pPr>
      <w:r>
        <w:rPr>
          <w:noProof/>
        </w:rPr>
        <w:drawing>
          <wp:inline distT="0" distB="0" distL="0" distR="0" wp14:anchorId="48D11F72" wp14:editId="1193B38B">
            <wp:extent cx="3507544" cy="2438400"/>
            <wp:effectExtent l="0" t="0" r="0" b="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rotWithShape="1">
                    <a:blip r:embed="rId14"/>
                    <a:srcRect l="8376" t="16072" r="41901" b="22474"/>
                    <a:stretch/>
                  </pic:blipFill>
                  <pic:spPr bwMode="auto">
                    <a:xfrm>
                      <a:off x="0" y="0"/>
                      <a:ext cx="3520959" cy="2447726"/>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rPr>
        <w:t>Daniel Goleman (2006)</w:t>
      </w:r>
    </w:p>
    <w:p w14:paraId="07DAB626" w14:textId="77777777" w:rsidR="00E1445C" w:rsidRDefault="00E1445C" w:rsidP="0046256E">
      <w:pPr>
        <w:spacing w:line="360" w:lineRule="auto"/>
        <w:rPr>
          <w:rFonts w:ascii="Arial" w:hAnsi="Arial" w:cs="Arial"/>
        </w:rPr>
      </w:pPr>
    </w:p>
    <w:p w14:paraId="5F2AD662" w14:textId="10997078" w:rsidR="00694899" w:rsidRPr="00E1445C" w:rsidRDefault="00694899" w:rsidP="0046256E">
      <w:pPr>
        <w:spacing w:line="360" w:lineRule="auto"/>
        <w:rPr>
          <w:rFonts w:ascii="Arial" w:hAnsi="Arial" w:cs="Arial"/>
          <w:b/>
          <w:bCs/>
        </w:rPr>
      </w:pPr>
      <w:r w:rsidRPr="00E1445C">
        <w:rPr>
          <w:rFonts w:ascii="Arial" w:hAnsi="Arial" w:cs="Arial"/>
          <w:b/>
          <w:bCs/>
        </w:rPr>
        <w:t xml:space="preserve">Atodiad </w:t>
      </w:r>
      <w:r w:rsidR="00B07C35" w:rsidRPr="00E1445C">
        <w:rPr>
          <w:rFonts w:ascii="Arial" w:hAnsi="Arial" w:cs="Arial"/>
          <w:b/>
          <w:bCs/>
        </w:rPr>
        <w:t>3</w:t>
      </w:r>
    </w:p>
    <w:p w14:paraId="7E678A26" w14:textId="0ABF35EA" w:rsidR="00694899" w:rsidRPr="0046256E" w:rsidRDefault="00694899" w:rsidP="0046256E">
      <w:pPr>
        <w:spacing w:line="360" w:lineRule="auto"/>
        <w:rPr>
          <w:rFonts w:ascii="Arial" w:hAnsi="Arial" w:cs="Arial"/>
        </w:rPr>
      </w:pPr>
      <w:r>
        <w:rPr>
          <w:noProof/>
        </w:rPr>
        <w:drawing>
          <wp:inline distT="0" distB="0" distL="0" distR="0" wp14:anchorId="5BC2F2B2" wp14:editId="51957159">
            <wp:extent cx="3931920" cy="2205204"/>
            <wp:effectExtent l="0" t="0" r="0" b="5080"/>
            <wp:docPr id="2" name="Picture 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medium confidence"/>
                    <pic:cNvPicPr/>
                  </pic:nvPicPr>
                  <pic:blipFill rotWithShape="1">
                    <a:blip r:embed="rId15"/>
                    <a:srcRect l="24595" t="28599" r="25149" b="21293"/>
                    <a:stretch/>
                  </pic:blipFill>
                  <pic:spPr bwMode="auto">
                    <a:xfrm>
                      <a:off x="0" y="0"/>
                      <a:ext cx="3953364" cy="2217231"/>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rPr>
        <w:t xml:space="preserve"> Maslow (1947)</w:t>
      </w:r>
    </w:p>
    <w:sectPr w:rsidR="00694899" w:rsidRPr="0046256E">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3A8ECC" w14:textId="77777777" w:rsidR="009800D5" w:rsidRDefault="009800D5" w:rsidP="00FC217C">
      <w:pPr>
        <w:spacing w:after="0" w:line="240" w:lineRule="auto"/>
      </w:pPr>
      <w:r>
        <w:separator/>
      </w:r>
    </w:p>
  </w:endnote>
  <w:endnote w:type="continuationSeparator" w:id="0">
    <w:p w14:paraId="032407E2" w14:textId="77777777" w:rsidR="009800D5" w:rsidRDefault="009800D5" w:rsidP="00FC21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913A1B" w14:textId="77777777" w:rsidR="009800D5" w:rsidRDefault="009800D5" w:rsidP="00FC217C">
      <w:pPr>
        <w:spacing w:after="0" w:line="240" w:lineRule="auto"/>
      </w:pPr>
      <w:r>
        <w:separator/>
      </w:r>
    </w:p>
  </w:footnote>
  <w:footnote w:type="continuationSeparator" w:id="0">
    <w:p w14:paraId="7DD8A0C5" w14:textId="77777777" w:rsidR="009800D5" w:rsidRDefault="009800D5" w:rsidP="00FC21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68D666" w14:textId="3FFCB9FB" w:rsidR="00AE45C7" w:rsidRDefault="00AE45C7">
    <w:pPr>
      <w:pStyle w:val="Header"/>
    </w:pPr>
    <w:r>
      <w:t>Nia Lloyd</w:t>
    </w:r>
    <w:r>
      <w:tab/>
    </w:r>
    <w:r>
      <w:tab/>
      <w:t>2103920</w:t>
    </w:r>
  </w:p>
  <w:p w14:paraId="05C86A2D" w14:textId="77777777" w:rsidR="00AE45C7" w:rsidRDefault="00AE45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AF39BF"/>
    <w:multiLevelType w:val="hybridMultilevel"/>
    <w:tmpl w:val="D576C954"/>
    <w:lvl w:ilvl="0" w:tplc="492C9A6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38F70A1"/>
    <w:multiLevelType w:val="hybridMultilevel"/>
    <w:tmpl w:val="4DD433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FE25CB"/>
    <w:multiLevelType w:val="hybridMultilevel"/>
    <w:tmpl w:val="E1D4FFF0"/>
    <w:lvl w:ilvl="0" w:tplc="50426648">
      <w:start w:val="1"/>
      <w:numFmt w:val="decimal"/>
      <w:lvlText w:val="%1."/>
      <w:lvlJc w:val="left"/>
      <w:pPr>
        <w:ind w:left="502" w:hanging="360"/>
      </w:pPr>
      <w:rPr>
        <w:rFonts w:asciiTheme="minorHAnsi" w:eastAsiaTheme="minorHAnsi" w:hAnsiTheme="minorHAnsi" w:cstheme="minorHAnsi" w:hint="default"/>
        <w:b w:val="0"/>
        <w:bCs w:val="0"/>
        <w:sz w:val="22"/>
        <w:szCs w:val="22"/>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3" w15:restartNumberingAfterBreak="0">
    <w:nsid w:val="4DBF6ED2"/>
    <w:multiLevelType w:val="multilevel"/>
    <w:tmpl w:val="BBD2E1C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5F31B06"/>
    <w:multiLevelType w:val="hybridMultilevel"/>
    <w:tmpl w:val="0D4217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B579E4"/>
    <w:multiLevelType w:val="hybridMultilevel"/>
    <w:tmpl w:val="3FD664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C865B7D"/>
    <w:multiLevelType w:val="hybridMultilevel"/>
    <w:tmpl w:val="B8F4E73A"/>
    <w:lvl w:ilvl="0" w:tplc="0452000F">
      <w:start w:val="1"/>
      <w:numFmt w:val="decimal"/>
      <w:lvlText w:val="%1."/>
      <w:lvlJc w:val="left"/>
      <w:pPr>
        <w:ind w:left="720" w:hanging="360"/>
      </w:p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7" w15:restartNumberingAfterBreak="0">
    <w:nsid w:val="6D384511"/>
    <w:multiLevelType w:val="hybridMultilevel"/>
    <w:tmpl w:val="3A9E0D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7"/>
  </w:num>
  <w:num w:numId="4">
    <w:abstractNumId w:val="5"/>
  </w:num>
  <w:num w:numId="5">
    <w:abstractNumId w:val="1"/>
  </w:num>
  <w:num w:numId="6">
    <w:abstractNumId w:val="3"/>
  </w:num>
  <w:num w:numId="7">
    <w:abstractNumId w:val="6"/>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10B"/>
    <w:rsid w:val="0000001A"/>
    <w:rsid w:val="0000079B"/>
    <w:rsid w:val="0000381A"/>
    <w:rsid w:val="000139BD"/>
    <w:rsid w:val="00020013"/>
    <w:rsid w:val="0002532F"/>
    <w:rsid w:val="00036C94"/>
    <w:rsid w:val="00040103"/>
    <w:rsid w:val="000434A8"/>
    <w:rsid w:val="000657AB"/>
    <w:rsid w:val="00074282"/>
    <w:rsid w:val="00076484"/>
    <w:rsid w:val="0008569A"/>
    <w:rsid w:val="00086F00"/>
    <w:rsid w:val="00090234"/>
    <w:rsid w:val="000A1582"/>
    <w:rsid w:val="000B11A7"/>
    <w:rsid w:val="000B429E"/>
    <w:rsid w:val="000C5910"/>
    <w:rsid w:val="000D0ED7"/>
    <w:rsid w:val="000D2EBB"/>
    <w:rsid w:val="000E7F46"/>
    <w:rsid w:val="000F03D3"/>
    <w:rsid w:val="000F629F"/>
    <w:rsid w:val="000F6518"/>
    <w:rsid w:val="000F6F16"/>
    <w:rsid w:val="00101064"/>
    <w:rsid w:val="001103FB"/>
    <w:rsid w:val="001129CE"/>
    <w:rsid w:val="00135798"/>
    <w:rsid w:val="00145729"/>
    <w:rsid w:val="00152F90"/>
    <w:rsid w:val="00176185"/>
    <w:rsid w:val="00190699"/>
    <w:rsid w:val="00193F2B"/>
    <w:rsid w:val="001963EB"/>
    <w:rsid w:val="001B7F2F"/>
    <w:rsid w:val="001C6A0F"/>
    <w:rsid w:val="001F5BA6"/>
    <w:rsid w:val="001F711C"/>
    <w:rsid w:val="00210DA2"/>
    <w:rsid w:val="00235671"/>
    <w:rsid w:val="002455CF"/>
    <w:rsid w:val="00247501"/>
    <w:rsid w:val="002552FD"/>
    <w:rsid w:val="00281715"/>
    <w:rsid w:val="00294347"/>
    <w:rsid w:val="00297678"/>
    <w:rsid w:val="00297D25"/>
    <w:rsid w:val="002B0383"/>
    <w:rsid w:val="002B2DAD"/>
    <w:rsid w:val="002D06EB"/>
    <w:rsid w:val="002D3738"/>
    <w:rsid w:val="002E7F03"/>
    <w:rsid w:val="00304654"/>
    <w:rsid w:val="00313CC5"/>
    <w:rsid w:val="003200D9"/>
    <w:rsid w:val="00325366"/>
    <w:rsid w:val="00327896"/>
    <w:rsid w:val="00336178"/>
    <w:rsid w:val="003404AF"/>
    <w:rsid w:val="003412E0"/>
    <w:rsid w:val="00344ACD"/>
    <w:rsid w:val="00351A2F"/>
    <w:rsid w:val="00354012"/>
    <w:rsid w:val="0036343C"/>
    <w:rsid w:val="003673F6"/>
    <w:rsid w:val="00370ED9"/>
    <w:rsid w:val="003721A2"/>
    <w:rsid w:val="00395E75"/>
    <w:rsid w:val="003A41F5"/>
    <w:rsid w:val="003B1587"/>
    <w:rsid w:val="003C5F13"/>
    <w:rsid w:val="003E0F41"/>
    <w:rsid w:val="004058CB"/>
    <w:rsid w:val="0042589E"/>
    <w:rsid w:val="00426810"/>
    <w:rsid w:val="00431A36"/>
    <w:rsid w:val="004407B0"/>
    <w:rsid w:val="00440841"/>
    <w:rsid w:val="0046256E"/>
    <w:rsid w:val="00471A38"/>
    <w:rsid w:val="004726EC"/>
    <w:rsid w:val="00472DF6"/>
    <w:rsid w:val="00477C97"/>
    <w:rsid w:val="00494205"/>
    <w:rsid w:val="00494DB0"/>
    <w:rsid w:val="00501140"/>
    <w:rsid w:val="005230C9"/>
    <w:rsid w:val="00524BB0"/>
    <w:rsid w:val="00554A3F"/>
    <w:rsid w:val="00566F93"/>
    <w:rsid w:val="00577299"/>
    <w:rsid w:val="00580189"/>
    <w:rsid w:val="00581EA9"/>
    <w:rsid w:val="00596651"/>
    <w:rsid w:val="005A672B"/>
    <w:rsid w:val="005B6552"/>
    <w:rsid w:val="005F0FA9"/>
    <w:rsid w:val="006021B5"/>
    <w:rsid w:val="006132A8"/>
    <w:rsid w:val="00615379"/>
    <w:rsid w:val="0062008B"/>
    <w:rsid w:val="006213C6"/>
    <w:rsid w:val="00624E69"/>
    <w:rsid w:val="00630E7D"/>
    <w:rsid w:val="00647C02"/>
    <w:rsid w:val="00655D4D"/>
    <w:rsid w:val="0066439D"/>
    <w:rsid w:val="00666737"/>
    <w:rsid w:val="00667B20"/>
    <w:rsid w:val="00670A05"/>
    <w:rsid w:val="006719AB"/>
    <w:rsid w:val="00674967"/>
    <w:rsid w:val="0067610C"/>
    <w:rsid w:val="006930FA"/>
    <w:rsid w:val="00694899"/>
    <w:rsid w:val="006958BD"/>
    <w:rsid w:val="006A090A"/>
    <w:rsid w:val="006A3FE3"/>
    <w:rsid w:val="006B6470"/>
    <w:rsid w:val="006B6DD0"/>
    <w:rsid w:val="006C14A7"/>
    <w:rsid w:val="006E1685"/>
    <w:rsid w:val="006E3390"/>
    <w:rsid w:val="006F4415"/>
    <w:rsid w:val="00700F08"/>
    <w:rsid w:val="00706B0E"/>
    <w:rsid w:val="00706FB4"/>
    <w:rsid w:val="0071153C"/>
    <w:rsid w:val="0071232F"/>
    <w:rsid w:val="00712464"/>
    <w:rsid w:val="00732D1A"/>
    <w:rsid w:val="00736BFF"/>
    <w:rsid w:val="00737705"/>
    <w:rsid w:val="00741D3C"/>
    <w:rsid w:val="0074460A"/>
    <w:rsid w:val="00745277"/>
    <w:rsid w:val="007640AD"/>
    <w:rsid w:val="00764C97"/>
    <w:rsid w:val="00770BEB"/>
    <w:rsid w:val="00775826"/>
    <w:rsid w:val="00777E98"/>
    <w:rsid w:val="0078278C"/>
    <w:rsid w:val="00793F1A"/>
    <w:rsid w:val="00794CBE"/>
    <w:rsid w:val="007A0A47"/>
    <w:rsid w:val="007B0A54"/>
    <w:rsid w:val="007B21C8"/>
    <w:rsid w:val="007B2931"/>
    <w:rsid w:val="007B7455"/>
    <w:rsid w:val="007C78D0"/>
    <w:rsid w:val="007D052F"/>
    <w:rsid w:val="007D6E95"/>
    <w:rsid w:val="007E5D04"/>
    <w:rsid w:val="007F2683"/>
    <w:rsid w:val="007F31BA"/>
    <w:rsid w:val="00800B5A"/>
    <w:rsid w:val="00803F9E"/>
    <w:rsid w:val="00814B87"/>
    <w:rsid w:val="008312BC"/>
    <w:rsid w:val="00833B3F"/>
    <w:rsid w:val="00847F97"/>
    <w:rsid w:val="00851530"/>
    <w:rsid w:val="00861BEE"/>
    <w:rsid w:val="00873AB2"/>
    <w:rsid w:val="0088493A"/>
    <w:rsid w:val="008901F4"/>
    <w:rsid w:val="008A1078"/>
    <w:rsid w:val="008A33FC"/>
    <w:rsid w:val="008A403E"/>
    <w:rsid w:val="008D44EE"/>
    <w:rsid w:val="008D71C5"/>
    <w:rsid w:val="008E46F4"/>
    <w:rsid w:val="008E6555"/>
    <w:rsid w:val="008F15F5"/>
    <w:rsid w:val="009039B9"/>
    <w:rsid w:val="00907E2F"/>
    <w:rsid w:val="0092063E"/>
    <w:rsid w:val="00921DDD"/>
    <w:rsid w:val="009269A0"/>
    <w:rsid w:val="00956ACD"/>
    <w:rsid w:val="0097109C"/>
    <w:rsid w:val="009800D5"/>
    <w:rsid w:val="009922DE"/>
    <w:rsid w:val="00997A66"/>
    <w:rsid w:val="009A4B30"/>
    <w:rsid w:val="009A592F"/>
    <w:rsid w:val="009B7E44"/>
    <w:rsid w:val="009F1345"/>
    <w:rsid w:val="00A038F6"/>
    <w:rsid w:val="00A07693"/>
    <w:rsid w:val="00A14F54"/>
    <w:rsid w:val="00A23796"/>
    <w:rsid w:val="00A275BD"/>
    <w:rsid w:val="00A4102B"/>
    <w:rsid w:val="00A81150"/>
    <w:rsid w:val="00A86732"/>
    <w:rsid w:val="00A91AD1"/>
    <w:rsid w:val="00AA13EC"/>
    <w:rsid w:val="00AB5E0B"/>
    <w:rsid w:val="00AB78A6"/>
    <w:rsid w:val="00AC3D6B"/>
    <w:rsid w:val="00AC47BD"/>
    <w:rsid w:val="00AD0C38"/>
    <w:rsid w:val="00AD2F96"/>
    <w:rsid w:val="00AE45C7"/>
    <w:rsid w:val="00AF3ACC"/>
    <w:rsid w:val="00AF44F4"/>
    <w:rsid w:val="00B07C35"/>
    <w:rsid w:val="00B23A0B"/>
    <w:rsid w:val="00B323E0"/>
    <w:rsid w:val="00B32610"/>
    <w:rsid w:val="00B46AE3"/>
    <w:rsid w:val="00B55FF8"/>
    <w:rsid w:val="00B562CA"/>
    <w:rsid w:val="00B6137F"/>
    <w:rsid w:val="00B650BC"/>
    <w:rsid w:val="00B65CDF"/>
    <w:rsid w:val="00B97038"/>
    <w:rsid w:val="00BA19C0"/>
    <w:rsid w:val="00BA310B"/>
    <w:rsid w:val="00BA6164"/>
    <w:rsid w:val="00BB4593"/>
    <w:rsid w:val="00BC1A51"/>
    <w:rsid w:val="00BD120E"/>
    <w:rsid w:val="00BD3527"/>
    <w:rsid w:val="00BD37A3"/>
    <w:rsid w:val="00BE11FA"/>
    <w:rsid w:val="00BE263A"/>
    <w:rsid w:val="00BF1905"/>
    <w:rsid w:val="00BF3037"/>
    <w:rsid w:val="00C05671"/>
    <w:rsid w:val="00C25484"/>
    <w:rsid w:val="00C25D34"/>
    <w:rsid w:val="00C25D72"/>
    <w:rsid w:val="00C5235C"/>
    <w:rsid w:val="00C603B1"/>
    <w:rsid w:val="00C6571F"/>
    <w:rsid w:val="00CA0020"/>
    <w:rsid w:val="00CB4368"/>
    <w:rsid w:val="00CC1B2A"/>
    <w:rsid w:val="00CC52E6"/>
    <w:rsid w:val="00CC64B7"/>
    <w:rsid w:val="00CD33C8"/>
    <w:rsid w:val="00CD4817"/>
    <w:rsid w:val="00CD54B7"/>
    <w:rsid w:val="00D172C5"/>
    <w:rsid w:val="00D22A75"/>
    <w:rsid w:val="00D267B6"/>
    <w:rsid w:val="00D422BA"/>
    <w:rsid w:val="00D46824"/>
    <w:rsid w:val="00D529A4"/>
    <w:rsid w:val="00D55E74"/>
    <w:rsid w:val="00D55F2E"/>
    <w:rsid w:val="00D57812"/>
    <w:rsid w:val="00D62FD7"/>
    <w:rsid w:val="00D73015"/>
    <w:rsid w:val="00D7371F"/>
    <w:rsid w:val="00D738DA"/>
    <w:rsid w:val="00D80FE2"/>
    <w:rsid w:val="00DB3105"/>
    <w:rsid w:val="00DE4F87"/>
    <w:rsid w:val="00E1445C"/>
    <w:rsid w:val="00E24B56"/>
    <w:rsid w:val="00E24BD2"/>
    <w:rsid w:val="00E24EE2"/>
    <w:rsid w:val="00E3407B"/>
    <w:rsid w:val="00E44417"/>
    <w:rsid w:val="00E4788F"/>
    <w:rsid w:val="00E5184F"/>
    <w:rsid w:val="00E6573E"/>
    <w:rsid w:val="00E66086"/>
    <w:rsid w:val="00E76E27"/>
    <w:rsid w:val="00E92507"/>
    <w:rsid w:val="00E92E65"/>
    <w:rsid w:val="00E97528"/>
    <w:rsid w:val="00EA3A91"/>
    <w:rsid w:val="00EB3D84"/>
    <w:rsid w:val="00EC3C62"/>
    <w:rsid w:val="00EE3F09"/>
    <w:rsid w:val="00EE4073"/>
    <w:rsid w:val="00EE40E0"/>
    <w:rsid w:val="00EE4DCC"/>
    <w:rsid w:val="00F033BC"/>
    <w:rsid w:val="00F04479"/>
    <w:rsid w:val="00F10E92"/>
    <w:rsid w:val="00F13A42"/>
    <w:rsid w:val="00F35817"/>
    <w:rsid w:val="00F3725D"/>
    <w:rsid w:val="00F51172"/>
    <w:rsid w:val="00F6356B"/>
    <w:rsid w:val="00F6696E"/>
    <w:rsid w:val="00F8479B"/>
    <w:rsid w:val="00F9680A"/>
    <w:rsid w:val="00F973D0"/>
    <w:rsid w:val="00FA4763"/>
    <w:rsid w:val="00FA49C6"/>
    <w:rsid w:val="00FA4A7E"/>
    <w:rsid w:val="00FC09CE"/>
    <w:rsid w:val="00FC217C"/>
    <w:rsid w:val="00FC79EC"/>
    <w:rsid w:val="00FF1940"/>
    <w:rsid w:val="00FF1B7B"/>
    <w:rsid w:val="00FF51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D4F7E"/>
  <w15:chartTrackingRefBased/>
  <w15:docId w15:val="{19382832-45B9-42CA-BABB-3C96642414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310B"/>
    <w:pPr>
      <w:ind w:left="720"/>
      <w:contextualSpacing/>
    </w:pPr>
  </w:style>
  <w:style w:type="paragraph" w:styleId="FootnoteText">
    <w:name w:val="footnote text"/>
    <w:basedOn w:val="Normal"/>
    <w:link w:val="FootnoteTextChar"/>
    <w:uiPriority w:val="99"/>
    <w:semiHidden/>
    <w:unhideWhenUsed/>
    <w:rsid w:val="00FC217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C217C"/>
    <w:rPr>
      <w:sz w:val="20"/>
      <w:szCs w:val="20"/>
      <w:lang w:val="cy-GB"/>
    </w:rPr>
  </w:style>
  <w:style w:type="character" w:styleId="FootnoteReference">
    <w:name w:val="footnote reference"/>
    <w:basedOn w:val="DefaultParagraphFont"/>
    <w:uiPriority w:val="99"/>
    <w:semiHidden/>
    <w:unhideWhenUsed/>
    <w:rsid w:val="00FC217C"/>
    <w:rPr>
      <w:vertAlign w:val="superscript"/>
    </w:rPr>
  </w:style>
  <w:style w:type="character" w:customStyle="1" w:styleId="abt-citation">
    <w:name w:val="abt-citation"/>
    <w:basedOn w:val="DefaultParagraphFont"/>
    <w:rsid w:val="007B2931"/>
  </w:style>
  <w:style w:type="character" w:styleId="Hyperlink">
    <w:name w:val="Hyperlink"/>
    <w:basedOn w:val="DefaultParagraphFont"/>
    <w:uiPriority w:val="99"/>
    <w:unhideWhenUsed/>
    <w:rsid w:val="00F51172"/>
    <w:rPr>
      <w:color w:val="0000FF"/>
      <w:u w:val="single"/>
    </w:rPr>
  </w:style>
  <w:style w:type="character" w:styleId="FollowedHyperlink">
    <w:name w:val="FollowedHyperlink"/>
    <w:basedOn w:val="DefaultParagraphFont"/>
    <w:uiPriority w:val="99"/>
    <w:semiHidden/>
    <w:unhideWhenUsed/>
    <w:rsid w:val="00F51172"/>
    <w:rPr>
      <w:color w:val="954F72" w:themeColor="followedHyperlink"/>
      <w:u w:val="single"/>
    </w:rPr>
  </w:style>
  <w:style w:type="character" w:styleId="HTMLDefinition">
    <w:name w:val="HTML Definition"/>
    <w:basedOn w:val="DefaultParagraphFont"/>
    <w:uiPriority w:val="99"/>
    <w:semiHidden/>
    <w:unhideWhenUsed/>
    <w:rsid w:val="008A33FC"/>
    <w:rPr>
      <w:i/>
      <w:iCs/>
    </w:rPr>
  </w:style>
  <w:style w:type="paragraph" w:customStyle="1" w:styleId="paragraph">
    <w:name w:val="paragraph"/>
    <w:basedOn w:val="Normal"/>
    <w:rsid w:val="0059665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596651"/>
  </w:style>
  <w:style w:type="character" w:customStyle="1" w:styleId="eop">
    <w:name w:val="eop"/>
    <w:basedOn w:val="DefaultParagraphFont"/>
    <w:rsid w:val="00596651"/>
  </w:style>
  <w:style w:type="character" w:customStyle="1" w:styleId="scxp268042075">
    <w:name w:val="scxp268042075"/>
    <w:basedOn w:val="DefaultParagraphFont"/>
    <w:rsid w:val="00596651"/>
  </w:style>
  <w:style w:type="character" w:styleId="Emphasis">
    <w:name w:val="Emphasis"/>
    <w:basedOn w:val="DefaultParagraphFont"/>
    <w:uiPriority w:val="20"/>
    <w:qFormat/>
    <w:rsid w:val="00873AB2"/>
    <w:rPr>
      <w:i/>
      <w:iCs/>
    </w:rPr>
  </w:style>
  <w:style w:type="character" w:styleId="UnresolvedMention">
    <w:name w:val="Unresolved Mention"/>
    <w:basedOn w:val="DefaultParagraphFont"/>
    <w:uiPriority w:val="99"/>
    <w:semiHidden/>
    <w:unhideWhenUsed/>
    <w:rsid w:val="00907E2F"/>
    <w:rPr>
      <w:color w:val="605E5C"/>
      <w:shd w:val="clear" w:color="auto" w:fill="E1DFDD"/>
    </w:rPr>
  </w:style>
  <w:style w:type="paragraph" w:styleId="Header">
    <w:name w:val="header"/>
    <w:basedOn w:val="Normal"/>
    <w:link w:val="HeaderChar"/>
    <w:uiPriority w:val="99"/>
    <w:unhideWhenUsed/>
    <w:rsid w:val="00AE45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5C7"/>
    <w:rPr>
      <w:lang w:val="cy-GB"/>
    </w:rPr>
  </w:style>
  <w:style w:type="paragraph" w:styleId="Footer">
    <w:name w:val="footer"/>
    <w:basedOn w:val="Normal"/>
    <w:link w:val="FooterChar"/>
    <w:uiPriority w:val="99"/>
    <w:unhideWhenUsed/>
    <w:rsid w:val="00AE45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5C7"/>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935844">
      <w:bodyDiv w:val="1"/>
      <w:marLeft w:val="0"/>
      <w:marRight w:val="0"/>
      <w:marTop w:val="0"/>
      <w:marBottom w:val="0"/>
      <w:divBdr>
        <w:top w:val="none" w:sz="0" w:space="0" w:color="auto"/>
        <w:left w:val="none" w:sz="0" w:space="0" w:color="auto"/>
        <w:bottom w:val="none" w:sz="0" w:space="0" w:color="auto"/>
        <w:right w:val="none" w:sz="0" w:space="0" w:color="auto"/>
      </w:divBdr>
      <w:divsChild>
        <w:div w:id="1809127615">
          <w:marLeft w:val="0"/>
          <w:marRight w:val="0"/>
          <w:marTop w:val="0"/>
          <w:marBottom w:val="0"/>
          <w:divBdr>
            <w:top w:val="none" w:sz="0" w:space="0" w:color="auto"/>
            <w:left w:val="none" w:sz="0" w:space="0" w:color="auto"/>
            <w:bottom w:val="none" w:sz="0" w:space="0" w:color="auto"/>
            <w:right w:val="none" w:sz="0" w:space="0" w:color="auto"/>
          </w:divBdr>
        </w:div>
        <w:div w:id="1509176090">
          <w:marLeft w:val="0"/>
          <w:marRight w:val="0"/>
          <w:marTop w:val="0"/>
          <w:marBottom w:val="0"/>
          <w:divBdr>
            <w:top w:val="none" w:sz="0" w:space="0" w:color="auto"/>
            <w:left w:val="none" w:sz="0" w:space="0" w:color="auto"/>
            <w:bottom w:val="none" w:sz="0" w:space="0" w:color="auto"/>
            <w:right w:val="none" w:sz="0" w:space="0" w:color="auto"/>
          </w:divBdr>
        </w:div>
        <w:div w:id="372510308">
          <w:marLeft w:val="0"/>
          <w:marRight w:val="0"/>
          <w:marTop w:val="0"/>
          <w:marBottom w:val="0"/>
          <w:divBdr>
            <w:top w:val="none" w:sz="0" w:space="0" w:color="auto"/>
            <w:left w:val="none" w:sz="0" w:space="0" w:color="auto"/>
            <w:bottom w:val="none" w:sz="0" w:space="0" w:color="auto"/>
            <w:right w:val="none" w:sz="0" w:space="0" w:color="auto"/>
          </w:divBdr>
        </w:div>
        <w:div w:id="491454661">
          <w:marLeft w:val="0"/>
          <w:marRight w:val="0"/>
          <w:marTop w:val="0"/>
          <w:marBottom w:val="0"/>
          <w:divBdr>
            <w:top w:val="none" w:sz="0" w:space="0" w:color="auto"/>
            <w:left w:val="none" w:sz="0" w:space="0" w:color="auto"/>
            <w:bottom w:val="none" w:sz="0" w:space="0" w:color="auto"/>
            <w:right w:val="none" w:sz="0" w:space="0" w:color="auto"/>
          </w:divBdr>
        </w:div>
        <w:div w:id="447823835">
          <w:marLeft w:val="0"/>
          <w:marRight w:val="0"/>
          <w:marTop w:val="0"/>
          <w:marBottom w:val="0"/>
          <w:divBdr>
            <w:top w:val="none" w:sz="0" w:space="0" w:color="auto"/>
            <w:left w:val="none" w:sz="0" w:space="0" w:color="auto"/>
            <w:bottom w:val="none" w:sz="0" w:space="0" w:color="auto"/>
            <w:right w:val="none" w:sz="0" w:space="0" w:color="auto"/>
          </w:divBdr>
        </w:div>
        <w:div w:id="1139615687">
          <w:marLeft w:val="0"/>
          <w:marRight w:val="0"/>
          <w:marTop w:val="0"/>
          <w:marBottom w:val="0"/>
          <w:divBdr>
            <w:top w:val="none" w:sz="0" w:space="0" w:color="auto"/>
            <w:left w:val="none" w:sz="0" w:space="0" w:color="auto"/>
            <w:bottom w:val="none" w:sz="0" w:space="0" w:color="auto"/>
            <w:right w:val="none" w:sz="0" w:space="0" w:color="auto"/>
          </w:divBdr>
        </w:div>
        <w:div w:id="179711135">
          <w:marLeft w:val="0"/>
          <w:marRight w:val="0"/>
          <w:marTop w:val="0"/>
          <w:marBottom w:val="0"/>
          <w:divBdr>
            <w:top w:val="none" w:sz="0" w:space="0" w:color="auto"/>
            <w:left w:val="none" w:sz="0" w:space="0" w:color="auto"/>
            <w:bottom w:val="none" w:sz="0" w:space="0" w:color="auto"/>
            <w:right w:val="none" w:sz="0" w:space="0" w:color="auto"/>
          </w:divBdr>
        </w:div>
        <w:div w:id="1934509547">
          <w:marLeft w:val="0"/>
          <w:marRight w:val="0"/>
          <w:marTop w:val="0"/>
          <w:marBottom w:val="0"/>
          <w:divBdr>
            <w:top w:val="none" w:sz="0" w:space="0" w:color="auto"/>
            <w:left w:val="none" w:sz="0" w:space="0" w:color="auto"/>
            <w:bottom w:val="none" w:sz="0" w:space="0" w:color="auto"/>
            <w:right w:val="none" w:sz="0" w:space="0" w:color="auto"/>
          </w:divBdr>
        </w:div>
        <w:div w:id="1977222097">
          <w:marLeft w:val="0"/>
          <w:marRight w:val="0"/>
          <w:marTop w:val="0"/>
          <w:marBottom w:val="0"/>
          <w:divBdr>
            <w:top w:val="none" w:sz="0" w:space="0" w:color="auto"/>
            <w:left w:val="none" w:sz="0" w:space="0" w:color="auto"/>
            <w:bottom w:val="none" w:sz="0" w:space="0" w:color="auto"/>
            <w:right w:val="none" w:sz="0" w:space="0" w:color="auto"/>
          </w:divBdr>
        </w:div>
        <w:div w:id="1983656755">
          <w:marLeft w:val="0"/>
          <w:marRight w:val="0"/>
          <w:marTop w:val="0"/>
          <w:marBottom w:val="0"/>
          <w:divBdr>
            <w:top w:val="none" w:sz="0" w:space="0" w:color="auto"/>
            <w:left w:val="none" w:sz="0" w:space="0" w:color="auto"/>
            <w:bottom w:val="none" w:sz="0" w:space="0" w:color="auto"/>
            <w:right w:val="none" w:sz="0" w:space="0" w:color="auto"/>
          </w:divBdr>
        </w:div>
        <w:div w:id="829564464">
          <w:marLeft w:val="0"/>
          <w:marRight w:val="0"/>
          <w:marTop w:val="0"/>
          <w:marBottom w:val="0"/>
          <w:divBdr>
            <w:top w:val="none" w:sz="0" w:space="0" w:color="auto"/>
            <w:left w:val="none" w:sz="0" w:space="0" w:color="auto"/>
            <w:bottom w:val="none" w:sz="0" w:space="0" w:color="auto"/>
            <w:right w:val="none" w:sz="0" w:space="0" w:color="auto"/>
          </w:divBdr>
        </w:div>
        <w:div w:id="68161911">
          <w:marLeft w:val="0"/>
          <w:marRight w:val="0"/>
          <w:marTop w:val="0"/>
          <w:marBottom w:val="0"/>
          <w:divBdr>
            <w:top w:val="none" w:sz="0" w:space="0" w:color="auto"/>
            <w:left w:val="none" w:sz="0" w:space="0" w:color="auto"/>
            <w:bottom w:val="none" w:sz="0" w:space="0" w:color="auto"/>
            <w:right w:val="none" w:sz="0" w:space="0" w:color="auto"/>
          </w:divBdr>
        </w:div>
        <w:div w:id="500976365">
          <w:marLeft w:val="0"/>
          <w:marRight w:val="0"/>
          <w:marTop w:val="0"/>
          <w:marBottom w:val="0"/>
          <w:divBdr>
            <w:top w:val="none" w:sz="0" w:space="0" w:color="auto"/>
            <w:left w:val="none" w:sz="0" w:space="0" w:color="auto"/>
            <w:bottom w:val="none" w:sz="0" w:space="0" w:color="auto"/>
            <w:right w:val="none" w:sz="0" w:space="0" w:color="auto"/>
          </w:divBdr>
        </w:div>
        <w:div w:id="375199002">
          <w:marLeft w:val="0"/>
          <w:marRight w:val="0"/>
          <w:marTop w:val="0"/>
          <w:marBottom w:val="0"/>
          <w:divBdr>
            <w:top w:val="none" w:sz="0" w:space="0" w:color="auto"/>
            <w:left w:val="none" w:sz="0" w:space="0" w:color="auto"/>
            <w:bottom w:val="none" w:sz="0" w:space="0" w:color="auto"/>
            <w:right w:val="none" w:sz="0" w:space="0" w:color="auto"/>
          </w:divBdr>
        </w:div>
        <w:div w:id="195435210">
          <w:marLeft w:val="0"/>
          <w:marRight w:val="0"/>
          <w:marTop w:val="0"/>
          <w:marBottom w:val="0"/>
          <w:divBdr>
            <w:top w:val="none" w:sz="0" w:space="0" w:color="auto"/>
            <w:left w:val="none" w:sz="0" w:space="0" w:color="auto"/>
            <w:bottom w:val="none" w:sz="0" w:space="0" w:color="auto"/>
            <w:right w:val="none" w:sz="0" w:space="0" w:color="auto"/>
          </w:divBdr>
        </w:div>
        <w:div w:id="1154833756">
          <w:marLeft w:val="0"/>
          <w:marRight w:val="0"/>
          <w:marTop w:val="0"/>
          <w:marBottom w:val="0"/>
          <w:divBdr>
            <w:top w:val="none" w:sz="0" w:space="0" w:color="auto"/>
            <w:left w:val="none" w:sz="0" w:space="0" w:color="auto"/>
            <w:bottom w:val="none" w:sz="0" w:space="0" w:color="auto"/>
            <w:right w:val="none" w:sz="0" w:space="0" w:color="auto"/>
          </w:divBdr>
        </w:div>
        <w:div w:id="1217857308">
          <w:marLeft w:val="0"/>
          <w:marRight w:val="0"/>
          <w:marTop w:val="0"/>
          <w:marBottom w:val="0"/>
          <w:divBdr>
            <w:top w:val="none" w:sz="0" w:space="0" w:color="auto"/>
            <w:left w:val="none" w:sz="0" w:space="0" w:color="auto"/>
            <w:bottom w:val="none" w:sz="0" w:space="0" w:color="auto"/>
            <w:right w:val="none" w:sz="0" w:space="0" w:color="auto"/>
          </w:divBdr>
        </w:div>
        <w:div w:id="1267494245">
          <w:marLeft w:val="0"/>
          <w:marRight w:val="0"/>
          <w:marTop w:val="0"/>
          <w:marBottom w:val="0"/>
          <w:divBdr>
            <w:top w:val="none" w:sz="0" w:space="0" w:color="auto"/>
            <w:left w:val="none" w:sz="0" w:space="0" w:color="auto"/>
            <w:bottom w:val="none" w:sz="0" w:space="0" w:color="auto"/>
            <w:right w:val="none" w:sz="0" w:space="0" w:color="auto"/>
          </w:divBdr>
        </w:div>
        <w:div w:id="1851748237">
          <w:marLeft w:val="0"/>
          <w:marRight w:val="0"/>
          <w:marTop w:val="0"/>
          <w:marBottom w:val="0"/>
          <w:divBdr>
            <w:top w:val="none" w:sz="0" w:space="0" w:color="auto"/>
            <w:left w:val="none" w:sz="0" w:space="0" w:color="auto"/>
            <w:bottom w:val="none" w:sz="0" w:space="0" w:color="auto"/>
            <w:right w:val="none" w:sz="0" w:space="0" w:color="auto"/>
          </w:divBdr>
        </w:div>
        <w:div w:id="602684225">
          <w:marLeft w:val="0"/>
          <w:marRight w:val="0"/>
          <w:marTop w:val="0"/>
          <w:marBottom w:val="0"/>
          <w:divBdr>
            <w:top w:val="none" w:sz="0" w:space="0" w:color="auto"/>
            <w:left w:val="none" w:sz="0" w:space="0" w:color="auto"/>
            <w:bottom w:val="none" w:sz="0" w:space="0" w:color="auto"/>
            <w:right w:val="none" w:sz="0" w:space="0" w:color="auto"/>
          </w:divBdr>
        </w:div>
        <w:div w:id="871528522">
          <w:marLeft w:val="0"/>
          <w:marRight w:val="0"/>
          <w:marTop w:val="0"/>
          <w:marBottom w:val="0"/>
          <w:divBdr>
            <w:top w:val="none" w:sz="0" w:space="0" w:color="auto"/>
            <w:left w:val="none" w:sz="0" w:space="0" w:color="auto"/>
            <w:bottom w:val="none" w:sz="0" w:space="0" w:color="auto"/>
            <w:right w:val="none" w:sz="0" w:space="0" w:color="auto"/>
          </w:divBdr>
        </w:div>
        <w:div w:id="1715152067">
          <w:marLeft w:val="0"/>
          <w:marRight w:val="0"/>
          <w:marTop w:val="0"/>
          <w:marBottom w:val="0"/>
          <w:divBdr>
            <w:top w:val="none" w:sz="0" w:space="0" w:color="auto"/>
            <w:left w:val="none" w:sz="0" w:space="0" w:color="auto"/>
            <w:bottom w:val="none" w:sz="0" w:space="0" w:color="auto"/>
            <w:right w:val="none" w:sz="0" w:space="0" w:color="auto"/>
          </w:divBdr>
        </w:div>
        <w:div w:id="1579251080">
          <w:marLeft w:val="0"/>
          <w:marRight w:val="0"/>
          <w:marTop w:val="0"/>
          <w:marBottom w:val="0"/>
          <w:divBdr>
            <w:top w:val="none" w:sz="0" w:space="0" w:color="auto"/>
            <w:left w:val="none" w:sz="0" w:space="0" w:color="auto"/>
            <w:bottom w:val="none" w:sz="0" w:space="0" w:color="auto"/>
            <w:right w:val="none" w:sz="0" w:space="0" w:color="auto"/>
          </w:divBdr>
        </w:div>
        <w:div w:id="284624263">
          <w:marLeft w:val="0"/>
          <w:marRight w:val="0"/>
          <w:marTop w:val="0"/>
          <w:marBottom w:val="0"/>
          <w:divBdr>
            <w:top w:val="none" w:sz="0" w:space="0" w:color="auto"/>
            <w:left w:val="none" w:sz="0" w:space="0" w:color="auto"/>
            <w:bottom w:val="none" w:sz="0" w:space="0" w:color="auto"/>
            <w:right w:val="none" w:sz="0" w:space="0" w:color="auto"/>
          </w:divBdr>
        </w:div>
        <w:div w:id="233666011">
          <w:marLeft w:val="0"/>
          <w:marRight w:val="0"/>
          <w:marTop w:val="0"/>
          <w:marBottom w:val="0"/>
          <w:divBdr>
            <w:top w:val="none" w:sz="0" w:space="0" w:color="auto"/>
            <w:left w:val="none" w:sz="0" w:space="0" w:color="auto"/>
            <w:bottom w:val="none" w:sz="0" w:space="0" w:color="auto"/>
            <w:right w:val="none" w:sz="0" w:space="0" w:color="auto"/>
          </w:divBdr>
        </w:div>
        <w:div w:id="1831872055">
          <w:marLeft w:val="0"/>
          <w:marRight w:val="0"/>
          <w:marTop w:val="0"/>
          <w:marBottom w:val="0"/>
          <w:divBdr>
            <w:top w:val="none" w:sz="0" w:space="0" w:color="auto"/>
            <w:left w:val="none" w:sz="0" w:space="0" w:color="auto"/>
            <w:bottom w:val="none" w:sz="0" w:space="0" w:color="auto"/>
            <w:right w:val="none" w:sz="0" w:space="0" w:color="auto"/>
          </w:divBdr>
        </w:div>
        <w:div w:id="644047239">
          <w:marLeft w:val="0"/>
          <w:marRight w:val="0"/>
          <w:marTop w:val="0"/>
          <w:marBottom w:val="0"/>
          <w:divBdr>
            <w:top w:val="none" w:sz="0" w:space="0" w:color="auto"/>
            <w:left w:val="none" w:sz="0" w:space="0" w:color="auto"/>
            <w:bottom w:val="none" w:sz="0" w:space="0" w:color="auto"/>
            <w:right w:val="none" w:sz="0" w:space="0" w:color="auto"/>
          </w:divBdr>
        </w:div>
        <w:div w:id="545145317">
          <w:marLeft w:val="0"/>
          <w:marRight w:val="0"/>
          <w:marTop w:val="0"/>
          <w:marBottom w:val="0"/>
          <w:divBdr>
            <w:top w:val="none" w:sz="0" w:space="0" w:color="auto"/>
            <w:left w:val="none" w:sz="0" w:space="0" w:color="auto"/>
            <w:bottom w:val="none" w:sz="0" w:space="0" w:color="auto"/>
            <w:right w:val="none" w:sz="0" w:space="0" w:color="auto"/>
          </w:divBdr>
        </w:div>
        <w:div w:id="175078325">
          <w:marLeft w:val="0"/>
          <w:marRight w:val="0"/>
          <w:marTop w:val="0"/>
          <w:marBottom w:val="0"/>
          <w:divBdr>
            <w:top w:val="none" w:sz="0" w:space="0" w:color="auto"/>
            <w:left w:val="none" w:sz="0" w:space="0" w:color="auto"/>
            <w:bottom w:val="none" w:sz="0" w:space="0" w:color="auto"/>
            <w:right w:val="none" w:sz="0" w:space="0" w:color="auto"/>
          </w:divBdr>
        </w:div>
      </w:divsChild>
    </w:div>
    <w:div w:id="2049380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wricwlwm-i-gymru/cyflwyniad/" TargetMode="External"/><Relationship Id="rId13" Type="http://schemas.openxmlformats.org/officeDocument/2006/relationships/image" Target="media/image1.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ov.wales/sites/default/files/publications/2018-03/education-in-wales-our-national-mission.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mpact.chartered.college/article/shibli-cognitive-load-theory-classroom/" TargetMode="Externa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hyperlink" Target="https://researched.org.uk/2019/02/27/cognitive-load-theory-in-the-classroom/" TargetMode="External"/><Relationship Id="rId4" Type="http://schemas.openxmlformats.org/officeDocument/2006/relationships/settings" Target="settings.xml"/><Relationship Id="rId9" Type="http://schemas.openxmlformats.org/officeDocument/2006/relationships/hyperlink" Target="https://www.simplypsychology.org/maslow.html"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655B71-922E-40A4-BA31-C89A63EB98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19</Pages>
  <Words>4624</Words>
  <Characters>26359</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Ceris Lloyd (2103920)</dc:creator>
  <cp:keywords/>
  <dc:description/>
  <cp:lastModifiedBy>Nia Ceris</cp:lastModifiedBy>
  <cp:revision>113</cp:revision>
  <dcterms:created xsi:type="dcterms:W3CDTF">2021-10-14T17:47:00Z</dcterms:created>
  <dcterms:modified xsi:type="dcterms:W3CDTF">2021-10-23T09:59:00Z</dcterms:modified>
</cp:coreProperties>
</file>