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37E5F" w14:textId="77777777" w:rsidR="001861E9" w:rsidRPr="001861E9" w:rsidRDefault="001861E9" w:rsidP="0058042B">
      <w:pPr>
        <w:spacing w:line="600" w:lineRule="auto"/>
        <w:jc w:val="center"/>
        <w:rPr>
          <w:rFonts w:ascii="Calibri" w:hAnsi="Calibri" w:cs="Calibri"/>
          <w:sz w:val="24"/>
          <w:szCs w:val="24"/>
        </w:rPr>
      </w:pPr>
      <w:r w:rsidRPr="001861E9">
        <w:rPr>
          <w:rFonts w:ascii="Calibri" w:hAnsi="Calibri" w:cs="Calibri"/>
          <w:sz w:val="24"/>
          <w:szCs w:val="24"/>
        </w:rPr>
        <w:t>University of Wales Trinity Saint David</w:t>
      </w:r>
    </w:p>
    <w:p w14:paraId="3503E5A5" w14:textId="77777777" w:rsidR="001861E9" w:rsidRPr="001861E9" w:rsidRDefault="001861E9" w:rsidP="00183149">
      <w:pPr>
        <w:spacing w:line="480" w:lineRule="auto"/>
        <w:jc w:val="center"/>
        <w:rPr>
          <w:rFonts w:ascii="Calibri" w:hAnsi="Calibri" w:cs="Calibri"/>
          <w:sz w:val="24"/>
          <w:szCs w:val="24"/>
        </w:rPr>
      </w:pPr>
      <w:r w:rsidRPr="001861E9">
        <w:rPr>
          <w:rFonts w:ascii="Calibri" w:hAnsi="Calibri" w:cs="Calibri"/>
          <w:sz w:val="24"/>
          <w:szCs w:val="24"/>
        </w:rPr>
        <w:t>School of Engineering</w:t>
      </w:r>
    </w:p>
    <w:p w14:paraId="718DAA54" w14:textId="77777777" w:rsidR="001861E9" w:rsidRPr="000E7475" w:rsidRDefault="001861E9" w:rsidP="00183149">
      <w:pPr>
        <w:spacing w:line="480" w:lineRule="auto"/>
        <w:jc w:val="center"/>
        <w:rPr>
          <w:rFonts w:ascii="Calibri" w:hAnsi="Calibri" w:cs="Calibri"/>
          <w:sz w:val="24"/>
          <w:szCs w:val="24"/>
        </w:rPr>
      </w:pPr>
      <w:r w:rsidRPr="000E7475">
        <w:rPr>
          <w:rFonts w:ascii="Calibri" w:hAnsi="Calibri" w:cs="Calibri"/>
          <w:sz w:val="24"/>
          <w:szCs w:val="24"/>
        </w:rPr>
        <w:t>Law and the Workplace</w:t>
      </w:r>
    </w:p>
    <w:p w14:paraId="62CC4BFA" w14:textId="77777777" w:rsidR="001861E9" w:rsidRPr="000E7475" w:rsidRDefault="001861E9" w:rsidP="00183149">
      <w:pPr>
        <w:spacing w:line="480" w:lineRule="auto"/>
        <w:jc w:val="center"/>
        <w:rPr>
          <w:rFonts w:ascii="Calibri" w:hAnsi="Calibri" w:cs="Calibri"/>
          <w:sz w:val="24"/>
          <w:szCs w:val="24"/>
        </w:rPr>
      </w:pPr>
      <w:r w:rsidRPr="000E7475">
        <w:rPr>
          <w:rFonts w:ascii="Calibri" w:hAnsi="Calibri" w:cs="Calibri"/>
          <w:sz w:val="24"/>
          <w:szCs w:val="24"/>
        </w:rPr>
        <w:t>Lauren Lloyd</w:t>
      </w:r>
    </w:p>
    <w:p w14:paraId="528BB293" w14:textId="77777777" w:rsidR="001861E9" w:rsidRPr="000E7475" w:rsidRDefault="001861E9" w:rsidP="00183149">
      <w:pPr>
        <w:spacing w:line="480" w:lineRule="auto"/>
        <w:jc w:val="center"/>
        <w:rPr>
          <w:rFonts w:ascii="Calibri" w:hAnsi="Calibri" w:cs="Calibri"/>
          <w:sz w:val="24"/>
          <w:szCs w:val="24"/>
        </w:rPr>
      </w:pPr>
      <w:r w:rsidRPr="000E7475">
        <w:rPr>
          <w:rFonts w:ascii="Calibri" w:hAnsi="Calibri" w:cs="Calibri"/>
          <w:sz w:val="24"/>
          <w:szCs w:val="24"/>
        </w:rPr>
        <w:t>2315243</w:t>
      </w:r>
    </w:p>
    <w:p w14:paraId="544E9BCD" w14:textId="77777777" w:rsidR="001861E9" w:rsidRPr="000E7475" w:rsidRDefault="001861E9" w:rsidP="00183149">
      <w:pPr>
        <w:spacing w:line="480" w:lineRule="auto"/>
        <w:jc w:val="center"/>
        <w:rPr>
          <w:rFonts w:ascii="Calibri" w:hAnsi="Calibri" w:cs="Calibri"/>
          <w:sz w:val="24"/>
          <w:szCs w:val="24"/>
        </w:rPr>
      </w:pPr>
      <w:r w:rsidRPr="000E7475">
        <w:rPr>
          <w:rFonts w:ascii="Calibri" w:hAnsi="Calibri" w:cs="Calibri"/>
          <w:sz w:val="24"/>
          <w:szCs w:val="24"/>
        </w:rPr>
        <w:t>Degree Apprenticeship in Logistics and Supply Chain Management</w:t>
      </w:r>
    </w:p>
    <w:p w14:paraId="66BBDE9D" w14:textId="77777777" w:rsidR="001861E9" w:rsidRPr="000E7475" w:rsidRDefault="001861E9" w:rsidP="00183149">
      <w:pPr>
        <w:spacing w:line="480" w:lineRule="auto"/>
        <w:jc w:val="center"/>
        <w:rPr>
          <w:rFonts w:ascii="Calibri" w:hAnsi="Calibri" w:cs="Calibri"/>
          <w:sz w:val="24"/>
          <w:szCs w:val="24"/>
        </w:rPr>
      </w:pPr>
      <w:r w:rsidRPr="000E7475">
        <w:rPr>
          <w:rFonts w:ascii="Calibri" w:hAnsi="Calibri" w:cs="Calibri"/>
          <w:sz w:val="24"/>
          <w:szCs w:val="24"/>
        </w:rPr>
        <w:t>5</w:t>
      </w:r>
      <w:r w:rsidRPr="000E7475">
        <w:rPr>
          <w:rFonts w:ascii="Calibri" w:hAnsi="Calibri" w:cs="Calibri"/>
          <w:sz w:val="24"/>
          <w:szCs w:val="24"/>
          <w:vertAlign w:val="superscript"/>
        </w:rPr>
        <w:t>th</w:t>
      </w:r>
      <w:r w:rsidRPr="000E7475">
        <w:rPr>
          <w:rFonts w:ascii="Calibri" w:hAnsi="Calibri" w:cs="Calibri"/>
          <w:sz w:val="24"/>
          <w:szCs w:val="24"/>
        </w:rPr>
        <w:t xml:space="preserve"> June 2025</w:t>
      </w:r>
    </w:p>
    <w:p w14:paraId="50581064" w14:textId="77777777" w:rsidR="001861E9" w:rsidRPr="000E7475" w:rsidRDefault="001861E9" w:rsidP="00183149">
      <w:pPr>
        <w:spacing w:line="480" w:lineRule="auto"/>
        <w:jc w:val="center"/>
        <w:rPr>
          <w:rFonts w:ascii="Calibri" w:hAnsi="Calibri" w:cs="Calibri"/>
          <w:sz w:val="24"/>
          <w:szCs w:val="24"/>
        </w:rPr>
      </w:pPr>
      <w:r w:rsidRPr="000E7475">
        <w:rPr>
          <w:rFonts w:ascii="Calibri" w:hAnsi="Calibri" w:cs="Calibri"/>
          <w:bCs/>
          <w:sz w:val="24"/>
          <w:szCs w:val="24"/>
        </w:rPr>
        <w:t xml:space="preserve">Ethics and Law </w:t>
      </w:r>
      <w:r w:rsidRPr="000E7475">
        <w:rPr>
          <w:rFonts w:ascii="Calibri" w:hAnsi="Calibri" w:cs="Calibri"/>
          <w:sz w:val="24"/>
          <w:szCs w:val="24"/>
        </w:rPr>
        <w:t>(</w:t>
      </w:r>
      <w:r w:rsidRPr="000E7475">
        <w:rPr>
          <w:rFonts w:ascii="Calibri" w:hAnsi="Calibri" w:cs="Calibri"/>
          <w:bCs/>
          <w:sz w:val="24"/>
          <w:szCs w:val="24"/>
        </w:rPr>
        <w:t>ACMA5015</w:t>
      </w:r>
      <w:r w:rsidRPr="000E7475">
        <w:rPr>
          <w:rFonts w:ascii="Calibri" w:hAnsi="Calibri" w:cs="Calibri"/>
          <w:sz w:val="24"/>
          <w:szCs w:val="24"/>
        </w:rPr>
        <w:t>)</w:t>
      </w:r>
    </w:p>
    <w:p w14:paraId="5540A80F" w14:textId="77777777" w:rsidR="001861E9" w:rsidRPr="000E7475" w:rsidRDefault="001861E9" w:rsidP="00183149">
      <w:pPr>
        <w:spacing w:line="480" w:lineRule="auto"/>
        <w:rPr>
          <w:rFonts w:ascii="Calibri" w:hAnsi="Calibri" w:cs="Calibri"/>
          <w:b/>
          <w:bCs/>
          <w:sz w:val="24"/>
          <w:szCs w:val="24"/>
        </w:rPr>
      </w:pPr>
    </w:p>
    <w:p w14:paraId="33D06621" w14:textId="77777777" w:rsidR="001861E9" w:rsidRPr="000E7475" w:rsidRDefault="001861E9" w:rsidP="000E7475">
      <w:pPr>
        <w:spacing w:after="160" w:line="360" w:lineRule="auto"/>
        <w:rPr>
          <w:rFonts w:ascii="Calibri" w:hAnsi="Calibri" w:cs="Calibri"/>
          <w:b/>
          <w:bCs/>
          <w:sz w:val="24"/>
          <w:szCs w:val="24"/>
        </w:rPr>
      </w:pPr>
      <w:r w:rsidRPr="000E7475">
        <w:rPr>
          <w:rFonts w:ascii="Calibri" w:hAnsi="Calibri" w:cs="Calibri"/>
          <w:b/>
          <w:bCs/>
          <w:sz w:val="24"/>
          <w:szCs w:val="24"/>
        </w:rPr>
        <w:br w:type="page"/>
      </w:r>
    </w:p>
    <w:p w14:paraId="164B4D1B" w14:textId="2E808165" w:rsidR="000E7475" w:rsidRPr="000E7475" w:rsidRDefault="000E7475" w:rsidP="000E7475">
      <w:pPr>
        <w:pStyle w:val="TableofFigures"/>
        <w:tabs>
          <w:tab w:val="right" w:leader="dot" w:pos="9016"/>
        </w:tabs>
        <w:spacing w:line="360" w:lineRule="auto"/>
        <w:rPr>
          <w:rFonts w:ascii="Calibri" w:hAnsi="Calibri" w:cs="Calibri"/>
          <w:b/>
          <w:bCs/>
          <w:sz w:val="24"/>
          <w:szCs w:val="24"/>
        </w:rPr>
      </w:pPr>
      <w:r w:rsidRPr="000E7475">
        <w:rPr>
          <w:rFonts w:ascii="Calibri" w:hAnsi="Calibri" w:cs="Calibri"/>
          <w:b/>
          <w:bCs/>
          <w:sz w:val="24"/>
          <w:szCs w:val="24"/>
        </w:rPr>
        <w:lastRenderedPageBreak/>
        <w:t xml:space="preserve">Table of </w:t>
      </w:r>
      <w:r>
        <w:rPr>
          <w:rFonts w:ascii="Calibri" w:hAnsi="Calibri" w:cs="Calibri"/>
          <w:b/>
          <w:bCs/>
          <w:sz w:val="24"/>
          <w:szCs w:val="24"/>
        </w:rPr>
        <w:t>Figures</w:t>
      </w:r>
    </w:p>
    <w:p w14:paraId="3055A5CA" w14:textId="3BA72536" w:rsidR="000E7475" w:rsidRPr="000E7475" w:rsidRDefault="000E7475" w:rsidP="000E7475">
      <w:pPr>
        <w:pStyle w:val="TableofFigures"/>
        <w:tabs>
          <w:tab w:val="right" w:leader="dot" w:pos="9016"/>
        </w:tabs>
        <w:spacing w:line="360" w:lineRule="auto"/>
        <w:rPr>
          <w:rFonts w:ascii="Calibri" w:hAnsi="Calibri" w:cs="Calibri"/>
          <w:noProof/>
          <w:sz w:val="24"/>
          <w:szCs w:val="24"/>
        </w:rPr>
      </w:pPr>
      <w:r w:rsidRPr="000E7475">
        <w:rPr>
          <w:rFonts w:ascii="Calibri" w:hAnsi="Calibri" w:cs="Calibri"/>
          <w:b/>
          <w:bCs/>
          <w:sz w:val="24"/>
          <w:szCs w:val="24"/>
        </w:rPr>
        <w:fldChar w:fldCharType="begin"/>
      </w:r>
      <w:r w:rsidRPr="000E7475">
        <w:rPr>
          <w:rFonts w:ascii="Calibri" w:hAnsi="Calibri" w:cs="Calibri"/>
          <w:b/>
          <w:bCs/>
          <w:sz w:val="24"/>
          <w:szCs w:val="24"/>
        </w:rPr>
        <w:instrText xml:space="preserve"> TOC \h \z \c "Figure" </w:instrText>
      </w:r>
      <w:r w:rsidRPr="000E7475">
        <w:rPr>
          <w:rFonts w:ascii="Calibri" w:hAnsi="Calibri" w:cs="Calibri"/>
          <w:b/>
          <w:bCs/>
          <w:sz w:val="24"/>
          <w:szCs w:val="24"/>
        </w:rPr>
        <w:fldChar w:fldCharType="separate"/>
      </w:r>
      <w:hyperlink w:anchor="_Toc200008455" w:history="1">
        <w:r w:rsidRPr="000E7475">
          <w:rPr>
            <w:rStyle w:val="Hyperlink"/>
            <w:rFonts w:ascii="Calibri" w:eastAsiaTheme="majorEastAsia" w:hAnsi="Calibri" w:cs="Calibri"/>
            <w:noProof/>
            <w:sz w:val="24"/>
            <w:szCs w:val="24"/>
          </w:rPr>
          <w:t>Figure 1: SONY Product Safety Warning (SONY, 2016)</w:t>
        </w:r>
        <w:r w:rsidRPr="000E7475">
          <w:rPr>
            <w:rFonts w:ascii="Calibri" w:hAnsi="Calibri" w:cs="Calibri"/>
            <w:noProof/>
            <w:webHidden/>
            <w:sz w:val="24"/>
            <w:szCs w:val="24"/>
          </w:rPr>
          <w:tab/>
        </w:r>
        <w:r w:rsidRPr="000E7475">
          <w:rPr>
            <w:rFonts w:ascii="Calibri" w:hAnsi="Calibri" w:cs="Calibri"/>
            <w:noProof/>
            <w:webHidden/>
            <w:sz w:val="24"/>
            <w:szCs w:val="24"/>
          </w:rPr>
          <w:fldChar w:fldCharType="begin"/>
        </w:r>
        <w:r w:rsidRPr="000E7475">
          <w:rPr>
            <w:rFonts w:ascii="Calibri" w:hAnsi="Calibri" w:cs="Calibri"/>
            <w:noProof/>
            <w:webHidden/>
            <w:sz w:val="24"/>
            <w:szCs w:val="24"/>
          </w:rPr>
          <w:instrText xml:space="preserve"> PAGEREF _Toc200008455 \h </w:instrText>
        </w:r>
        <w:r w:rsidRPr="000E7475">
          <w:rPr>
            <w:rFonts w:ascii="Calibri" w:hAnsi="Calibri" w:cs="Calibri"/>
            <w:noProof/>
            <w:webHidden/>
            <w:sz w:val="24"/>
            <w:szCs w:val="24"/>
          </w:rPr>
        </w:r>
        <w:r w:rsidRPr="000E7475">
          <w:rPr>
            <w:rFonts w:ascii="Calibri" w:hAnsi="Calibri" w:cs="Calibri"/>
            <w:noProof/>
            <w:webHidden/>
            <w:sz w:val="24"/>
            <w:szCs w:val="24"/>
          </w:rPr>
          <w:fldChar w:fldCharType="separate"/>
        </w:r>
        <w:r w:rsidRPr="000E7475">
          <w:rPr>
            <w:rFonts w:ascii="Calibri" w:hAnsi="Calibri" w:cs="Calibri"/>
            <w:noProof/>
            <w:webHidden/>
            <w:sz w:val="24"/>
            <w:szCs w:val="24"/>
          </w:rPr>
          <w:t>9</w:t>
        </w:r>
        <w:r w:rsidRPr="000E7475">
          <w:rPr>
            <w:rFonts w:ascii="Calibri" w:hAnsi="Calibri" w:cs="Calibri"/>
            <w:noProof/>
            <w:webHidden/>
            <w:sz w:val="24"/>
            <w:szCs w:val="24"/>
          </w:rPr>
          <w:fldChar w:fldCharType="end"/>
        </w:r>
      </w:hyperlink>
    </w:p>
    <w:p w14:paraId="60C5F073" w14:textId="43C15A6F" w:rsidR="000E7475" w:rsidRPr="000E7475" w:rsidRDefault="000E7475" w:rsidP="000E7475">
      <w:pPr>
        <w:pStyle w:val="TableofFigures"/>
        <w:tabs>
          <w:tab w:val="right" w:leader="dot" w:pos="9016"/>
        </w:tabs>
        <w:spacing w:line="360" w:lineRule="auto"/>
        <w:rPr>
          <w:rFonts w:ascii="Calibri" w:hAnsi="Calibri" w:cs="Calibri"/>
          <w:noProof/>
          <w:sz w:val="24"/>
          <w:szCs w:val="24"/>
        </w:rPr>
      </w:pPr>
      <w:hyperlink w:anchor="_Toc200008456" w:history="1">
        <w:r w:rsidRPr="000E7475">
          <w:rPr>
            <w:rStyle w:val="Hyperlink"/>
            <w:rFonts w:ascii="Calibri" w:eastAsiaTheme="majorEastAsia" w:hAnsi="Calibri" w:cs="Calibri"/>
            <w:noProof/>
            <w:sz w:val="24"/>
            <w:szCs w:val="24"/>
          </w:rPr>
          <w:t>Figure 2: Phase 1 Single Use Items Banned (FOR Cardiff Offices,2023)</w:t>
        </w:r>
        <w:r w:rsidRPr="000E7475">
          <w:rPr>
            <w:rFonts w:ascii="Calibri" w:hAnsi="Calibri" w:cs="Calibri"/>
            <w:noProof/>
            <w:webHidden/>
            <w:sz w:val="24"/>
            <w:szCs w:val="24"/>
          </w:rPr>
          <w:tab/>
        </w:r>
        <w:r w:rsidRPr="000E7475">
          <w:rPr>
            <w:rFonts w:ascii="Calibri" w:hAnsi="Calibri" w:cs="Calibri"/>
            <w:noProof/>
            <w:webHidden/>
            <w:sz w:val="24"/>
            <w:szCs w:val="24"/>
          </w:rPr>
          <w:fldChar w:fldCharType="begin"/>
        </w:r>
        <w:r w:rsidRPr="000E7475">
          <w:rPr>
            <w:rFonts w:ascii="Calibri" w:hAnsi="Calibri" w:cs="Calibri"/>
            <w:noProof/>
            <w:webHidden/>
            <w:sz w:val="24"/>
            <w:szCs w:val="24"/>
          </w:rPr>
          <w:instrText xml:space="preserve"> PAGEREF _Toc200008456 \h </w:instrText>
        </w:r>
        <w:r w:rsidRPr="000E7475">
          <w:rPr>
            <w:rFonts w:ascii="Calibri" w:hAnsi="Calibri" w:cs="Calibri"/>
            <w:noProof/>
            <w:webHidden/>
            <w:sz w:val="24"/>
            <w:szCs w:val="24"/>
          </w:rPr>
        </w:r>
        <w:r w:rsidRPr="000E7475">
          <w:rPr>
            <w:rFonts w:ascii="Calibri" w:hAnsi="Calibri" w:cs="Calibri"/>
            <w:noProof/>
            <w:webHidden/>
            <w:sz w:val="24"/>
            <w:szCs w:val="24"/>
          </w:rPr>
          <w:fldChar w:fldCharType="separate"/>
        </w:r>
        <w:r w:rsidRPr="000E7475">
          <w:rPr>
            <w:rFonts w:ascii="Calibri" w:hAnsi="Calibri" w:cs="Calibri"/>
            <w:noProof/>
            <w:webHidden/>
            <w:sz w:val="24"/>
            <w:szCs w:val="24"/>
          </w:rPr>
          <w:t>10</w:t>
        </w:r>
        <w:r w:rsidRPr="000E7475">
          <w:rPr>
            <w:rFonts w:ascii="Calibri" w:hAnsi="Calibri" w:cs="Calibri"/>
            <w:noProof/>
            <w:webHidden/>
            <w:sz w:val="24"/>
            <w:szCs w:val="24"/>
          </w:rPr>
          <w:fldChar w:fldCharType="end"/>
        </w:r>
      </w:hyperlink>
    </w:p>
    <w:p w14:paraId="24A66337" w14:textId="6E893FD3" w:rsidR="000E7475" w:rsidRPr="000E7475" w:rsidRDefault="000E7475" w:rsidP="000E7475">
      <w:pPr>
        <w:pStyle w:val="TableofFigures"/>
        <w:tabs>
          <w:tab w:val="right" w:leader="dot" w:pos="9016"/>
        </w:tabs>
        <w:spacing w:line="360" w:lineRule="auto"/>
        <w:rPr>
          <w:rFonts w:ascii="Calibri" w:hAnsi="Calibri" w:cs="Calibri"/>
          <w:noProof/>
          <w:sz w:val="24"/>
          <w:szCs w:val="24"/>
        </w:rPr>
      </w:pPr>
      <w:hyperlink w:anchor="_Toc200008457" w:history="1">
        <w:r w:rsidRPr="000E7475">
          <w:rPr>
            <w:rStyle w:val="Hyperlink"/>
            <w:rFonts w:ascii="Calibri" w:eastAsiaTheme="majorEastAsia" w:hAnsi="Calibri" w:cs="Calibri"/>
            <w:noProof/>
            <w:sz w:val="24"/>
            <w:szCs w:val="24"/>
          </w:rPr>
          <w:t>Figure 3: Alternative to Single-Use Plastics (Welsh Goverment, 2023)</w:t>
        </w:r>
        <w:r w:rsidRPr="000E7475">
          <w:rPr>
            <w:rFonts w:ascii="Calibri" w:hAnsi="Calibri" w:cs="Calibri"/>
            <w:noProof/>
            <w:webHidden/>
            <w:sz w:val="24"/>
            <w:szCs w:val="24"/>
          </w:rPr>
          <w:tab/>
        </w:r>
        <w:r w:rsidRPr="000E7475">
          <w:rPr>
            <w:rFonts w:ascii="Calibri" w:hAnsi="Calibri" w:cs="Calibri"/>
            <w:noProof/>
            <w:webHidden/>
            <w:sz w:val="24"/>
            <w:szCs w:val="24"/>
          </w:rPr>
          <w:fldChar w:fldCharType="begin"/>
        </w:r>
        <w:r w:rsidRPr="000E7475">
          <w:rPr>
            <w:rFonts w:ascii="Calibri" w:hAnsi="Calibri" w:cs="Calibri"/>
            <w:noProof/>
            <w:webHidden/>
            <w:sz w:val="24"/>
            <w:szCs w:val="24"/>
          </w:rPr>
          <w:instrText xml:space="preserve"> PAGEREF _Toc200008457 \h </w:instrText>
        </w:r>
        <w:r w:rsidRPr="000E7475">
          <w:rPr>
            <w:rFonts w:ascii="Calibri" w:hAnsi="Calibri" w:cs="Calibri"/>
            <w:noProof/>
            <w:webHidden/>
            <w:sz w:val="24"/>
            <w:szCs w:val="24"/>
          </w:rPr>
        </w:r>
        <w:r w:rsidRPr="000E7475">
          <w:rPr>
            <w:rFonts w:ascii="Calibri" w:hAnsi="Calibri" w:cs="Calibri"/>
            <w:noProof/>
            <w:webHidden/>
            <w:sz w:val="24"/>
            <w:szCs w:val="24"/>
          </w:rPr>
          <w:fldChar w:fldCharType="separate"/>
        </w:r>
        <w:r w:rsidRPr="000E7475">
          <w:rPr>
            <w:rFonts w:ascii="Calibri" w:hAnsi="Calibri" w:cs="Calibri"/>
            <w:noProof/>
            <w:webHidden/>
            <w:sz w:val="24"/>
            <w:szCs w:val="24"/>
          </w:rPr>
          <w:t>11</w:t>
        </w:r>
        <w:r w:rsidRPr="000E7475">
          <w:rPr>
            <w:rFonts w:ascii="Calibri" w:hAnsi="Calibri" w:cs="Calibri"/>
            <w:noProof/>
            <w:webHidden/>
            <w:sz w:val="24"/>
            <w:szCs w:val="24"/>
          </w:rPr>
          <w:fldChar w:fldCharType="end"/>
        </w:r>
      </w:hyperlink>
    </w:p>
    <w:p w14:paraId="164DAC5D" w14:textId="1E38FCFD" w:rsidR="000E7475" w:rsidRPr="000E7475" w:rsidRDefault="000E7475" w:rsidP="000E7475">
      <w:pPr>
        <w:spacing w:line="360" w:lineRule="auto"/>
        <w:jc w:val="both"/>
        <w:rPr>
          <w:rFonts w:ascii="Calibri" w:hAnsi="Calibri" w:cs="Calibri"/>
          <w:b/>
          <w:bCs/>
          <w:sz w:val="24"/>
          <w:szCs w:val="24"/>
        </w:rPr>
      </w:pPr>
      <w:r w:rsidRPr="000E7475">
        <w:rPr>
          <w:rFonts w:ascii="Calibri" w:hAnsi="Calibri" w:cs="Calibri"/>
          <w:b/>
          <w:bCs/>
          <w:sz w:val="24"/>
          <w:szCs w:val="24"/>
        </w:rPr>
        <w:fldChar w:fldCharType="end"/>
      </w:r>
    </w:p>
    <w:p w14:paraId="19E4FCDF" w14:textId="77777777" w:rsidR="000E7475" w:rsidRPr="000E7475" w:rsidRDefault="000E7475" w:rsidP="000E7475">
      <w:pPr>
        <w:spacing w:after="160" w:line="360" w:lineRule="auto"/>
        <w:rPr>
          <w:rFonts w:ascii="Calibri" w:hAnsi="Calibri" w:cs="Calibri"/>
          <w:b/>
          <w:bCs/>
          <w:sz w:val="24"/>
          <w:szCs w:val="24"/>
        </w:rPr>
      </w:pPr>
      <w:r w:rsidRPr="000E7475">
        <w:rPr>
          <w:rFonts w:ascii="Calibri" w:hAnsi="Calibri" w:cs="Calibri"/>
          <w:b/>
          <w:bCs/>
          <w:sz w:val="24"/>
          <w:szCs w:val="24"/>
        </w:rPr>
        <w:br w:type="page"/>
      </w:r>
    </w:p>
    <w:sdt>
      <w:sdtPr>
        <w:rPr>
          <w:rFonts w:ascii="Calibri" w:eastAsia="Times New Roman" w:hAnsi="Calibri" w:cs="Calibri"/>
          <w:color w:val="auto"/>
          <w:sz w:val="24"/>
          <w:szCs w:val="24"/>
          <w:lang w:val="en-GB" w:eastAsia="en-GB"/>
        </w:rPr>
        <w:id w:val="1783532232"/>
        <w:docPartObj>
          <w:docPartGallery w:val="Table of Contents"/>
          <w:docPartUnique/>
        </w:docPartObj>
      </w:sdtPr>
      <w:sdtEndPr>
        <w:rPr>
          <w:b/>
          <w:bCs/>
          <w:noProof/>
        </w:rPr>
      </w:sdtEndPr>
      <w:sdtContent>
        <w:p w14:paraId="3346901D" w14:textId="3ECC0D4F" w:rsidR="000E7475" w:rsidRPr="000E7475" w:rsidRDefault="000E7475" w:rsidP="000E7475">
          <w:pPr>
            <w:pStyle w:val="TOCHeading"/>
            <w:spacing w:line="360" w:lineRule="auto"/>
            <w:rPr>
              <w:rFonts w:ascii="Calibri" w:hAnsi="Calibri" w:cs="Calibri"/>
            </w:rPr>
          </w:pPr>
          <w:r w:rsidRPr="000E7475">
            <w:rPr>
              <w:rFonts w:ascii="Calibri" w:hAnsi="Calibri" w:cs="Calibri"/>
            </w:rPr>
            <w:t>Table of Contents</w:t>
          </w:r>
        </w:p>
        <w:p w14:paraId="5E99DEE2" w14:textId="181D484B" w:rsidR="000E7475" w:rsidRPr="000E7475" w:rsidRDefault="000E7475" w:rsidP="000E7475">
          <w:pPr>
            <w:pStyle w:val="TOC1"/>
            <w:tabs>
              <w:tab w:val="left" w:pos="480"/>
              <w:tab w:val="right" w:leader="dot" w:pos="9016"/>
            </w:tabs>
            <w:spacing w:line="360" w:lineRule="auto"/>
            <w:rPr>
              <w:rFonts w:ascii="Calibri" w:hAnsi="Calibri" w:cs="Calibri"/>
              <w:noProof/>
              <w:sz w:val="24"/>
              <w:szCs w:val="24"/>
            </w:rPr>
          </w:pPr>
          <w:r w:rsidRPr="000E7475">
            <w:rPr>
              <w:rFonts w:ascii="Calibri" w:hAnsi="Calibri" w:cs="Calibri"/>
              <w:sz w:val="24"/>
              <w:szCs w:val="24"/>
            </w:rPr>
            <w:fldChar w:fldCharType="begin"/>
          </w:r>
          <w:r w:rsidRPr="000E7475">
            <w:rPr>
              <w:rFonts w:ascii="Calibri" w:hAnsi="Calibri" w:cs="Calibri"/>
              <w:sz w:val="24"/>
              <w:szCs w:val="24"/>
            </w:rPr>
            <w:instrText xml:space="preserve"> TOC \o "1-3" \h \z \u </w:instrText>
          </w:r>
          <w:r w:rsidRPr="000E7475">
            <w:rPr>
              <w:rFonts w:ascii="Calibri" w:hAnsi="Calibri" w:cs="Calibri"/>
              <w:sz w:val="24"/>
              <w:szCs w:val="24"/>
            </w:rPr>
            <w:fldChar w:fldCharType="separate"/>
          </w:r>
          <w:hyperlink w:anchor="_Toc200008469" w:history="1">
            <w:r w:rsidRPr="000E7475">
              <w:rPr>
                <w:rStyle w:val="Hyperlink"/>
                <w:rFonts w:ascii="Calibri" w:hAnsi="Calibri" w:cs="Calibri"/>
                <w:noProof/>
                <w:sz w:val="24"/>
                <w:szCs w:val="24"/>
              </w:rPr>
              <w:t>1.</w:t>
            </w:r>
            <w:r w:rsidRPr="000E7475">
              <w:rPr>
                <w:rFonts w:ascii="Calibri" w:hAnsi="Calibri" w:cs="Calibri"/>
                <w:noProof/>
                <w:sz w:val="24"/>
                <w:szCs w:val="24"/>
              </w:rPr>
              <w:tab/>
            </w:r>
            <w:r w:rsidRPr="000E7475">
              <w:rPr>
                <w:rStyle w:val="Hyperlink"/>
                <w:rFonts w:ascii="Calibri" w:hAnsi="Calibri" w:cs="Calibri"/>
                <w:noProof/>
                <w:sz w:val="24"/>
                <w:szCs w:val="24"/>
              </w:rPr>
              <w:t>Explain the process of forming a valid contract. Ensure that you support your answer with case law. [ 25 Marks]</w:t>
            </w:r>
            <w:r w:rsidRPr="000E7475">
              <w:rPr>
                <w:rFonts w:ascii="Calibri" w:hAnsi="Calibri" w:cs="Calibri"/>
                <w:noProof/>
                <w:webHidden/>
                <w:sz w:val="24"/>
                <w:szCs w:val="24"/>
              </w:rPr>
              <w:tab/>
            </w:r>
            <w:r w:rsidRPr="000E7475">
              <w:rPr>
                <w:rFonts w:ascii="Calibri" w:hAnsi="Calibri" w:cs="Calibri"/>
                <w:noProof/>
                <w:webHidden/>
                <w:sz w:val="24"/>
                <w:szCs w:val="24"/>
              </w:rPr>
              <w:fldChar w:fldCharType="begin"/>
            </w:r>
            <w:r w:rsidRPr="000E7475">
              <w:rPr>
                <w:rFonts w:ascii="Calibri" w:hAnsi="Calibri" w:cs="Calibri"/>
                <w:noProof/>
                <w:webHidden/>
                <w:sz w:val="24"/>
                <w:szCs w:val="24"/>
              </w:rPr>
              <w:instrText xml:space="preserve"> PAGEREF _Toc200008469 \h </w:instrText>
            </w:r>
            <w:r w:rsidRPr="000E7475">
              <w:rPr>
                <w:rFonts w:ascii="Calibri" w:hAnsi="Calibri" w:cs="Calibri"/>
                <w:noProof/>
                <w:webHidden/>
                <w:sz w:val="24"/>
                <w:szCs w:val="24"/>
              </w:rPr>
            </w:r>
            <w:r w:rsidRPr="000E7475">
              <w:rPr>
                <w:rFonts w:ascii="Calibri" w:hAnsi="Calibri" w:cs="Calibri"/>
                <w:noProof/>
                <w:webHidden/>
                <w:sz w:val="24"/>
                <w:szCs w:val="24"/>
              </w:rPr>
              <w:fldChar w:fldCharType="separate"/>
            </w:r>
            <w:r w:rsidRPr="000E7475">
              <w:rPr>
                <w:rFonts w:ascii="Calibri" w:hAnsi="Calibri" w:cs="Calibri"/>
                <w:noProof/>
                <w:webHidden/>
                <w:sz w:val="24"/>
                <w:szCs w:val="24"/>
              </w:rPr>
              <w:t>4</w:t>
            </w:r>
            <w:r w:rsidRPr="000E7475">
              <w:rPr>
                <w:rFonts w:ascii="Calibri" w:hAnsi="Calibri" w:cs="Calibri"/>
                <w:noProof/>
                <w:webHidden/>
                <w:sz w:val="24"/>
                <w:szCs w:val="24"/>
              </w:rPr>
              <w:fldChar w:fldCharType="end"/>
            </w:r>
          </w:hyperlink>
        </w:p>
        <w:p w14:paraId="50087072" w14:textId="147A0C46" w:rsidR="000E7475" w:rsidRPr="000E7475" w:rsidRDefault="000E7475" w:rsidP="000E7475">
          <w:pPr>
            <w:pStyle w:val="TOC1"/>
            <w:tabs>
              <w:tab w:val="right" w:leader="dot" w:pos="9016"/>
            </w:tabs>
            <w:spacing w:line="360" w:lineRule="auto"/>
            <w:rPr>
              <w:rFonts w:ascii="Calibri" w:hAnsi="Calibri" w:cs="Calibri"/>
              <w:noProof/>
              <w:sz w:val="24"/>
              <w:szCs w:val="24"/>
            </w:rPr>
          </w:pPr>
          <w:hyperlink w:anchor="_Toc200008470" w:history="1">
            <w:r w:rsidRPr="000E7475">
              <w:rPr>
                <w:rStyle w:val="Hyperlink"/>
                <w:rFonts w:ascii="Calibri" w:hAnsi="Calibri" w:cs="Calibri"/>
                <w:noProof/>
                <w:sz w:val="24"/>
                <w:szCs w:val="24"/>
              </w:rPr>
              <w:t>2. With particular reference to the case of Black Horse Limited v Andrew Curtis (Bristol CC, 21 February 2024), discuss the extent to which the Consumer Rights Act 2015 is in need of reform to ensure that consumer rights are clear. [25 Marks]</w:t>
            </w:r>
            <w:r w:rsidRPr="000E7475">
              <w:rPr>
                <w:rFonts w:ascii="Calibri" w:hAnsi="Calibri" w:cs="Calibri"/>
                <w:noProof/>
                <w:webHidden/>
                <w:sz w:val="24"/>
                <w:szCs w:val="24"/>
              </w:rPr>
              <w:tab/>
            </w:r>
            <w:r w:rsidRPr="000E7475">
              <w:rPr>
                <w:rFonts w:ascii="Calibri" w:hAnsi="Calibri" w:cs="Calibri"/>
                <w:noProof/>
                <w:webHidden/>
                <w:sz w:val="24"/>
                <w:szCs w:val="24"/>
              </w:rPr>
              <w:fldChar w:fldCharType="begin"/>
            </w:r>
            <w:r w:rsidRPr="000E7475">
              <w:rPr>
                <w:rFonts w:ascii="Calibri" w:hAnsi="Calibri" w:cs="Calibri"/>
                <w:noProof/>
                <w:webHidden/>
                <w:sz w:val="24"/>
                <w:szCs w:val="24"/>
              </w:rPr>
              <w:instrText xml:space="preserve"> PAGEREF _Toc200008470 \h </w:instrText>
            </w:r>
            <w:r w:rsidRPr="000E7475">
              <w:rPr>
                <w:rFonts w:ascii="Calibri" w:hAnsi="Calibri" w:cs="Calibri"/>
                <w:noProof/>
                <w:webHidden/>
                <w:sz w:val="24"/>
                <w:szCs w:val="24"/>
              </w:rPr>
            </w:r>
            <w:r w:rsidRPr="000E7475">
              <w:rPr>
                <w:rFonts w:ascii="Calibri" w:hAnsi="Calibri" w:cs="Calibri"/>
                <w:noProof/>
                <w:webHidden/>
                <w:sz w:val="24"/>
                <w:szCs w:val="24"/>
              </w:rPr>
              <w:fldChar w:fldCharType="separate"/>
            </w:r>
            <w:r w:rsidRPr="000E7475">
              <w:rPr>
                <w:rFonts w:ascii="Calibri" w:hAnsi="Calibri" w:cs="Calibri"/>
                <w:noProof/>
                <w:webHidden/>
                <w:sz w:val="24"/>
                <w:szCs w:val="24"/>
              </w:rPr>
              <w:t>6</w:t>
            </w:r>
            <w:r w:rsidRPr="000E7475">
              <w:rPr>
                <w:rFonts w:ascii="Calibri" w:hAnsi="Calibri" w:cs="Calibri"/>
                <w:noProof/>
                <w:webHidden/>
                <w:sz w:val="24"/>
                <w:szCs w:val="24"/>
              </w:rPr>
              <w:fldChar w:fldCharType="end"/>
            </w:r>
          </w:hyperlink>
        </w:p>
        <w:p w14:paraId="6ECEB847" w14:textId="13C2DFB3" w:rsidR="000E7475" w:rsidRPr="000E7475" w:rsidRDefault="000E7475" w:rsidP="000E7475">
          <w:pPr>
            <w:pStyle w:val="TOC1"/>
            <w:tabs>
              <w:tab w:val="right" w:leader="dot" w:pos="9016"/>
            </w:tabs>
            <w:spacing w:line="360" w:lineRule="auto"/>
            <w:rPr>
              <w:rFonts w:ascii="Calibri" w:hAnsi="Calibri" w:cs="Calibri"/>
              <w:noProof/>
              <w:sz w:val="24"/>
              <w:szCs w:val="24"/>
            </w:rPr>
          </w:pPr>
          <w:hyperlink w:anchor="_Toc200008471" w:history="1">
            <w:r w:rsidRPr="000E7475">
              <w:rPr>
                <w:rStyle w:val="Hyperlink"/>
                <w:rFonts w:ascii="Calibri" w:hAnsi="Calibri" w:cs="Calibri"/>
                <w:noProof/>
                <w:sz w:val="24"/>
                <w:szCs w:val="24"/>
              </w:rPr>
              <w:t>3. With particular reference to section 5 and section 7 of the General Product Safety Regulations 2005, discuss the obligations of producers and how they apply to your current workplace. [ 25 Marks]</w:t>
            </w:r>
            <w:r w:rsidRPr="000E7475">
              <w:rPr>
                <w:rFonts w:ascii="Calibri" w:hAnsi="Calibri" w:cs="Calibri"/>
                <w:noProof/>
                <w:webHidden/>
                <w:sz w:val="24"/>
                <w:szCs w:val="24"/>
              </w:rPr>
              <w:tab/>
            </w:r>
            <w:r w:rsidRPr="000E7475">
              <w:rPr>
                <w:rFonts w:ascii="Calibri" w:hAnsi="Calibri" w:cs="Calibri"/>
                <w:noProof/>
                <w:webHidden/>
                <w:sz w:val="24"/>
                <w:szCs w:val="24"/>
              </w:rPr>
              <w:fldChar w:fldCharType="begin"/>
            </w:r>
            <w:r w:rsidRPr="000E7475">
              <w:rPr>
                <w:rFonts w:ascii="Calibri" w:hAnsi="Calibri" w:cs="Calibri"/>
                <w:noProof/>
                <w:webHidden/>
                <w:sz w:val="24"/>
                <w:szCs w:val="24"/>
              </w:rPr>
              <w:instrText xml:space="preserve"> PAGEREF _Toc200008471 \h </w:instrText>
            </w:r>
            <w:r w:rsidRPr="000E7475">
              <w:rPr>
                <w:rFonts w:ascii="Calibri" w:hAnsi="Calibri" w:cs="Calibri"/>
                <w:noProof/>
                <w:webHidden/>
                <w:sz w:val="24"/>
                <w:szCs w:val="24"/>
              </w:rPr>
            </w:r>
            <w:r w:rsidRPr="000E7475">
              <w:rPr>
                <w:rFonts w:ascii="Calibri" w:hAnsi="Calibri" w:cs="Calibri"/>
                <w:noProof/>
                <w:webHidden/>
                <w:sz w:val="24"/>
                <w:szCs w:val="24"/>
              </w:rPr>
              <w:fldChar w:fldCharType="separate"/>
            </w:r>
            <w:r w:rsidRPr="000E7475">
              <w:rPr>
                <w:rFonts w:ascii="Calibri" w:hAnsi="Calibri" w:cs="Calibri"/>
                <w:noProof/>
                <w:webHidden/>
                <w:sz w:val="24"/>
                <w:szCs w:val="24"/>
              </w:rPr>
              <w:t>8</w:t>
            </w:r>
            <w:r w:rsidRPr="000E7475">
              <w:rPr>
                <w:rFonts w:ascii="Calibri" w:hAnsi="Calibri" w:cs="Calibri"/>
                <w:noProof/>
                <w:webHidden/>
                <w:sz w:val="24"/>
                <w:szCs w:val="24"/>
              </w:rPr>
              <w:fldChar w:fldCharType="end"/>
            </w:r>
          </w:hyperlink>
        </w:p>
        <w:p w14:paraId="0B806718" w14:textId="38F71E66" w:rsidR="000E7475" w:rsidRPr="000E7475" w:rsidRDefault="000E7475" w:rsidP="000E7475">
          <w:pPr>
            <w:pStyle w:val="TOC1"/>
            <w:tabs>
              <w:tab w:val="right" w:leader="dot" w:pos="9016"/>
            </w:tabs>
            <w:spacing w:line="360" w:lineRule="auto"/>
            <w:rPr>
              <w:rFonts w:ascii="Calibri" w:hAnsi="Calibri" w:cs="Calibri"/>
              <w:noProof/>
              <w:sz w:val="24"/>
              <w:szCs w:val="24"/>
            </w:rPr>
          </w:pPr>
          <w:hyperlink w:anchor="_Toc200008472" w:history="1">
            <w:r w:rsidRPr="000E7475">
              <w:rPr>
                <w:rStyle w:val="Hyperlink"/>
                <w:rFonts w:ascii="Calibri" w:hAnsi="Calibri" w:cs="Calibri"/>
                <w:noProof/>
                <w:sz w:val="24"/>
                <w:szCs w:val="24"/>
              </w:rPr>
              <w:t>4. Explain ‘’ The Environmental Protection (Single-use Plastic Products) (Wales) Act 2023’’ and its effect on the workplace/supply chain. [25 Marks]</w:t>
            </w:r>
            <w:r w:rsidRPr="000E7475">
              <w:rPr>
                <w:rFonts w:ascii="Calibri" w:hAnsi="Calibri" w:cs="Calibri"/>
                <w:noProof/>
                <w:webHidden/>
                <w:sz w:val="24"/>
                <w:szCs w:val="24"/>
              </w:rPr>
              <w:tab/>
            </w:r>
            <w:r w:rsidRPr="000E7475">
              <w:rPr>
                <w:rFonts w:ascii="Calibri" w:hAnsi="Calibri" w:cs="Calibri"/>
                <w:noProof/>
                <w:webHidden/>
                <w:sz w:val="24"/>
                <w:szCs w:val="24"/>
              </w:rPr>
              <w:fldChar w:fldCharType="begin"/>
            </w:r>
            <w:r w:rsidRPr="000E7475">
              <w:rPr>
                <w:rFonts w:ascii="Calibri" w:hAnsi="Calibri" w:cs="Calibri"/>
                <w:noProof/>
                <w:webHidden/>
                <w:sz w:val="24"/>
                <w:szCs w:val="24"/>
              </w:rPr>
              <w:instrText xml:space="preserve"> PAGEREF _Toc200008472 \h </w:instrText>
            </w:r>
            <w:r w:rsidRPr="000E7475">
              <w:rPr>
                <w:rFonts w:ascii="Calibri" w:hAnsi="Calibri" w:cs="Calibri"/>
                <w:noProof/>
                <w:webHidden/>
                <w:sz w:val="24"/>
                <w:szCs w:val="24"/>
              </w:rPr>
            </w:r>
            <w:r w:rsidRPr="000E7475">
              <w:rPr>
                <w:rFonts w:ascii="Calibri" w:hAnsi="Calibri" w:cs="Calibri"/>
                <w:noProof/>
                <w:webHidden/>
                <w:sz w:val="24"/>
                <w:szCs w:val="24"/>
              </w:rPr>
              <w:fldChar w:fldCharType="separate"/>
            </w:r>
            <w:r w:rsidRPr="000E7475">
              <w:rPr>
                <w:rFonts w:ascii="Calibri" w:hAnsi="Calibri" w:cs="Calibri"/>
                <w:noProof/>
                <w:webHidden/>
                <w:sz w:val="24"/>
                <w:szCs w:val="24"/>
              </w:rPr>
              <w:t>10</w:t>
            </w:r>
            <w:r w:rsidRPr="000E7475">
              <w:rPr>
                <w:rFonts w:ascii="Calibri" w:hAnsi="Calibri" w:cs="Calibri"/>
                <w:noProof/>
                <w:webHidden/>
                <w:sz w:val="24"/>
                <w:szCs w:val="24"/>
              </w:rPr>
              <w:fldChar w:fldCharType="end"/>
            </w:r>
          </w:hyperlink>
        </w:p>
        <w:p w14:paraId="57FFBB64" w14:textId="66FC8BEF" w:rsidR="000E7475" w:rsidRPr="000E7475" w:rsidRDefault="000E7475" w:rsidP="000E7475">
          <w:pPr>
            <w:pStyle w:val="TOC1"/>
            <w:tabs>
              <w:tab w:val="right" w:leader="dot" w:pos="9016"/>
            </w:tabs>
            <w:spacing w:line="360" w:lineRule="auto"/>
            <w:rPr>
              <w:rFonts w:ascii="Calibri" w:hAnsi="Calibri" w:cs="Calibri"/>
              <w:noProof/>
              <w:sz w:val="24"/>
              <w:szCs w:val="24"/>
            </w:rPr>
          </w:pPr>
          <w:hyperlink w:anchor="_Toc200008473" w:history="1">
            <w:r w:rsidRPr="000E7475">
              <w:rPr>
                <w:rStyle w:val="Hyperlink"/>
                <w:rFonts w:ascii="Calibri" w:hAnsi="Calibri" w:cs="Calibri"/>
                <w:noProof/>
                <w:sz w:val="24"/>
                <w:szCs w:val="24"/>
              </w:rPr>
              <w:t>5. References</w:t>
            </w:r>
            <w:r w:rsidRPr="000E7475">
              <w:rPr>
                <w:rFonts w:ascii="Calibri" w:hAnsi="Calibri" w:cs="Calibri"/>
                <w:noProof/>
                <w:webHidden/>
                <w:sz w:val="24"/>
                <w:szCs w:val="24"/>
              </w:rPr>
              <w:tab/>
            </w:r>
            <w:r w:rsidRPr="000E7475">
              <w:rPr>
                <w:rFonts w:ascii="Calibri" w:hAnsi="Calibri" w:cs="Calibri"/>
                <w:noProof/>
                <w:webHidden/>
                <w:sz w:val="24"/>
                <w:szCs w:val="24"/>
              </w:rPr>
              <w:fldChar w:fldCharType="begin"/>
            </w:r>
            <w:r w:rsidRPr="000E7475">
              <w:rPr>
                <w:rFonts w:ascii="Calibri" w:hAnsi="Calibri" w:cs="Calibri"/>
                <w:noProof/>
                <w:webHidden/>
                <w:sz w:val="24"/>
                <w:szCs w:val="24"/>
              </w:rPr>
              <w:instrText xml:space="preserve"> PAGEREF _Toc200008473 \h </w:instrText>
            </w:r>
            <w:r w:rsidRPr="000E7475">
              <w:rPr>
                <w:rFonts w:ascii="Calibri" w:hAnsi="Calibri" w:cs="Calibri"/>
                <w:noProof/>
                <w:webHidden/>
                <w:sz w:val="24"/>
                <w:szCs w:val="24"/>
              </w:rPr>
            </w:r>
            <w:r w:rsidRPr="000E7475">
              <w:rPr>
                <w:rFonts w:ascii="Calibri" w:hAnsi="Calibri" w:cs="Calibri"/>
                <w:noProof/>
                <w:webHidden/>
                <w:sz w:val="24"/>
                <w:szCs w:val="24"/>
              </w:rPr>
              <w:fldChar w:fldCharType="separate"/>
            </w:r>
            <w:r w:rsidRPr="000E7475">
              <w:rPr>
                <w:rFonts w:ascii="Calibri" w:hAnsi="Calibri" w:cs="Calibri"/>
                <w:noProof/>
                <w:webHidden/>
                <w:sz w:val="24"/>
                <w:szCs w:val="24"/>
              </w:rPr>
              <w:t>13</w:t>
            </w:r>
            <w:r w:rsidRPr="000E7475">
              <w:rPr>
                <w:rFonts w:ascii="Calibri" w:hAnsi="Calibri" w:cs="Calibri"/>
                <w:noProof/>
                <w:webHidden/>
                <w:sz w:val="24"/>
                <w:szCs w:val="24"/>
              </w:rPr>
              <w:fldChar w:fldCharType="end"/>
            </w:r>
          </w:hyperlink>
        </w:p>
        <w:p w14:paraId="351364DA" w14:textId="0191508E" w:rsidR="000E7475" w:rsidRPr="000E7475" w:rsidRDefault="000E7475" w:rsidP="000E7475">
          <w:pPr>
            <w:spacing w:line="360" w:lineRule="auto"/>
            <w:rPr>
              <w:rFonts w:ascii="Calibri" w:hAnsi="Calibri" w:cs="Calibri"/>
              <w:sz w:val="24"/>
              <w:szCs w:val="24"/>
            </w:rPr>
          </w:pPr>
          <w:r w:rsidRPr="000E7475">
            <w:rPr>
              <w:rFonts w:ascii="Calibri" w:hAnsi="Calibri" w:cs="Calibri"/>
              <w:b/>
              <w:bCs/>
              <w:noProof/>
              <w:sz w:val="24"/>
              <w:szCs w:val="24"/>
            </w:rPr>
            <w:fldChar w:fldCharType="end"/>
          </w:r>
        </w:p>
      </w:sdtContent>
    </w:sdt>
    <w:p w14:paraId="3DC7E571" w14:textId="77777777" w:rsidR="000E7475" w:rsidRPr="000E7475" w:rsidRDefault="000E7475" w:rsidP="000E7475">
      <w:pPr>
        <w:spacing w:line="360" w:lineRule="auto"/>
        <w:jc w:val="both"/>
        <w:rPr>
          <w:rFonts w:ascii="Calibri" w:hAnsi="Calibri" w:cs="Calibri"/>
          <w:b/>
          <w:bCs/>
          <w:sz w:val="24"/>
          <w:szCs w:val="24"/>
        </w:rPr>
      </w:pPr>
    </w:p>
    <w:p w14:paraId="4E3F24CC" w14:textId="77777777" w:rsidR="000E7475" w:rsidRPr="000E7475" w:rsidRDefault="000E7475" w:rsidP="000E7475">
      <w:pPr>
        <w:spacing w:after="160" w:line="360" w:lineRule="auto"/>
        <w:rPr>
          <w:rFonts w:ascii="Calibri" w:hAnsi="Calibri" w:cs="Calibri"/>
          <w:b/>
          <w:bCs/>
          <w:sz w:val="24"/>
          <w:szCs w:val="24"/>
        </w:rPr>
      </w:pPr>
      <w:r w:rsidRPr="000E7475">
        <w:rPr>
          <w:rFonts w:ascii="Calibri" w:hAnsi="Calibri" w:cs="Calibri"/>
          <w:b/>
          <w:bCs/>
          <w:sz w:val="24"/>
          <w:szCs w:val="24"/>
        </w:rPr>
        <w:br w:type="page"/>
      </w:r>
    </w:p>
    <w:p w14:paraId="2CDF25E7" w14:textId="70EBB4CD" w:rsidR="00C677F8" w:rsidRDefault="00264D98" w:rsidP="000E7475">
      <w:pPr>
        <w:pStyle w:val="Heading1"/>
        <w:numPr>
          <w:ilvl w:val="0"/>
          <w:numId w:val="17"/>
        </w:numPr>
      </w:pPr>
      <w:bookmarkStart w:id="0" w:name="_Toc200008469"/>
      <w:r w:rsidRPr="00AF1E87">
        <w:lastRenderedPageBreak/>
        <w:t>Explain the process of forming a valid contract. Ensure that you support your answer with case law. [ 25 Marks]</w:t>
      </w:r>
      <w:bookmarkEnd w:id="0"/>
      <w:r w:rsidRPr="00AF1E87">
        <w:t xml:space="preserve"> </w:t>
      </w:r>
    </w:p>
    <w:p w14:paraId="49B4DC06" w14:textId="007E5F0A" w:rsidR="0087679D" w:rsidRDefault="0087679D" w:rsidP="000C4A95">
      <w:pPr>
        <w:spacing w:line="360" w:lineRule="auto"/>
        <w:jc w:val="both"/>
        <w:rPr>
          <w:rFonts w:ascii="Calibri" w:hAnsi="Calibri" w:cs="Calibri"/>
          <w:sz w:val="24"/>
          <w:szCs w:val="24"/>
        </w:rPr>
      </w:pPr>
      <w:r>
        <w:rPr>
          <w:rFonts w:ascii="Calibri" w:hAnsi="Calibri" w:cs="Calibri"/>
          <w:sz w:val="24"/>
          <w:szCs w:val="24"/>
        </w:rPr>
        <w:t xml:space="preserve">A key point to distinguish in </w:t>
      </w:r>
      <w:r w:rsidR="006E4656">
        <w:rPr>
          <w:rFonts w:ascii="Calibri" w:hAnsi="Calibri" w:cs="Calibri"/>
          <w:sz w:val="24"/>
          <w:szCs w:val="24"/>
        </w:rPr>
        <w:t xml:space="preserve">forming a </w:t>
      </w:r>
      <w:r>
        <w:rPr>
          <w:rFonts w:ascii="Calibri" w:hAnsi="Calibri" w:cs="Calibri"/>
          <w:sz w:val="24"/>
          <w:szCs w:val="24"/>
        </w:rPr>
        <w:t xml:space="preserve">contract is whether </w:t>
      </w:r>
      <w:r w:rsidR="004B3973">
        <w:rPr>
          <w:rFonts w:ascii="Calibri" w:hAnsi="Calibri" w:cs="Calibri"/>
          <w:sz w:val="24"/>
          <w:szCs w:val="24"/>
        </w:rPr>
        <w:t xml:space="preserve">an offer has been made or whether </w:t>
      </w:r>
      <w:r w:rsidR="009727FD">
        <w:rPr>
          <w:rFonts w:ascii="Calibri" w:hAnsi="Calibri" w:cs="Calibri"/>
          <w:sz w:val="24"/>
          <w:szCs w:val="24"/>
        </w:rPr>
        <w:t xml:space="preserve">it is </w:t>
      </w:r>
      <w:r w:rsidR="004B3973">
        <w:rPr>
          <w:rFonts w:ascii="Calibri" w:hAnsi="Calibri" w:cs="Calibri"/>
          <w:sz w:val="24"/>
          <w:szCs w:val="24"/>
        </w:rPr>
        <w:t>an invitation to treat</w:t>
      </w:r>
      <w:r w:rsidR="009727FD">
        <w:rPr>
          <w:rFonts w:ascii="Calibri" w:hAnsi="Calibri" w:cs="Calibri"/>
          <w:sz w:val="24"/>
          <w:szCs w:val="24"/>
        </w:rPr>
        <w:t>.</w:t>
      </w:r>
      <w:r w:rsidR="004B3973">
        <w:rPr>
          <w:rFonts w:ascii="Calibri" w:hAnsi="Calibri" w:cs="Calibri"/>
          <w:sz w:val="24"/>
          <w:szCs w:val="24"/>
        </w:rPr>
        <w:t xml:space="preserve"> An </w:t>
      </w:r>
      <w:r w:rsidR="00AF71C6">
        <w:rPr>
          <w:rFonts w:ascii="Calibri" w:hAnsi="Calibri" w:cs="Calibri"/>
          <w:sz w:val="24"/>
          <w:szCs w:val="24"/>
        </w:rPr>
        <w:t xml:space="preserve">offer </w:t>
      </w:r>
      <w:r w:rsidR="00DD3C31">
        <w:rPr>
          <w:rFonts w:ascii="Calibri" w:hAnsi="Calibri" w:cs="Calibri"/>
          <w:sz w:val="24"/>
          <w:szCs w:val="24"/>
        </w:rPr>
        <w:t xml:space="preserve">is </w:t>
      </w:r>
      <w:r w:rsidR="00793AAF">
        <w:rPr>
          <w:rFonts w:ascii="Calibri" w:hAnsi="Calibri" w:cs="Calibri"/>
          <w:sz w:val="24"/>
          <w:szCs w:val="24"/>
        </w:rPr>
        <w:t xml:space="preserve">made with the intention to enter a legally binding contract if it is accepted, whereas an invitation to treat is </w:t>
      </w:r>
      <w:r w:rsidR="00DB5567">
        <w:rPr>
          <w:rFonts w:ascii="Calibri" w:hAnsi="Calibri" w:cs="Calibri"/>
          <w:sz w:val="24"/>
          <w:szCs w:val="24"/>
        </w:rPr>
        <w:t>a</w:t>
      </w:r>
      <w:r w:rsidR="00DE40D8">
        <w:rPr>
          <w:rFonts w:ascii="Calibri" w:hAnsi="Calibri" w:cs="Calibri"/>
          <w:sz w:val="24"/>
          <w:szCs w:val="24"/>
        </w:rPr>
        <w:t xml:space="preserve">n invitation </w:t>
      </w:r>
      <w:r w:rsidR="0080149D">
        <w:rPr>
          <w:rFonts w:ascii="Calibri" w:hAnsi="Calibri" w:cs="Calibri"/>
          <w:sz w:val="24"/>
          <w:szCs w:val="24"/>
        </w:rPr>
        <w:t>for</w:t>
      </w:r>
      <w:r w:rsidR="00DB5567">
        <w:rPr>
          <w:rFonts w:ascii="Calibri" w:hAnsi="Calibri" w:cs="Calibri"/>
          <w:sz w:val="24"/>
          <w:szCs w:val="24"/>
        </w:rPr>
        <w:t xml:space="preserve"> others to make an offer, and</w:t>
      </w:r>
      <w:r w:rsidR="001359A9">
        <w:rPr>
          <w:rFonts w:ascii="Calibri" w:hAnsi="Calibri" w:cs="Calibri"/>
          <w:sz w:val="24"/>
          <w:szCs w:val="24"/>
        </w:rPr>
        <w:t xml:space="preserve"> </w:t>
      </w:r>
      <w:r w:rsidR="00DB5567">
        <w:rPr>
          <w:rFonts w:ascii="Calibri" w:hAnsi="Calibri" w:cs="Calibri"/>
          <w:sz w:val="24"/>
          <w:szCs w:val="24"/>
        </w:rPr>
        <w:t>is not legally binding until that offer has been accepted</w:t>
      </w:r>
      <w:sdt>
        <w:sdtPr>
          <w:rPr>
            <w:rFonts w:ascii="Calibri" w:hAnsi="Calibri" w:cs="Calibri"/>
            <w:sz w:val="24"/>
            <w:szCs w:val="24"/>
          </w:rPr>
          <w:id w:val="152652978"/>
          <w:citation/>
        </w:sdtPr>
        <w:sdtEndPr/>
        <w:sdtContent>
          <w:r w:rsidR="003055C1">
            <w:rPr>
              <w:rFonts w:ascii="Calibri" w:hAnsi="Calibri" w:cs="Calibri"/>
              <w:sz w:val="24"/>
              <w:szCs w:val="24"/>
            </w:rPr>
            <w:fldChar w:fldCharType="begin"/>
          </w:r>
          <w:r w:rsidR="003055C1">
            <w:rPr>
              <w:rFonts w:ascii="Calibri" w:hAnsi="Calibri" w:cs="Calibri"/>
              <w:sz w:val="24"/>
              <w:szCs w:val="24"/>
            </w:rPr>
            <w:instrText xml:space="preserve"> CITATION Bas20 \l 2057 </w:instrText>
          </w:r>
          <w:r w:rsidR="003055C1">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(Bashir, et al., 2020)</w:t>
          </w:r>
          <w:r w:rsidR="003055C1">
            <w:rPr>
              <w:rFonts w:ascii="Calibri" w:hAnsi="Calibri" w:cs="Calibri"/>
              <w:sz w:val="24"/>
              <w:szCs w:val="24"/>
            </w:rPr>
            <w:fldChar w:fldCharType="end"/>
          </w:r>
        </w:sdtContent>
      </w:sdt>
      <w:r w:rsidR="00DB5567">
        <w:rPr>
          <w:rFonts w:ascii="Calibri" w:hAnsi="Calibri" w:cs="Calibri"/>
          <w:sz w:val="24"/>
          <w:szCs w:val="24"/>
        </w:rPr>
        <w:t xml:space="preserve">. </w:t>
      </w:r>
      <w:r w:rsidR="0044438D">
        <w:rPr>
          <w:rFonts w:ascii="Calibri" w:hAnsi="Calibri" w:cs="Calibri"/>
          <w:sz w:val="24"/>
          <w:szCs w:val="24"/>
        </w:rPr>
        <w:t xml:space="preserve">A key case </w:t>
      </w:r>
      <w:r w:rsidR="008930A2">
        <w:rPr>
          <w:rFonts w:ascii="Calibri" w:hAnsi="Calibri" w:cs="Calibri"/>
          <w:sz w:val="24"/>
          <w:szCs w:val="24"/>
        </w:rPr>
        <w:t>surrounding</w:t>
      </w:r>
      <w:r w:rsidR="00E65577">
        <w:rPr>
          <w:rFonts w:ascii="Calibri" w:hAnsi="Calibri" w:cs="Calibri"/>
          <w:sz w:val="24"/>
          <w:szCs w:val="24"/>
        </w:rPr>
        <w:t xml:space="preserve"> invitation to treat is </w:t>
      </w:r>
      <w:r w:rsidR="00DF69E6">
        <w:rPr>
          <w:rFonts w:ascii="Calibri" w:hAnsi="Calibri" w:cs="Calibri"/>
          <w:sz w:val="24"/>
          <w:szCs w:val="24"/>
        </w:rPr>
        <w:t>Gibson v Manchester City Council (1979).</w:t>
      </w:r>
    </w:p>
    <w:p w14:paraId="2B1F289B" w14:textId="6B14D58D" w:rsidR="00433B8C" w:rsidRDefault="00E60291" w:rsidP="00433B8C">
      <w:pPr>
        <w:spacing w:line="360" w:lineRule="auto"/>
        <w:jc w:val="both"/>
        <w:rPr>
          <w:rFonts w:ascii="Calibri" w:hAnsi="Calibri" w:cs="Calibri"/>
          <w:sz w:val="24"/>
          <w:szCs w:val="24"/>
        </w:rPr>
      </w:pPr>
      <w:r>
        <w:rPr>
          <w:rFonts w:ascii="Calibri" w:hAnsi="Calibri" w:cs="Calibri"/>
          <w:sz w:val="24"/>
          <w:szCs w:val="24"/>
        </w:rPr>
        <w:t>A</w:t>
      </w:r>
      <w:r w:rsidR="001633B8">
        <w:rPr>
          <w:rFonts w:ascii="Calibri" w:hAnsi="Calibri" w:cs="Calibri"/>
          <w:sz w:val="24"/>
          <w:szCs w:val="24"/>
        </w:rPr>
        <w:t xml:space="preserve">n offer </w:t>
      </w:r>
      <w:r w:rsidR="00CA452E">
        <w:rPr>
          <w:rFonts w:ascii="Calibri" w:hAnsi="Calibri" w:cs="Calibri"/>
          <w:sz w:val="24"/>
          <w:szCs w:val="24"/>
        </w:rPr>
        <w:t xml:space="preserve">can be made </w:t>
      </w:r>
      <w:r w:rsidR="00327B20">
        <w:rPr>
          <w:rFonts w:ascii="Calibri" w:hAnsi="Calibri" w:cs="Calibri"/>
          <w:sz w:val="24"/>
          <w:szCs w:val="24"/>
        </w:rPr>
        <w:t>to individuals</w:t>
      </w:r>
      <w:r w:rsidR="002C7596">
        <w:rPr>
          <w:rFonts w:ascii="Calibri" w:hAnsi="Calibri" w:cs="Calibri"/>
          <w:sz w:val="24"/>
          <w:szCs w:val="24"/>
        </w:rPr>
        <w:t>, groups,</w:t>
      </w:r>
      <w:r w:rsidR="00327B20">
        <w:rPr>
          <w:rFonts w:ascii="Calibri" w:hAnsi="Calibri" w:cs="Calibri"/>
          <w:sz w:val="24"/>
          <w:szCs w:val="24"/>
        </w:rPr>
        <w:t xml:space="preserve"> or to the public</w:t>
      </w:r>
      <w:r w:rsidR="003C0C88">
        <w:rPr>
          <w:rFonts w:ascii="Calibri" w:hAnsi="Calibri" w:cs="Calibri"/>
          <w:sz w:val="24"/>
          <w:szCs w:val="24"/>
        </w:rPr>
        <w:t xml:space="preserve"> which is seen in the case of </w:t>
      </w:r>
      <w:r w:rsidR="009E07D6" w:rsidRPr="009E07D6">
        <w:rPr>
          <w:rFonts w:ascii="Calibri" w:hAnsi="Calibri" w:cs="Calibri"/>
          <w:sz w:val="24"/>
          <w:szCs w:val="24"/>
        </w:rPr>
        <w:t xml:space="preserve">Carlill v Carbolic Smoke Ball Co </w:t>
      </w:r>
      <w:r w:rsidR="008930A2">
        <w:rPr>
          <w:rFonts w:ascii="Calibri" w:hAnsi="Calibri" w:cs="Calibri"/>
          <w:sz w:val="24"/>
          <w:szCs w:val="24"/>
        </w:rPr>
        <w:t>(</w:t>
      </w:r>
      <w:r w:rsidR="009E07D6" w:rsidRPr="009E07D6">
        <w:rPr>
          <w:rFonts w:ascii="Calibri" w:hAnsi="Calibri" w:cs="Calibri"/>
          <w:sz w:val="24"/>
          <w:szCs w:val="24"/>
        </w:rPr>
        <w:t>1893</w:t>
      </w:r>
      <w:r w:rsidR="008930A2">
        <w:rPr>
          <w:rFonts w:ascii="Calibri" w:hAnsi="Calibri" w:cs="Calibri"/>
          <w:sz w:val="24"/>
          <w:szCs w:val="24"/>
        </w:rPr>
        <w:t>)</w:t>
      </w:r>
      <w:r w:rsidR="00CA452E">
        <w:rPr>
          <w:rFonts w:ascii="Calibri" w:hAnsi="Calibri" w:cs="Calibri"/>
          <w:sz w:val="24"/>
          <w:szCs w:val="24"/>
        </w:rPr>
        <w:t xml:space="preserve">. </w:t>
      </w:r>
      <w:r w:rsidR="0013777F">
        <w:rPr>
          <w:rFonts w:ascii="Calibri" w:hAnsi="Calibri" w:cs="Calibri"/>
          <w:sz w:val="24"/>
          <w:szCs w:val="24"/>
        </w:rPr>
        <w:t>However, t</w:t>
      </w:r>
      <w:r w:rsidR="008930A2">
        <w:rPr>
          <w:rFonts w:ascii="Calibri" w:hAnsi="Calibri" w:cs="Calibri"/>
          <w:sz w:val="24"/>
          <w:szCs w:val="24"/>
        </w:rPr>
        <w:t>he certainty and terms of the offer must be clear to both parties</w:t>
      </w:r>
      <w:r w:rsidR="007822C6">
        <w:rPr>
          <w:rFonts w:ascii="Calibri" w:hAnsi="Calibri" w:cs="Calibri"/>
          <w:sz w:val="24"/>
          <w:szCs w:val="24"/>
        </w:rPr>
        <w:t xml:space="preserve"> for there to be a valid contract as seen in </w:t>
      </w:r>
      <w:r w:rsidR="007822C6" w:rsidRPr="007822C6">
        <w:rPr>
          <w:rFonts w:ascii="Calibri" w:hAnsi="Calibri" w:cs="Calibri"/>
          <w:sz w:val="24"/>
          <w:szCs w:val="24"/>
          <w:lang w:val="en-US"/>
        </w:rPr>
        <w:t>Scammell v Nephew LTD Ouston (1941).</w:t>
      </w:r>
      <w:r w:rsidR="00840A6B" w:rsidRPr="007822C6">
        <w:rPr>
          <w:rFonts w:ascii="Calibri" w:hAnsi="Calibri" w:cs="Calibri"/>
          <w:sz w:val="24"/>
          <w:szCs w:val="24"/>
        </w:rPr>
        <w:t xml:space="preserve"> </w:t>
      </w:r>
      <w:r w:rsidRPr="007822C6">
        <w:rPr>
          <w:rFonts w:ascii="Calibri" w:hAnsi="Calibri" w:cs="Calibri"/>
          <w:sz w:val="24"/>
          <w:szCs w:val="24"/>
        </w:rPr>
        <w:t xml:space="preserve">In addition to this, </w:t>
      </w:r>
      <w:r w:rsidR="00822248" w:rsidRPr="007822C6">
        <w:rPr>
          <w:rFonts w:ascii="Calibri" w:hAnsi="Calibri" w:cs="Calibri"/>
          <w:sz w:val="24"/>
          <w:szCs w:val="24"/>
        </w:rPr>
        <w:t>a</w:t>
      </w:r>
      <w:r w:rsidR="00936BA6" w:rsidRPr="007822C6">
        <w:rPr>
          <w:rFonts w:ascii="Calibri" w:hAnsi="Calibri" w:cs="Calibri"/>
          <w:sz w:val="24"/>
          <w:szCs w:val="24"/>
        </w:rPr>
        <w:t xml:space="preserve"> contract can be either </w:t>
      </w:r>
      <w:r w:rsidR="007D5CC6" w:rsidRPr="007822C6">
        <w:rPr>
          <w:rFonts w:ascii="Calibri" w:hAnsi="Calibri" w:cs="Calibri"/>
          <w:sz w:val="24"/>
          <w:szCs w:val="24"/>
        </w:rPr>
        <w:t>unilateral or</w:t>
      </w:r>
      <w:r w:rsidR="007D5CC6">
        <w:rPr>
          <w:rFonts w:ascii="Calibri" w:hAnsi="Calibri" w:cs="Calibri"/>
          <w:sz w:val="24"/>
          <w:szCs w:val="24"/>
        </w:rPr>
        <w:t xml:space="preserve"> bilateral</w:t>
      </w:r>
      <w:sdt>
        <w:sdtPr>
          <w:rPr>
            <w:rFonts w:ascii="Calibri" w:hAnsi="Calibri" w:cs="Calibri"/>
            <w:sz w:val="24"/>
            <w:szCs w:val="24"/>
          </w:rPr>
          <w:id w:val="441811867"/>
          <w:citation/>
        </w:sdtPr>
        <w:sdtEndPr/>
        <w:sdtContent>
          <w:r w:rsidR="003E2342">
            <w:rPr>
              <w:rFonts w:ascii="Calibri" w:hAnsi="Calibri" w:cs="Calibri"/>
              <w:sz w:val="24"/>
              <w:szCs w:val="24"/>
            </w:rPr>
            <w:fldChar w:fldCharType="begin"/>
          </w:r>
          <w:r w:rsidR="003E2342">
            <w:rPr>
              <w:rFonts w:ascii="Calibri" w:hAnsi="Calibri" w:cs="Calibri"/>
              <w:sz w:val="24"/>
              <w:szCs w:val="24"/>
            </w:rPr>
            <w:instrText xml:space="preserve"> CITATION Sul23 \l 2057 </w:instrText>
          </w:r>
          <w:r w:rsidR="003E2342">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(Suleymanli, 2023)</w:t>
          </w:r>
          <w:r w:rsidR="003E2342">
            <w:rPr>
              <w:rFonts w:ascii="Calibri" w:hAnsi="Calibri" w:cs="Calibri"/>
              <w:sz w:val="24"/>
              <w:szCs w:val="24"/>
            </w:rPr>
            <w:fldChar w:fldCharType="end"/>
          </w:r>
        </w:sdtContent>
      </w:sdt>
      <w:r w:rsidR="007D5CC6">
        <w:rPr>
          <w:rFonts w:ascii="Calibri" w:hAnsi="Calibri" w:cs="Calibri"/>
          <w:sz w:val="24"/>
          <w:szCs w:val="24"/>
        </w:rPr>
        <w:t>. Unilateral is where</w:t>
      </w:r>
      <w:r w:rsidR="007568DE">
        <w:rPr>
          <w:rFonts w:ascii="Calibri" w:hAnsi="Calibri" w:cs="Calibri"/>
          <w:sz w:val="24"/>
          <w:szCs w:val="24"/>
        </w:rPr>
        <w:t xml:space="preserve"> </w:t>
      </w:r>
      <w:r w:rsidR="00A40586">
        <w:rPr>
          <w:rFonts w:ascii="Calibri" w:hAnsi="Calibri" w:cs="Calibri"/>
          <w:sz w:val="24"/>
          <w:szCs w:val="24"/>
        </w:rPr>
        <w:t xml:space="preserve">an </w:t>
      </w:r>
      <w:r w:rsidR="009057FE">
        <w:rPr>
          <w:rFonts w:ascii="Calibri" w:hAnsi="Calibri" w:cs="Calibri"/>
          <w:sz w:val="24"/>
          <w:szCs w:val="24"/>
        </w:rPr>
        <w:t>offeror</w:t>
      </w:r>
      <w:r w:rsidR="00A40586">
        <w:rPr>
          <w:rFonts w:ascii="Calibri" w:hAnsi="Calibri" w:cs="Calibri"/>
          <w:sz w:val="24"/>
          <w:szCs w:val="24"/>
        </w:rPr>
        <w:t xml:space="preserve"> promise</w:t>
      </w:r>
      <w:r w:rsidR="009057FE">
        <w:rPr>
          <w:rFonts w:ascii="Calibri" w:hAnsi="Calibri" w:cs="Calibri"/>
          <w:sz w:val="24"/>
          <w:szCs w:val="24"/>
        </w:rPr>
        <w:t>s</w:t>
      </w:r>
      <w:r w:rsidR="00A40586">
        <w:rPr>
          <w:rFonts w:ascii="Calibri" w:hAnsi="Calibri" w:cs="Calibri"/>
          <w:sz w:val="24"/>
          <w:szCs w:val="24"/>
        </w:rPr>
        <w:t xml:space="preserve"> a benefit </w:t>
      </w:r>
      <w:r w:rsidR="009057FE">
        <w:rPr>
          <w:rFonts w:ascii="Calibri" w:hAnsi="Calibri" w:cs="Calibri"/>
          <w:sz w:val="24"/>
          <w:szCs w:val="24"/>
        </w:rPr>
        <w:t xml:space="preserve">to </w:t>
      </w:r>
      <w:r w:rsidR="00522940">
        <w:rPr>
          <w:rFonts w:ascii="Calibri" w:hAnsi="Calibri" w:cs="Calibri"/>
          <w:sz w:val="24"/>
          <w:szCs w:val="24"/>
        </w:rPr>
        <w:t xml:space="preserve">the offeree in </w:t>
      </w:r>
      <w:r w:rsidR="00A40586">
        <w:rPr>
          <w:rFonts w:ascii="Calibri" w:hAnsi="Calibri" w:cs="Calibri"/>
          <w:sz w:val="24"/>
          <w:szCs w:val="24"/>
        </w:rPr>
        <w:t xml:space="preserve">exchange </w:t>
      </w:r>
      <w:r w:rsidR="004F2CB7">
        <w:rPr>
          <w:rFonts w:ascii="Calibri" w:hAnsi="Calibri" w:cs="Calibri"/>
          <w:sz w:val="24"/>
          <w:szCs w:val="24"/>
        </w:rPr>
        <w:t>for</w:t>
      </w:r>
      <w:r w:rsidR="009057FE">
        <w:rPr>
          <w:rFonts w:ascii="Calibri" w:hAnsi="Calibri" w:cs="Calibri"/>
          <w:sz w:val="24"/>
          <w:szCs w:val="24"/>
        </w:rPr>
        <w:t xml:space="preserve"> </w:t>
      </w:r>
      <w:r w:rsidR="00522940">
        <w:rPr>
          <w:rFonts w:ascii="Calibri" w:hAnsi="Calibri" w:cs="Calibri"/>
          <w:sz w:val="24"/>
          <w:szCs w:val="24"/>
        </w:rPr>
        <w:t>an</w:t>
      </w:r>
      <w:r w:rsidR="009057FE">
        <w:rPr>
          <w:rFonts w:ascii="Calibri" w:hAnsi="Calibri" w:cs="Calibri"/>
          <w:sz w:val="24"/>
          <w:szCs w:val="24"/>
        </w:rPr>
        <w:t xml:space="preserve"> act</w:t>
      </w:r>
      <w:r w:rsidR="00CA452E">
        <w:rPr>
          <w:rFonts w:ascii="Calibri" w:hAnsi="Calibri" w:cs="Calibri"/>
          <w:sz w:val="24"/>
          <w:szCs w:val="24"/>
        </w:rPr>
        <w:t xml:space="preserve"> as seen in</w:t>
      </w:r>
      <w:r w:rsidR="007710A6">
        <w:rPr>
          <w:rFonts w:ascii="Calibri" w:hAnsi="Calibri" w:cs="Calibri"/>
          <w:sz w:val="24"/>
          <w:szCs w:val="24"/>
        </w:rPr>
        <w:t xml:space="preserve"> Lefkowitz v Great Minneapolis Surplus Store</w:t>
      </w:r>
      <w:r w:rsidR="00E75F85">
        <w:rPr>
          <w:rFonts w:ascii="Calibri" w:hAnsi="Calibri" w:cs="Calibri"/>
          <w:sz w:val="24"/>
          <w:szCs w:val="24"/>
        </w:rPr>
        <w:t xml:space="preserve"> (1957)</w:t>
      </w:r>
      <w:r w:rsidR="009057FE">
        <w:rPr>
          <w:rFonts w:ascii="Calibri" w:hAnsi="Calibri" w:cs="Calibri"/>
          <w:sz w:val="24"/>
          <w:szCs w:val="24"/>
        </w:rPr>
        <w:t>.</w:t>
      </w:r>
      <w:r w:rsidR="00A960A8">
        <w:rPr>
          <w:rFonts w:ascii="Calibri" w:hAnsi="Calibri" w:cs="Calibri"/>
          <w:sz w:val="24"/>
          <w:szCs w:val="24"/>
        </w:rPr>
        <w:t xml:space="preserve"> Whereas bilateral is where</w:t>
      </w:r>
      <w:r w:rsidR="00433B8C">
        <w:rPr>
          <w:rFonts w:ascii="Calibri" w:hAnsi="Calibri" w:cs="Calibri"/>
          <w:sz w:val="24"/>
          <w:szCs w:val="24"/>
        </w:rPr>
        <w:t xml:space="preserve"> </w:t>
      </w:r>
      <w:r w:rsidR="00154F7D">
        <w:rPr>
          <w:rFonts w:ascii="Calibri" w:hAnsi="Calibri" w:cs="Calibri"/>
          <w:sz w:val="24"/>
          <w:szCs w:val="24"/>
        </w:rPr>
        <w:t xml:space="preserve">both parties make commitments to each other, as </w:t>
      </w:r>
      <w:r w:rsidR="0079221E">
        <w:rPr>
          <w:rFonts w:ascii="Calibri" w:hAnsi="Calibri" w:cs="Calibri"/>
          <w:sz w:val="24"/>
          <w:szCs w:val="24"/>
        </w:rPr>
        <w:t xml:space="preserve">seen in </w:t>
      </w:r>
      <w:r w:rsidR="00CE169A">
        <w:rPr>
          <w:rFonts w:ascii="Calibri" w:hAnsi="Calibri" w:cs="Calibri"/>
          <w:sz w:val="24"/>
          <w:szCs w:val="24"/>
        </w:rPr>
        <w:t>Partridge v Crittenden (1968)</w:t>
      </w:r>
      <w:r w:rsidR="002C7596">
        <w:rPr>
          <w:rFonts w:ascii="Calibri" w:hAnsi="Calibri" w:cs="Calibri"/>
          <w:sz w:val="24"/>
          <w:szCs w:val="24"/>
        </w:rPr>
        <w:t>.</w:t>
      </w:r>
    </w:p>
    <w:p w14:paraId="3F12D16B" w14:textId="1628F139" w:rsidR="00D62482" w:rsidRPr="00205118" w:rsidRDefault="005647A5" w:rsidP="007822C6">
      <w:pPr>
        <w:spacing w:line="360" w:lineRule="auto"/>
        <w:jc w:val="both"/>
        <w:rPr>
          <w:rFonts w:ascii="Calibri" w:hAnsi="Calibri" w:cs="Calibri"/>
          <w:b/>
          <w:bCs/>
          <w:sz w:val="24"/>
          <w:szCs w:val="24"/>
        </w:rPr>
      </w:pPr>
      <w:r>
        <w:rPr>
          <w:rFonts w:ascii="Calibri" w:hAnsi="Calibri" w:cs="Calibri"/>
          <w:sz w:val="24"/>
          <w:szCs w:val="24"/>
        </w:rPr>
        <w:t xml:space="preserve">For agreement to happen, acceptance is needed and can be done </w:t>
      </w:r>
      <w:r w:rsidR="002D3659">
        <w:rPr>
          <w:rFonts w:ascii="Calibri" w:hAnsi="Calibri" w:cs="Calibri"/>
          <w:sz w:val="24"/>
          <w:szCs w:val="24"/>
        </w:rPr>
        <w:t>verbally, written, through conduct</w:t>
      </w:r>
      <w:r w:rsidR="0013777F">
        <w:rPr>
          <w:rFonts w:ascii="Calibri" w:hAnsi="Calibri" w:cs="Calibri"/>
          <w:sz w:val="24"/>
          <w:szCs w:val="24"/>
        </w:rPr>
        <w:t xml:space="preserve">, or through </w:t>
      </w:r>
      <w:r w:rsidR="002C7596">
        <w:rPr>
          <w:rFonts w:ascii="Calibri" w:hAnsi="Calibri" w:cs="Calibri"/>
          <w:sz w:val="24"/>
          <w:szCs w:val="24"/>
        </w:rPr>
        <w:t xml:space="preserve">the postal rule, where acceptance takes place as soon as the letter is posted as seen in Adam V Lindsell </w:t>
      </w:r>
      <w:r w:rsidR="00245FF1">
        <w:rPr>
          <w:rFonts w:ascii="Calibri" w:hAnsi="Calibri" w:cs="Calibri"/>
          <w:sz w:val="24"/>
          <w:szCs w:val="24"/>
        </w:rPr>
        <w:t>(</w:t>
      </w:r>
      <w:r w:rsidR="002C7596">
        <w:rPr>
          <w:rFonts w:ascii="Calibri" w:hAnsi="Calibri" w:cs="Calibri"/>
          <w:sz w:val="24"/>
          <w:szCs w:val="24"/>
        </w:rPr>
        <w:t>1818</w:t>
      </w:r>
      <w:r w:rsidR="00245FF1">
        <w:rPr>
          <w:rFonts w:ascii="Calibri" w:hAnsi="Calibri" w:cs="Calibri"/>
          <w:sz w:val="24"/>
          <w:szCs w:val="24"/>
        </w:rPr>
        <w:t>)</w:t>
      </w:r>
      <w:r w:rsidR="002C7596">
        <w:rPr>
          <w:rFonts w:ascii="Calibri" w:hAnsi="Calibri" w:cs="Calibri"/>
          <w:sz w:val="24"/>
          <w:szCs w:val="24"/>
        </w:rPr>
        <w:t xml:space="preserve">, regardless of if the other party never receives the reply. </w:t>
      </w:r>
      <w:r w:rsidR="00CF4605">
        <w:rPr>
          <w:rFonts w:ascii="Calibri" w:hAnsi="Calibri" w:cs="Calibri"/>
          <w:sz w:val="24"/>
          <w:szCs w:val="24"/>
        </w:rPr>
        <w:t>However, silence is not a form of acceptance as established in FeltHouse v Bindley (1862).</w:t>
      </w:r>
      <w:r w:rsidR="00A22AF3">
        <w:rPr>
          <w:rFonts w:ascii="Calibri" w:hAnsi="Calibri" w:cs="Calibri"/>
          <w:sz w:val="24"/>
          <w:szCs w:val="24"/>
        </w:rPr>
        <w:t xml:space="preserve"> </w:t>
      </w:r>
    </w:p>
    <w:p w14:paraId="30FAD1F7" w14:textId="25621C99" w:rsidR="00D201E6" w:rsidRPr="001C6E86" w:rsidRDefault="00181AC8" w:rsidP="001C6E86">
      <w:pPr>
        <w:spacing w:after="160" w:line="360" w:lineRule="auto"/>
        <w:jc w:val="both"/>
        <w:rPr>
          <w:rFonts w:ascii="Calibri" w:hAnsi="Calibri" w:cs="Calibri"/>
          <w:sz w:val="24"/>
          <w:szCs w:val="24"/>
        </w:rPr>
      </w:pPr>
      <w:r w:rsidRPr="006F7402">
        <w:rPr>
          <w:rFonts w:ascii="Calibri" w:hAnsi="Calibri" w:cs="Calibri"/>
          <w:sz w:val="24"/>
          <w:szCs w:val="24"/>
        </w:rPr>
        <w:t xml:space="preserve">A key point within contracts is consideration, which </w:t>
      </w:r>
      <w:r w:rsidR="00C11DAF" w:rsidRPr="006F7402">
        <w:rPr>
          <w:rFonts w:ascii="Calibri" w:hAnsi="Calibri" w:cs="Calibri"/>
          <w:sz w:val="24"/>
          <w:szCs w:val="24"/>
        </w:rPr>
        <w:t xml:space="preserve">refers to the </w:t>
      </w:r>
      <w:r w:rsidR="00C57A53" w:rsidRPr="006F7402">
        <w:rPr>
          <w:rFonts w:ascii="Calibri" w:hAnsi="Calibri" w:cs="Calibri"/>
          <w:sz w:val="24"/>
          <w:szCs w:val="24"/>
        </w:rPr>
        <w:t>exchange</w:t>
      </w:r>
      <w:r w:rsidR="00F47D84">
        <w:rPr>
          <w:rFonts w:ascii="Calibri" w:hAnsi="Calibri" w:cs="Calibri"/>
          <w:sz w:val="24"/>
          <w:szCs w:val="24"/>
        </w:rPr>
        <w:t xml:space="preserve"> of something of value between the parties involved in the contract</w:t>
      </w:r>
      <w:sdt>
        <w:sdtPr>
          <w:rPr>
            <w:rFonts w:ascii="Calibri" w:hAnsi="Calibri" w:cs="Calibri"/>
            <w:sz w:val="24"/>
            <w:szCs w:val="24"/>
          </w:rPr>
          <w:id w:val="658886903"/>
          <w:citation/>
        </w:sdtPr>
        <w:sdtEndPr/>
        <w:sdtContent>
          <w:r w:rsidR="00F47D84">
            <w:rPr>
              <w:rFonts w:ascii="Calibri" w:hAnsi="Calibri" w:cs="Calibri"/>
              <w:sz w:val="24"/>
              <w:szCs w:val="24"/>
            </w:rPr>
            <w:fldChar w:fldCharType="begin"/>
          </w:r>
          <w:r w:rsidR="00F47D84">
            <w:rPr>
              <w:rFonts w:ascii="Calibri" w:hAnsi="Calibri" w:cs="Calibri"/>
              <w:sz w:val="24"/>
              <w:szCs w:val="24"/>
            </w:rPr>
            <w:instrText xml:space="preserve"> CITATION Hum25 \l 2057 </w:instrText>
          </w:r>
          <w:r w:rsidR="00F47D84">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(Ahmad, 2025)</w:t>
          </w:r>
          <w:r w:rsidR="00F47D84">
            <w:rPr>
              <w:rFonts w:ascii="Calibri" w:hAnsi="Calibri" w:cs="Calibri"/>
              <w:sz w:val="24"/>
              <w:szCs w:val="24"/>
            </w:rPr>
            <w:fldChar w:fldCharType="end"/>
          </w:r>
        </w:sdtContent>
      </w:sdt>
      <w:r w:rsidR="001C6E86">
        <w:rPr>
          <w:rFonts w:ascii="Calibri" w:hAnsi="Calibri" w:cs="Calibri"/>
          <w:sz w:val="24"/>
          <w:szCs w:val="24"/>
        </w:rPr>
        <w:t xml:space="preserve">. </w:t>
      </w:r>
      <w:r w:rsidR="00CA452E">
        <w:rPr>
          <w:rFonts w:ascii="Calibri" w:hAnsi="Calibri" w:cs="Calibri"/>
          <w:sz w:val="24"/>
          <w:szCs w:val="24"/>
        </w:rPr>
        <w:t xml:space="preserve">Without consideration, </w:t>
      </w:r>
      <w:r w:rsidR="00102B2C" w:rsidRPr="006F7402">
        <w:rPr>
          <w:rFonts w:ascii="Calibri" w:hAnsi="Calibri" w:cs="Calibri"/>
          <w:sz w:val="24"/>
          <w:szCs w:val="24"/>
        </w:rPr>
        <w:t xml:space="preserve">a contract is not </w:t>
      </w:r>
      <w:r w:rsidR="009E663F" w:rsidRPr="006F7402">
        <w:rPr>
          <w:rFonts w:ascii="Calibri" w:hAnsi="Calibri" w:cs="Calibri"/>
          <w:sz w:val="24"/>
          <w:szCs w:val="24"/>
        </w:rPr>
        <w:t>legally enforceable as seen in Dunlop Pneumatic Tyres co v Selfridge Co LTD (1915)</w:t>
      </w:r>
      <w:r w:rsidR="001C6E86">
        <w:rPr>
          <w:rFonts w:ascii="Calibri" w:hAnsi="Calibri" w:cs="Calibri"/>
          <w:sz w:val="24"/>
          <w:szCs w:val="24"/>
        </w:rPr>
        <w:t>.</w:t>
      </w:r>
      <w:r w:rsidR="00542DEB">
        <w:rPr>
          <w:rFonts w:ascii="Calibri" w:hAnsi="Calibri" w:cs="Calibri"/>
          <w:sz w:val="24"/>
          <w:szCs w:val="24"/>
        </w:rPr>
        <w:t xml:space="preserve"> </w:t>
      </w:r>
      <w:r w:rsidR="00CA452E">
        <w:rPr>
          <w:rFonts w:ascii="Calibri" w:hAnsi="Calibri" w:cs="Calibri"/>
          <w:sz w:val="24"/>
          <w:szCs w:val="24"/>
        </w:rPr>
        <w:t>An</w:t>
      </w:r>
      <w:r w:rsidR="00D201E6">
        <w:rPr>
          <w:rFonts w:ascii="Calibri" w:hAnsi="Calibri" w:cs="Calibri"/>
          <w:sz w:val="24"/>
          <w:szCs w:val="24"/>
        </w:rPr>
        <w:t xml:space="preserve"> </w:t>
      </w:r>
      <w:r w:rsidR="00FD67DD">
        <w:rPr>
          <w:rFonts w:ascii="Calibri" w:hAnsi="Calibri" w:cs="Calibri"/>
          <w:sz w:val="24"/>
          <w:szCs w:val="24"/>
        </w:rPr>
        <w:t>exception</w:t>
      </w:r>
      <w:r w:rsidR="00D201E6">
        <w:rPr>
          <w:rFonts w:ascii="Calibri" w:hAnsi="Calibri" w:cs="Calibri"/>
          <w:sz w:val="24"/>
          <w:szCs w:val="24"/>
        </w:rPr>
        <w:t xml:space="preserve"> to this is Implied assumpit</w:t>
      </w:r>
      <w:r w:rsidR="006B09B6">
        <w:rPr>
          <w:rFonts w:ascii="Calibri" w:hAnsi="Calibri" w:cs="Calibri"/>
          <w:sz w:val="24"/>
          <w:szCs w:val="24"/>
        </w:rPr>
        <w:t xml:space="preserve">, which is where it is normal for people to pay for something so it would be reasonably expected as in Lampleigh V </w:t>
      </w:r>
      <w:r w:rsidR="00FD67DD">
        <w:rPr>
          <w:rFonts w:ascii="Calibri" w:hAnsi="Calibri" w:cs="Calibri"/>
          <w:sz w:val="24"/>
          <w:szCs w:val="24"/>
        </w:rPr>
        <w:t>Brathwait (1615).</w:t>
      </w:r>
      <w:r w:rsidR="00DF0B75">
        <w:rPr>
          <w:rFonts w:ascii="Calibri" w:hAnsi="Calibri" w:cs="Calibri"/>
          <w:sz w:val="24"/>
          <w:szCs w:val="24"/>
        </w:rPr>
        <w:t xml:space="preserve"> </w:t>
      </w:r>
      <w:r w:rsidR="0029566F">
        <w:rPr>
          <w:rFonts w:ascii="Calibri" w:hAnsi="Calibri" w:cs="Calibri"/>
          <w:sz w:val="24"/>
          <w:szCs w:val="24"/>
        </w:rPr>
        <w:t xml:space="preserve">Although consideration does not have to be </w:t>
      </w:r>
      <w:r w:rsidR="00757493">
        <w:rPr>
          <w:rFonts w:ascii="Calibri" w:hAnsi="Calibri" w:cs="Calibri"/>
          <w:sz w:val="24"/>
          <w:szCs w:val="24"/>
        </w:rPr>
        <w:t>economically adequate, consideration must be sufficient, highlighted in Chappell and Co v Nestle Co LTD (1960).</w:t>
      </w:r>
    </w:p>
    <w:p w14:paraId="64B49DCD" w14:textId="1F845451" w:rsidR="001C6E86" w:rsidRPr="008930A2" w:rsidRDefault="001C6E86" w:rsidP="002C7596">
      <w:pPr>
        <w:spacing w:after="160" w:line="360" w:lineRule="auto"/>
        <w:jc w:val="both"/>
        <w:rPr>
          <w:rFonts w:ascii="Calibri" w:hAnsi="Calibri" w:cs="Calibri"/>
          <w:sz w:val="24"/>
          <w:szCs w:val="24"/>
        </w:rPr>
      </w:pPr>
      <w:r w:rsidRPr="008930A2">
        <w:rPr>
          <w:rFonts w:ascii="Calibri" w:hAnsi="Calibri" w:cs="Calibri"/>
          <w:sz w:val="24"/>
          <w:szCs w:val="24"/>
        </w:rPr>
        <w:t xml:space="preserve">Intention is essential to form a contract. </w:t>
      </w:r>
      <w:r w:rsidR="00CA452E">
        <w:rPr>
          <w:rFonts w:ascii="Calibri" w:hAnsi="Calibri" w:cs="Calibri"/>
          <w:sz w:val="24"/>
          <w:szCs w:val="24"/>
        </w:rPr>
        <w:t xml:space="preserve">To stop people from being liable for things they never intended to be a contract, a business and family/ social </w:t>
      </w:r>
      <w:r w:rsidR="0013777F">
        <w:rPr>
          <w:rFonts w:ascii="Calibri" w:hAnsi="Calibri" w:cs="Calibri"/>
          <w:sz w:val="24"/>
          <w:szCs w:val="24"/>
        </w:rPr>
        <w:t xml:space="preserve">intention </w:t>
      </w:r>
      <w:r w:rsidR="00CA452E">
        <w:rPr>
          <w:rFonts w:ascii="Calibri" w:hAnsi="Calibri" w:cs="Calibri"/>
          <w:sz w:val="24"/>
          <w:szCs w:val="24"/>
        </w:rPr>
        <w:t>rule was established</w:t>
      </w:r>
      <w:sdt>
        <w:sdtPr>
          <w:rPr>
            <w:rFonts w:ascii="Calibri" w:hAnsi="Calibri" w:cs="Calibri"/>
            <w:sz w:val="24"/>
            <w:szCs w:val="24"/>
          </w:rPr>
          <w:id w:val="1768727440"/>
          <w:citation/>
        </w:sdtPr>
        <w:sdtEndPr/>
        <w:sdtContent>
          <w:r w:rsidR="00AF6097">
            <w:rPr>
              <w:rFonts w:ascii="Calibri" w:hAnsi="Calibri" w:cs="Calibri"/>
              <w:sz w:val="24"/>
              <w:szCs w:val="24"/>
            </w:rPr>
            <w:fldChar w:fldCharType="begin"/>
          </w:r>
          <w:r w:rsidR="00AF6097">
            <w:rPr>
              <w:rFonts w:ascii="Calibri" w:hAnsi="Calibri" w:cs="Calibri"/>
              <w:sz w:val="24"/>
              <w:szCs w:val="24"/>
            </w:rPr>
            <w:instrText xml:space="preserve"> CITATION Gul11 \l 2057 </w:instrText>
          </w:r>
          <w:r w:rsidR="00AF6097">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(Gulati, 2011)</w:t>
          </w:r>
          <w:r w:rsidR="00AF6097">
            <w:rPr>
              <w:rFonts w:ascii="Calibri" w:hAnsi="Calibri" w:cs="Calibri"/>
              <w:sz w:val="24"/>
              <w:szCs w:val="24"/>
            </w:rPr>
            <w:fldChar w:fldCharType="end"/>
          </w:r>
        </w:sdtContent>
      </w:sdt>
      <w:r w:rsidR="00CA452E">
        <w:rPr>
          <w:rFonts w:ascii="Calibri" w:hAnsi="Calibri" w:cs="Calibri"/>
          <w:sz w:val="24"/>
          <w:szCs w:val="24"/>
        </w:rPr>
        <w:t>.</w:t>
      </w:r>
      <w:r w:rsidRPr="008930A2">
        <w:rPr>
          <w:rFonts w:ascii="Calibri" w:hAnsi="Calibri" w:cs="Calibri"/>
          <w:sz w:val="24"/>
          <w:szCs w:val="24"/>
        </w:rPr>
        <w:t xml:space="preserve"> An example </w:t>
      </w:r>
      <w:r w:rsidR="0013777F">
        <w:rPr>
          <w:rFonts w:ascii="Calibri" w:hAnsi="Calibri" w:cs="Calibri"/>
          <w:sz w:val="24"/>
          <w:szCs w:val="24"/>
        </w:rPr>
        <w:t>of the</w:t>
      </w:r>
      <w:r w:rsidRPr="008930A2">
        <w:rPr>
          <w:rFonts w:ascii="Calibri" w:hAnsi="Calibri" w:cs="Calibri"/>
          <w:sz w:val="24"/>
          <w:szCs w:val="24"/>
        </w:rPr>
        <w:t xml:space="preserve"> family </w:t>
      </w:r>
      <w:r w:rsidR="0013777F">
        <w:rPr>
          <w:rFonts w:ascii="Calibri" w:hAnsi="Calibri" w:cs="Calibri"/>
          <w:sz w:val="24"/>
          <w:szCs w:val="24"/>
        </w:rPr>
        <w:t>rule</w:t>
      </w:r>
      <w:r w:rsidRPr="008930A2">
        <w:rPr>
          <w:rFonts w:ascii="Calibri" w:hAnsi="Calibri" w:cs="Calibri"/>
          <w:sz w:val="24"/>
          <w:szCs w:val="24"/>
        </w:rPr>
        <w:t xml:space="preserve"> is in Balfour V Balfour (1919) where an agreement between a husband and wife was not legally enforceable due </w:t>
      </w:r>
      <w:r w:rsidR="002C7596">
        <w:rPr>
          <w:rFonts w:ascii="Calibri" w:hAnsi="Calibri" w:cs="Calibri"/>
          <w:sz w:val="24"/>
          <w:szCs w:val="24"/>
        </w:rPr>
        <w:t>the familial relations</w:t>
      </w:r>
      <w:r w:rsidR="0013777F">
        <w:rPr>
          <w:rFonts w:ascii="Calibri" w:hAnsi="Calibri" w:cs="Calibri"/>
          <w:sz w:val="24"/>
          <w:szCs w:val="24"/>
        </w:rPr>
        <w:t xml:space="preserve"> therefore </w:t>
      </w:r>
      <w:r w:rsidR="0013777F">
        <w:rPr>
          <w:rFonts w:ascii="Calibri" w:hAnsi="Calibri" w:cs="Calibri"/>
          <w:sz w:val="24"/>
          <w:szCs w:val="24"/>
        </w:rPr>
        <w:lastRenderedPageBreak/>
        <w:t>there is no</w:t>
      </w:r>
      <w:r w:rsidR="008930A2">
        <w:rPr>
          <w:rFonts w:ascii="Calibri" w:hAnsi="Calibri" w:cs="Calibri"/>
          <w:sz w:val="24"/>
          <w:szCs w:val="24"/>
        </w:rPr>
        <w:t xml:space="preserve"> intention </w:t>
      </w:r>
      <w:r w:rsidR="0013777F">
        <w:rPr>
          <w:rFonts w:ascii="Calibri" w:hAnsi="Calibri" w:cs="Calibri"/>
          <w:sz w:val="24"/>
          <w:szCs w:val="24"/>
        </w:rPr>
        <w:t>to</w:t>
      </w:r>
      <w:r w:rsidR="008930A2">
        <w:rPr>
          <w:rFonts w:ascii="Calibri" w:hAnsi="Calibri" w:cs="Calibri"/>
          <w:sz w:val="24"/>
          <w:szCs w:val="24"/>
        </w:rPr>
        <w:t xml:space="preserve"> creating a legal relation, unlike in a business situation where the intent is there to create a legal relationship.</w:t>
      </w:r>
    </w:p>
    <w:p w14:paraId="3AC90B51" w14:textId="753B0EC5" w:rsidR="00C677F8" w:rsidRDefault="00EA63B1" w:rsidP="002C7596">
      <w:pPr>
        <w:spacing w:after="160" w:line="360" w:lineRule="auto"/>
        <w:jc w:val="both"/>
        <w:rPr>
          <w:rFonts w:ascii="Calibri" w:hAnsi="Calibri" w:cs="Calibri"/>
          <w:b/>
          <w:bCs/>
          <w:sz w:val="24"/>
          <w:szCs w:val="24"/>
        </w:rPr>
      </w:pPr>
      <w:r w:rsidRPr="00E30AD1">
        <w:rPr>
          <w:rFonts w:ascii="Calibri" w:hAnsi="Calibri" w:cs="Calibri"/>
          <w:sz w:val="24"/>
          <w:szCs w:val="24"/>
        </w:rPr>
        <w:t xml:space="preserve">When you enter a </w:t>
      </w:r>
      <w:r w:rsidR="00E30AD1" w:rsidRPr="00E30AD1">
        <w:rPr>
          <w:rFonts w:ascii="Calibri" w:hAnsi="Calibri" w:cs="Calibri"/>
          <w:sz w:val="24"/>
          <w:szCs w:val="24"/>
        </w:rPr>
        <w:t>contract,</w:t>
      </w:r>
      <w:r w:rsidRPr="00E30AD1">
        <w:rPr>
          <w:rFonts w:ascii="Calibri" w:hAnsi="Calibri" w:cs="Calibri"/>
          <w:sz w:val="24"/>
          <w:szCs w:val="24"/>
        </w:rPr>
        <w:t xml:space="preserve"> it is legally binding under nearly all circumstances. </w:t>
      </w:r>
      <w:r w:rsidR="0013777F">
        <w:rPr>
          <w:rFonts w:ascii="Calibri" w:hAnsi="Calibri" w:cs="Calibri"/>
          <w:sz w:val="24"/>
          <w:szCs w:val="24"/>
        </w:rPr>
        <w:t>The exception to this is</w:t>
      </w:r>
      <w:r w:rsidR="00C22E6E" w:rsidRPr="00E30AD1">
        <w:rPr>
          <w:rFonts w:ascii="Calibri" w:hAnsi="Calibri" w:cs="Calibri"/>
          <w:sz w:val="24"/>
          <w:szCs w:val="24"/>
        </w:rPr>
        <w:t xml:space="preserve"> a contract is not enforceable if it has been entered into </w:t>
      </w:r>
      <w:r w:rsidR="000A417B" w:rsidRPr="00E30AD1">
        <w:rPr>
          <w:rFonts w:ascii="Calibri" w:hAnsi="Calibri" w:cs="Calibri"/>
          <w:sz w:val="24"/>
          <w:szCs w:val="24"/>
        </w:rPr>
        <w:t xml:space="preserve">with someone that </w:t>
      </w:r>
      <w:r w:rsidR="00535225" w:rsidRPr="00E30AD1">
        <w:rPr>
          <w:rFonts w:ascii="Calibri" w:hAnsi="Calibri" w:cs="Calibri"/>
          <w:sz w:val="24"/>
          <w:szCs w:val="24"/>
        </w:rPr>
        <w:t xml:space="preserve">was under duress, </w:t>
      </w:r>
      <w:r w:rsidR="00D5120E" w:rsidRPr="00E30AD1">
        <w:rPr>
          <w:rFonts w:ascii="Calibri" w:hAnsi="Calibri" w:cs="Calibri"/>
          <w:sz w:val="24"/>
          <w:szCs w:val="24"/>
        </w:rPr>
        <w:t xml:space="preserve">misrepresentation, the contract was illegal, an extreme mistake, or if the party has </w:t>
      </w:r>
      <w:r w:rsidR="000A417B" w:rsidRPr="00E30AD1">
        <w:rPr>
          <w:rFonts w:ascii="Calibri" w:hAnsi="Calibri" w:cs="Calibri"/>
          <w:sz w:val="24"/>
          <w:szCs w:val="24"/>
        </w:rPr>
        <w:t>a lack of capacity</w:t>
      </w:r>
      <w:sdt>
        <w:sdtPr>
          <w:rPr>
            <w:rFonts w:ascii="Calibri" w:hAnsi="Calibri" w:cs="Calibri"/>
            <w:sz w:val="24"/>
            <w:szCs w:val="24"/>
          </w:rPr>
          <w:id w:val="355474438"/>
          <w:citation/>
        </w:sdtPr>
        <w:sdtEndPr/>
        <w:sdtContent>
          <w:r w:rsidR="002A7318">
            <w:rPr>
              <w:rFonts w:ascii="Calibri" w:hAnsi="Calibri" w:cs="Calibri"/>
              <w:sz w:val="24"/>
              <w:szCs w:val="24"/>
            </w:rPr>
            <w:fldChar w:fldCharType="begin"/>
          </w:r>
          <w:r w:rsidR="002A7318">
            <w:rPr>
              <w:rFonts w:ascii="Calibri" w:hAnsi="Calibri" w:cs="Calibri"/>
              <w:sz w:val="24"/>
              <w:szCs w:val="24"/>
            </w:rPr>
            <w:instrText xml:space="preserve"> CITATION Bea25 \l 2057 </w:instrText>
          </w:r>
          <w:r w:rsidR="002A7318">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(Sainz, 2025)</w:t>
          </w:r>
          <w:r w:rsidR="002A7318">
            <w:rPr>
              <w:rFonts w:ascii="Calibri" w:hAnsi="Calibri" w:cs="Calibri"/>
              <w:sz w:val="24"/>
              <w:szCs w:val="24"/>
            </w:rPr>
            <w:fldChar w:fldCharType="end"/>
          </w:r>
        </w:sdtContent>
      </w:sdt>
      <w:r w:rsidR="00E30AD1" w:rsidRPr="00E30AD1">
        <w:rPr>
          <w:rFonts w:ascii="Calibri" w:hAnsi="Calibri" w:cs="Calibri"/>
          <w:sz w:val="24"/>
          <w:szCs w:val="24"/>
        </w:rPr>
        <w:t xml:space="preserve">. </w:t>
      </w:r>
      <w:r w:rsidR="008930A2">
        <w:rPr>
          <w:rFonts w:ascii="Calibri" w:hAnsi="Calibri" w:cs="Calibri"/>
          <w:sz w:val="24"/>
          <w:szCs w:val="24"/>
        </w:rPr>
        <w:t>A case relating to lack of capacity is Nash V Inman (1908), where it was established that c</w:t>
      </w:r>
      <w:r w:rsidR="008930A2" w:rsidRPr="008930A2">
        <w:rPr>
          <w:rFonts w:ascii="Calibri" w:hAnsi="Calibri" w:cs="Calibri"/>
          <w:sz w:val="24"/>
          <w:szCs w:val="24"/>
        </w:rPr>
        <w:t>ontracts with minors for non-essential items are unenforceable</w:t>
      </w:r>
      <w:r w:rsidR="008930A2">
        <w:rPr>
          <w:rFonts w:ascii="Calibri" w:hAnsi="Calibri" w:cs="Calibri"/>
          <w:sz w:val="24"/>
          <w:szCs w:val="24"/>
        </w:rPr>
        <w:t xml:space="preserve">. </w:t>
      </w:r>
    </w:p>
    <w:p w14:paraId="077D83B8" w14:textId="593A9163" w:rsidR="00C677F8" w:rsidRPr="001C6E86" w:rsidRDefault="00F47D84" w:rsidP="00AF1E87">
      <w:pPr>
        <w:spacing w:line="360" w:lineRule="auto"/>
        <w:jc w:val="both"/>
        <w:rPr>
          <w:rFonts w:ascii="Calibri" w:hAnsi="Calibri" w:cs="Calibri"/>
          <w:sz w:val="24"/>
          <w:szCs w:val="24"/>
        </w:rPr>
      </w:pPr>
      <w:r w:rsidRPr="001C6E86">
        <w:rPr>
          <w:rFonts w:ascii="Calibri" w:hAnsi="Calibri" w:cs="Calibri"/>
          <w:sz w:val="24"/>
          <w:szCs w:val="24"/>
        </w:rPr>
        <w:t>To conclude, there are many aspects to forming a valid contract</w:t>
      </w:r>
      <w:r w:rsidR="00F63025" w:rsidRPr="001C6E86">
        <w:rPr>
          <w:rFonts w:ascii="Calibri" w:hAnsi="Calibri" w:cs="Calibri"/>
          <w:sz w:val="24"/>
          <w:szCs w:val="24"/>
        </w:rPr>
        <w:t xml:space="preserve">, such as offer, acceptance, consideration, intent to create legal relations, and </w:t>
      </w:r>
      <w:r w:rsidR="00D04633" w:rsidRPr="001C6E86">
        <w:rPr>
          <w:rFonts w:ascii="Calibri" w:hAnsi="Calibri" w:cs="Calibri"/>
          <w:sz w:val="24"/>
          <w:szCs w:val="24"/>
        </w:rPr>
        <w:t>capacit</w:t>
      </w:r>
      <w:r w:rsidR="00551B24" w:rsidRPr="001C6E86">
        <w:rPr>
          <w:rFonts w:ascii="Calibri" w:hAnsi="Calibri" w:cs="Calibri"/>
          <w:sz w:val="24"/>
          <w:szCs w:val="24"/>
        </w:rPr>
        <w:t>y.</w:t>
      </w:r>
    </w:p>
    <w:p w14:paraId="70DFE353" w14:textId="12F0C0E2" w:rsidR="00264D98" w:rsidRPr="00AF1E87" w:rsidRDefault="00C677F8" w:rsidP="000E7475">
      <w:pPr>
        <w:spacing w:after="160" w:line="278" w:lineRule="auto"/>
        <w:rPr>
          <w:rFonts w:ascii="Calibri" w:hAnsi="Calibri" w:cs="Calibri"/>
          <w:b/>
          <w:bCs/>
          <w:sz w:val="24"/>
          <w:szCs w:val="24"/>
        </w:rPr>
      </w:pPr>
      <w:r>
        <w:rPr>
          <w:rFonts w:ascii="Calibri" w:hAnsi="Calibri" w:cs="Calibri"/>
          <w:b/>
          <w:bCs/>
          <w:sz w:val="24"/>
          <w:szCs w:val="24"/>
        </w:rPr>
        <w:br w:type="page"/>
      </w:r>
    </w:p>
    <w:p w14:paraId="732B877B" w14:textId="4842F811" w:rsidR="00093253" w:rsidRPr="000E7475" w:rsidRDefault="000E7475" w:rsidP="000E7475">
      <w:pPr>
        <w:pStyle w:val="Heading1"/>
      </w:pPr>
      <w:bookmarkStart w:id="1" w:name="_Toc200008470"/>
      <w:r>
        <w:lastRenderedPageBreak/>
        <w:t xml:space="preserve">2. </w:t>
      </w:r>
      <w:r w:rsidR="00EF3579" w:rsidRPr="00AF1E87">
        <w:t>With particular reference to the case of Black Horse Limited v Andrew Curtis (Bristol CC, 21 February 2024</w:t>
      </w:r>
      <w:r w:rsidR="00175A00" w:rsidRPr="00AF1E87">
        <w:t>)</w:t>
      </w:r>
      <w:r w:rsidR="00EF3579" w:rsidRPr="00AF1E87">
        <w:t>, discuss the extent to which the Consumer Rights Act 2015 is in need of reform to ensure that consumer rights are clear. [25 Marks]</w:t>
      </w:r>
      <w:bookmarkEnd w:id="1"/>
      <w:r w:rsidR="00EF3579" w:rsidRPr="00AF1E87">
        <w:t xml:space="preserve"> </w:t>
      </w:r>
    </w:p>
    <w:p w14:paraId="7DAA87EA" w14:textId="2036818B" w:rsidR="00093253" w:rsidRPr="00AF1E87" w:rsidRDefault="00093253" w:rsidP="00AF1E87">
      <w:pPr>
        <w:spacing w:line="360" w:lineRule="auto"/>
        <w:jc w:val="both"/>
        <w:rPr>
          <w:rFonts w:ascii="Calibri" w:hAnsi="Calibri" w:cs="Calibri"/>
          <w:sz w:val="24"/>
          <w:szCs w:val="24"/>
        </w:rPr>
      </w:pPr>
      <w:r w:rsidRPr="00AF1E87">
        <w:rPr>
          <w:rFonts w:ascii="Calibri" w:hAnsi="Calibri" w:cs="Calibri"/>
          <w:sz w:val="24"/>
          <w:szCs w:val="24"/>
        </w:rPr>
        <w:t xml:space="preserve">The </w:t>
      </w:r>
      <w:r w:rsidR="00CA2812">
        <w:rPr>
          <w:rFonts w:ascii="Calibri" w:hAnsi="Calibri" w:cs="Calibri"/>
          <w:sz w:val="24"/>
          <w:szCs w:val="24"/>
        </w:rPr>
        <w:t>C</w:t>
      </w:r>
      <w:r w:rsidRPr="00AF1E87">
        <w:rPr>
          <w:rFonts w:ascii="Calibri" w:hAnsi="Calibri" w:cs="Calibri"/>
          <w:sz w:val="24"/>
          <w:szCs w:val="24"/>
        </w:rPr>
        <w:t xml:space="preserve">onsumer </w:t>
      </w:r>
      <w:r w:rsidR="00CA2812">
        <w:rPr>
          <w:rFonts w:ascii="Calibri" w:hAnsi="Calibri" w:cs="Calibri"/>
          <w:sz w:val="24"/>
          <w:szCs w:val="24"/>
        </w:rPr>
        <w:t>R</w:t>
      </w:r>
      <w:r w:rsidRPr="00AF1E87">
        <w:rPr>
          <w:rFonts w:ascii="Calibri" w:hAnsi="Calibri" w:cs="Calibri"/>
          <w:sz w:val="24"/>
          <w:szCs w:val="24"/>
        </w:rPr>
        <w:t xml:space="preserve">ights </w:t>
      </w:r>
      <w:r w:rsidR="00CA2812">
        <w:rPr>
          <w:rFonts w:ascii="Calibri" w:hAnsi="Calibri" w:cs="Calibri"/>
          <w:sz w:val="24"/>
          <w:szCs w:val="24"/>
        </w:rPr>
        <w:t>A</w:t>
      </w:r>
      <w:r w:rsidRPr="00AF1E87">
        <w:rPr>
          <w:rFonts w:ascii="Calibri" w:hAnsi="Calibri" w:cs="Calibri"/>
          <w:sz w:val="24"/>
          <w:szCs w:val="24"/>
        </w:rPr>
        <w:t xml:space="preserve">ct 2015 </w:t>
      </w:r>
      <w:r w:rsidR="00B47D89" w:rsidRPr="00AF1E87">
        <w:rPr>
          <w:rFonts w:ascii="Calibri" w:hAnsi="Calibri" w:cs="Calibri"/>
          <w:sz w:val="24"/>
          <w:szCs w:val="24"/>
        </w:rPr>
        <w:t>sets out to protect consumers when buying physical goods, digital content and services to ensure that items businesses are selling are of satisfactory quality, are as described and are fit for purpose</w:t>
      </w:r>
      <w:sdt>
        <w:sdtPr>
          <w:rPr>
            <w:rFonts w:ascii="Calibri" w:hAnsi="Calibri" w:cs="Calibri"/>
            <w:sz w:val="24"/>
            <w:szCs w:val="24"/>
          </w:rPr>
          <w:id w:val="1863624218"/>
          <w:citation/>
        </w:sdtPr>
        <w:sdtEndPr/>
        <w:sdtContent>
          <w:r w:rsidR="00B47D89" w:rsidRPr="00AF1E87">
            <w:rPr>
              <w:rFonts w:ascii="Calibri" w:hAnsi="Calibri" w:cs="Calibri"/>
              <w:sz w:val="24"/>
              <w:szCs w:val="24"/>
            </w:rPr>
            <w:fldChar w:fldCharType="begin"/>
          </w:r>
          <w:r w:rsidR="00B47D89" w:rsidRPr="00AF1E87">
            <w:rPr>
              <w:rFonts w:ascii="Calibri" w:hAnsi="Calibri" w:cs="Calibri"/>
              <w:sz w:val="24"/>
              <w:szCs w:val="24"/>
            </w:rPr>
            <w:instrText xml:space="preserve"> CITATION Whi24 \l 2057 </w:instrText>
          </w:r>
          <w:r w:rsidR="00B47D89" w:rsidRPr="00AF1E87">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(Which?, 2024)</w:t>
          </w:r>
          <w:r w:rsidR="00B47D89" w:rsidRPr="00AF1E87">
            <w:rPr>
              <w:rFonts w:ascii="Calibri" w:hAnsi="Calibri" w:cs="Calibri"/>
              <w:sz w:val="24"/>
              <w:szCs w:val="24"/>
            </w:rPr>
            <w:fldChar w:fldCharType="end"/>
          </w:r>
        </w:sdtContent>
      </w:sdt>
      <w:r w:rsidR="00B47D89" w:rsidRPr="00AF1E87">
        <w:rPr>
          <w:rFonts w:ascii="Calibri" w:hAnsi="Calibri" w:cs="Calibri"/>
          <w:sz w:val="24"/>
          <w:szCs w:val="24"/>
        </w:rPr>
        <w:t>. But are the rights set out in the act truly clear for consumers?</w:t>
      </w:r>
      <w:r w:rsidR="004C644D" w:rsidRPr="00AF1E87">
        <w:rPr>
          <w:rFonts w:ascii="Calibri" w:hAnsi="Calibri" w:cs="Calibri"/>
          <w:sz w:val="24"/>
          <w:szCs w:val="24"/>
        </w:rPr>
        <w:t xml:space="preserve"> </w:t>
      </w:r>
    </w:p>
    <w:p w14:paraId="08381972" w14:textId="77777777" w:rsidR="0058042B" w:rsidRDefault="004C644D" w:rsidP="00AF1E87">
      <w:pPr>
        <w:spacing w:line="360" w:lineRule="auto"/>
        <w:jc w:val="both"/>
        <w:rPr>
          <w:rFonts w:ascii="Calibri" w:hAnsi="Calibri" w:cs="Calibri"/>
          <w:sz w:val="24"/>
          <w:szCs w:val="24"/>
        </w:rPr>
      </w:pPr>
      <w:r w:rsidRPr="00AF1E87">
        <w:rPr>
          <w:rFonts w:ascii="Calibri" w:hAnsi="Calibri" w:cs="Calibri"/>
          <w:sz w:val="24"/>
          <w:szCs w:val="24"/>
        </w:rPr>
        <w:t xml:space="preserve">In the case of Black Horse Limited v Andrew Curtis, 2024, Curtis continued to use a vehicle after he had rejected it while waiting for Black Horse to collect it. However, the company did not attempt to collect the car as there was no collection time agreed. This brings up the question of whether the Consumer Rights Act 2015 is clear </w:t>
      </w:r>
      <w:r w:rsidR="00D620A6" w:rsidRPr="00AF1E87">
        <w:rPr>
          <w:rFonts w:ascii="Calibri" w:hAnsi="Calibri" w:cs="Calibri"/>
          <w:sz w:val="24"/>
          <w:szCs w:val="24"/>
        </w:rPr>
        <w:t xml:space="preserve">as Curtis’s understanding of the law differed from what was upheld in court. </w:t>
      </w:r>
    </w:p>
    <w:p w14:paraId="52D6CD35" w14:textId="661BD03B" w:rsidR="00DB2029" w:rsidRPr="00AF1E87" w:rsidRDefault="00D620A6" w:rsidP="00AF1E87">
      <w:pPr>
        <w:spacing w:line="360" w:lineRule="auto"/>
        <w:jc w:val="both"/>
        <w:rPr>
          <w:rFonts w:ascii="Calibri" w:hAnsi="Calibri" w:cs="Calibri"/>
          <w:sz w:val="24"/>
          <w:szCs w:val="24"/>
        </w:rPr>
      </w:pPr>
      <w:r w:rsidRPr="00AF1E87">
        <w:rPr>
          <w:rFonts w:ascii="Calibri" w:hAnsi="Calibri" w:cs="Calibri"/>
          <w:sz w:val="24"/>
          <w:szCs w:val="24"/>
        </w:rPr>
        <w:t>It would be a benefit to both consumers and businesses if the Consumer Rights Act was clarified further</w:t>
      </w:r>
      <w:r w:rsidR="00365E19" w:rsidRPr="00AF1E87">
        <w:rPr>
          <w:rFonts w:ascii="Calibri" w:hAnsi="Calibri" w:cs="Calibri"/>
          <w:sz w:val="24"/>
          <w:szCs w:val="24"/>
        </w:rPr>
        <w:t>, specifically in relation</w:t>
      </w:r>
      <w:r w:rsidR="005D223B" w:rsidRPr="00AF1E87">
        <w:rPr>
          <w:rFonts w:ascii="Calibri" w:hAnsi="Calibri" w:cs="Calibri"/>
          <w:sz w:val="24"/>
          <w:szCs w:val="24"/>
        </w:rPr>
        <w:t xml:space="preserve"> to the language used in the act</w:t>
      </w:r>
      <w:r w:rsidR="00DB2029" w:rsidRPr="00AF1E87">
        <w:rPr>
          <w:rFonts w:ascii="Calibri" w:hAnsi="Calibri" w:cs="Calibri"/>
          <w:sz w:val="24"/>
          <w:szCs w:val="24"/>
        </w:rPr>
        <w:t>. When laws are written in a way that is easy to understand, and make use of current societal language, the understanding of what the act is portraying is increased</w:t>
      </w:r>
      <w:sdt>
        <w:sdtPr>
          <w:rPr>
            <w:rFonts w:ascii="Calibri" w:hAnsi="Calibri" w:cs="Calibri"/>
            <w:sz w:val="24"/>
            <w:szCs w:val="24"/>
          </w:rPr>
          <w:id w:val="-1276248616"/>
          <w:citation/>
        </w:sdtPr>
        <w:sdtEndPr/>
        <w:sdtContent>
          <w:r w:rsidR="00DB2029" w:rsidRPr="00AF1E87">
            <w:rPr>
              <w:rFonts w:ascii="Calibri" w:hAnsi="Calibri" w:cs="Calibri"/>
              <w:sz w:val="24"/>
              <w:szCs w:val="24"/>
            </w:rPr>
            <w:fldChar w:fldCharType="begin"/>
          </w:r>
          <w:r w:rsidR="00DB2029" w:rsidRPr="00AF1E87">
            <w:rPr>
              <w:rFonts w:ascii="Calibri" w:hAnsi="Calibri" w:cs="Calibri"/>
              <w:sz w:val="24"/>
              <w:szCs w:val="24"/>
            </w:rPr>
            <w:instrText xml:space="preserve"> CITATION Leg24 \l 2057 </w:instrText>
          </w:r>
          <w:r w:rsidR="00DB2029" w:rsidRPr="00AF1E87">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(Legal Creatives, 2024)</w:t>
          </w:r>
          <w:r w:rsidR="00DB2029" w:rsidRPr="00AF1E87">
            <w:rPr>
              <w:rFonts w:ascii="Calibri" w:hAnsi="Calibri" w:cs="Calibri"/>
              <w:sz w:val="24"/>
              <w:szCs w:val="24"/>
            </w:rPr>
            <w:fldChar w:fldCharType="end"/>
          </w:r>
        </w:sdtContent>
      </w:sdt>
      <w:r w:rsidR="00DB2029" w:rsidRPr="00AF1E87">
        <w:rPr>
          <w:rFonts w:ascii="Calibri" w:hAnsi="Calibri" w:cs="Calibri"/>
          <w:sz w:val="24"/>
          <w:szCs w:val="24"/>
        </w:rPr>
        <w:t xml:space="preserve">. Furthermore, </w:t>
      </w:r>
      <w:r w:rsidR="00365E19" w:rsidRPr="00AF1E87">
        <w:rPr>
          <w:rFonts w:ascii="Calibri" w:hAnsi="Calibri" w:cs="Calibri"/>
          <w:sz w:val="24"/>
          <w:szCs w:val="24"/>
        </w:rPr>
        <w:t xml:space="preserve">even lawyers </w:t>
      </w:r>
      <w:r w:rsidR="00363596">
        <w:rPr>
          <w:rFonts w:ascii="Calibri" w:hAnsi="Calibri" w:cs="Calibri"/>
          <w:sz w:val="24"/>
          <w:szCs w:val="24"/>
        </w:rPr>
        <w:t xml:space="preserve">frequently complain about </w:t>
      </w:r>
      <w:r w:rsidR="00365E19" w:rsidRPr="00AF1E87">
        <w:rPr>
          <w:rFonts w:ascii="Calibri" w:hAnsi="Calibri" w:cs="Calibri"/>
          <w:sz w:val="24"/>
          <w:szCs w:val="24"/>
        </w:rPr>
        <w:t>contracts that are written in a</w:t>
      </w:r>
      <w:r w:rsidR="008E4805">
        <w:rPr>
          <w:rFonts w:ascii="Calibri" w:hAnsi="Calibri" w:cs="Calibri"/>
          <w:sz w:val="24"/>
          <w:szCs w:val="24"/>
        </w:rPr>
        <w:t>n overly</w:t>
      </w:r>
      <w:r w:rsidR="00365E19" w:rsidRPr="00AF1E87">
        <w:rPr>
          <w:rFonts w:ascii="Calibri" w:hAnsi="Calibri" w:cs="Calibri"/>
          <w:sz w:val="24"/>
          <w:szCs w:val="24"/>
        </w:rPr>
        <w:t xml:space="preserve"> complex manner and</w:t>
      </w:r>
      <w:r w:rsidR="00363596">
        <w:rPr>
          <w:rFonts w:ascii="Calibri" w:hAnsi="Calibri" w:cs="Calibri"/>
          <w:sz w:val="24"/>
          <w:szCs w:val="24"/>
        </w:rPr>
        <w:t xml:space="preserve"> </w:t>
      </w:r>
      <w:r w:rsidR="00363596" w:rsidRPr="00363596">
        <w:rPr>
          <w:rFonts w:ascii="Calibri" w:hAnsi="Calibri" w:cs="Calibri"/>
          <w:sz w:val="24"/>
          <w:szCs w:val="24"/>
        </w:rPr>
        <w:t xml:space="preserve">to </w:t>
      </w:r>
      <w:r w:rsidR="00363596">
        <w:rPr>
          <w:rFonts w:ascii="Calibri" w:hAnsi="Calibri" w:cs="Calibri"/>
          <w:sz w:val="24"/>
          <w:szCs w:val="24"/>
        </w:rPr>
        <w:t xml:space="preserve">prefer to </w:t>
      </w:r>
      <w:r w:rsidR="00363596" w:rsidRPr="00363596">
        <w:rPr>
          <w:rFonts w:ascii="Calibri" w:hAnsi="Calibri" w:cs="Calibri"/>
          <w:sz w:val="24"/>
          <w:szCs w:val="24"/>
        </w:rPr>
        <w:t xml:space="preserve">read the explanatory notes accompanying the </w:t>
      </w:r>
      <w:r w:rsidR="00363596">
        <w:rPr>
          <w:rFonts w:ascii="Calibri" w:hAnsi="Calibri" w:cs="Calibri"/>
          <w:sz w:val="24"/>
          <w:szCs w:val="24"/>
        </w:rPr>
        <w:t>act</w:t>
      </w:r>
      <w:r w:rsidR="00363596" w:rsidRPr="00363596">
        <w:rPr>
          <w:rFonts w:ascii="Calibri" w:hAnsi="Calibri" w:cs="Calibri"/>
          <w:sz w:val="24"/>
          <w:szCs w:val="24"/>
        </w:rPr>
        <w:t>, rather than the legislative tex</w:t>
      </w:r>
      <w:r w:rsidR="00551041">
        <w:rPr>
          <w:rFonts w:ascii="Calibri" w:hAnsi="Calibri" w:cs="Calibri"/>
          <w:sz w:val="24"/>
          <w:szCs w:val="24"/>
        </w:rPr>
        <w:t>t itself</w:t>
      </w:r>
      <w:sdt>
        <w:sdtPr>
          <w:rPr>
            <w:rFonts w:ascii="Calibri" w:hAnsi="Calibri" w:cs="Calibri"/>
            <w:sz w:val="24"/>
            <w:szCs w:val="24"/>
          </w:rPr>
          <w:id w:val="1382754543"/>
          <w:citation/>
        </w:sdtPr>
        <w:sdtEndPr/>
        <w:sdtContent>
          <w:r w:rsidR="00363596">
            <w:rPr>
              <w:rFonts w:ascii="Calibri" w:hAnsi="Calibri" w:cs="Calibri"/>
              <w:sz w:val="24"/>
              <w:szCs w:val="24"/>
            </w:rPr>
            <w:fldChar w:fldCharType="begin"/>
          </w:r>
          <w:r w:rsidR="00363596">
            <w:rPr>
              <w:rFonts w:ascii="Calibri" w:hAnsi="Calibri" w:cs="Calibri"/>
              <w:sz w:val="24"/>
              <w:szCs w:val="24"/>
            </w:rPr>
            <w:instrText xml:space="preserve"> CITATION Off13 \l 2057 </w:instrText>
          </w:r>
          <w:r w:rsidR="00363596">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(Office of the Parliamentary Council, 2013)</w:t>
          </w:r>
          <w:r w:rsidR="00363596">
            <w:rPr>
              <w:rFonts w:ascii="Calibri" w:hAnsi="Calibri" w:cs="Calibri"/>
              <w:sz w:val="24"/>
              <w:szCs w:val="24"/>
            </w:rPr>
            <w:fldChar w:fldCharType="end"/>
          </w:r>
        </w:sdtContent>
      </w:sdt>
      <w:r w:rsidR="00363596">
        <w:rPr>
          <w:rFonts w:ascii="Calibri" w:hAnsi="Calibri" w:cs="Calibri"/>
          <w:sz w:val="24"/>
          <w:szCs w:val="24"/>
        </w:rPr>
        <w:t xml:space="preserve">. </w:t>
      </w:r>
      <w:r w:rsidR="00365E19" w:rsidRPr="00AF1E87">
        <w:rPr>
          <w:rFonts w:ascii="Calibri" w:hAnsi="Calibri" w:cs="Calibri"/>
          <w:sz w:val="24"/>
          <w:szCs w:val="24"/>
        </w:rPr>
        <w:t xml:space="preserve">This shows how beneficial it </w:t>
      </w:r>
      <w:r w:rsidR="00551041">
        <w:rPr>
          <w:rFonts w:ascii="Calibri" w:hAnsi="Calibri" w:cs="Calibri"/>
          <w:sz w:val="24"/>
          <w:szCs w:val="24"/>
        </w:rPr>
        <w:t>c</w:t>
      </w:r>
      <w:r w:rsidR="00365E19" w:rsidRPr="00AF1E87">
        <w:rPr>
          <w:rFonts w:ascii="Calibri" w:hAnsi="Calibri" w:cs="Calibri"/>
          <w:sz w:val="24"/>
          <w:szCs w:val="24"/>
        </w:rPr>
        <w:t>ould be if the Consumer Rights Act 2015 was reformed to use more simplified and current language</w:t>
      </w:r>
      <w:r w:rsidR="00551041">
        <w:rPr>
          <w:rFonts w:ascii="Calibri" w:hAnsi="Calibri" w:cs="Calibri"/>
          <w:sz w:val="24"/>
          <w:szCs w:val="24"/>
        </w:rPr>
        <w:t xml:space="preserve">, and a study showing the impact replacing complex words in contracts to their simpler alternative has </w:t>
      </w:r>
      <w:r w:rsidR="007E7B75">
        <w:rPr>
          <w:rFonts w:ascii="Calibri" w:hAnsi="Calibri" w:cs="Calibri"/>
          <w:sz w:val="24"/>
          <w:szCs w:val="24"/>
        </w:rPr>
        <w:t>showed</w:t>
      </w:r>
      <w:r w:rsidR="00551041">
        <w:rPr>
          <w:rFonts w:ascii="Calibri" w:hAnsi="Calibri" w:cs="Calibri"/>
          <w:sz w:val="24"/>
          <w:szCs w:val="24"/>
        </w:rPr>
        <w:t xml:space="preserve"> boosted understanding and positive reactions </w:t>
      </w:r>
      <w:sdt>
        <w:sdtPr>
          <w:rPr>
            <w:rFonts w:ascii="Calibri" w:hAnsi="Calibri" w:cs="Calibri"/>
            <w:sz w:val="24"/>
            <w:szCs w:val="24"/>
          </w:rPr>
          <w:id w:val="-1717499725"/>
          <w:citation/>
        </w:sdtPr>
        <w:sdtEndPr/>
        <w:sdtContent>
          <w:r w:rsidR="00551041">
            <w:rPr>
              <w:rFonts w:ascii="Calibri" w:hAnsi="Calibri" w:cs="Calibri"/>
              <w:sz w:val="24"/>
              <w:szCs w:val="24"/>
            </w:rPr>
            <w:fldChar w:fldCharType="begin"/>
          </w:r>
          <w:r w:rsidR="00551041">
            <w:rPr>
              <w:rFonts w:ascii="Calibri" w:hAnsi="Calibri" w:cs="Calibri"/>
              <w:sz w:val="24"/>
              <w:szCs w:val="24"/>
            </w:rPr>
            <w:instrText xml:space="preserve">CITATION Jus24 \l 2057 </w:instrText>
          </w:r>
          <w:r w:rsidR="00551041">
            <w:rPr>
              <w:rFonts w:ascii="Calibri" w:hAnsi="Calibri" w:cs="Calibri"/>
              <w:sz w:val="24"/>
              <w:szCs w:val="24"/>
            </w:rPr>
            <w:fldChar w:fldCharType="separate"/>
          </w:r>
          <w:r w:rsidR="00BC7ECA" w:rsidRPr="00BC7ECA">
            <w:rPr>
              <w:rFonts w:ascii="Calibri" w:hAnsi="Calibri" w:cs="Calibri"/>
              <w:noProof/>
              <w:sz w:val="24"/>
              <w:szCs w:val="24"/>
            </w:rPr>
            <w:t>(Justo &amp; Recario, 2024)</w:t>
          </w:r>
          <w:r w:rsidR="00551041">
            <w:rPr>
              <w:rFonts w:ascii="Calibri" w:hAnsi="Calibri" w:cs="Calibri"/>
              <w:sz w:val="24"/>
              <w:szCs w:val="24"/>
            </w:rPr>
            <w:fldChar w:fldCharType="end"/>
          </w:r>
        </w:sdtContent>
      </w:sdt>
      <w:r w:rsidR="00551041">
        <w:rPr>
          <w:rFonts w:ascii="Calibri" w:hAnsi="Calibri" w:cs="Calibri"/>
          <w:sz w:val="24"/>
          <w:szCs w:val="24"/>
        </w:rPr>
        <w:t xml:space="preserve">. </w:t>
      </w:r>
      <w:r w:rsidR="001E133A" w:rsidRPr="00AF1E87">
        <w:rPr>
          <w:rFonts w:ascii="Calibri" w:hAnsi="Calibri" w:cs="Calibri"/>
          <w:sz w:val="24"/>
          <w:szCs w:val="24"/>
        </w:rPr>
        <w:t>In opposition to this,</w:t>
      </w:r>
      <w:r w:rsidR="003434CA" w:rsidRPr="00AF1E87">
        <w:rPr>
          <w:rFonts w:ascii="Calibri" w:hAnsi="Calibri" w:cs="Calibri"/>
          <w:sz w:val="24"/>
          <w:szCs w:val="24"/>
        </w:rPr>
        <w:t xml:space="preserve"> amending </w:t>
      </w:r>
      <w:r w:rsidR="006C5C5C" w:rsidRPr="00AF1E87">
        <w:rPr>
          <w:rFonts w:ascii="Calibri" w:hAnsi="Calibri" w:cs="Calibri"/>
          <w:sz w:val="24"/>
          <w:szCs w:val="24"/>
        </w:rPr>
        <w:t xml:space="preserve">the act so that it explains points more thoroughly could </w:t>
      </w:r>
      <w:r w:rsidR="0060006E" w:rsidRPr="00AF1E87">
        <w:rPr>
          <w:rFonts w:ascii="Calibri" w:hAnsi="Calibri" w:cs="Calibri"/>
          <w:sz w:val="24"/>
          <w:szCs w:val="24"/>
        </w:rPr>
        <w:t>also</w:t>
      </w:r>
      <w:r w:rsidR="006C5C5C" w:rsidRPr="00AF1E87">
        <w:rPr>
          <w:rFonts w:ascii="Calibri" w:hAnsi="Calibri" w:cs="Calibri"/>
          <w:sz w:val="24"/>
          <w:szCs w:val="24"/>
        </w:rPr>
        <w:t xml:space="preserve"> be a downside</w:t>
      </w:r>
      <w:r w:rsidR="007830F3" w:rsidRPr="00AF1E87">
        <w:rPr>
          <w:rFonts w:ascii="Calibri" w:hAnsi="Calibri" w:cs="Calibri"/>
          <w:sz w:val="24"/>
          <w:szCs w:val="24"/>
        </w:rPr>
        <w:t xml:space="preserve"> as the </w:t>
      </w:r>
      <w:r w:rsidR="007830F3" w:rsidRPr="00551041">
        <w:rPr>
          <w:rFonts w:ascii="Calibri" w:hAnsi="Calibri" w:cs="Calibri"/>
          <w:sz w:val="24"/>
          <w:szCs w:val="24"/>
        </w:rPr>
        <w:t>act could become too oversimplified</w:t>
      </w:r>
      <w:r w:rsidR="00936BFA">
        <w:rPr>
          <w:rFonts w:ascii="Calibri" w:hAnsi="Calibri" w:cs="Calibri"/>
          <w:sz w:val="24"/>
          <w:szCs w:val="24"/>
        </w:rPr>
        <w:t>, which</w:t>
      </w:r>
      <w:r w:rsidR="00551041">
        <w:rPr>
          <w:rFonts w:ascii="Calibri" w:hAnsi="Calibri" w:cs="Calibri"/>
          <w:sz w:val="24"/>
          <w:szCs w:val="24"/>
        </w:rPr>
        <w:t xml:space="preserve"> can create</w:t>
      </w:r>
      <w:r w:rsidR="00363596">
        <w:rPr>
          <w:rFonts w:ascii="Calibri" w:hAnsi="Calibri" w:cs="Calibri"/>
          <w:sz w:val="24"/>
          <w:szCs w:val="24"/>
        </w:rPr>
        <w:t xml:space="preserve"> gaps</w:t>
      </w:r>
      <w:r w:rsidR="00CA452E">
        <w:rPr>
          <w:rFonts w:ascii="Calibri" w:hAnsi="Calibri" w:cs="Calibri"/>
          <w:sz w:val="24"/>
          <w:szCs w:val="24"/>
        </w:rPr>
        <w:t xml:space="preserve"> in understanding</w:t>
      </w:r>
      <w:sdt>
        <w:sdtPr>
          <w:rPr>
            <w:rFonts w:ascii="Calibri" w:hAnsi="Calibri" w:cs="Calibri"/>
            <w:sz w:val="24"/>
            <w:szCs w:val="24"/>
          </w:rPr>
          <w:id w:val="-893887962"/>
          <w:citation/>
        </w:sdtPr>
        <w:sdtEndPr/>
        <w:sdtContent>
          <w:r w:rsidR="00CA452E">
            <w:rPr>
              <w:rFonts w:ascii="Calibri" w:hAnsi="Calibri" w:cs="Calibri"/>
              <w:sz w:val="24"/>
              <w:szCs w:val="24"/>
            </w:rPr>
            <w:fldChar w:fldCharType="begin"/>
          </w:r>
          <w:r w:rsidR="00CA452E">
            <w:rPr>
              <w:rFonts w:ascii="Calibri" w:hAnsi="Calibri" w:cs="Calibri"/>
              <w:sz w:val="24"/>
              <w:szCs w:val="24"/>
            </w:rPr>
            <w:instrText xml:space="preserve"> CITATION Lis26 \l 2057 </w:instrText>
          </w:r>
          <w:r w:rsidR="00CA452E">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(Lissack, 2026)</w:t>
          </w:r>
          <w:r w:rsidR="00CA452E">
            <w:rPr>
              <w:rFonts w:ascii="Calibri" w:hAnsi="Calibri" w:cs="Calibri"/>
              <w:sz w:val="24"/>
              <w:szCs w:val="24"/>
            </w:rPr>
            <w:fldChar w:fldCharType="end"/>
          </w:r>
        </w:sdtContent>
      </w:sdt>
      <w:r w:rsidR="00CA452E">
        <w:rPr>
          <w:rFonts w:ascii="Calibri" w:hAnsi="Calibri" w:cs="Calibri"/>
          <w:sz w:val="24"/>
          <w:szCs w:val="24"/>
        </w:rPr>
        <w:t xml:space="preserve">. This could mean that law that previously covered certain scenarios </w:t>
      </w:r>
      <w:r w:rsidR="00DE4515">
        <w:rPr>
          <w:rFonts w:ascii="Calibri" w:hAnsi="Calibri" w:cs="Calibri"/>
          <w:sz w:val="24"/>
          <w:szCs w:val="24"/>
        </w:rPr>
        <w:t xml:space="preserve">will be </w:t>
      </w:r>
      <w:r w:rsidR="00B208CB">
        <w:rPr>
          <w:rFonts w:ascii="Calibri" w:hAnsi="Calibri" w:cs="Calibri"/>
          <w:sz w:val="24"/>
          <w:szCs w:val="24"/>
        </w:rPr>
        <w:t>changed</w:t>
      </w:r>
      <w:r w:rsidR="00CA452E">
        <w:rPr>
          <w:rFonts w:ascii="Calibri" w:hAnsi="Calibri" w:cs="Calibri"/>
          <w:sz w:val="24"/>
          <w:szCs w:val="24"/>
        </w:rPr>
        <w:t>, resulting in exclusions</w:t>
      </w:r>
      <w:r w:rsidR="00DE4515">
        <w:rPr>
          <w:rFonts w:ascii="Calibri" w:hAnsi="Calibri" w:cs="Calibri"/>
          <w:sz w:val="24"/>
          <w:szCs w:val="24"/>
        </w:rPr>
        <w:t>,</w:t>
      </w:r>
      <w:r w:rsidR="00CA452E">
        <w:rPr>
          <w:rFonts w:ascii="Calibri" w:hAnsi="Calibri" w:cs="Calibri"/>
          <w:sz w:val="24"/>
          <w:szCs w:val="24"/>
        </w:rPr>
        <w:t xml:space="preserve"> blind spots</w:t>
      </w:r>
      <w:r w:rsidR="00DE4515">
        <w:rPr>
          <w:rFonts w:ascii="Calibri" w:hAnsi="Calibri" w:cs="Calibri"/>
          <w:sz w:val="24"/>
          <w:szCs w:val="24"/>
        </w:rPr>
        <w:t xml:space="preserve">, and laws having to be updated regularly to cover </w:t>
      </w:r>
      <w:r w:rsidR="00B62A6A">
        <w:rPr>
          <w:rFonts w:ascii="Calibri" w:hAnsi="Calibri" w:cs="Calibri"/>
          <w:sz w:val="24"/>
          <w:szCs w:val="24"/>
        </w:rPr>
        <w:t>more scenarios</w:t>
      </w:r>
      <w:r w:rsidR="00CA452E">
        <w:rPr>
          <w:rFonts w:ascii="Calibri" w:hAnsi="Calibri" w:cs="Calibri"/>
          <w:sz w:val="24"/>
          <w:szCs w:val="24"/>
        </w:rPr>
        <w:t xml:space="preserve">. </w:t>
      </w:r>
      <w:r w:rsidR="0062736C">
        <w:rPr>
          <w:rFonts w:ascii="Calibri" w:hAnsi="Calibri" w:cs="Calibri"/>
          <w:sz w:val="24"/>
          <w:szCs w:val="24"/>
        </w:rPr>
        <w:t xml:space="preserve">An example of this is the Divorce Reform Act 1969, where </w:t>
      </w:r>
      <w:r w:rsidR="000F5866">
        <w:rPr>
          <w:rFonts w:ascii="Calibri" w:hAnsi="Calibri" w:cs="Calibri"/>
          <w:sz w:val="24"/>
          <w:szCs w:val="24"/>
        </w:rPr>
        <w:t>for couples to go through divorce proce</w:t>
      </w:r>
      <w:r w:rsidR="008306BF">
        <w:rPr>
          <w:rFonts w:ascii="Calibri" w:hAnsi="Calibri" w:cs="Calibri"/>
          <w:sz w:val="24"/>
          <w:szCs w:val="24"/>
        </w:rPr>
        <w:t>e</w:t>
      </w:r>
      <w:r w:rsidR="000F5866">
        <w:rPr>
          <w:rFonts w:ascii="Calibri" w:hAnsi="Calibri" w:cs="Calibri"/>
          <w:sz w:val="24"/>
          <w:szCs w:val="24"/>
        </w:rPr>
        <w:t>dings, they had to pr</w:t>
      </w:r>
      <w:r w:rsidR="00492BFC">
        <w:rPr>
          <w:rFonts w:ascii="Calibri" w:hAnsi="Calibri" w:cs="Calibri"/>
          <w:sz w:val="24"/>
          <w:szCs w:val="24"/>
        </w:rPr>
        <w:t>o</w:t>
      </w:r>
      <w:r w:rsidR="000F5866">
        <w:rPr>
          <w:rFonts w:ascii="Calibri" w:hAnsi="Calibri" w:cs="Calibri"/>
          <w:sz w:val="24"/>
          <w:szCs w:val="24"/>
        </w:rPr>
        <w:t>ve that their</w:t>
      </w:r>
      <w:r w:rsidR="00290152">
        <w:rPr>
          <w:rFonts w:ascii="Calibri" w:hAnsi="Calibri" w:cs="Calibri"/>
          <w:sz w:val="24"/>
          <w:szCs w:val="24"/>
        </w:rPr>
        <w:t xml:space="preserve"> marriage was</w:t>
      </w:r>
      <w:r w:rsidR="00B817AC">
        <w:rPr>
          <w:rFonts w:ascii="Calibri" w:hAnsi="Calibri" w:cs="Calibri"/>
          <w:sz w:val="24"/>
          <w:szCs w:val="24"/>
        </w:rPr>
        <w:t xml:space="preserve"> ‘irretrievably broken down’</w:t>
      </w:r>
      <w:r w:rsidR="00487E41">
        <w:rPr>
          <w:rFonts w:ascii="Calibri" w:hAnsi="Calibri" w:cs="Calibri"/>
          <w:sz w:val="24"/>
          <w:szCs w:val="24"/>
        </w:rPr>
        <w:t xml:space="preserve"> </w:t>
      </w:r>
      <w:r w:rsidR="00290152">
        <w:rPr>
          <w:rFonts w:ascii="Calibri" w:hAnsi="Calibri" w:cs="Calibri"/>
          <w:sz w:val="24"/>
          <w:szCs w:val="24"/>
        </w:rPr>
        <w:t>- this</w:t>
      </w:r>
      <w:r w:rsidR="00B37C2B">
        <w:rPr>
          <w:rFonts w:ascii="Calibri" w:hAnsi="Calibri" w:cs="Calibri"/>
          <w:sz w:val="24"/>
          <w:szCs w:val="24"/>
        </w:rPr>
        <w:t xml:space="preserve"> was later reformed </w:t>
      </w:r>
      <w:r w:rsidR="005E2E4C">
        <w:rPr>
          <w:rFonts w:ascii="Calibri" w:hAnsi="Calibri" w:cs="Calibri"/>
          <w:sz w:val="24"/>
          <w:szCs w:val="24"/>
        </w:rPr>
        <w:t>through the</w:t>
      </w:r>
      <w:r w:rsidR="00840753">
        <w:rPr>
          <w:rFonts w:ascii="Calibri" w:hAnsi="Calibri" w:cs="Calibri"/>
          <w:sz w:val="24"/>
          <w:szCs w:val="24"/>
        </w:rPr>
        <w:t xml:space="preserve"> Divorce, </w:t>
      </w:r>
      <w:r w:rsidR="00840753">
        <w:rPr>
          <w:rFonts w:ascii="Calibri" w:hAnsi="Calibri" w:cs="Calibri"/>
          <w:sz w:val="24"/>
          <w:szCs w:val="24"/>
        </w:rPr>
        <w:lastRenderedPageBreak/>
        <w:t>Dissolution and Seperation Act 2020,</w:t>
      </w:r>
      <w:r w:rsidR="005E2E4C">
        <w:rPr>
          <w:rFonts w:ascii="Calibri" w:hAnsi="Calibri" w:cs="Calibri"/>
          <w:sz w:val="24"/>
          <w:szCs w:val="24"/>
        </w:rPr>
        <w:t xml:space="preserve"> </w:t>
      </w:r>
      <w:r w:rsidR="00B37C2B">
        <w:rPr>
          <w:rFonts w:ascii="Calibri" w:hAnsi="Calibri" w:cs="Calibri"/>
          <w:sz w:val="24"/>
          <w:szCs w:val="24"/>
        </w:rPr>
        <w:t xml:space="preserve">as that phrase didn’t fully account for the complexities of </w:t>
      </w:r>
      <w:r w:rsidR="000F5866">
        <w:rPr>
          <w:rFonts w:ascii="Calibri" w:hAnsi="Calibri" w:cs="Calibri"/>
          <w:sz w:val="24"/>
          <w:szCs w:val="24"/>
        </w:rPr>
        <w:t>reasoning behind why marriages can end</w:t>
      </w:r>
      <w:sdt>
        <w:sdtPr>
          <w:rPr>
            <w:rFonts w:ascii="Calibri" w:hAnsi="Calibri" w:cs="Calibri"/>
            <w:sz w:val="24"/>
            <w:szCs w:val="24"/>
          </w:rPr>
          <w:id w:val="913044945"/>
          <w:citation/>
        </w:sdtPr>
        <w:sdtEndPr/>
        <w:sdtContent>
          <w:r w:rsidR="0018191C">
            <w:rPr>
              <w:rFonts w:ascii="Calibri" w:hAnsi="Calibri" w:cs="Calibri"/>
              <w:sz w:val="24"/>
              <w:szCs w:val="24"/>
            </w:rPr>
            <w:fldChar w:fldCharType="begin"/>
          </w:r>
          <w:r w:rsidR="0018191C">
            <w:rPr>
              <w:rFonts w:ascii="Calibri" w:hAnsi="Calibri" w:cs="Calibri"/>
              <w:sz w:val="24"/>
              <w:szCs w:val="24"/>
            </w:rPr>
            <w:instrText xml:space="preserve"> CITATION UKG22 \l 2057 </w:instrText>
          </w:r>
          <w:r w:rsidR="0018191C">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(UK Government, 2022)</w:t>
          </w:r>
          <w:r w:rsidR="0018191C">
            <w:rPr>
              <w:rFonts w:ascii="Calibri" w:hAnsi="Calibri" w:cs="Calibri"/>
              <w:sz w:val="24"/>
              <w:szCs w:val="24"/>
            </w:rPr>
            <w:fldChar w:fldCharType="end"/>
          </w:r>
        </w:sdtContent>
      </w:sdt>
      <w:r w:rsidR="0018191C">
        <w:rPr>
          <w:rFonts w:ascii="Calibri" w:hAnsi="Calibri" w:cs="Calibri"/>
          <w:sz w:val="24"/>
          <w:szCs w:val="24"/>
        </w:rPr>
        <w:t xml:space="preserve">. </w:t>
      </w:r>
    </w:p>
    <w:p w14:paraId="7DF748C9" w14:textId="35FEE315" w:rsidR="00A9436C" w:rsidRPr="00AF1E87" w:rsidRDefault="003B5381" w:rsidP="00AF1E87">
      <w:pPr>
        <w:spacing w:line="360" w:lineRule="auto"/>
        <w:jc w:val="both"/>
        <w:rPr>
          <w:rFonts w:ascii="Calibri" w:hAnsi="Calibri" w:cs="Calibri"/>
          <w:sz w:val="24"/>
          <w:szCs w:val="24"/>
        </w:rPr>
      </w:pPr>
      <w:r w:rsidRPr="00AF1E87">
        <w:rPr>
          <w:rFonts w:ascii="Calibri" w:hAnsi="Calibri" w:cs="Calibri"/>
          <w:sz w:val="24"/>
          <w:szCs w:val="24"/>
        </w:rPr>
        <w:t>On the other hand, i</w:t>
      </w:r>
      <w:r w:rsidR="00CF0AAA" w:rsidRPr="00AF1E87">
        <w:rPr>
          <w:rFonts w:ascii="Calibri" w:hAnsi="Calibri" w:cs="Calibri"/>
          <w:sz w:val="24"/>
          <w:szCs w:val="24"/>
        </w:rPr>
        <w:t xml:space="preserve">f the </w:t>
      </w:r>
      <w:r w:rsidR="00CA2812">
        <w:rPr>
          <w:rFonts w:ascii="Calibri" w:hAnsi="Calibri" w:cs="Calibri"/>
          <w:sz w:val="24"/>
          <w:szCs w:val="24"/>
        </w:rPr>
        <w:t>C</w:t>
      </w:r>
      <w:r w:rsidR="00CF0AAA" w:rsidRPr="00AF1E87">
        <w:rPr>
          <w:rFonts w:ascii="Calibri" w:hAnsi="Calibri" w:cs="Calibri"/>
          <w:sz w:val="24"/>
          <w:szCs w:val="24"/>
        </w:rPr>
        <w:t xml:space="preserve">onsumer </w:t>
      </w:r>
      <w:r w:rsidR="00CA2812">
        <w:rPr>
          <w:rFonts w:ascii="Calibri" w:hAnsi="Calibri" w:cs="Calibri"/>
          <w:sz w:val="24"/>
          <w:szCs w:val="24"/>
        </w:rPr>
        <w:t>R</w:t>
      </w:r>
      <w:r w:rsidR="00CF0AAA" w:rsidRPr="00AF1E87">
        <w:rPr>
          <w:rFonts w:ascii="Calibri" w:hAnsi="Calibri" w:cs="Calibri"/>
          <w:sz w:val="24"/>
          <w:szCs w:val="24"/>
        </w:rPr>
        <w:t xml:space="preserve">ights Act was reformed, it </w:t>
      </w:r>
      <w:r w:rsidRPr="00AF1E87">
        <w:rPr>
          <w:rFonts w:ascii="Calibri" w:hAnsi="Calibri" w:cs="Calibri"/>
          <w:sz w:val="24"/>
          <w:szCs w:val="24"/>
        </w:rPr>
        <w:t>c</w:t>
      </w:r>
      <w:r w:rsidR="00CF0AAA" w:rsidRPr="00AF1E87">
        <w:rPr>
          <w:rFonts w:ascii="Calibri" w:hAnsi="Calibri" w:cs="Calibri"/>
          <w:sz w:val="24"/>
          <w:szCs w:val="24"/>
        </w:rPr>
        <w:t>ould enable businesses to understand the law</w:t>
      </w:r>
      <w:r w:rsidRPr="00AF1E87">
        <w:rPr>
          <w:rFonts w:ascii="Calibri" w:hAnsi="Calibri" w:cs="Calibri"/>
          <w:sz w:val="24"/>
          <w:szCs w:val="24"/>
        </w:rPr>
        <w:t xml:space="preserve"> easier</w:t>
      </w:r>
      <w:r w:rsidR="00CF0AAA" w:rsidRPr="00AF1E87">
        <w:rPr>
          <w:rFonts w:ascii="Calibri" w:hAnsi="Calibri" w:cs="Calibri"/>
          <w:sz w:val="24"/>
          <w:szCs w:val="24"/>
        </w:rPr>
        <w:t>, therefore they would be able to comply with the legislation better. In addition to this, it would also ensure that consumers were clearer on what their rights are. For example, if it was explicitly and clearly stated in the legislation that if a date has</w:t>
      </w:r>
      <w:r w:rsidR="0078781D">
        <w:rPr>
          <w:rFonts w:ascii="Calibri" w:hAnsi="Calibri" w:cs="Calibri"/>
          <w:sz w:val="24"/>
          <w:szCs w:val="24"/>
        </w:rPr>
        <w:t xml:space="preserve"> not</w:t>
      </w:r>
      <w:r w:rsidR="00CF0AAA" w:rsidRPr="00AF1E87">
        <w:rPr>
          <w:rFonts w:ascii="Calibri" w:hAnsi="Calibri" w:cs="Calibri"/>
          <w:sz w:val="24"/>
          <w:szCs w:val="24"/>
        </w:rPr>
        <w:t xml:space="preserve"> been agreed, there can</w:t>
      </w:r>
      <w:r w:rsidR="0078781D">
        <w:rPr>
          <w:rFonts w:ascii="Calibri" w:hAnsi="Calibri" w:cs="Calibri"/>
          <w:sz w:val="24"/>
          <w:szCs w:val="24"/>
        </w:rPr>
        <w:t>no</w:t>
      </w:r>
      <w:r w:rsidR="00CF0AAA" w:rsidRPr="00AF1E87">
        <w:rPr>
          <w:rFonts w:ascii="Calibri" w:hAnsi="Calibri" w:cs="Calibri"/>
          <w:sz w:val="24"/>
          <w:szCs w:val="24"/>
        </w:rPr>
        <w:t xml:space="preserve">t be a failure to collect, it could have changed the outcome of Black Horse Limited v Andrew Curtis </w:t>
      </w:r>
      <w:r w:rsidR="00FC27DC">
        <w:rPr>
          <w:rFonts w:ascii="Calibri" w:hAnsi="Calibri" w:cs="Calibri"/>
          <w:sz w:val="24"/>
          <w:szCs w:val="24"/>
        </w:rPr>
        <w:t>(</w:t>
      </w:r>
      <w:r w:rsidR="00CA2812">
        <w:rPr>
          <w:rFonts w:ascii="Calibri" w:hAnsi="Calibri" w:cs="Calibri"/>
          <w:sz w:val="24"/>
          <w:szCs w:val="24"/>
        </w:rPr>
        <w:t>2024</w:t>
      </w:r>
      <w:r w:rsidR="00FC27DC">
        <w:rPr>
          <w:rFonts w:ascii="Calibri" w:hAnsi="Calibri" w:cs="Calibri"/>
          <w:sz w:val="24"/>
          <w:szCs w:val="24"/>
        </w:rPr>
        <w:t>)</w:t>
      </w:r>
      <w:r w:rsidR="00CA2812">
        <w:rPr>
          <w:rFonts w:ascii="Calibri" w:hAnsi="Calibri" w:cs="Calibri"/>
          <w:sz w:val="24"/>
          <w:szCs w:val="24"/>
        </w:rPr>
        <w:t xml:space="preserve"> </w:t>
      </w:r>
      <w:r w:rsidR="00CF0AAA" w:rsidRPr="00AF1E87">
        <w:rPr>
          <w:rFonts w:ascii="Calibri" w:hAnsi="Calibri" w:cs="Calibri"/>
          <w:sz w:val="24"/>
          <w:szCs w:val="24"/>
        </w:rPr>
        <w:t>and other similar cases as the law would have been easy to understand.</w:t>
      </w:r>
    </w:p>
    <w:p w14:paraId="5990A910" w14:textId="70C3BAE9" w:rsidR="00EF3579" w:rsidRPr="00AF1E87" w:rsidRDefault="00A9436C" w:rsidP="00AF1E87">
      <w:pPr>
        <w:spacing w:line="360" w:lineRule="auto"/>
        <w:jc w:val="both"/>
        <w:rPr>
          <w:rFonts w:ascii="Calibri" w:hAnsi="Calibri" w:cs="Calibri"/>
          <w:b/>
          <w:bCs/>
          <w:sz w:val="24"/>
          <w:szCs w:val="24"/>
        </w:rPr>
      </w:pPr>
      <w:r w:rsidRPr="00AF1E87">
        <w:rPr>
          <w:rFonts w:ascii="Calibri" w:hAnsi="Calibri" w:cs="Calibri"/>
          <w:sz w:val="24"/>
          <w:szCs w:val="24"/>
        </w:rPr>
        <w:t>In conclusion, the Consumer Rights Act 2015 could benefit both businesses and consumers if the language used and explanations were simplified. However, the right balance</w:t>
      </w:r>
      <w:r w:rsidR="0025445F" w:rsidRPr="00AF1E87">
        <w:rPr>
          <w:rFonts w:ascii="Calibri" w:hAnsi="Calibri" w:cs="Calibri"/>
          <w:sz w:val="24"/>
          <w:szCs w:val="24"/>
        </w:rPr>
        <w:t xml:space="preserve"> between </w:t>
      </w:r>
      <w:r w:rsidR="00626B01" w:rsidRPr="00AF1E87">
        <w:rPr>
          <w:rFonts w:ascii="Calibri" w:hAnsi="Calibri" w:cs="Calibri"/>
          <w:sz w:val="24"/>
          <w:szCs w:val="24"/>
        </w:rPr>
        <w:t>more clarification and too much clarification</w:t>
      </w:r>
      <w:r w:rsidRPr="00AF1E87">
        <w:rPr>
          <w:rFonts w:ascii="Calibri" w:hAnsi="Calibri" w:cs="Calibri"/>
          <w:sz w:val="24"/>
          <w:szCs w:val="24"/>
        </w:rPr>
        <w:t xml:space="preserve"> needs to be found to ensure that it is not </w:t>
      </w:r>
      <w:r w:rsidR="00B83C8F" w:rsidRPr="00AF1E87">
        <w:rPr>
          <w:rFonts w:ascii="Calibri" w:hAnsi="Calibri" w:cs="Calibri"/>
          <w:sz w:val="24"/>
          <w:szCs w:val="24"/>
        </w:rPr>
        <w:t>amended</w:t>
      </w:r>
      <w:r w:rsidRPr="00AF1E87">
        <w:rPr>
          <w:rFonts w:ascii="Calibri" w:hAnsi="Calibri" w:cs="Calibri"/>
          <w:sz w:val="24"/>
          <w:szCs w:val="24"/>
        </w:rPr>
        <w:t xml:space="preserve"> to the point of oversimplification. </w:t>
      </w:r>
    </w:p>
    <w:p w14:paraId="4B5734E7" w14:textId="77777777" w:rsidR="005B61DD" w:rsidRPr="00AF1E87" w:rsidRDefault="005B61DD" w:rsidP="00AF1E87">
      <w:pPr>
        <w:spacing w:line="360" w:lineRule="auto"/>
        <w:jc w:val="both"/>
        <w:rPr>
          <w:rFonts w:ascii="Calibri" w:hAnsi="Calibri" w:cs="Calibri"/>
          <w:b/>
          <w:bCs/>
          <w:sz w:val="24"/>
          <w:szCs w:val="24"/>
        </w:rPr>
      </w:pPr>
    </w:p>
    <w:p w14:paraId="5CEDC7A3" w14:textId="77777777" w:rsidR="005B61DD" w:rsidRPr="00AF1E87" w:rsidRDefault="005B61DD" w:rsidP="00AF1E87">
      <w:pPr>
        <w:spacing w:line="360" w:lineRule="auto"/>
        <w:jc w:val="both"/>
        <w:rPr>
          <w:rFonts w:ascii="Calibri" w:hAnsi="Calibri" w:cs="Calibri"/>
          <w:b/>
          <w:bCs/>
          <w:sz w:val="24"/>
          <w:szCs w:val="24"/>
        </w:rPr>
      </w:pPr>
    </w:p>
    <w:p w14:paraId="7E38584D" w14:textId="77777777" w:rsidR="005B61DD" w:rsidRPr="00AF1E87" w:rsidRDefault="005B61DD" w:rsidP="00AF1E87">
      <w:pPr>
        <w:spacing w:line="360" w:lineRule="auto"/>
        <w:jc w:val="both"/>
        <w:rPr>
          <w:rFonts w:ascii="Calibri" w:hAnsi="Calibri" w:cs="Calibri"/>
          <w:b/>
          <w:bCs/>
          <w:sz w:val="24"/>
          <w:szCs w:val="24"/>
        </w:rPr>
      </w:pPr>
    </w:p>
    <w:p w14:paraId="74B9F28E" w14:textId="77777777" w:rsidR="005B61DD" w:rsidRPr="00AF1E87" w:rsidRDefault="005B61DD" w:rsidP="00AF1E87">
      <w:pPr>
        <w:spacing w:line="360" w:lineRule="auto"/>
        <w:jc w:val="both"/>
        <w:rPr>
          <w:rFonts w:ascii="Calibri" w:hAnsi="Calibri" w:cs="Calibri"/>
          <w:b/>
          <w:bCs/>
          <w:sz w:val="24"/>
          <w:szCs w:val="24"/>
        </w:rPr>
      </w:pPr>
    </w:p>
    <w:p w14:paraId="06A15D47" w14:textId="77777777" w:rsidR="005B61DD" w:rsidRPr="00AF1E87" w:rsidRDefault="005B61DD" w:rsidP="00AF1E87">
      <w:pPr>
        <w:spacing w:line="360" w:lineRule="auto"/>
        <w:jc w:val="both"/>
        <w:rPr>
          <w:rFonts w:ascii="Calibri" w:hAnsi="Calibri" w:cs="Calibri"/>
          <w:b/>
          <w:bCs/>
          <w:sz w:val="24"/>
          <w:szCs w:val="24"/>
        </w:rPr>
      </w:pPr>
    </w:p>
    <w:p w14:paraId="2277ED02" w14:textId="77777777" w:rsidR="005B61DD" w:rsidRPr="00AF1E87" w:rsidRDefault="005B61DD" w:rsidP="00AF1E87">
      <w:pPr>
        <w:spacing w:line="360" w:lineRule="auto"/>
        <w:jc w:val="both"/>
        <w:rPr>
          <w:rFonts w:ascii="Calibri" w:hAnsi="Calibri" w:cs="Calibri"/>
          <w:b/>
          <w:bCs/>
          <w:sz w:val="24"/>
          <w:szCs w:val="24"/>
        </w:rPr>
      </w:pPr>
    </w:p>
    <w:p w14:paraId="4D034E20" w14:textId="77777777" w:rsidR="005B61DD" w:rsidRPr="00AF1E87" w:rsidRDefault="005B61DD" w:rsidP="00AF1E87">
      <w:pPr>
        <w:spacing w:line="360" w:lineRule="auto"/>
        <w:jc w:val="both"/>
        <w:rPr>
          <w:rFonts w:ascii="Calibri" w:hAnsi="Calibri" w:cs="Calibri"/>
          <w:b/>
          <w:bCs/>
          <w:sz w:val="24"/>
          <w:szCs w:val="24"/>
        </w:rPr>
      </w:pPr>
    </w:p>
    <w:p w14:paraId="2C64312D" w14:textId="77777777" w:rsidR="005B61DD" w:rsidRPr="00AF1E87" w:rsidRDefault="005B61DD" w:rsidP="00AF1E87">
      <w:pPr>
        <w:spacing w:line="360" w:lineRule="auto"/>
        <w:jc w:val="both"/>
        <w:rPr>
          <w:rFonts w:ascii="Calibri" w:hAnsi="Calibri" w:cs="Calibri"/>
          <w:b/>
          <w:bCs/>
          <w:sz w:val="24"/>
          <w:szCs w:val="24"/>
        </w:rPr>
      </w:pPr>
    </w:p>
    <w:p w14:paraId="389D1683" w14:textId="77777777" w:rsidR="005B61DD" w:rsidRPr="00AF1E87" w:rsidRDefault="005B61DD" w:rsidP="00AF1E87">
      <w:pPr>
        <w:spacing w:line="360" w:lineRule="auto"/>
        <w:jc w:val="both"/>
        <w:rPr>
          <w:rFonts w:ascii="Calibri" w:hAnsi="Calibri" w:cs="Calibri"/>
          <w:b/>
          <w:bCs/>
          <w:sz w:val="24"/>
          <w:szCs w:val="24"/>
        </w:rPr>
      </w:pPr>
    </w:p>
    <w:p w14:paraId="1C3C5F9B" w14:textId="77777777" w:rsidR="005B61DD" w:rsidRPr="00AF1E87" w:rsidRDefault="005B61DD" w:rsidP="00AF1E87">
      <w:pPr>
        <w:spacing w:line="360" w:lineRule="auto"/>
        <w:jc w:val="both"/>
        <w:rPr>
          <w:rFonts w:ascii="Calibri" w:hAnsi="Calibri" w:cs="Calibri"/>
          <w:b/>
          <w:bCs/>
          <w:sz w:val="24"/>
          <w:szCs w:val="24"/>
        </w:rPr>
      </w:pPr>
    </w:p>
    <w:p w14:paraId="6B401D11" w14:textId="77777777" w:rsidR="005B61DD" w:rsidRPr="00AF1E87" w:rsidRDefault="005B61DD" w:rsidP="00AF1E87">
      <w:pPr>
        <w:spacing w:line="360" w:lineRule="auto"/>
        <w:jc w:val="both"/>
        <w:rPr>
          <w:rFonts w:ascii="Calibri" w:hAnsi="Calibri" w:cs="Calibri"/>
          <w:b/>
          <w:bCs/>
          <w:sz w:val="24"/>
          <w:szCs w:val="24"/>
        </w:rPr>
      </w:pPr>
    </w:p>
    <w:p w14:paraId="6C2C3D47" w14:textId="77777777" w:rsidR="005B61DD" w:rsidRPr="00AF1E87" w:rsidRDefault="005B61DD" w:rsidP="00AF1E87">
      <w:pPr>
        <w:spacing w:line="360" w:lineRule="auto"/>
        <w:jc w:val="both"/>
        <w:rPr>
          <w:rFonts w:ascii="Calibri" w:hAnsi="Calibri" w:cs="Calibri"/>
          <w:b/>
          <w:bCs/>
          <w:sz w:val="24"/>
          <w:szCs w:val="24"/>
        </w:rPr>
      </w:pPr>
    </w:p>
    <w:p w14:paraId="0B67B65C" w14:textId="77777777" w:rsidR="005B61DD" w:rsidRPr="00AF1E87" w:rsidRDefault="005B61DD" w:rsidP="00AF1E87">
      <w:pPr>
        <w:spacing w:line="360" w:lineRule="auto"/>
        <w:jc w:val="both"/>
        <w:rPr>
          <w:rFonts w:ascii="Calibri" w:hAnsi="Calibri" w:cs="Calibri"/>
          <w:b/>
          <w:bCs/>
          <w:sz w:val="24"/>
          <w:szCs w:val="24"/>
        </w:rPr>
      </w:pPr>
    </w:p>
    <w:p w14:paraId="353E15FB" w14:textId="77777777" w:rsidR="005B61DD" w:rsidRPr="00AF1E87" w:rsidRDefault="005B61DD" w:rsidP="00AF1E87">
      <w:pPr>
        <w:spacing w:line="360" w:lineRule="auto"/>
        <w:jc w:val="both"/>
        <w:rPr>
          <w:rFonts w:ascii="Calibri" w:hAnsi="Calibri" w:cs="Calibri"/>
          <w:b/>
          <w:bCs/>
          <w:sz w:val="24"/>
          <w:szCs w:val="24"/>
        </w:rPr>
      </w:pPr>
    </w:p>
    <w:p w14:paraId="48972C7D" w14:textId="77777777" w:rsidR="005B61DD" w:rsidRPr="00AF1E87" w:rsidRDefault="005B61DD" w:rsidP="00AF1E87">
      <w:pPr>
        <w:spacing w:line="360" w:lineRule="auto"/>
        <w:jc w:val="both"/>
        <w:rPr>
          <w:rFonts w:ascii="Calibri" w:hAnsi="Calibri" w:cs="Calibri"/>
          <w:b/>
          <w:bCs/>
          <w:sz w:val="24"/>
          <w:szCs w:val="24"/>
        </w:rPr>
      </w:pPr>
    </w:p>
    <w:p w14:paraId="6E136620" w14:textId="77777777" w:rsidR="005B61DD" w:rsidRPr="00AF1E87" w:rsidRDefault="005B61DD" w:rsidP="00AF1E87">
      <w:pPr>
        <w:spacing w:line="360" w:lineRule="auto"/>
        <w:jc w:val="both"/>
        <w:rPr>
          <w:rFonts w:ascii="Calibri" w:hAnsi="Calibri" w:cs="Calibri"/>
          <w:b/>
          <w:bCs/>
          <w:sz w:val="24"/>
          <w:szCs w:val="24"/>
        </w:rPr>
      </w:pPr>
    </w:p>
    <w:p w14:paraId="66BB7DCF" w14:textId="102FC93F" w:rsidR="00AF1E87" w:rsidRDefault="00AF1E87" w:rsidP="00AF1E87">
      <w:pPr>
        <w:spacing w:after="160" w:line="278" w:lineRule="auto"/>
        <w:rPr>
          <w:rFonts w:ascii="Calibri" w:hAnsi="Calibri" w:cs="Calibri"/>
          <w:b/>
          <w:bCs/>
          <w:sz w:val="24"/>
          <w:szCs w:val="24"/>
        </w:rPr>
      </w:pPr>
    </w:p>
    <w:p w14:paraId="08A66BE5" w14:textId="77777777" w:rsidR="00AF1E87" w:rsidRDefault="00AF1E87">
      <w:pPr>
        <w:spacing w:after="160" w:line="278" w:lineRule="auto"/>
        <w:rPr>
          <w:rFonts w:ascii="Calibri" w:hAnsi="Calibri" w:cs="Calibri"/>
          <w:b/>
          <w:bCs/>
          <w:sz w:val="24"/>
          <w:szCs w:val="24"/>
        </w:rPr>
      </w:pPr>
      <w:r>
        <w:rPr>
          <w:rFonts w:ascii="Calibri" w:hAnsi="Calibri" w:cs="Calibri"/>
          <w:b/>
          <w:bCs/>
          <w:sz w:val="24"/>
          <w:szCs w:val="24"/>
        </w:rPr>
        <w:br w:type="page"/>
      </w:r>
    </w:p>
    <w:p w14:paraId="6ADBC822" w14:textId="53804F3C" w:rsidR="00853491" w:rsidRPr="0058042B" w:rsidRDefault="000E7475" w:rsidP="000E7475">
      <w:pPr>
        <w:pStyle w:val="Heading1"/>
      </w:pPr>
      <w:bookmarkStart w:id="2" w:name="_Toc200008471"/>
      <w:r>
        <w:lastRenderedPageBreak/>
        <w:t xml:space="preserve">3. </w:t>
      </w:r>
      <w:r w:rsidR="00EF3579" w:rsidRPr="0058042B">
        <w:t>With particular reference to section 5 and section 7 of the General Product Safety Regulations 2005, discuss the obligations of producers and how they apply to your current workplace. [ 25 Marks]</w:t>
      </w:r>
      <w:bookmarkEnd w:id="2"/>
      <w:r w:rsidR="00EF3579" w:rsidRPr="0058042B">
        <w:t xml:space="preserve"> </w:t>
      </w:r>
    </w:p>
    <w:p w14:paraId="7CAE57D0" w14:textId="312409D4" w:rsidR="00AF1E87" w:rsidRPr="00AF1E87" w:rsidRDefault="00A34A0A" w:rsidP="00AF1E87">
      <w:pPr>
        <w:spacing w:line="360" w:lineRule="auto"/>
        <w:jc w:val="both"/>
        <w:rPr>
          <w:rFonts w:ascii="Calibri" w:hAnsi="Calibri" w:cs="Calibri"/>
          <w:sz w:val="24"/>
          <w:szCs w:val="24"/>
        </w:rPr>
      </w:pPr>
      <w:r w:rsidRPr="00AF1E87">
        <w:rPr>
          <w:rFonts w:ascii="Calibri" w:hAnsi="Calibri" w:cs="Calibri"/>
          <w:sz w:val="24"/>
          <w:szCs w:val="24"/>
        </w:rPr>
        <w:t xml:space="preserve">The General Product Safety Regulations 2005 ensures that consumer goods that are supplied into and within Great Britain are safe for </w:t>
      </w:r>
      <w:r w:rsidR="005B61DD" w:rsidRPr="00AF1E87">
        <w:rPr>
          <w:rFonts w:ascii="Calibri" w:hAnsi="Calibri" w:cs="Calibri"/>
          <w:sz w:val="24"/>
          <w:szCs w:val="24"/>
        </w:rPr>
        <w:t>use and</w:t>
      </w:r>
      <w:r w:rsidR="003B1E3A" w:rsidRPr="00AF1E87">
        <w:rPr>
          <w:rFonts w:ascii="Calibri" w:hAnsi="Calibri" w:cs="Calibri"/>
          <w:sz w:val="24"/>
          <w:szCs w:val="24"/>
        </w:rPr>
        <w:t xml:space="preserve"> puts the obligations onto producers to ensure that their products are safe</w:t>
      </w:r>
      <w:r w:rsidRPr="00AF1E87">
        <w:rPr>
          <w:rFonts w:ascii="Calibri" w:hAnsi="Calibri" w:cs="Calibri"/>
          <w:sz w:val="24"/>
          <w:szCs w:val="24"/>
        </w:rPr>
        <w:t>. The act applies to products intended for use, and products that under reasonably foreseeable circumstances could be used by consumers</w:t>
      </w:r>
      <w:sdt>
        <w:sdtPr>
          <w:rPr>
            <w:rFonts w:ascii="Calibri" w:hAnsi="Calibri" w:cs="Calibri"/>
            <w:sz w:val="24"/>
            <w:szCs w:val="24"/>
          </w:rPr>
          <w:id w:val="687028779"/>
          <w:citation/>
        </w:sdtPr>
        <w:sdtEndPr/>
        <w:sdtContent>
          <w:r w:rsidR="00DC2E27" w:rsidRPr="00AF1E87">
            <w:rPr>
              <w:rFonts w:ascii="Calibri" w:hAnsi="Calibri" w:cs="Calibri"/>
              <w:sz w:val="24"/>
              <w:szCs w:val="24"/>
            </w:rPr>
            <w:fldChar w:fldCharType="begin"/>
          </w:r>
          <w:r w:rsidR="00DC2E27" w:rsidRPr="00AF1E87">
            <w:rPr>
              <w:rFonts w:ascii="Calibri" w:hAnsi="Calibri" w:cs="Calibri"/>
              <w:sz w:val="24"/>
              <w:szCs w:val="24"/>
            </w:rPr>
            <w:instrText xml:space="preserve"> CITATION Off24 \l 2057 </w:instrText>
          </w:r>
          <w:r w:rsidR="00DC2E27" w:rsidRPr="00AF1E87">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(Office for Product Safety &amp; Standards, 2024)</w:t>
          </w:r>
          <w:r w:rsidR="00DC2E27" w:rsidRPr="00AF1E87">
            <w:rPr>
              <w:rFonts w:ascii="Calibri" w:hAnsi="Calibri" w:cs="Calibri"/>
              <w:sz w:val="24"/>
              <w:szCs w:val="24"/>
            </w:rPr>
            <w:fldChar w:fldCharType="end"/>
          </w:r>
        </w:sdtContent>
      </w:sdt>
      <w:r w:rsidRPr="00AF1E87">
        <w:rPr>
          <w:rFonts w:ascii="Calibri" w:hAnsi="Calibri" w:cs="Calibri"/>
          <w:sz w:val="24"/>
          <w:szCs w:val="24"/>
        </w:rPr>
        <w:t>.</w:t>
      </w:r>
    </w:p>
    <w:p w14:paraId="72B689FB" w14:textId="4E962503" w:rsidR="00AF1E87" w:rsidRDefault="00DA2770" w:rsidP="00AF1E87">
      <w:pPr>
        <w:spacing w:after="160" w:line="360" w:lineRule="auto"/>
        <w:jc w:val="both"/>
        <w:rPr>
          <w:rFonts w:ascii="Calibri" w:hAnsi="Calibri" w:cs="Calibri"/>
          <w:sz w:val="24"/>
          <w:szCs w:val="24"/>
        </w:rPr>
      </w:pPr>
      <w:r w:rsidRPr="00AF1E87">
        <w:rPr>
          <w:rFonts w:ascii="Calibri" w:hAnsi="Calibri" w:cs="Calibri"/>
          <w:sz w:val="24"/>
          <w:szCs w:val="24"/>
        </w:rPr>
        <w:t xml:space="preserve">Section 5 of the act sets out </w:t>
      </w:r>
      <w:r w:rsidR="00924253" w:rsidRPr="00AF1E87">
        <w:rPr>
          <w:rFonts w:ascii="Calibri" w:hAnsi="Calibri" w:cs="Calibri"/>
          <w:sz w:val="24"/>
          <w:szCs w:val="24"/>
        </w:rPr>
        <w:t xml:space="preserve">that producers are not allowed to </w:t>
      </w:r>
      <w:r w:rsidR="001A5D29" w:rsidRPr="00AF1E87">
        <w:rPr>
          <w:rFonts w:ascii="Calibri" w:hAnsi="Calibri" w:cs="Calibri"/>
          <w:sz w:val="24"/>
          <w:szCs w:val="24"/>
        </w:rPr>
        <w:t>place an unsafe product on the market</w:t>
      </w:r>
      <w:r w:rsidR="008926A2" w:rsidRPr="00AF1E87">
        <w:rPr>
          <w:rFonts w:ascii="Calibri" w:hAnsi="Calibri" w:cs="Calibri"/>
          <w:sz w:val="24"/>
          <w:szCs w:val="24"/>
        </w:rPr>
        <w:t xml:space="preserve">. Producers also shall not </w:t>
      </w:r>
      <w:r w:rsidR="0083549D" w:rsidRPr="00AF1E87">
        <w:rPr>
          <w:rFonts w:ascii="Calibri" w:hAnsi="Calibri" w:cs="Calibri"/>
          <w:sz w:val="24"/>
          <w:szCs w:val="24"/>
        </w:rPr>
        <w:t xml:space="preserve">agree to </w:t>
      </w:r>
      <w:r w:rsidR="00E136B9" w:rsidRPr="00AF1E87">
        <w:rPr>
          <w:rFonts w:ascii="Calibri" w:hAnsi="Calibri" w:cs="Calibri"/>
          <w:sz w:val="24"/>
          <w:szCs w:val="24"/>
        </w:rPr>
        <w:t xml:space="preserve">supply, expose, or posses a </w:t>
      </w:r>
      <w:r w:rsidR="008926A2" w:rsidRPr="00AF1E87">
        <w:rPr>
          <w:rFonts w:ascii="Calibri" w:hAnsi="Calibri" w:cs="Calibri"/>
          <w:sz w:val="24"/>
          <w:szCs w:val="24"/>
        </w:rPr>
        <w:t>product that is not safe</w:t>
      </w:r>
      <w:sdt>
        <w:sdtPr>
          <w:rPr>
            <w:rFonts w:ascii="Calibri" w:hAnsi="Calibri" w:cs="Calibri"/>
            <w:sz w:val="24"/>
            <w:szCs w:val="24"/>
          </w:rPr>
          <w:id w:val="1393388409"/>
          <w:citation/>
        </w:sdtPr>
        <w:sdtEndPr/>
        <w:sdtContent>
          <w:r w:rsidR="0071249F" w:rsidRPr="00AF1E87">
            <w:rPr>
              <w:rFonts w:ascii="Calibri" w:hAnsi="Calibri" w:cs="Calibri"/>
              <w:sz w:val="24"/>
              <w:szCs w:val="24"/>
            </w:rPr>
            <w:fldChar w:fldCharType="begin"/>
          </w:r>
          <w:r w:rsidR="0071249F" w:rsidRPr="00AF1E87">
            <w:rPr>
              <w:rFonts w:ascii="Calibri" w:hAnsi="Calibri" w:cs="Calibri"/>
              <w:sz w:val="24"/>
              <w:szCs w:val="24"/>
            </w:rPr>
            <w:instrText xml:space="preserve"> CITATION The05 \l 2057 </w:instrText>
          </w:r>
          <w:r w:rsidR="0071249F" w:rsidRPr="00AF1E87">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(The National Archives, 2005)</w:t>
          </w:r>
          <w:r w:rsidR="0071249F" w:rsidRPr="00AF1E87">
            <w:rPr>
              <w:rFonts w:ascii="Calibri" w:hAnsi="Calibri" w:cs="Calibri"/>
              <w:sz w:val="24"/>
              <w:szCs w:val="24"/>
            </w:rPr>
            <w:fldChar w:fldCharType="end"/>
          </w:r>
        </w:sdtContent>
      </w:sdt>
      <w:r w:rsidR="008926A2" w:rsidRPr="00AF1E87">
        <w:rPr>
          <w:rFonts w:ascii="Calibri" w:hAnsi="Calibri" w:cs="Calibri"/>
          <w:sz w:val="24"/>
          <w:szCs w:val="24"/>
        </w:rPr>
        <w:t>.</w:t>
      </w:r>
      <w:r w:rsidR="001C64FE" w:rsidRPr="00AF1E87">
        <w:rPr>
          <w:rFonts w:ascii="Calibri" w:hAnsi="Calibri" w:cs="Calibri"/>
          <w:sz w:val="24"/>
          <w:szCs w:val="24"/>
        </w:rPr>
        <w:t xml:space="preserve"> </w:t>
      </w:r>
      <w:r w:rsidR="0071249F" w:rsidRPr="00AF1E87">
        <w:rPr>
          <w:rFonts w:ascii="Calibri" w:hAnsi="Calibri" w:cs="Calibri"/>
          <w:sz w:val="24"/>
          <w:szCs w:val="24"/>
        </w:rPr>
        <w:t>This applies to Sony</w:t>
      </w:r>
      <w:r w:rsidR="00D4305B" w:rsidRPr="00AF1E87">
        <w:rPr>
          <w:rFonts w:ascii="Calibri" w:hAnsi="Calibri" w:cs="Calibri"/>
          <w:sz w:val="24"/>
          <w:szCs w:val="24"/>
        </w:rPr>
        <w:t xml:space="preserve"> as it places the responsibility onto Sony to ensure all products supplied are in a safe manner. </w:t>
      </w:r>
      <w:r w:rsidR="001E3DA7" w:rsidRPr="00AF1E87">
        <w:rPr>
          <w:rFonts w:ascii="Calibri" w:hAnsi="Calibri" w:cs="Calibri"/>
          <w:sz w:val="24"/>
          <w:szCs w:val="24"/>
        </w:rPr>
        <w:t xml:space="preserve">This is checked at various points throughout the production process, notably through regular inspection points </w:t>
      </w:r>
      <w:r w:rsidR="00AB7F43" w:rsidRPr="00AF1E87">
        <w:rPr>
          <w:rFonts w:ascii="Calibri" w:hAnsi="Calibri" w:cs="Calibri"/>
          <w:sz w:val="24"/>
          <w:szCs w:val="24"/>
        </w:rPr>
        <w:t xml:space="preserve">such as incoming parts quality inspection to ensure no faulty parts are </w:t>
      </w:r>
      <w:r w:rsidR="00B558A8" w:rsidRPr="00AF1E87">
        <w:rPr>
          <w:rFonts w:ascii="Calibri" w:hAnsi="Calibri" w:cs="Calibri"/>
          <w:sz w:val="24"/>
          <w:szCs w:val="24"/>
        </w:rPr>
        <w:t>used throughout the</w:t>
      </w:r>
      <w:r w:rsidR="00F02256">
        <w:rPr>
          <w:rFonts w:ascii="Calibri" w:hAnsi="Calibri" w:cs="Calibri"/>
          <w:sz w:val="24"/>
          <w:szCs w:val="24"/>
        </w:rPr>
        <w:t xml:space="preserve"> </w:t>
      </w:r>
      <w:r w:rsidR="00B558A8" w:rsidRPr="00AF1E87">
        <w:rPr>
          <w:rFonts w:ascii="Calibri" w:hAnsi="Calibri" w:cs="Calibri"/>
          <w:sz w:val="24"/>
          <w:szCs w:val="24"/>
        </w:rPr>
        <w:t>process</w:t>
      </w:r>
      <w:r w:rsidR="00AB7F43" w:rsidRPr="00AF1E87">
        <w:rPr>
          <w:rFonts w:ascii="Calibri" w:hAnsi="Calibri" w:cs="Calibri"/>
          <w:sz w:val="24"/>
          <w:szCs w:val="24"/>
        </w:rPr>
        <w:t xml:space="preserve">, and also finished goods inspection, where </w:t>
      </w:r>
      <w:r w:rsidR="00F02256">
        <w:rPr>
          <w:rFonts w:ascii="Calibri" w:hAnsi="Calibri" w:cs="Calibri"/>
          <w:sz w:val="24"/>
          <w:szCs w:val="24"/>
        </w:rPr>
        <w:t>the finished uni</w:t>
      </w:r>
      <w:r w:rsidR="00AB7F43" w:rsidRPr="00AF1E87">
        <w:rPr>
          <w:rFonts w:ascii="Calibri" w:hAnsi="Calibri" w:cs="Calibri"/>
          <w:sz w:val="24"/>
          <w:szCs w:val="24"/>
        </w:rPr>
        <w:t xml:space="preserve">t is checked </w:t>
      </w:r>
      <w:r w:rsidR="004F6E84" w:rsidRPr="00AF1E87">
        <w:rPr>
          <w:rFonts w:ascii="Calibri" w:hAnsi="Calibri" w:cs="Calibri"/>
          <w:sz w:val="24"/>
          <w:szCs w:val="24"/>
        </w:rPr>
        <w:t>by</w:t>
      </w:r>
      <w:r w:rsidR="00AB7F43" w:rsidRPr="00AF1E87">
        <w:rPr>
          <w:rFonts w:ascii="Calibri" w:hAnsi="Calibri" w:cs="Calibri"/>
          <w:sz w:val="24"/>
          <w:szCs w:val="24"/>
        </w:rPr>
        <w:t xml:space="preserve"> an experienced </w:t>
      </w:r>
      <w:r w:rsidR="00232E60" w:rsidRPr="00AF1E87">
        <w:rPr>
          <w:rFonts w:ascii="Calibri" w:hAnsi="Calibri" w:cs="Calibri"/>
          <w:sz w:val="24"/>
          <w:szCs w:val="24"/>
        </w:rPr>
        <w:t xml:space="preserve">technician team to ensure the product </w:t>
      </w:r>
      <w:r w:rsidR="004F6E84" w:rsidRPr="00AF1E87">
        <w:rPr>
          <w:rFonts w:ascii="Calibri" w:hAnsi="Calibri" w:cs="Calibri"/>
          <w:sz w:val="24"/>
          <w:szCs w:val="24"/>
        </w:rPr>
        <w:t xml:space="preserve">is working and </w:t>
      </w:r>
      <w:r w:rsidR="00232E60" w:rsidRPr="00AF1E87">
        <w:rPr>
          <w:rFonts w:ascii="Calibri" w:hAnsi="Calibri" w:cs="Calibri"/>
          <w:sz w:val="24"/>
          <w:szCs w:val="24"/>
        </w:rPr>
        <w:t xml:space="preserve">complies with all safety regulations. </w:t>
      </w:r>
      <w:r w:rsidR="00505C06" w:rsidRPr="00AF1E87">
        <w:rPr>
          <w:rFonts w:ascii="Calibri" w:hAnsi="Calibri" w:cs="Calibri"/>
          <w:sz w:val="24"/>
          <w:szCs w:val="24"/>
        </w:rPr>
        <w:t xml:space="preserve">Sony also carefully considers the reliability and safety of the suppliers in use for all parts, but especially product safety critical items such as batteries. They do this </w:t>
      </w:r>
      <w:r w:rsidR="001B2CF8" w:rsidRPr="00AF1E87">
        <w:rPr>
          <w:rFonts w:ascii="Calibri" w:hAnsi="Calibri" w:cs="Calibri"/>
          <w:sz w:val="24"/>
          <w:szCs w:val="24"/>
        </w:rPr>
        <w:t xml:space="preserve">through </w:t>
      </w:r>
      <w:r w:rsidR="000B7437" w:rsidRPr="00AF1E87">
        <w:rPr>
          <w:rFonts w:ascii="Calibri" w:hAnsi="Calibri" w:cs="Calibri"/>
          <w:sz w:val="24"/>
          <w:szCs w:val="24"/>
        </w:rPr>
        <w:t>conducting rigorous and regular checks with suppliers, and only continuing work with suppliers that meet the r</w:t>
      </w:r>
      <w:r w:rsidR="000B32EF" w:rsidRPr="00AF1E87">
        <w:rPr>
          <w:rFonts w:ascii="Calibri" w:hAnsi="Calibri" w:cs="Calibri"/>
          <w:sz w:val="24"/>
          <w:szCs w:val="24"/>
        </w:rPr>
        <w:t>egulatory requirements</w:t>
      </w:r>
      <w:sdt>
        <w:sdtPr>
          <w:rPr>
            <w:rFonts w:ascii="Calibri" w:hAnsi="Calibri" w:cs="Calibri"/>
            <w:sz w:val="24"/>
            <w:szCs w:val="24"/>
          </w:rPr>
          <w:id w:val="-669094697"/>
          <w:citation/>
        </w:sdtPr>
        <w:sdtEndPr/>
        <w:sdtContent>
          <w:r w:rsidR="00CC693C" w:rsidRPr="00AF1E87">
            <w:rPr>
              <w:rFonts w:ascii="Calibri" w:hAnsi="Calibri" w:cs="Calibri"/>
              <w:sz w:val="24"/>
              <w:szCs w:val="24"/>
            </w:rPr>
            <w:fldChar w:fldCharType="begin"/>
          </w:r>
          <w:r w:rsidR="00CC693C" w:rsidRPr="00AF1E87">
            <w:rPr>
              <w:rFonts w:ascii="Calibri" w:hAnsi="Calibri" w:cs="Calibri"/>
              <w:sz w:val="24"/>
              <w:szCs w:val="24"/>
            </w:rPr>
            <w:instrText xml:space="preserve"> CITATION SON24 \l 2057 </w:instrText>
          </w:r>
          <w:r w:rsidR="00CC693C" w:rsidRPr="00AF1E87">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(SONY, 2024)</w:t>
          </w:r>
          <w:r w:rsidR="00CC693C" w:rsidRPr="00AF1E87">
            <w:rPr>
              <w:rFonts w:ascii="Calibri" w:hAnsi="Calibri" w:cs="Calibri"/>
              <w:sz w:val="24"/>
              <w:szCs w:val="24"/>
            </w:rPr>
            <w:fldChar w:fldCharType="end"/>
          </w:r>
        </w:sdtContent>
      </w:sdt>
      <w:r w:rsidR="001C64FE" w:rsidRPr="00AF1E87">
        <w:rPr>
          <w:rFonts w:ascii="Calibri" w:hAnsi="Calibri" w:cs="Calibri"/>
          <w:sz w:val="24"/>
          <w:szCs w:val="24"/>
        </w:rPr>
        <w:t xml:space="preserve">. </w:t>
      </w:r>
    </w:p>
    <w:p w14:paraId="78C2A46E" w14:textId="3EF845B1" w:rsidR="00155BD4" w:rsidRPr="00AF1E87" w:rsidRDefault="00C310DA" w:rsidP="00AF1E87">
      <w:pPr>
        <w:spacing w:after="160" w:line="360" w:lineRule="auto"/>
        <w:jc w:val="both"/>
        <w:rPr>
          <w:rFonts w:ascii="Calibri" w:hAnsi="Calibri" w:cs="Calibri"/>
          <w:sz w:val="24"/>
          <w:szCs w:val="24"/>
        </w:rPr>
      </w:pPr>
      <w:r w:rsidRPr="00AF1E87">
        <w:rPr>
          <w:rFonts w:ascii="Calibri" w:hAnsi="Calibri" w:cs="Calibri"/>
          <w:sz w:val="24"/>
          <w:szCs w:val="24"/>
        </w:rPr>
        <w:t xml:space="preserve">Section 7 </w:t>
      </w:r>
      <w:r w:rsidR="001D6ABB" w:rsidRPr="00AF1E87">
        <w:rPr>
          <w:rFonts w:ascii="Calibri" w:hAnsi="Calibri" w:cs="Calibri"/>
          <w:sz w:val="24"/>
          <w:szCs w:val="24"/>
        </w:rPr>
        <w:t>put</w:t>
      </w:r>
      <w:r w:rsidRPr="00AF1E87">
        <w:rPr>
          <w:rFonts w:ascii="Calibri" w:hAnsi="Calibri" w:cs="Calibri"/>
          <w:sz w:val="24"/>
          <w:szCs w:val="24"/>
        </w:rPr>
        <w:t>s further</w:t>
      </w:r>
      <w:r w:rsidR="00DB083C" w:rsidRPr="00AF1E87">
        <w:rPr>
          <w:rFonts w:ascii="Calibri" w:hAnsi="Calibri" w:cs="Calibri"/>
          <w:sz w:val="24"/>
          <w:szCs w:val="24"/>
        </w:rPr>
        <w:t xml:space="preserve"> obligations on</w:t>
      </w:r>
      <w:r w:rsidR="001D6ABB" w:rsidRPr="00AF1E87">
        <w:rPr>
          <w:rFonts w:ascii="Calibri" w:hAnsi="Calibri" w:cs="Calibri"/>
          <w:sz w:val="24"/>
          <w:szCs w:val="24"/>
        </w:rPr>
        <w:t>to</w:t>
      </w:r>
      <w:r w:rsidR="00DB083C" w:rsidRPr="00AF1E87">
        <w:rPr>
          <w:rFonts w:ascii="Calibri" w:hAnsi="Calibri" w:cs="Calibri"/>
          <w:sz w:val="24"/>
          <w:szCs w:val="24"/>
        </w:rPr>
        <w:t xml:space="preserve"> the producers to provide consumers with information</w:t>
      </w:r>
      <w:r w:rsidR="007C010C" w:rsidRPr="00AF1E87">
        <w:rPr>
          <w:rFonts w:ascii="Calibri" w:hAnsi="Calibri" w:cs="Calibri"/>
          <w:sz w:val="24"/>
          <w:szCs w:val="24"/>
        </w:rPr>
        <w:t xml:space="preserve"> to enable them to assess </w:t>
      </w:r>
      <w:r w:rsidR="00155BD4" w:rsidRPr="00AF1E87">
        <w:rPr>
          <w:rFonts w:ascii="Calibri" w:hAnsi="Calibri" w:cs="Calibri"/>
          <w:sz w:val="24"/>
          <w:szCs w:val="24"/>
        </w:rPr>
        <w:t xml:space="preserve">and take precautions against any risks inherent in a product where such risks are not </w:t>
      </w:r>
      <w:r w:rsidR="0046461B" w:rsidRPr="00AF1E87">
        <w:rPr>
          <w:rFonts w:ascii="Calibri" w:hAnsi="Calibri" w:cs="Calibri"/>
          <w:sz w:val="24"/>
          <w:szCs w:val="24"/>
        </w:rPr>
        <w:t>obvious without warnings</w:t>
      </w:r>
      <w:r w:rsidR="00A12D88" w:rsidRPr="00AF1E87">
        <w:rPr>
          <w:rFonts w:ascii="Calibri" w:hAnsi="Calibri" w:cs="Calibri"/>
          <w:sz w:val="24"/>
          <w:szCs w:val="24"/>
        </w:rPr>
        <w:t xml:space="preserve">. The producer must </w:t>
      </w:r>
      <w:r w:rsidR="006C2E9A" w:rsidRPr="00AF1E87">
        <w:rPr>
          <w:rFonts w:ascii="Calibri" w:hAnsi="Calibri" w:cs="Calibri"/>
          <w:sz w:val="24"/>
          <w:szCs w:val="24"/>
        </w:rPr>
        <w:t xml:space="preserve">be informed of the risks that the product may possess and take appropriate action </w:t>
      </w:r>
      <w:r w:rsidR="001119D2" w:rsidRPr="00AF1E87">
        <w:rPr>
          <w:rFonts w:ascii="Calibri" w:hAnsi="Calibri" w:cs="Calibri"/>
          <w:sz w:val="24"/>
          <w:szCs w:val="24"/>
        </w:rPr>
        <w:t xml:space="preserve">to avoid such risks. </w:t>
      </w:r>
      <w:r w:rsidR="00C27463" w:rsidRPr="00AF1E87">
        <w:rPr>
          <w:rFonts w:ascii="Calibri" w:hAnsi="Calibri" w:cs="Calibri"/>
          <w:sz w:val="24"/>
          <w:szCs w:val="24"/>
        </w:rPr>
        <w:t xml:space="preserve">However, the presence of warnings </w:t>
      </w:r>
      <w:r w:rsidR="000F407A" w:rsidRPr="00AF1E87">
        <w:rPr>
          <w:rFonts w:ascii="Calibri" w:hAnsi="Calibri" w:cs="Calibri"/>
          <w:sz w:val="24"/>
          <w:szCs w:val="24"/>
        </w:rPr>
        <w:t>does not exempt the producer from</w:t>
      </w:r>
      <w:r w:rsidR="00A60680" w:rsidRPr="00AF1E87">
        <w:rPr>
          <w:rFonts w:ascii="Calibri" w:hAnsi="Calibri" w:cs="Calibri"/>
          <w:sz w:val="24"/>
          <w:szCs w:val="24"/>
        </w:rPr>
        <w:t xml:space="preserve"> complying with other requirements of the regulations</w:t>
      </w:r>
      <w:r w:rsidR="00C27463" w:rsidRPr="00AF1E87">
        <w:rPr>
          <w:rFonts w:ascii="Calibri" w:hAnsi="Calibri" w:cs="Calibri"/>
          <w:sz w:val="24"/>
          <w:szCs w:val="24"/>
        </w:rPr>
        <w:t xml:space="preserve"> </w:t>
      </w:r>
      <w:sdt>
        <w:sdtPr>
          <w:rPr>
            <w:rFonts w:ascii="Calibri" w:hAnsi="Calibri" w:cs="Calibri"/>
            <w:sz w:val="24"/>
            <w:szCs w:val="24"/>
          </w:rPr>
          <w:id w:val="-1788888789"/>
          <w:citation/>
        </w:sdtPr>
        <w:sdtEndPr/>
        <w:sdtContent>
          <w:r w:rsidR="001F37A7" w:rsidRPr="00AF1E87">
            <w:rPr>
              <w:rFonts w:ascii="Calibri" w:hAnsi="Calibri" w:cs="Calibri"/>
              <w:sz w:val="24"/>
              <w:szCs w:val="24"/>
            </w:rPr>
            <w:fldChar w:fldCharType="begin"/>
          </w:r>
          <w:r w:rsidR="001F37A7" w:rsidRPr="00AF1E87">
            <w:rPr>
              <w:rFonts w:ascii="Calibri" w:hAnsi="Calibri" w:cs="Calibri"/>
              <w:sz w:val="24"/>
              <w:szCs w:val="24"/>
            </w:rPr>
            <w:instrText xml:space="preserve"> CITATION The05 \l 2057 </w:instrText>
          </w:r>
          <w:r w:rsidR="001F37A7" w:rsidRPr="00AF1E87">
            <w:rPr>
              <w:rFonts w:ascii="Calibri" w:hAnsi="Calibri" w:cs="Calibri"/>
              <w:sz w:val="24"/>
              <w:szCs w:val="24"/>
            </w:rPr>
            <w:fldChar w:fldCharType="separate"/>
          </w:r>
          <w:r w:rsidR="00BC7ECA" w:rsidRPr="00BC7ECA">
            <w:rPr>
              <w:rFonts w:ascii="Calibri" w:hAnsi="Calibri" w:cs="Calibri"/>
              <w:noProof/>
              <w:sz w:val="24"/>
              <w:szCs w:val="24"/>
            </w:rPr>
            <w:t>(The National Archives, 2005)</w:t>
          </w:r>
          <w:r w:rsidR="001F37A7" w:rsidRPr="00AF1E87">
            <w:rPr>
              <w:rFonts w:ascii="Calibri" w:hAnsi="Calibri" w:cs="Calibri"/>
              <w:sz w:val="24"/>
              <w:szCs w:val="24"/>
            </w:rPr>
            <w:fldChar w:fldCharType="end"/>
          </w:r>
        </w:sdtContent>
      </w:sdt>
      <w:r w:rsidR="00322053" w:rsidRPr="00AF1E87">
        <w:rPr>
          <w:rFonts w:ascii="Calibri" w:hAnsi="Calibri" w:cs="Calibri"/>
          <w:sz w:val="24"/>
          <w:szCs w:val="24"/>
        </w:rPr>
        <w:t xml:space="preserve">. </w:t>
      </w:r>
      <w:r w:rsidR="005B61DD" w:rsidRPr="00AF1E87">
        <w:rPr>
          <w:rFonts w:ascii="Calibri" w:hAnsi="Calibri" w:cs="Calibri"/>
          <w:sz w:val="24"/>
          <w:szCs w:val="24"/>
        </w:rPr>
        <w:t xml:space="preserve">Section 7 applies to Sony through </w:t>
      </w:r>
      <w:r w:rsidR="0082600A" w:rsidRPr="00AF1E87">
        <w:rPr>
          <w:rFonts w:ascii="Calibri" w:hAnsi="Calibri" w:cs="Calibri"/>
          <w:sz w:val="24"/>
          <w:szCs w:val="24"/>
        </w:rPr>
        <w:t xml:space="preserve">requiring Sony to </w:t>
      </w:r>
      <w:r w:rsidR="00545DEB" w:rsidRPr="00AF1E87">
        <w:rPr>
          <w:rFonts w:ascii="Calibri" w:hAnsi="Calibri" w:cs="Calibri"/>
          <w:sz w:val="24"/>
          <w:szCs w:val="24"/>
        </w:rPr>
        <w:t>provide adequate information</w:t>
      </w:r>
      <w:r w:rsidR="00D54956" w:rsidRPr="00AF1E87">
        <w:rPr>
          <w:rFonts w:ascii="Calibri" w:hAnsi="Calibri" w:cs="Calibri"/>
          <w:sz w:val="24"/>
          <w:szCs w:val="24"/>
        </w:rPr>
        <w:t xml:space="preserve"> on the product and any risks </w:t>
      </w:r>
      <w:r w:rsidR="00E73288" w:rsidRPr="00AF1E87">
        <w:rPr>
          <w:rFonts w:ascii="Calibri" w:hAnsi="Calibri" w:cs="Calibri"/>
          <w:sz w:val="24"/>
          <w:szCs w:val="24"/>
        </w:rPr>
        <w:t>that it may involve</w:t>
      </w:r>
      <w:r w:rsidR="004306F0" w:rsidRPr="00AF1E87">
        <w:rPr>
          <w:rFonts w:ascii="Calibri" w:hAnsi="Calibri" w:cs="Calibri"/>
          <w:sz w:val="24"/>
          <w:szCs w:val="24"/>
        </w:rPr>
        <w:t>. This is evident in Sony products through instructions on how to use</w:t>
      </w:r>
      <w:r w:rsidR="00AA1C4C" w:rsidRPr="00AF1E87">
        <w:rPr>
          <w:rFonts w:ascii="Calibri" w:hAnsi="Calibri" w:cs="Calibri"/>
          <w:sz w:val="24"/>
          <w:szCs w:val="24"/>
        </w:rPr>
        <w:t xml:space="preserve"> properly, and a list of cautions and warnings that come with every product</w:t>
      </w:r>
      <w:r w:rsidR="00EF1316" w:rsidRPr="00AF1E87">
        <w:rPr>
          <w:rFonts w:ascii="Calibri" w:hAnsi="Calibri" w:cs="Calibri"/>
          <w:sz w:val="24"/>
          <w:szCs w:val="24"/>
        </w:rPr>
        <w:t xml:space="preserve">, an example </w:t>
      </w:r>
      <w:r w:rsidR="006A680E" w:rsidRPr="00AF1E87">
        <w:rPr>
          <w:rFonts w:ascii="Calibri" w:hAnsi="Calibri" w:cs="Calibri"/>
          <w:sz w:val="24"/>
          <w:szCs w:val="24"/>
        </w:rPr>
        <w:t>is</w:t>
      </w:r>
      <w:r w:rsidR="00EC11D7" w:rsidRPr="00AF1E87">
        <w:rPr>
          <w:rFonts w:ascii="Calibri" w:hAnsi="Calibri" w:cs="Calibri"/>
          <w:sz w:val="24"/>
          <w:szCs w:val="24"/>
        </w:rPr>
        <w:t xml:space="preserve"> </w:t>
      </w:r>
      <w:r w:rsidR="00EF1316" w:rsidRPr="00AF1E87">
        <w:rPr>
          <w:rFonts w:ascii="Calibri" w:hAnsi="Calibri" w:cs="Calibri"/>
          <w:sz w:val="24"/>
          <w:szCs w:val="24"/>
        </w:rPr>
        <w:t>seen in Figure 1.</w:t>
      </w:r>
    </w:p>
    <w:p w14:paraId="5E0E33CD" w14:textId="63B31E3D" w:rsidR="000E7475" w:rsidRDefault="000E7475" w:rsidP="000E7475">
      <w:pPr>
        <w:pStyle w:val="Caption"/>
        <w:keepNext/>
        <w:jc w:val="center"/>
      </w:pPr>
      <w:bookmarkStart w:id="3" w:name="_Toc200008455"/>
      <w:r>
        <w:lastRenderedPageBreak/>
        <w:t xml:space="preserve">Figure </w:t>
      </w:r>
      <w:fldSimple w:instr=" SEQ Figure \* ARABIC ">
        <w:r>
          <w:rPr>
            <w:noProof/>
          </w:rPr>
          <w:t>1</w:t>
        </w:r>
      </w:fldSimple>
      <w:r>
        <w:t>: SONY Product Safety Warning (SONY, 2016)</w:t>
      </w:r>
      <w:bookmarkEnd w:id="3"/>
    </w:p>
    <w:p w14:paraId="2889D7A2" w14:textId="5FC7FD85" w:rsidR="00807FB3" w:rsidRPr="00AF1E87" w:rsidRDefault="00807FB3" w:rsidP="00AF1E87">
      <w:pPr>
        <w:spacing w:after="160" w:line="360" w:lineRule="auto"/>
        <w:jc w:val="both"/>
        <w:rPr>
          <w:rFonts w:ascii="Calibri" w:hAnsi="Calibri" w:cs="Calibri"/>
          <w:sz w:val="24"/>
          <w:szCs w:val="24"/>
        </w:rPr>
      </w:pPr>
      <w:r w:rsidRPr="00AF1E87">
        <w:rPr>
          <w:rFonts w:ascii="Calibri" w:hAnsi="Calibri" w:cs="Calibri"/>
          <w:noProof/>
          <w:sz w:val="24"/>
          <w:szCs w:val="24"/>
        </w:rPr>
        <w:drawing>
          <wp:inline distT="0" distB="0" distL="0" distR="0" wp14:anchorId="1655B6A1" wp14:editId="267B6A4B">
            <wp:extent cx="4610500" cy="2956816"/>
            <wp:effectExtent l="19050" t="19050" r="19050" b="15240"/>
            <wp:docPr id="212033620" name="Picture 1" descr="A close-up of a instru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3620" name="Picture 1" descr="A close-up of a instructions&#10;&#10;AI-generated content may be incorrect."/>
                    <pic:cNvPicPr/>
                  </pic:nvPicPr>
                  <pic:blipFill>
                    <a:blip r:embed="rId9"/>
                    <a:stretch>
                      <a:fillRect/>
                    </a:stretch>
                  </pic:blipFill>
                  <pic:spPr>
                    <a:xfrm>
                      <a:off x="0" y="0"/>
                      <a:ext cx="4610500" cy="2956816"/>
                    </a:xfrm>
                    <a:prstGeom prst="rect">
                      <a:avLst/>
                    </a:prstGeom>
                    <a:ln>
                      <a:solidFill>
                        <a:schemeClr val="tx1"/>
                      </a:solidFill>
                    </a:ln>
                  </pic:spPr>
                </pic:pic>
              </a:graphicData>
            </a:graphic>
          </wp:inline>
        </w:drawing>
      </w:r>
    </w:p>
    <w:p w14:paraId="4B93087E" w14:textId="2C762685" w:rsidR="004C5BF4" w:rsidRPr="00AF1E87" w:rsidRDefault="009C0116" w:rsidP="00AF1E87">
      <w:pPr>
        <w:spacing w:line="360" w:lineRule="auto"/>
        <w:jc w:val="both"/>
        <w:rPr>
          <w:rFonts w:ascii="Calibri" w:hAnsi="Calibri" w:cs="Calibri"/>
          <w:sz w:val="24"/>
          <w:szCs w:val="24"/>
        </w:rPr>
      </w:pPr>
      <w:r w:rsidRPr="00AF1E87">
        <w:rPr>
          <w:rFonts w:ascii="Calibri" w:hAnsi="Calibri" w:cs="Calibri"/>
          <w:sz w:val="24"/>
          <w:szCs w:val="24"/>
        </w:rPr>
        <w:t>Traceability</w:t>
      </w:r>
      <w:r w:rsidR="004C5BF4" w:rsidRPr="00AF1E87">
        <w:rPr>
          <w:rFonts w:ascii="Calibri" w:hAnsi="Calibri" w:cs="Calibri"/>
          <w:sz w:val="24"/>
          <w:szCs w:val="24"/>
        </w:rPr>
        <w:t xml:space="preserve"> within Sony is also heavily linked to section 7 of the </w:t>
      </w:r>
      <w:r w:rsidRPr="00AF1E87">
        <w:rPr>
          <w:rFonts w:ascii="Calibri" w:hAnsi="Calibri" w:cs="Calibri"/>
          <w:sz w:val="24"/>
          <w:szCs w:val="24"/>
        </w:rPr>
        <w:t xml:space="preserve">General Product Safety Act 2005, as each </w:t>
      </w:r>
      <w:r w:rsidR="001379B3" w:rsidRPr="00AF1E87">
        <w:rPr>
          <w:rFonts w:ascii="Calibri" w:hAnsi="Calibri" w:cs="Calibri"/>
          <w:sz w:val="24"/>
          <w:szCs w:val="24"/>
        </w:rPr>
        <w:t>product produced is traceable through batch numbers.</w:t>
      </w:r>
      <w:r w:rsidR="00C930FC" w:rsidRPr="00AF1E87">
        <w:rPr>
          <w:rFonts w:ascii="Calibri" w:hAnsi="Calibri" w:cs="Calibri"/>
          <w:sz w:val="24"/>
          <w:szCs w:val="24"/>
        </w:rPr>
        <w:t xml:space="preserve"> This enables Sony to comply with the act as </w:t>
      </w:r>
      <w:r w:rsidR="00E34E0B" w:rsidRPr="00AF1E87">
        <w:rPr>
          <w:rFonts w:ascii="Calibri" w:hAnsi="Calibri" w:cs="Calibri"/>
          <w:sz w:val="24"/>
          <w:szCs w:val="24"/>
        </w:rPr>
        <w:t>if there is ever any need for recalling the products</w:t>
      </w:r>
      <w:r w:rsidR="00B73AB0" w:rsidRPr="00AF1E87">
        <w:rPr>
          <w:rFonts w:ascii="Calibri" w:hAnsi="Calibri" w:cs="Calibri"/>
          <w:sz w:val="24"/>
          <w:szCs w:val="24"/>
        </w:rPr>
        <w:t xml:space="preserve"> they can do so in a more controlled and visible manner. A time Sony had to use this was in 2016 where they had to recall </w:t>
      </w:r>
      <w:r w:rsidR="00247C99" w:rsidRPr="00AF1E87">
        <w:rPr>
          <w:rFonts w:ascii="Calibri" w:hAnsi="Calibri" w:cs="Calibri"/>
          <w:sz w:val="24"/>
          <w:szCs w:val="24"/>
        </w:rPr>
        <w:t xml:space="preserve">computers due to a risk of batteries overheating due to a manufacturing </w:t>
      </w:r>
      <w:r w:rsidR="00D36A20" w:rsidRPr="00AF1E87">
        <w:rPr>
          <w:rFonts w:ascii="Calibri" w:hAnsi="Calibri" w:cs="Calibri"/>
          <w:sz w:val="24"/>
          <w:szCs w:val="24"/>
        </w:rPr>
        <w:t xml:space="preserve">issue – they were able to track affected units through serial numbers </w:t>
      </w:r>
      <w:r w:rsidR="00052891" w:rsidRPr="00AF1E87">
        <w:rPr>
          <w:rFonts w:ascii="Calibri" w:hAnsi="Calibri" w:cs="Calibri"/>
          <w:sz w:val="24"/>
          <w:szCs w:val="24"/>
        </w:rPr>
        <w:t>and communicate to consumers</w:t>
      </w:r>
      <w:sdt>
        <w:sdtPr>
          <w:rPr>
            <w:rFonts w:ascii="Calibri" w:hAnsi="Calibri" w:cs="Calibri"/>
            <w:sz w:val="24"/>
            <w:szCs w:val="24"/>
          </w:rPr>
          <w:id w:val="-2143721810"/>
          <w:citation/>
        </w:sdtPr>
        <w:sdtEndPr/>
        <w:sdtContent>
          <w:r w:rsidR="00052891" w:rsidRPr="00AF1E87">
            <w:rPr>
              <w:rFonts w:ascii="Calibri" w:hAnsi="Calibri" w:cs="Calibri"/>
              <w:sz w:val="24"/>
              <w:szCs w:val="24"/>
            </w:rPr>
            <w:fldChar w:fldCharType="begin"/>
          </w:r>
          <w:r w:rsidR="00052891" w:rsidRPr="00AF1E87">
            <w:rPr>
              <w:rFonts w:ascii="Calibri" w:hAnsi="Calibri" w:cs="Calibri"/>
              <w:sz w:val="24"/>
              <w:szCs w:val="24"/>
            </w:rPr>
            <w:instrText xml:space="preserve"> CITATION SON16 \l 2057 </w:instrText>
          </w:r>
          <w:r w:rsidR="00052891" w:rsidRPr="00AF1E87">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(SONY, 2016)</w:t>
          </w:r>
          <w:r w:rsidR="00052891" w:rsidRPr="00AF1E87">
            <w:rPr>
              <w:rFonts w:ascii="Calibri" w:hAnsi="Calibri" w:cs="Calibri"/>
              <w:sz w:val="24"/>
              <w:szCs w:val="24"/>
            </w:rPr>
            <w:fldChar w:fldCharType="end"/>
          </w:r>
        </w:sdtContent>
      </w:sdt>
      <w:r w:rsidR="00DF59AD" w:rsidRPr="00AF1E87">
        <w:rPr>
          <w:rFonts w:ascii="Calibri" w:hAnsi="Calibri" w:cs="Calibri"/>
          <w:sz w:val="24"/>
          <w:szCs w:val="24"/>
        </w:rPr>
        <w:t>.</w:t>
      </w:r>
    </w:p>
    <w:p w14:paraId="1E8F80D9" w14:textId="56365B81" w:rsidR="004C5BF4" w:rsidRPr="00AF1E87" w:rsidRDefault="00702C42" w:rsidP="00AF1E87">
      <w:pPr>
        <w:spacing w:line="360" w:lineRule="auto"/>
        <w:jc w:val="both"/>
        <w:rPr>
          <w:rFonts w:ascii="Calibri" w:hAnsi="Calibri" w:cs="Calibri"/>
          <w:sz w:val="24"/>
          <w:szCs w:val="24"/>
        </w:rPr>
      </w:pPr>
      <w:r w:rsidRPr="00AF1E87">
        <w:rPr>
          <w:rFonts w:ascii="Calibri" w:hAnsi="Calibri" w:cs="Calibri"/>
          <w:sz w:val="24"/>
          <w:szCs w:val="24"/>
        </w:rPr>
        <w:t xml:space="preserve">In addition to this, the </w:t>
      </w:r>
      <w:r w:rsidR="00F02256">
        <w:rPr>
          <w:rFonts w:ascii="Calibri" w:hAnsi="Calibri" w:cs="Calibri"/>
          <w:sz w:val="24"/>
          <w:szCs w:val="24"/>
        </w:rPr>
        <w:t xml:space="preserve">section 7 </w:t>
      </w:r>
      <w:r w:rsidR="005F79EC" w:rsidRPr="00AF1E87">
        <w:rPr>
          <w:rFonts w:ascii="Calibri" w:hAnsi="Calibri" w:cs="Calibri"/>
          <w:sz w:val="24"/>
          <w:szCs w:val="24"/>
        </w:rPr>
        <w:t xml:space="preserve">has placed a legal responsibility onto Sony to ensure </w:t>
      </w:r>
      <w:r w:rsidRPr="00AF1E87">
        <w:rPr>
          <w:rFonts w:ascii="Calibri" w:hAnsi="Calibri" w:cs="Calibri"/>
          <w:sz w:val="24"/>
          <w:szCs w:val="24"/>
        </w:rPr>
        <w:t>that products and machinery used within the workplace is safe</w:t>
      </w:r>
      <w:r w:rsidR="001B2903" w:rsidRPr="00AF1E87">
        <w:rPr>
          <w:rFonts w:ascii="Calibri" w:hAnsi="Calibri" w:cs="Calibri"/>
          <w:sz w:val="24"/>
          <w:szCs w:val="24"/>
        </w:rPr>
        <w:t xml:space="preserve"> and are not a risk to both employees, and any other visitors onsite.</w:t>
      </w:r>
    </w:p>
    <w:p w14:paraId="243EB4A6" w14:textId="3F391406" w:rsidR="00DA513C" w:rsidRPr="00AF1E87" w:rsidRDefault="00F641E0" w:rsidP="00AF1E87">
      <w:pPr>
        <w:spacing w:line="360" w:lineRule="auto"/>
        <w:jc w:val="both"/>
        <w:rPr>
          <w:rFonts w:ascii="Calibri" w:hAnsi="Calibri" w:cs="Calibri"/>
          <w:b/>
          <w:bCs/>
          <w:sz w:val="24"/>
          <w:szCs w:val="24"/>
        </w:rPr>
      </w:pPr>
      <w:r w:rsidRPr="00AF1E87">
        <w:rPr>
          <w:rFonts w:ascii="Calibri" w:hAnsi="Calibri" w:cs="Calibri"/>
          <w:sz w:val="24"/>
          <w:szCs w:val="24"/>
        </w:rPr>
        <w:t xml:space="preserve">To summarise, </w:t>
      </w:r>
      <w:r w:rsidR="00F00B9C" w:rsidRPr="00AF1E87">
        <w:rPr>
          <w:rFonts w:ascii="Calibri" w:hAnsi="Calibri" w:cs="Calibri"/>
          <w:sz w:val="24"/>
          <w:szCs w:val="24"/>
        </w:rPr>
        <w:t>the General Product Safety Regulations 2005 has increased the obligations o</w:t>
      </w:r>
      <w:r w:rsidR="002C7596">
        <w:rPr>
          <w:rFonts w:ascii="Calibri" w:hAnsi="Calibri" w:cs="Calibri"/>
          <w:sz w:val="24"/>
          <w:szCs w:val="24"/>
        </w:rPr>
        <w:t>n</w:t>
      </w:r>
      <w:r w:rsidR="00F00B9C" w:rsidRPr="00AF1E87">
        <w:rPr>
          <w:rFonts w:ascii="Calibri" w:hAnsi="Calibri" w:cs="Calibri"/>
          <w:sz w:val="24"/>
          <w:szCs w:val="24"/>
        </w:rPr>
        <w:t xml:space="preserve"> producers to </w:t>
      </w:r>
      <w:r w:rsidR="002B51EA" w:rsidRPr="00AF1E87">
        <w:rPr>
          <w:rFonts w:ascii="Calibri" w:hAnsi="Calibri" w:cs="Calibri"/>
          <w:sz w:val="24"/>
          <w:szCs w:val="24"/>
        </w:rPr>
        <w:t xml:space="preserve">ensure only safe products are traded on the market and </w:t>
      </w:r>
      <w:r w:rsidR="008C1A21" w:rsidRPr="00AF1E87">
        <w:rPr>
          <w:rFonts w:ascii="Calibri" w:hAnsi="Calibri" w:cs="Calibri"/>
          <w:sz w:val="24"/>
          <w:szCs w:val="24"/>
        </w:rPr>
        <w:t>ensure consumers are provided with information on any risks the product may have.</w:t>
      </w:r>
      <w:r w:rsidR="00CD6D32" w:rsidRPr="00AF1E87">
        <w:rPr>
          <w:rFonts w:ascii="Calibri" w:hAnsi="Calibri" w:cs="Calibri"/>
          <w:sz w:val="24"/>
          <w:szCs w:val="24"/>
        </w:rPr>
        <w:t xml:space="preserve"> </w:t>
      </w:r>
    </w:p>
    <w:p w14:paraId="1D17E7E7" w14:textId="77777777" w:rsidR="00DA513C" w:rsidRPr="00AF1E87" w:rsidRDefault="00DA513C" w:rsidP="00AF1E87">
      <w:pPr>
        <w:spacing w:after="160" w:line="360" w:lineRule="auto"/>
        <w:jc w:val="both"/>
        <w:rPr>
          <w:rFonts w:ascii="Calibri" w:hAnsi="Calibri" w:cs="Calibri"/>
          <w:b/>
          <w:bCs/>
          <w:sz w:val="24"/>
          <w:szCs w:val="24"/>
        </w:rPr>
      </w:pPr>
      <w:r w:rsidRPr="00AF1E87">
        <w:rPr>
          <w:rFonts w:ascii="Calibri" w:hAnsi="Calibri" w:cs="Calibri"/>
          <w:b/>
          <w:bCs/>
          <w:sz w:val="24"/>
          <w:szCs w:val="24"/>
        </w:rPr>
        <w:br w:type="page"/>
      </w:r>
    </w:p>
    <w:p w14:paraId="32AC1C8B" w14:textId="4027A10D" w:rsidR="00853491" w:rsidRPr="00AF1E87" w:rsidRDefault="000E7475" w:rsidP="000E7475">
      <w:pPr>
        <w:pStyle w:val="Heading1"/>
      </w:pPr>
      <w:bookmarkStart w:id="4" w:name="_Toc200008472"/>
      <w:r>
        <w:lastRenderedPageBreak/>
        <w:t xml:space="preserve">4. </w:t>
      </w:r>
      <w:r w:rsidR="00853491" w:rsidRPr="00AF1E87">
        <w:t>Explain ‘’ The Environmental Protection (Single-use Plastic Products) (Wales) Act 2023’’ and its effect on the workplace/supply chain. [25 Marks]</w:t>
      </w:r>
      <w:bookmarkEnd w:id="4"/>
      <w:r w:rsidR="00853491" w:rsidRPr="00AF1E87">
        <w:t xml:space="preserve"> </w:t>
      </w:r>
    </w:p>
    <w:p w14:paraId="14F50C33" w14:textId="18D94479" w:rsidR="00E13C5A" w:rsidRDefault="005D223B" w:rsidP="008062E0">
      <w:pPr>
        <w:spacing w:line="360" w:lineRule="auto"/>
        <w:jc w:val="both"/>
        <w:rPr>
          <w:rFonts w:ascii="Calibri" w:hAnsi="Calibri" w:cs="Calibri"/>
          <w:sz w:val="24"/>
          <w:szCs w:val="24"/>
        </w:rPr>
      </w:pPr>
      <w:r w:rsidRPr="00AF1E87">
        <w:rPr>
          <w:rFonts w:ascii="Calibri" w:hAnsi="Calibri" w:cs="Calibri"/>
          <w:sz w:val="24"/>
          <w:szCs w:val="24"/>
        </w:rPr>
        <w:t xml:space="preserve">The Environmental Protection </w:t>
      </w:r>
      <w:r w:rsidR="002C7596">
        <w:rPr>
          <w:rFonts w:ascii="Calibri" w:hAnsi="Calibri" w:cs="Calibri"/>
          <w:sz w:val="24"/>
          <w:szCs w:val="24"/>
        </w:rPr>
        <w:t>(Single Use Plastics) A</w:t>
      </w:r>
      <w:r w:rsidRPr="00AF1E87">
        <w:rPr>
          <w:rFonts w:ascii="Calibri" w:hAnsi="Calibri" w:cs="Calibri"/>
          <w:sz w:val="24"/>
          <w:szCs w:val="24"/>
        </w:rPr>
        <w:t xml:space="preserve">ct 2023 </w:t>
      </w:r>
      <w:r w:rsidR="002C7596">
        <w:rPr>
          <w:rFonts w:ascii="Calibri" w:hAnsi="Calibri" w:cs="Calibri"/>
          <w:sz w:val="24"/>
          <w:szCs w:val="24"/>
        </w:rPr>
        <w:t xml:space="preserve">places criminal </w:t>
      </w:r>
      <w:r w:rsidR="008062E0">
        <w:rPr>
          <w:rFonts w:ascii="Calibri" w:hAnsi="Calibri" w:cs="Calibri"/>
          <w:sz w:val="24"/>
          <w:szCs w:val="24"/>
        </w:rPr>
        <w:t>responsibility onto business and organisations to stop the supply of certain single use plastics within Wales</w:t>
      </w:r>
      <w:sdt>
        <w:sdtPr>
          <w:rPr>
            <w:rFonts w:ascii="Calibri" w:hAnsi="Calibri" w:cs="Calibri"/>
            <w:sz w:val="24"/>
            <w:szCs w:val="24"/>
          </w:rPr>
          <w:id w:val="11350990"/>
          <w:citation/>
        </w:sdtPr>
        <w:sdtEndPr/>
        <w:sdtContent>
          <w:r w:rsidR="008062E0">
            <w:rPr>
              <w:rFonts w:ascii="Calibri" w:hAnsi="Calibri" w:cs="Calibri"/>
              <w:sz w:val="24"/>
              <w:szCs w:val="24"/>
            </w:rPr>
            <w:fldChar w:fldCharType="begin"/>
          </w:r>
          <w:r w:rsidR="008062E0">
            <w:rPr>
              <w:rFonts w:ascii="Calibri" w:hAnsi="Calibri" w:cs="Calibri"/>
              <w:sz w:val="24"/>
              <w:szCs w:val="24"/>
            </w:rPr>
            <w:instrText xml:space="preserve"> CITATION Wel23 \l 2057 </w:instrText>
          </w:r>
          <w:r w:rsidR="008062E0">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(Welsh Government, 2023)</w:t>
          </w:r>
          <w:r w:rsidR="008062E0">
            <w:rPr>
              <w:rFonts w:ascii="Calibri" w:hAnsi="Calibri" w:cs="Calibri"/>
              <w:sz w:val="24"/>
              <w:szCs w:val="24"/>
            </w:rPr>
            <w:fldChar w:fldCharType="end"/>
          </w:r>
        </w:sdtContent>
      </w:sdt>
      <w:r w:rsidR="008062E0">
        <w:rPr>
          <w:rFonts w:ascii="Calibri" w:hAnsi="Calibri" w:cs="Calibri"/>
          <w:sz w:val="24"/>
          <w:szCs w:val="24"/>
        </w:rPr>
        <w:t xml:space="preserve">. </w:t>
      </w:r>
      <w:r w:rsidR="00E13C5A">
        <w:rPr>
          <w:rFonts w:ascii="Calibri" w:hAnsi="Calibri" w:cs="Calibri"/>
          <w:sz w:val="24"/>
          <w:szCs w:val="24"/>
        </w:rPr>
        <w:t>This is to reduce the reliance in Wales of single use plastics, as well as reducing the environmental impact. The impact single use plastics can have on the environment is devastating, with around 40% of single use plastics ending up in landfills</w:t>
      </w:r>
      <w:r w:rsidR="004A4CDD">
        <w:rPr>
          <w:rFonts w:ascii="Calibri" w:hAnsi="Calibri" w:cs="Calibri"/>
          <w:sz w:val="24"/>
          <w:szCs w:val="24"/>
        </w:rPr>
        <w:t>, increasing pollution</w:t>
      </w:r>
      <w:sdt>
        <w:sdtPr>
          <w:rPr>
            <w:rFonts w:ascii="Calibri" w:hAnsi="Calibri" w:cs="Calibri"/>
            <w:sz w:val="24"/>
            <w:szCs w:val="24"/>
          </w:rPr>
          <w:id w:val="-2122903910"/>
          <w:citation/>
        </w:sdtPr>
        <w:sdtEndPr/>
        <w:sdtContent>
          <w:r w:rsidR="004A4CDD">
            <w:rPr>
              <w:rFonts w:ascii="Calibri" w:hAnsi="Calibri" w:cs="Calibri"/>
              <w:sz w:val="24"/>
              <w:szCs w:val="24"/>
            </w:rPr>
            <w:fldChar w:fldCharType="begin"/>
          </w:r>
          <w:r w:rsidR="004A4CDD">
            <w:rPr>
              <w:rFonts w:ascii="Calibri" w:hAnsi="Calibri" w:cs="Calibri"/>
              <w:sz w:val="24"/>
              <w:szCs w:val="24"/>
            </w:rPr>
            <w:instrText xml:space="preserve">CITATION Yua21 \l 2057 </w:instrText>
          </w:r>
          <w:r w:rsidR="004A4CDD">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(Chen, et al., 2021)</w:t>
          </w:r>
          <w:r w:rsidR="004A4CDD">
            <w:rPr>
              <w:rFonts w:ascii="Calibri" w:hAnsi="Calibri" w:cs="Calibri"/>
              <w:sz w:val="24"/>
              <w:szCs w:val="24"/>
            </w:rPr>
            <w:fldChar w:fldCharType="end"/>
          </w:r>
        </w:sdtContent>
      </w:sdt>
      <w:r w:rsidR="004A4CDD">
        <w:rPr>
          <w:rFonts w:ascii="Calibri" w:hAnsi="Calibri" w:cs="Calibri"/>
          <w:sz w:val="24"/>
          <w:szCs w:val="24"/>
        </w:rPr>
        <w:t>. One of the aims of this act is to change this and move to a circular economy operation within Wales.</w:t>
      </w:r>
    </w:p>
    <w:p w14:paraId="7FC74C2D" w14:textId="79F066C9" w:rsidR="00853491" w:rsidRDefault="004A4CDD" w:rsidP="008062E0">
      <w:pPr>
        <w:spacing w:line="360" w:lineRule="auto"/>
        <w:jc w:val="both"/>
        <w:rPr>
          <w:rFonts w:ascii="Calibri" w:hAnsi="Calibri" w:cs="Calibri"/>
          <w:sz w:val="24"/>
          <w:szCs w:val="24"/>
        </w:rPr>
      </w:pPr>
      <w:r>
        <w:rPr>
          <w:rFonts w:ascii="Calibri" w:hAnsi="Calibri" w:cs="Calibri"/>
          <w:sz w:val="24"/>
          <w:szCs w:val="24"/>
        </w:rPr>
        <w:t xml:space="preserve">There are two phases to this act, the first phase began in October 2023 and banned certain single use products as seen in Figure </w:t>
      </w:r>
      <w:r w:rsidR="000E7475">
        <w:rPr>
          <w:rFonts w:ascii="Calibri" w:hAnsi="Calibri" w:cs="Calibri"/>
          <w:sz w:val="24"/>
          <w:szCs w:val="24"/>
        </w:rPr>
        <w:t>2</w:t>
      </w:r>
      <w:sdt>
        <w:sdtPr>
          <w:rPr>
            <w:rFonts w:ascii="Calibri" w:hAnsi="Calibri" w:cs="Calibri"/>
            <w:sz w:val="24"/>
            <w:szCs w:val="24"/>
          </w:rPr>
          <w:id w:val="-584459809"/>
          <w:citation/>
        </w:sdtPr>
        <w:sdtEndPr/>
        <w:sdtContent>
          <w:r w:rsidR="000E7475">
            <w:rPr>
              <w:rFonts w:ascii="Calibri" w:hAnsi="Calibri" w:cs="Calibri"/>
              <w:sz w:val="24"/>
              <w:szCs w:val="24"/>
            </w:rPr>
            <w:fldChar w:fldCharType="begin"/>
          </w:r>
          <w:r w:rsidR="000E7475">
            <w:rPr>
              <w:rFonts w:ascii="Calibri" w:hAnsi="Calibri" w:cs="Calibri"/>
              <w:sz w:val="24"/>
              <w:szCs w:val="24"/>
            </w:rPr>
            <w:instrText xml:space="preserve"> CITATION FOR23 \l 2057 </w:instrText>
          </w:r>
          <w:r w:rsidR="000E7475">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(FOR Cardiff Offices, 2023)</w:t>
          </w:r>
          <w:r w:rsidR="000E7475">
            <w:rPr>
              <w:rFonts w:ascii="Calibri" w:hAnsi="Calibri" w:cs="Calibri"/>
              <w:sz w:val="24"/>
              <w:szCs w:val="24"/>
            </w:rPr>
            <w:fldChar w:fldCharType="end"/>
          </w:r>
        </w:sdtContent>
      </w:sdt>
      <w:r>
        <w:rPr>
          <w:rFonts w:ascii="Calibri" w:hAnsi="Calibri" w:cs="Calibri"/>
          <w:sz w:val="24"/>
          <w:szCs w:val="24"/>
        </w:rPr>
        <w:t>. However, t</w:t>
      </w:r>
      <w:r w:rsidR="008062E0">
        <w:rPr>
          <w:rFonts w:ascii="Calibri" w:hAnsi="Calibri" w:cs="Calibri"/>
          <w:sz w:val="24"/>
          <w:szCs w:val="24"/>
        </w:rPr>
        <w:t>here are exemptions to this</w:t>
      </w:r>
      <w:r w:rsidR="005D223B" w:rsidRPr="00AF1E87">
        <w:rPr>
          <w:rFonts w:ascii="Calibri" w:hAnsi="Calibri" w:cs="Calibri"/>
          <w:sz w:val="24"/>
          <w:szCs w:val="24"/>
        </w:rPr>
        <w:t xml:space="preserve"> </w:t>
      </w:r>
      <w:r w:rsidR="008062E0">
        <w:rPr>
          <w:rFonts w:ascii="Calibri" w:hAnsi="Calibri" w:cs="Calibri"/>
          <w:sz w:val="24"/>
          <w:szCs w:val="24"/>
        </w:rPr>
        <w:t xml:space="preserve">such as straws can be supplied to those who declare they need one for health or disability reasons and it does not apply for business-to-business transactions. </w:t>
      </w:r>
    </w:p>
    <w:p w14:paraId="4A266940" w14:textId="3137C7F8" w:rsidR="000E7475" w:rsidRDefault="000E7475" w:rsidP="000E7475">
      <w:pPr>
        <w:pStyle w:val="Caption"/>
        <w:keepNext/>
        <w:jc w:val="center"/>
      </w:pPr>
      <w:bookmarkStart w:id="5" w:name="_Toc200008456"/>
      <w:r>
        <w:t xml:space="preserve">Figure </w:t>
      </w:r>
      <w:fldSimple w:instr=" SEQ Figure \* ARABIC ">
        <w:r>
          <w:rPr>
            <w:noProof/>
          </w:rPr>
          <w:t>2</w:t>
        </w:r>
      </w:fldSimple>
      <w:r>
        <w:t>: Phase 1 Single Use Items Banned (</w:t>
      </w:r>
      <w:r w:rsidRPr="00690DCB">
        <w:t>FOR Cardiff Offices</w:t>
      </w:r>
      <w:r>
        <w:t>,2023)</w:t>
      </w:r>
      <w:bookmarkEnd w:id="5"/>
    </w:p>
    <w:p w14:paraId="431850E0" w14:textId="22671381" w:rsidR="008062E0" w:rsidRDefault="008062E0" w:rsidP="00AF1E87">
      <w:pPr>
        <w:spacing w:line="360" w:lineRule="auto"/>
        <w:jc w:val="both"/>
        <w:rPr>
          <w:rFonts w:ascii="Calibri" w:hAnsi="Calibri" w:cs="Calibri"/>
          <w:sz w:val="24"/>
          <w:szCs w:val="24"/>
        </w:rPr>
      </w:pPr>
      <w:r>
        <w:rPr>
          <w:noProof/>
        </w:rPr>
        <w:drawing>
          <wp:inline distT="0" distB="0" distL="0" distR="0" wp14:anchorId="6763F8C7" wp14:editId="014BDDFD">
            <wp:extent cx="5181600" cy="2952750"/>
            <wp:effectExtent l="0" t="0" r="0" b="0"/>
            <wp:docPr id="105857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1600" cy="2952750"/>
                    </a:xfrm>
                    <a:prstGeom prst="rect">
                      <a:avLst/>
                    </a:prstGeom>
                    <a:noFill/>
                    <a:ln>
                      <a:noFill/>
                    </a:ln>
                  </pic:spPr>
                </pic:pic>
              </a:graphicData>
            </a:graphic>
          </wp:inline>
        </w:drawing>
      </w:r>
    </w:p>
    <w:p w14:paraId="2E4D4C67" w14:textId="7614D90B" w:rsidR="00E13C5A" w:rsidRDefault="008062E0" w:rsidP="00E13C5A">
      <w:pPr>
        <w:tabs>
          <w:tab w:val="num" w:pos="720"/>
        </w:tabs>
        <w:spacing w:line="360" w:lineRule="auto"/>
        <w:jc w:val="both"/>
        <w:rPr>
          <w:rFonts w:ascii="Calibri" w:hAnsi="Calibri" w:cs="Calibri"/>
          <w:sz w:val="24"/>
          <w:szCs w:val="24"/>
        </w:rPr>
      </w:pPr>
      <w:r>
        <w:rPr>
          <w:rFonts w:ascii="Calibri" w:hAnsi="Calibri" w:cs="Calibri"/>
          <w:sz w:val="24"/>
          <w:szCs w:val="24"/>
        </w:rPr>
        <w:t>The second phase of the Act is aimed to be introduced in Spring 2026</w:t>
      </w:r>
      <w:r w:rsidR="00E13C5A">
        <w:rPr>
          <w:rFonts w:ascii="Calibri" w:hAnsi="Calibri" w:cs="Calibri"/>
          <w:sz w:val="24"/>
          <w:szCs w:val="24"/>
        </w:rPr>
        <w:t>, and will further the restrictions to include c</w:t>
      </w:r>
      <w:r w:rsidR="00E13C5A" w:rsidRPr="00E13C5A">
        <w:rPr>
          <w:rFonts w:ascii="Calibri" w:hAnsi="Calibri" w:cs="Calibri"/>
          <w:sz w:val="24"/>
          <w:szCs w:val="24"/>
        </w:rPr>
        <w:t>arrier bags</w:t>
      </w:r>
      <w:r w:rsidR="00E13C5A">
        <w:rPr>
          <w:rFonts w:ascii="Calibri" w:hAnsi="Calibri" w:cs="Calibri"/>
          <w:sz w:val="24"/>
          <w:szCs w:val="24"/>
        </w:rPr>
        <w:t>, p</w:t>
      </w:r>
      <w:r w:rsidR="00E13C5A" w:rsidRPr="00E13C5A">
        <w:rPr>
          <w:rFonts w:ascii="Calibri" w:hAnsi="Calibri" w:cs="Calibri"/>
          <w:sz w:val="24"/>
          <w:szCs w:val="24"/>
        </w:rPr>
        <w:t>olystyrene lids for cups and takeaway food containers</w:t>
      </w:r>
      <w:r w:rsidR="00E13C5A">
        <w:rPr>
          <w:rFonts w:ascii="Calibri" w:hAnsi="Calibri" w:cs="Calibri"/>
          <w:sz w:val="24"/>
          <w:szCs w:val="24"/>
        </w:rPr>
        <w:t>, and o</w:t>
      </w:r>
      <w:r w:rsidR="00E13C5A" w:rsidRPr="00E13C5A">
        <w:rPr>
          <w:rFonts w:ascii="Calibri" w:hAnsi="Calibri" w:cs="Calibri"/>
          <w:sz w:val="24"/>
          <w:szCs w:val="24"/>
        </w:rPr>
        <w:t>xo-degradable plastic products</w:t>
      </w:r>
      <w:sdt>
        <w:sdtPr>
          <w:rPr>
            <w:rFonts w:ascii="Calibri" w:hAnsi="Calibri" w:cs="Calibri"/>
            <w:sz w:val="24"/>
            <w:szCs w:val="24"/>
          </w:rPr>
          <w:id w:val="-1963493713"/>
          <w:citation/>
        </w:sdtPr>
        <w:sdtEndPr/>
        <w:sdtContent>
          <w:r w:rsidR="00E13C5A">
            <w:rPr>
              <w:rFonts w:ascii="Calibri" w:hAnsi="Calibri" w:cs="Calibri"/>
              <w:sz w:val="24"/>
              <w:szCs w:val="24"/>
            </w:rPr>
            <w:fldChar w:fldCharType="begin"/>
          </w:r>
          <w:r w:rsidR="00E13C5A">
            <w:rPr>
              <w:rFonts w:ascii="Calibri" w:hAnsi="Calibri" w:cs="Calibri"/>
              <w:sz w:val="24"/>
              <w:szCs w:val="24"/>
            </w:rPr>
            <w:instrText xml:space="preserve"> CITATION Wel23 \l 2057 </w:instrText>
          </w:r>
          <w:r w:rsidR="00E13C5A">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(Welsh Government, 2023)</w:t>
          </w:r>
          <w:r w:rsidR="00E13C5A">
            <w:rPr>
              <w:rFonts w:ascii="Calibri" w:hAnsi="Calibri" w:cs="Calibri"/>
              <w:sz w:val="24"/>
              <w:szCs w:val="24"/>
            </w:rPr>
            <w:fldChar w:fldCharType="end"/>
          </w:r>
        </w:sdtContent>
      </w:sdt>
      <w:r w:rsidR="00E13C5A" w:rsidRPr="00E13C5A">
        <w:rPr>
          <w:rFonts w:ascii="Calibri" w:hAnsi="Calibri" w:cs="Calibri"/>
          <w:sz w:val="24"/>
          <w:szCs w:val="24"/>
        </w:rPr>
        <w:t>.</w:t>
      </w:r>
      <w:r w:rsidR="00E13C5A">
        <w:rPr>
          <w:rFonts w:ascii="Calibri" w:hAnsi="Calibri" w:cs="Calibri"/>
          <w:sz w:val="24"/>
          <w:szCs w:val="24"/>
        </w:rPr>
        <w:t xml:space="preserve"> Similar, to the first phase of the act, there are some exemptions to this. </w:t>
      </w:r>
    </w:p>
    <w:p w14:paraId="19B0F072" w14:textId="47F37250" w:rsidR="00E13C5A" w:rsidRDefault="002E6327" w:rsidP="00E13C5A">
      <w:pPr>
        <w:tabs>
          <w:tab w:val="num" w:pos="720"/>
        </w:tabs>
        <w:spacing w:line="360" w:lineRule="auto"/>
        <w:jc w:val="both"/>
        <w:rPr>
          <w:rFonts w:ascii="Calibri" w:hAnsi="Calibri" w:cs="Calibri"/>
          <w:sz w:val="24"/>
          <w:szCs w:val="24"/>
        </w:rPr>
      </w:pPr>
      <w:r>
        <w:rPr>
          <w:rFonts w:ascii="Calibri" w:hAnsi="Calibri" w:cs="Calibri"/>
          <w:sz w:val="24"/>
          <w:szCs w:val="24"/>
        </w:rPr>
        <w:lastRenderedPageBreak/>
        <w:t>This Act has already had an impact on business within Sony, for example the cups previously supplied for use by the water fountains in the production hall were previously polystyrene. However, from October 2023 this has changed to now supplying paper cups, with a poster next to all water fountains to encourage people to bring their own re-usable water bottles to work and only use the paper cups as a last resort. In addition to this, the canteen in Sony now uses metal cutlery for dine in users which will then be washed and re-used, with the option of wooden cutlery for a take-out alternative, so no longer use plastic cutlery within Sony.</w:t>
      </w:r>
    </w:p>
    <w:p w14:paraId="639FE8BA" w14:textId="4D9ABD14" w:rsidR="00EF1EA6" w:rsidRDefault="0013777F" w:rsidP="00EF1EA6">
      <w:pPr>
        <w:tabs>
          <w:tab w:val="num" w:pos="720"/>
        </w:tabs>
        <w:spacing w:line="360" w:lineRule="auto"/>
        <w:jc w:val="both"/>
        <w:rPr>
          <w:rFonts w:ascii="Calibri" w:hAnsi="Calibri" w:cs="Calibri"/>
          <w:sz w:val="24"/>
          <w:szCs w:val="24"/>
        </w:rPr>
      </w:pPr>
      <w:r>
        <w:rPr>
          <w:rFonts w:ascii="Calibri" w:hAnsi="Calibri" w:cs="Calibri"/>
          <w:sz w:val="24"/>
          <w:szCs w:val="24"/>
        </w:rPr>
        <w:t>This act will impact supply chains within businesses as i</w:t>
      </w:r>
      <w:r w:rsidR="002E6327">
        <w:rPr>
          <w:rFonts w:ascii="Calibri" w:hAnsi="Calibri" w:cs="Calibri"/>
          <w:sz w:val="24"/>
          <w:szCs w:val="24"/>
        </w:rPr>
        <w:t>n preparation for phase two,</w:t>
      </w:r>
      <w:r>
        <w:rPr>
          <w:rFonts w:ascii="Calibri" w:hAnsi="Calibri" w:cs="Calibri"/>
          <w:sz w:val="24"/>
          <w:szCs w:val="24"/>
        </w:rPr>
        <w:t xml:space="preserve"> businesses must</w:t>
      </w:r>
      <w:r w:rsidR="002E6327">
        <w:rPr>
          <w:rFonts w:ascii="Calibri" w:hAnsi="Calibri" w:cs="Calibri"/>
          <w:sz w:val="24"/>
          <w:szCs w:val="24"/>
        </w:rPr>
        <w:t xml:space="preserve"> </w:t>
      </w:r>
      <w:r w:rsidR="00C02B20">
        <w:rPr>
          <w:rFonts w:ascii="Calibri" w:hAnsi="Calibri" w:cs="Calibri"/>
          <w:sz w:val="24"/>
          <w:szCs w:val="24"/>
        </w:rPr>
        <w:t xml:space="preserve">consider </w:t>
      </w:r>
      <w:r>
        <w:rPr>
          <w:rFonts w:ascii="Calibri" w:hAnsi="Calibri" w:cs="Calibri"/>
          <w:sz w:val="24"/>
          <w:szCs w:val="24"/>
        </w:rPr>
        <w:t>implementing alternative products</w:t>
      </w:r>
      <w:r w:rsidR="00C02B20">
        <w:rPr>
          <w:rFonts w:ascii="Calibri" w:hAnsi="Calibri" w:cs="Calibri"/>
          <w:sz w:val="24"/>
          <w:szCs w:val="24"/>
        </w:rPr>
        <w:t xml:space="preserve"> to ensure the stock levels of the items that are being banned are reduced so that when the ban comes in, they don’t have excess products that they cannot use. Though, if businesses do have excess stock, guidance encourages the business to </w:t>
      </w:r>
      <w:r w:rsidR="00C02B20" w:rsidRPr="00C02B20">
        <w:rPr>
          <w:rFonts w:ascii="Calibri" w:hAnsi="Calibri" w:cs="Calibri"/>
          <w:sz w:val="24"/>
          <w:szCs w:val="24"/>
        </w:rPr>
        <w:t xml:space="preserve">speak to suppliers, </w:t>
      </w:r>
      <w:r w:rsidR="00C02B20">
        <w:rPr>
          <w:rFonts w:ascii="Calibri" w:hAnsi="Calibri" w:cs="Calibri"/>
          <w:sz w:val="24"/>
          <w:szCs w:val="24"/>
        </w:rPr>
        <w:t>the</w:t>
      </w:r>
      <w:r w:rsidR="00C02B20" w:rsidRPr="00C02B20">
        <w:rPr>
          <w:rFonts w:ascii="Calibri" w:hAnsi="Calibri" w:cs="Calibri"/>
          <w:sz w:val="24"/>
          <w:szCs w:val="24"/>
        </w:rPr>
        <w:t xml:space="preserve"> local council or trade association about </w:t>
      </w:r>
      <w:r w:rsidR="00C02B20">
        <w:rPr>
          <w:rFonts w:ascii="Calibri" w:hAnsi="Calibri" w:cs="Calibri"/>
          <w:sz w:val="24"/>
          <w:szCs w:val="24"/>
        </w:rPr>
        <w:t xml:space="preserve">recycling guidance. </w:t>
      </w:r>
      <w:r>
        <w:rPr>
          <w:rFonts w:ascii="Calibri" w:hAnsi="Calibri" w:cs="Calibri"/>
          <w:sz w:val="24"/>
          <w:szCs w:val="24"/>
        </w:rPr>
        <w:t>An example of alternative products businesses can look to implement is in Figure 2</w:t>
      </w:r>
      <w:sdt>
        <w:sdtPr>
          <w:rPr>
            <w:rFonts w:ascii="Calibri" w:hAnsi="Calibri" w:cs="Calibri"/>
            <w:sz w:val="24"/>
            <w:szCs w:val="24"/>
          </w:rPr>
          <w:id w:val="261732658"/>
          <w:citation/>
        </w:sdtPr>
        <w:sdtEndPr/>
        <w:sdtContent>
          <w:r w:rsidR="000E7475">
            <w:rPr>
              <w:rFonts w:ascii="Calibri" w:hAnsi="Calibri" w:cs="Calibri"/>
              <w:sz w:val="24"/>
              <w:szCs w:val="24"/>
            </w:rPr>
            <w:fldChar w:fldCharType="begin"/>
          </w:r>
          <w:r w:rsidR="000E7475">
            <w:rPr>
              <w:rFonts w:ascii="Calibri" w:hAnsi="Calibri" w:cs="Calibri"/>
              <w:sz w:val="24"/>
              <w:szCs w:val="24"/>
            </w:rPr>
            <w:instrText xml:space="preserve"> CITATION Wel231 \l 2057 </w:instrText>
          </w:r>
          <w:r w:rsidR="000E7475">
            <w:rPr>
              <w:rFonts w:ascii="Calibri" w:hAnsi="Calibri" w:cs="Calibri"/>
              <w:sz w:val="24"/>
              <w:szCs w:val="24"/>
            </w:rPr>
            <w:fldChar w:fldCharType="separate"/>
          </w:r>
          <w:r w:rsidR="00BC7ECA">
            <w:rPr>
              <w:rFonts w:ascii="Calibri" w:hAnsi="Calibri" w:cs="Calibri"/>
              <w:noProof/>
              <w:sz w:val="24"/>
              <w:szCs w:val="24"/>
            </w:rPr>
            <w:t xml:space="preserve"> </w:t>
          </w:r>
          <w:r w:rsidR="00BC7ECA" w:rsidRPr="00BC7ECA">
            <w:rPr>
              <w:rFonts w:ascii="Calibri" w:hAnsi="Calibri" w:cs="Calibri"/>
              <w:noProof/>
              <w:sz w:val="24"/>
              <w:szCs w:val="24"/>
            </w:rPr>
            <w:t>(Welsh Government, 2023)</w:t>
          </w:r>
          <w:r w:rsidR="000E7475">
            <w:rPr>
              <w:rFonts w:ascii="Calibri" w:hAnsi="Calibri" w:cs="Calibri"/>
              <w:sz w:val="24"/>
              <w:szCs w:val="24"/>
            </w:rPr>
            <w:fldChar w:fldCharType="end"/>
          </w:r>
        </w:sdtContent>
      </w:sdt>
      <w:r>
        <w:rPr>
          <w:rFonts w:ascii="Calibri" w:hAnsi="Calibri" w:cs="Calibri"/>
          <w:sz w:val="24"/>
          <w:szCs w:val="24"/>
        </w:rPr>
        <w:t xml:space="preserve">. </w:t>
      </w:r>
    </w:p>
    <w:p w14:paraId="580AA509" w14:textId="221BAA08" w:rsidR="000E7475" w:rsidRDefault="000E7475" w:rsidP="000E7475">
      <w:pPr>
        <w:pStyle w:val="Caption"/>
        <w:keepNext/>
        <w:jc w:val="center"/>
      </w:pPr>
      <w:bookmarkStart w:id="6" w:name="_Toc200008457"/>
      <w:r>
        <w:t xml:space="preserve">Figure </w:t>
      </w:r>
      <w:fldSimple w:instr=" SEQ Figure \* ARABIC ">
        <w:r>
          <w:rPr>
            <w:noProof/>
          </w:rPr>
          <w:t>3</w:t>
        </w:r>
      </w:fldSimple>
      <w:r>
        <w:t>: Alternative to Single-Use Plastics (Welsh Goverment, 2023)</w:t>
      </w:r>
      <w:bookmarkEnd w:id="6"/>
    </w:p>
    <w:p w14:paraId="73D27B29" w14:textId="1A6D3F76" w:rsidR="00C02B20" w:rsidRDefault="00EF1EA6" w:rsidP="00C02B20">
      <w:pPr>
        <w:tabs>
          <w:tab w:val="num" w:pos="720"/>
        </w:tabs>
        <w:spacing w:line="360" w:lineRule="auto"/>
        <w:jc w:val="both"/>
      </w:pPr>
      <w:r w:rsidRPr="00EF1EA6">
        <w:rPr>
          <w:noProof/>
        </w:rPr>
        <w:drawing>
          <wp:inline distT="0" distB="0" distL="0" distR="0" wp14:anchorId="6C285CF1" wp14:editId="2DED42FE">
            <wp:extent cx="4556760" cy="3322911"/>
            <wp:effectExtent l="0" t="0" r="0" b="0"/>
            <wp:docPr id="2032196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196189" name=""/>
                    <pic:cNvPicPr/>
                  </pic:nvPicPr>
                  <pic:blipFill>
                    <a:blip r:embed="rId11"/>
                    <a:stretch>
                      <a:fillRect/>
                    </a:stretch>
                  </pic:blipFill>
                  <pic:spPr>
                    <a:xfrm>
                      <a:off x="0" y="0"/>
                      <a:ext cx="4564177" cy="3328320"/>
                    </a:xfrm>
                    <a:prstGeom prst="rect">
                      <a:avLst/>
                    </a:prstGeom>
                  </pic:spPr>
                </pic:pic>
              </a:graphicData>
            </a:graphic>
          </wp:inline>
        </w:drawing>
      </w:r>
    </w:p>
    <w:p w14:paraId="2FCF4E18" w14:textId="423CF7D2" w:rsidR="0013777F" w:rsidRPr="000E7475" w:rsidRDefault="0013777F" w:rsidP="00C02B20">
      <w:pPr>
        <w:tabs>
          <w:tab w:val="num" w:pos="720"/>
        </w:tabs>
        <w:spacing w:line="360" w:lineRule="auto"/>
        <w:jc w:val="both"/>
        <w:rPr>
          <w:rFonts w:ascii="Calibri" w:hAnsi="Calibri" w:cs="Calibri"/>
          <w:sz w:val="24"/>
          <w:szCs w:val="24"/>
        </w:rPr>
      </w:pPr>
      <w:r w:rsidRPr="000E7475">
        <w:rPr>
          <w:rFonts w:ascii="Calibri" w:hAnsi="Calibri" w:cs="Calibri"/>
          <w:sz w:val="24"/>
          <w:szCs w:val="24"/>
        </w:rPr>
        <w:t>In addition to this, businesses outside of Wales must conduct research on the location of the consumers that they are supplying to, as if they supply single use plastics to consumers within Wales, that is a criminal offence.</w:t>
      </w:r>
    </w:p>
    <w:p w14:paraId="08FD7717" w14:textId="2521D4B3" w:rsidR="000E7475" w:rsidRDefault="00EF1EA6" w:rsidP="000E7475">
      <w:pPr>
        <w:tabs>
          <w:tab w:val="num" w:pos="720"/>
        </w:tabs>
        <w:spacing w:line="360" w:lineRule="auto"/>
        <w:jc w:val="both"/>
        <w:rPr>
          <w:rFonts w:ascii="Calibri" w:hAnsi="Calibri" w:cs="Calibri"/>
          <w:sz w:val="24"/>
          <w:szCs w:val="24"/>
        </w:rPr>
      </w:pPr>
      <w:r w:rsidRPr="00EF1EA6">
        <w:rPr>
          <w:rFonts w:ascii="Calibri" w:hAnsi="Calibri" w:cs="Calibri"/>
          <w:sz w:val="24"/>
          <w:szCs w:val="24"/>
        </w:rPr>
        <w:t>To conclude, the Environmental Protection (Single-use Plastic Products) (Wales) Act 2023</w:t>
      </w:r>
      <w:r>
        <w:rPr>
          <w:rFonts w:ascii="Calibri" w:hAnsi="Calibri" w:cs="Calibri"/>
          <w:sz w:val="24"/>
          <w:szCs w:val="24"/>
        </w:rPr>
        <w:t xml:space="preserve"> has two phases, each aimed to stop the supply of various single use plastics into and within Wales, </w:t>
      </w:r>
      <w:r>
        <w:rPr>
          <w:rFonts w:ascii="Calibri" w:hAnsi="Calibri" w:cs="Calibri"/>
          <w:sz w:val="24"/>
          <w:szCs w:val="24"/>
        </w:rPr>
        <w:lastRenderedPageBreak/>
        <w:t>with the aim to encourage businesses to have a more circular economy and move away from the current throw away culture</w:t>
      </w:r>
      <w:r w:rsidR="000E7475">
        <w:rPr>
          <w:rFonts w:ascii="Calibri" w:hAnsi="Calibri" w:cs="Calibri"/>
          <w:sz w:val="24"/>
          <w:szCs w:val="24"/>
        </w:rPr>
        <w:t xml:space="preserve"> and </w:t>
      </w:r>
      <w:r>
        <w:rPr>
          <w:rFonts w:ascii="Calibri" w:hAnsi="Calibri" w:cs="Calibri"/>
          <w:sz w:val="24"/>
          <w:szCs w:val="24"/>
        </w:rPr>
        <w:t>will impact businesses and organisations</w:t>
      </w:r>
      <w:r w:rsidR="000E7475">
        <w:rPr>
          <w:rFonts w:ascii="Calibri" w:hAnsi="Calibri" w:cs="Calibri"/>
          <w:sz w:val="24"/>
          <w:szCs w:val="24"/>
        </w:rPr>
        <w:t xml:space="preserve"> </w:t>
      </w:r>
      <w:r>
        <w:rPr>
          <w:rFonts w:ascii="Calibri" w:hAnsi="Calibri" w:cs="Calibri"/>
          <w:sz w:val="24"/>
          <w:szCs w:val="24"/>
        </w:rPr>
        <w:t>who will have to substitute products in use for a more reusable alternative or could face criminal liability.</w:t>
      </w:r>
      <w:r w:rsidR="00BC7ECA">
        <w:rPr>
          <w:rFonts w:ascii="Calibri" w:hAnsi="Calibri" w:cs="Calibri"/>
          <w:sz w:val="24"/>
          <w:szCs w:val="24"/>
        </w:rPr>
        <w:t xml:space="preserve"> </w:t>
      </w:r>
    </w:p>
    <w:p w14:paraId="1A0AD3B7" w14:textId="77777777" w:rsidR="000E7475" w:rsidRDefault="000E7475">
      <w:pPr>
        <w:spacing w:after="160" w:line="278" w:lineRule="auto"/>
        <w:rPr>
          <w:rFonts w:ascii="Calibri" w:hAnsi="Calibri" w:cs="Calibri"/>
          <w:sz w:val="24"/>
          <w:szCs w:val="24"/>
        </w:rPr>
      </w:pPr>
      <w:r>
        <w:rPr>
          <w:rFonts w:ascii="Calibri" w:hAnsi="Calibri" w:cs="Calibri"/>
          <w:sz w:val="24"/>
          <w:szCs w:val="24"/>
        </w:rPr>
        <w:br w:type="page"/>
      </w:r>
    </w:p>
    <w:bookmarkStart w:id="7" w:name="_Toc200008473" w:displacedByCustomXml="next"/>
    <w:sdt>
      <w:sdtPr>
        <w:rPr>
          <w:rFonts w:ascii="Times New Roman" w:eastAsia="Times New Roman" w:hAnsi="Times New Roman" w:cs="Times New Roman"/>
          <w:color w:val="auto"/>
          <w:sz w:val="20"/>
          <w:szCs w:val="20"/>
        </w:rPr>
        <w:id w:val="-931821688"/>
        <w:docPartObj>
          <w:docPartGallery w:val="Bibliographies"/>
          <w:docPartUnique/>
        </w:docPartObj>
      </w:sdtPr>
      <w:sdtEndPr>
        <w:rPr>
          <w:rFonts w:ascii="Calibri" w:hAnsi="Calibri" w:cs="Calibri"/>
          <w:sz w:val="24"/>
          <w:szCs w:val="24"/>
        </w:rPr>
      </w:sdtEndPr>
      <w:sdtContent>
        <w:p w14:paraId="2C68D472" w14:textId="6C505226" w:rsidR="000E7475" w:rsidRDefault="000E7475">
          <w:pPr>
            <w:pStyle w:val="Heading1"/>
          </w:pPr>
          <w:r>
            <w:t>5. References</w:t>
          </w:r>
          <w:bookmarkEnd w:id="7"/>
        </w:p>
        <w:sdt>
          <w:sdtPr>
            <w:id w:val="-573587230"/>
            <w:bibliography/>
          </w:sdtPr>
          <w:sdtEndPr>
            <w:rPr>
              <w:rFonts w:ascii="Calibri" w:hAnsi="Calibri" w:cs="Calibri"/>
              <w:sz w:val="24"/>
              <w:szCs w:val="24"/>
            </w:rPr>
          </w:sdtEndPr>
          <w:sdtContent>
            <w:p w14:paraId="55A11566" w14:textId="77777777" w:rsidR="00BC7ECA" w:rsidRPr="00BC7ECA" w:rsidRDefault="000E7475" w:rsidP="00BC7ECA">
              <w:pPr>
                <w:pStyle w:val="Bibliography"/>
                <w:spacing w:line="360" w:lineRule="auto"/>
                <w:rPr>
                  <w:noProof/>
                  <w:sz w:val="24"/>
                  <w:szCs w:val="24"/>
                </w:rPr>
              </w:pPr>
              <w:r w:rsidRPr="00BC7ECA">
                <w:rPr>
                  <w:rFonts w:ascii="Calibri" w:hAnsi="Calibri" w:cs="Calibri"/>
                  <w:sz w:val="24"/>
                  <w:szCs w:val="24"/>
                </w:rPr>
                <w:fldChar w:fldCharType="begin"/>
              </w:r>
              <w:r w:rsidRPr="00BC7ECA">
                <w:rPr>
                  <w:rFonts w:ascii="Calibri" w:hAnsi="Calibri" w:cs="Calibri"/>
                  <w:sz w:val="24"/>
                  <w:szCs w:val="24"/>
                </w:rPr>
                <w:instrText xml:space="preserve"> BIBLIOGRAPHY </w:instrText>
              </w:r>
              <w:r w:rsidRPr="00BC7ECA">
                <w:rPr>
                  <w:rFonts w:ascii="Calibri" w:hAnsi="Calibri" w:cs="Calibri"/>
                  <w:sz w:val="24"/>
                  <w:szCs w:val="24"/>
                </w:rPr>
                <w:fldChar w:fldCharType="separate"/>
              </w:r>
              <w:r w:rsidR="00BC7ECA" w:rsidRPr="00BC7ECA">
                <w:rPr>
                  <w:i/>
                  <w:iCs/>
                  <w:noProof/>
                  <w:sz w:val="24"/>
                  <w:szCs w:val="24"/>
                </w:rPr>
                <w:t xml:space="preserve">Adams V Lindsell 1 B &amp; Ald 681 </w:t>
              </w:r>
              <w:r w:rsidR="00BC7ECA" w:rsidRPr="00BC7ECA">
                <w:rPr>
                  <w:noProof/>
                  <w:sz w:val="24"/>
                  <w:szCs w:val="24"/>
                </w:rPr>
                <w:t xml:space="preserve">(1818). </w:t>
              </w:r>
            </w:p>
            <w:p w14:paraId="1FBECBD7"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Ahmad, H., 2025. </w:t>
              </w:r>
              <w:r w:rsidRPr="00BC7ECA">
                <w:rPr>
                  <w:i/>
                  <w:iCs/>
                  <w:noProof/>
                  <w:sz w:val="24"/>
                  <w:szCs w:val="24"/>
                </w:rPr>
                <w:t xml:space="preserve">What is Consideration in Contract Law in the UK?.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https://legalvision.co.uk/commercial-contracts/consideration-contracts/</w:t>
              </w:r>
              <w:r w:rsidRPr="00BC7ECA">
                <w:rPr>
                  <w:noProof/>
                  <w:sz w:val="24"/>
                  <w:szCs w:val="24"/>
                </w:rPr>
                <w:br/>
                <w:t>[Accessed 28 May 2025].</w:t>
              </w:r>
            </w:p>
            <w:p w14:paraId="759EAC27"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Balfour V Balfour 2KB 571 </w:t>
              </w:r>
              <w:r w:rsidRPr="00BC7ECA">
                <w:rPr>
                  <w:noProof/>
                  <w:sz w:val="24"/>
                  <w:szCs w:val="24"/>
                </w:rPr>
                <w:t xml:space="preserve">(1919). </w:t>
              </w:r>
            </w:p>
            <w:p w14:paraId="633F4515"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Bashir, S., Khan, F. S. &amp; Khan, A. S., 2020. Invitation to Treat In Law Of Contract. </w:t>
              </w:r>
              <w:r w:rsidRPr="00BC7ECA">
                <w:rPr>
                  <w:i/>
                  <w:iCs/>
                  <w:noProof/>
                  <w:sz w:val="24"/>
                  <w:szCs w:val="24"/>
                </w:rPr>
                <w:t xml:space="preserve">International Review of Social Sciences, </w:t>
              </w:r>
              <w:r w:rsidRPr="00BC7ECA">
                <w:rPr>
                  <w:noProof/>
                  <w:sz w:val="24"/>
                  <w:szCs w:val="24"/>
                </w:rPr>
                <w:t>8(7).</w:t>
              </w:r>
            </w:p>
            <w:p w14:paraId="0D4A2CA5"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Carlill V Carbolic Smoke Ball Co 1 QB 256 </w:t>
              </w:r>
              <w:r w:rsidRPr="00BC7ECA">
                <w:rPr>
                  <w:noProof/>
                  <w:sz w:val="24"/>
                  <w:szCs w:val="24"/>
                </w:rPr>
                <w:t xml:space="preserve">(1893). </w:t>
              </w:r>
            </w:p>
            <w:p w14:paraId="719F6CA3"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Chappell and Co v Nestle Co LTD AC 87 </w:t>
              </w:r>
              <w:r w:rsidRPr="00BC7ECA">
                <w:rPr>
                  <w:noProof/>
                  <w:sz w:val="24"/>
                  <w:szCs w:val="24"/>
                </w:rPr>
                <w:t xml:space="preserve">(1960). </w:t>
              </w:r>
            </w:p>
            <w:p w14:paraId="0C1799FC"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Chen, Y., Kumar Awasthi, A. W. F., Tan, Q. &amp; Li, J., 2021. Single-use plastics: Production, usage, disposal, and adverse impacts. </w:t>
              </w:r>
              <w:r w:rsidRPr="00BC7ECA">
                <w:rPr>
                  <w:i/>
                  <w:iCs/>
                  <w:noProof/>
                  <w:sz w:val="24"/>
                  <w:szCs w:val="24"/>
                </w:rPr>
                <w:t xml:space="preserve">Science of the Total Environment, </w:t>
              </w:r>
              <w:r w:rsidRPr="00BC7ECA">
                <w:rPr>
                  <w:noProof/>
                  <w:sz w:val="24"/>
                  <w:szCs w:val="24"/>
                </w:rPr>
                <w:t>Volume 752.</w:t>
              </w:r>
            </w:p>
            <w:p w14:paraId="007B1A43"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Divorce Reform Act c, 55 </w:t>
              </w:r>
              <w:r w:rsidRPr="00BC7ECA">
                <w:rPr>
                  <w:noProof/>
                  <w:sz w:val="24"/>
                  <w:szCs w:val="24"/>
                </w:rPr>
                <w:t xml:space="preserve">(1969). </w:t>
              </w:r>
            </w:p>
            <w:p w14:paraId="0DAB3B48"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Divorce, Dissolution and Seperation Act 2020 c.11 </w:t>
              </w:r>
              <w:r w:rsidRPr="00BC7ECA">
                <w:rPr>
                  <w:noProof/>
                  <w:sz w:val="24"/>
                  <w:szCs w:val="24"/>
                </w:rPr>
                <w:t xml:space="preserve">(2020). </w:t>
              </w:r>
            </w:p>
            <w:p w14:paraId="7D0E02CF"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Dunlop Pneumatic Tyre Co LTD v New Garage &amp; Motor Co LTD UKHL 1, AC 79 </w:t>
              </w:r>
              <w:r w:rsidRPr="00BC7ECA">
                <w:rPr>
                  <w:noProof/>
                  <w:sz w:val="24"/>
                  <w:szCs w:val="24"/>
                </w:rPr>
                <w:t xml:space="preserve">(1915). </w:t>
              </w:r>
            </w:p>
            <w:p w14:paraId="1D8EB9BF"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Felthouse V Bindley EWHC CP J35; 142 ER 1037 </w:t>
              </w:r>
              <w:r w:rsidRPr="00BC7ECA">
                <w:rPr>
                  <w:noProof/>
                  <w:sz w:val="24"/>
                  <w:szCs w:val="24"/>
                </w:rPr>
                <w:t xml:space="preserve">(1862). </w:t>
              </w:r>
            </w:p>
            <w:p w14:paraId="07789DE5"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FOR Cardiff Offices, 2023. </w:t>
              </w:r>
              <w:r w:rsidRPr="00BC7ECA">
                <w:rPr>
                  <w:i/>
                  <w:iCs/>
                  <w:noProof/>
                  <w:sz w:val="24"/>
                  <w:szCs w:val="24"/>
                </w:rPr>
                <w:t xml:space="preserve">Single-use plastic ban in Wales from 30th October.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https://www.forcardiff.com/sustainability-hub/single-use-plastic-ban-in-wales-from-30th-october/#:~:text=This%20law%20will%20ban%20the%20sale%20or%20supply,existing%20stock%20and%20to%20buy%20or%20make%20alternatives.</w:t>
              </w:r>
              <w:r w:rsidRPr="00BC7ECA">
                <w:rPr>
                  <w:noProof/>
                  <w:sz w:val="24"/>
                  <w:szCs w:val="24"/>
                </w:rPr>
                <w:br/>
                <w:t>[Accessed 30 May 2025].</w:t>
              </w:r>
            </w:p>
            <w:p w14:paraId="394E14F0"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Gibson V Manchester City Council (1979) UKHL 6 </w:t>
              </w:r>
              <w:r w:rsidRPr="00BC7ECA">
                <w:rPr>
                  <w:noProof/>
                  <w:sz w:val="24"/>
                  <w:szCs w:val="24"/>
                </w:rPr>
                <w:t xml:space="preserve">(1979). </w:t>
              </w:r>
            </w:p>
            <w:p w14:paraId="0385FE41"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Gulati, B., 2011. 'Intention to Create Legal Relations'. A Contractual Necessity or An Illsory Concept. </w:t>
              </w:r>
              <w:r w:rsidRPr="00BC7ECA">
                <w:rPr>
                  <w:i/>
                  <w:iCs/>
                  <w:noProof/>
                  <w:sz w:val="24"/>
                  <w:szCs w:val="24"/>
                </w:rPr>
                <w:t>Beijing Law Review.</w:t>
              </w:r>
            </w:p>
            <w:p w14:paraId="4677A688"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Justo, J. M. &amp; Recario, R. N. C., 2024. Text Simplification System for Legal Contract Review. </w:t>
              </w:r>
              <w:r w:rsidRPr="00BC7ECA">
                <w:rPr>
                  <w:i/>
                  <w:iCs/>
                  <w:noProof/>
                  <w:sz w:val="24"/>
                  <w:szCs w:val="24"/>
                </w:rPr>
                <w:t xml:space="preserve">Advances in Information and Communication, </w:t>
              </w:r>
              <w:r w:rsidRPr="00BC7ECA">
                <w:rPr>
                  <w:noProof/>
                  <w:sz w:val="24"/>
                  <w:szCs w:val="24"/>
                </w:rPr>
                <w:t>pp. 105-123.</w:t>
              </w:r>
            </w:p>
            <w:p w14:paraId="773C7B9B"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Lampleigh v Brathwait EWHC KB J17 </w:t>
              </w:r>
              <w:r w:rsidRPr="00BC7ECA">
                <w:rPr>
                  <w:noProof/>
                  <w:sz w:val="24"/>
                  <w:szCs w:val="24"/>
                </w:rPr>
                <w:t xml:space="preserve">(1615). </w:t>
              </w:r>
            </w:p>
            <w:p w14:paraId="665EDF18"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Lefkowitz v Great Minneapolis Surplus Store 86 N.W.2d 689, 251 Minn. 188 </w:t>
              </w:r>
              <w:r w:rsidRPr="00BC7ECA">
                <w:rPr>
                  <w:noProof/>
                  <w:sz w:val="24"/>
                  <w:szCs w:val="24"/>
                </w:rPr>
                <w:t xml:space="preserve">(1957). </w:t>
              </w:r>
            </w:p>
            <w:p w14:paraId="60A18A3C"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Legal Creatives, 2024. </w:t>
              </w:r>
              <w:r w:rsidRPr="00BC7ECA">
                <w:rPr>
                  <w:i/>
                  <w:iCs/>
                  <w:noProof/>
                  <w:sz w:val="24"/>
                  <w:szCs w:val="24"/>
                </w:rPr>
                <w:t xml:space="preserve">Rethinking Legalese.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https://www.legalcreatives.com/blog/rethinking-legalese-why-complex-language-doesn-t-mean-better-law</w:t>
              </w:r>
              <w:r w:rsidRPr="00BC7ECA">
                <w:rPr>
                  <w:noProof/>
                  <w:sz w:val="24"/>
                  <w:szCs w:val="24"/>
                </w:rPr>
                <w:br/>
                <w:t>[Accessed 29 May 2025].</w:t>
              </w:r>
            </w:p>
            <w:p w14:paraId="30411CEE" w14:textId="77777777" w:rsidR="00BC7ECA" w:rsidRPr="00BC7ECA" w:rsidRDefault="00BC7ECA" w:rsidP="00BC7ECA">
              <w:pPr>
                <w:pStyle w:val="Bibliography"/>
                <w:spacing w:line="360" w:lineRule="auto"/>
                <w:rPr>
                  <w:noProof/>
                  <w:sz w:val="24"/>
                  <w:szCs w:val="24"/>
                </w:rPr>
              </w:pPr>
              <w:r w:rsidRPr="00BC7ECA">
                <w:rPr>
                  <w:noProof/>
                  <w:sz w:val="24"/>
                  <w:szCs w:val="24"/>
                </w:rPr>
                <w:lastRenderedPageBreak/>
                <w:t xml:space="preserve">Lissack, M., 2026. Don't Be Addicted: The Oft-Overlooked Dangers of Simplification. </w:t>
              </w:r>
              <w:r w:rsidRPr="00BC7ECA">
                <w:rPr>
                  <w:i/>
                  <w:iCs/>
                  <w:noProof/>
                  <w:sz w:val="24"/>
                  <w:szCs w:val="24"/>
                </w:rPr>
                <w:t xml:space="preserve">The Journal of Design, Economics, and Innovation, </w:t>
              </w:r>
              <w:r w:rsidRPr="00BC7ECA">
                <w:rPr>
                  <w:noProof/>
                  <w:sz w:val="24"/>
                  <w:szCs w:val="24"/>
                </w:rPr>
                <w:t>2(1), pp. 29-45.</w:t>
              </w:r>
            </w:p>
            <w:p w14:paraId="4CFF96F9"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Martínez, E., Mollica, F. &amp; Gibson, E., 2023. Even lawyers do not like legalese. </w:t>
              </w:r>
              <w:r w:rsidRPr="00BC7ECA">
                <w:rPr>
                  <w:i/>
                  <w:iCs/>
                  <w:noProof/>
                  <w:sz w:val="24"/>
                  <w:szCs w:val="24"/>
                </w:rPr>
                <w:t>Proceedings of the National Academy of Sciences.</w:t>
              </w:r>
            </w:p>
            <w:p w14:paraId="044FB75C"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Nash V Inman 2 KB 1 </w:t>
              </w:r>
              <w:r w:rsidRPr="00BC7ECA">
                <w:rPr>
                  <w:noProof/>
                  <w:sz w:val="24"/>
                  <w:szCs w:val="24"/>
                </w:rPr>
                <w:t xml:space="preserve">(1908). </w:t>
              </w:r>
            </w:p>
            <w:p w14:paraId="013A034A"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Office for Product Safety &amp; Standards, 2024. </w:t>
              </w:r>
              <w:r w:rsidRPr="00BC7ECA">
                <w:rPr>
                  <w:i/>
                  <w:iCs/>
                  <w:noProof/>
                  <w:sz w:val="24"/>
                  <w:szCs w:val="24"/>
                </w:rPr>
                <w:t xml:space="preserve">General Product Safety Regulations 2005.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https://www.gov.uk/government/publications/general-product-safety-regulations-2005/general-product-safety-regulations-2005-great-britain#obligations-of-producers-and-distributors</w:t>
              </w:r>
              <w:r w:rsidRPr="00BC7ECA">
                <w:rPr>
                  <w:noProof/>
                  <w:sz w:val="24"/>
                  <w:szCs w:val="24"/>
                </w:rPr>
                <w:br/>
                <w:t>[Accessed 29 May 2025].</w:t>
              </w:r>
            </w:p>
            <w:p w14:paraId="299CF092"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Office of the Parliamentary Council, 2013. </w:t>
              </w:r>
              <w:r w:rsidRPr="00BC7ECA">
                <w:rPr>
                  <w:i/>
                  <w:iCs/>
                  <w:noProof/>
                  <w:sz w:val="24"/>
                  <w:szCs w:val="24"/>
                </w:rPr>
                <w:t xml:space="preserve">When Laws Become Too Complex, </w:t>
              </w:r>
              <w:r w:rsidRPr="00BC7ECA">
                <w:rPr>
                  <w:noProof/>
                  <w:sz w:val="24"/>
                  <w:szCs w:val="24"/>
                </w:rPr>
                <w:t>s.l.: Cabinet Office.</w:t>
              </w:r>
            </w:p>
            <w:p w14:paraId="04C5DDD8"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Partridge v Crittenden 1 WLR 1204 </w:t>
              </w:r>
              <w:r w:rsidRPr="00BC7ECA">
                <w:rPr>
                  <w:noProof/>
                  <w:sz w:val="24"/>
                  <w:szCs w:val="24"/>
                </w:rPr>
                <w:t xml:space="preserve">(1968). </w:t>
              </w:r>
            </w:p>
            <w:p w14:paraId="35DC6D6A"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Sainz, B., 2025. </w:t>
              </w:r>
              <w:r w:rsidRPr="00BC7ECA">
                <w:rPr>
                  <w:i/>
                  <w:iCs/>
                  <w:noProof/>
                  <w:sz w:val="24"/>
                  <w:szCs w:val="24"/>
                </w:rPr>
                <w:t xml:space="preserve">Lack of Capacity in Contract Law. </w:t>
              </w:r>
              <w:r w:rsidRPr="00BC7ECA">
                <w:rPr>
                  <w:noProof/>
                  <w:sz w:val="24"/>
                  <w:szCs w:val="24"/>
                </w:rPr>
                <w:t xml:space="preserve">[Online] </w:t>
              </w:r>
              <w:r w:rsidRPr="00BC7ECA">
                <w:rPr>
                  <w:noProof/>
                  <w:sz w:val="24"/>
                  <w:szCs w:val="24"/>
                </w:rPr>
                <w:br/>
                <w:t>[Accessed 5 June 2025].</w:t>
              </w:r>
            </w:p>
            <w:p w14:paraId="645E57B5" w14:textId="77777777" w:rsidR="00BC7ECA" w:rsidRPr="00BC7ECA" w:rsidRDefault="00BC7ECA" w:rsidP="00BC7ECA">
              <w:pPr>
                <w:pStyle w:val="Bibliography"/>
                <w:spacing w:line="360" w:lineRule="auto"/>
                <w:rPr>
                  <w:noProof/>
                  <w:sz w:val="24"/>
                  <w:szCs w:val="24"/>
                </w:rPr>
              </w:pPr>
              <w:r w:rsidRPr="00BC7ECA">
                <w:rPr>
                  <w:i/>
                  <w:iCs/>
                  <w:noProof/>
                  <w:sz w:val="24"/>
                  <w:szCs w:val="24"/>
                </w:rPr>
                <w:t xml:space="preserve">Scammell v Nephew LTD Ouston 1 AC 251 </w:t>
              </w:r>
              <w:r w:rsidRPr="00BC7ECA">
                <w:rPr>
                  <w:noProof/>
                  <w:sz w:val="24"/>
                  <w:szCs w:val="24"/>
                </w:rPr>
                <w:t xml:space="preserve">(1941). </w:t>
              </w:r>
            </w:p>
            <w:p w14:paraId="125794F8"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SONY, 2016. </w:t>
              </w:r>
              <w:r w:rsidRPr="00BC7ECA">
                <w:rPr>
                  <w:i/>
                  <w:iCs/>
                  <w:noProof/>
                  <w:sz w:val="24"/>
                  <w:szCs w:val="24"/>
                </w:rPr>
                <w:t xml:space="preserve">Important notification about battery pack VGP-BPS26 in VAIO Personal Computers.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https://www.sony.com/electronics/support/serial-number-checker/17</w:t>
              </w:r>
              <w:r w:rsidRPr="00BC7ECA">
                <w:rPr>
                  <w:noProof/>
                  <w:sz w:val="24"/>
                  <w:szCs w:val="24"/>
                </w:rPr>
                <w:br/>
                <w:t>[Accessed 1 June 2025].</w:t>
              </w:r>
            </w:p>
            <w:p w14:paraId="44FABC3E"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SONY, 2024. </w:t>
              </w:r>
              <w:r w:rsidRPr="00BC7ECA">
                <w:rPr>
                  <w:i/>
                  <w:iCs/>
                  <w:noProof/>
                  <w:sz w:val="24"/>
                  <w:szCs w:val="24"/>
                </w:rPr>
                <w:t xml:space="preserve">Sustainability Report, </w:t>
              </w:r>
              <w:r w:rsidRPr="00BC7ECA">
                <w:rPr>
                  <w:noProof/>
                  <w:sz w:val="24"/>
                  <w:szCs w:val="24"/>
                </w:rPr>
                <w:t>s.l.: Sony.</w:t>
              </w:r>
            </w:p>
            <w:p w14:paraId="621481AB"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Suleymanli, O., 2023. Basic Terms for Conclusion and Entry into Force of Contracts. </w:t>
              </w:r>
              <w:r w:rsidRPr="00BC7ECA">
                <w:rPr>
                  <w:i/>
                  <w:iCs/>
                  <w:noProof/>
                  <w:sz w:val="24"/>
                  <w:szCs w:val="24"/>
                </w:rPr>
                <w:t xml:space="preserve">SCIENTIFIC WORK International scientific journal, </w:t>
              </w:r>
              <w:r w:rsidRPr="00BC7ECA">
                <w:rPr>
                  <w:noProof/>
                  <w:sz w:val="24"/>
                  <w:szCs w:val="24"/>
                </w:rPr>
                <w:t>17(4), pp. 81-87.</w:t>
              </w:r>
            </w:p>
            <w:p w14:paraId="47BF7395"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The National Archives, 2005. </w:t>
              </w:r>
              <w:r w:rsidRPr="00BC7ECA">
                <w:rPr>
                  <w:i/>
                  <w:iCs/>
                  <w:noProof/>
                  <w:sz w:val="24"/>
                  <w:szCs w:val="24"/>
                </w:rPr>
                <w:t xml:space="preserve">The General Product Safety Regulations 2005.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https://www.legislation.gov.uk/uksi/2005/1803/contents</w:t>
              </w:r>
              <w:r w:rsidRPr="00BC7ECA">
                <w:rPr>
                  <w:noProof/>
                  <w:sz w:val="24"/>
                  <w:szCs w:val="24"/>
                </w:rPr>
                <w:br/>
                <w:t>[Accessed 1 June 2025].</w:t>
              </w:r>
            </w:p>
            <w:p w14:paraId="16C1FBA4"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UK Government, 2022. </w:t>
              </w:r>
              <w:r w:rsidRPr="00BC7ECA">
                <w:rPr>
                  <w:i/>
                  <w:iCs/>
                  <w:noProof/>
                  <w:sz w:val="24"/>
                  <w:szCs w:val="24"/>
                </w:rPr>
                <w:t xml:space="preserve">'Blame Game' ends as no fault divorce comes into force. </w:t>
              </w:r>
              <w:r w:rsidRPr="00BC7ECA">
                <w:rPr>
                  <w:noProof/>
                  <w:sz w:val="24"/>
                  <w:szCs w:val="24"/>
                </w:rPr>
                <w:t xml:space="preserve">[Online] </w:t>
              </w:r>
              <w:r w:rsidRPr="00BC7ECA">
                <w:rPr>
                  <w:noProof/>
                  <w:sz w:val="24"/>
                  <w:szCs w:val="24"/>
                </w:rPr>
                <w:br/>
                <w:t>[Accessed 5 June 2025].</w:t>
              </w:r>
            </w:p>
            <w:p w14:paraId="2ADF7442"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Welsh Government, 2023. </w:t>
              </w:r>
              <w:r w:rsidRPr="00BC7ECA">
                <w:rPr>
                  <w:i/>
                  <w:iCs/>
                  <w:noProof/>
                  <w:sz w:val="24"/>
                  <w:szCs w:val="24"/>
                </w:rPr>
                <w:t xml:space="preserve">Statutory guidance for bans and restrictions on single-use plastic in Wales.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https://www.gov.wales/sites/default/files/publications/2023-11/single-use-plastic-statutory-guidance.pdf</w:t>
              </w:r>
              <w:r w:rsidRPr="00BC7ECA">
                <w:rPr>
                  <w:noProof/>
                  <w:sz w:val="24"/>
                  <w:szCs w:val="24"/>
                </w:rPr>
                <w:br/>
                <w:t>[Accessed 4 June 2025].</w:t>
              </w:r>
            </w:p>
            <w:p w14:paraId="597BCBDC" w14:textId="77777777" w:rsidR="00BC7ECA" w:rsidRPr="00BC7ECA" w:rsidRDefault="00BC7ECA" w:rsidP="00BC7ECA">
              <w:pPr>
                <w:pStyle w:val="Bibliography"/>
                <w:spacing w:line="360" w:lineRule="auto"/>
                <w:rPr>
                  <w:noProof/>
                  <w:sz w:val="24"/>
                  <w:szCs w:val="24"/>
                </w:rPr>
              </w:pPr>
              <w:r w:rsidRPr="00BC7ECA">
                <w:rPr>
                  <w:noProof/>
                  <w:sz w:val="24"/>
                  <w:szCs w:val="24"/>
                </w:rPr>
                <w:lastRenderedPageBreak/>
                <w:t xml:space="preserve">Welsh Government, 2023. </w:t>
              </w:r>
              <w:r w:rsidRPr="00BC7ECA">
                <w:rPr>
                  <w:i/>
                  <w:iCs/>
                  <w:noProof/>
                  <w:sz w:val="24"/>
                  <w:szCs w:val="24"/>
                </w:rPr>
                <w:t xml:space="preserve">The Environmental Protection (Single-use Plastic Products) (Wales) Act 2023.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https://www.gov.wales/environmental-protection-single-use-plastic-products-wales-act#:~:text=The%20Environmental%20Protection%20%28Single-use%20Plastic%20Products%29%20%28Wales%29%20Act,to%20consumers%20in%20Wales%2C%20unless%20an%20exemption%20applies.</w:t>
              </w:r>
              <w:r w:rsidRPr="00BC7ECA">
                <w:rPr>
                  <w:noProof/>
                  <w:sz w:val="24"/>
                  <w:szCs w:val="24"/>
                </w:rPr>
                <w:br/>
                <w:t>[Accessed 1 June 2025].</w:t>
              </w:r>
            </w:p>
            <w:p w14:paraId="7D48A67D" w14:textId="77777777" w:rsidR="00BC7ECA" w:rsidRPr="00BC7ECA" w:rsidRDefault="00BC7ECA" w:rsidP="00BC7ECA">
              <w:pPr>
                <w:pStyle w:val="Bibliography"/>
                <w:spacing w:line="360" w:lineRule="auto"/>
                <w:rPr>
                  <w:noProof/>
                  <w:sz w:val="24"/>
                  <w:szCs w:val="24"/>
                </w:rPr>
              </w:pPr>
              <w:r w:rsidRPr="00BC7ECA">
                <w:rPr>
                  <w:noProof/>
                  <w:sz w:val="24"/>
                  <w:szCs w:val="24"/>
                </w:rPr>
                <w:t xml:space="preserve">Which?, 2024. </w:t>
              </w:r>
              <w:r w:rsidRPr="00BC7ECA">
                <w:rPr>
                  <w:i/>
                  <w:iCs/>
                  <w:noProof/>
                  <w:sz w:val="24"/>
                  <w:szCs w:val="24"/>
                </w:rPr>
                <w:t xml:space="preserve">Consumer Rights Act 2015. </w:t>
              </w:r>
              <w:r w:rsidRPr="00BC7ECA">
                <w:rPr>
                  <w:noProof/>
                  <w:sz w:val="24"/>
                  <w:szCs w:val="24"/>
                </w:rPr>
                <w:t xml:space="preserve">[Online] </w:t>
              </w:r>
              <w:r w:rsidRPr="00BC7ECA">
                <w:rPr>
                  <w:noProof/>
                  <w:sz w:val="24"/>
                  <w:szCs w:val="24"/>
                </w:rPr>
                <w:br/>
                <w:t xml:space="preserve">Available at: </w:t>
              </w:r>
              <w:r w:rsidRPr="00BC7ECA">
                <w:rPr>
                  <w:noProof/>
                  <w:sz w:val="24"/>
                  <w:szCs w:val="24"/>
                  <w:u w:val="single"/>
                </w:rPr>
                <w:t>https://www.which.co.uk/consumer-rights/regulation/consumer-rights-act-aKJYx8n5KiSl</w:t>
              </w:r>
              <w:r w:rsidRPr="00BC7ECA">
                <w:rPr>
                  <w:noProof/>
                  <w:sz w:val="24"/>
                  <w:szCs w:val="24"/>
                </w:rPr>
                <w:br/>
                <w:t>[Accessed 25 May 25].</w:t>
              </w:r>
            </w:p>
            <w:p w14:paraId="4CAADF66" w14:textId="412500B6" w:rsidR="000E7475" w:rsidRPr="00BC7ECA" w:rsidRDefault="000E7475" w:rsidP="00BC7ECA">
              <w:pPr>
                <w:spacing w:line="360" w:lineRule="auto"/>
                <w:rPr>
                  <w:rFonts w:ascii="Calibri" w:hAnsi="Calibri" w:cs="Calibri"/>
                  <w:sz w:val="24"/>
                  <w:szCs w:val="24"/>
                </w:rPr>
              </w:pPr>
              <w:r w:rsidRPr="00BC7ECA">
                <w:rPr>
                  <w:rFonts w:ascii="Calibri" w:hAnsi="Calibri" w:cs="Calibri"/>
                  <w:b/>
                  <w:bCs/>
                  <w:noProof/>
                  <w:sz w:val="24"/>
                  <w:szCs w:val="24"/>
                </w:rPr>
                <w:fldChar w:fldCharType="end"/>
              </w:r>
            </w:p>
          </w:sdtContent>
        </w:sdt>
      </w:sdtContent>
    </w:sdt>
    <w:p w14:paraId="3DF2BFCC" w14:textId="661DA333" w:rsidR="000E7475" w:rsidRPr="00BC7ECA" w:rsidRDefault="000E7475" w:rsidP="00BC7ECA">
      <w:pPr>
        <w:spacing w:after="160" w:line="360" w:lineRule="auto"/>
        <w:rPr>
          <w:rFonts w:ascii="Calibri" w:hAnsi="Calibri" w:cs="Calibri"/>
          <w:sz w:val="24"/>
          <w:szCs w:val="24"/>
        </w:rPr>
      </w:pPr>
    </w:p>
    <w:p w14:paraId="7E67C702" w14:textId="77777777" w:rsidR="0001554A" w:rsidRPr="00BC7ECA" w:rsidRDefault="0001554A" w:rsidP="00BC7ECA">
      <w:pPr>
        <w:tabs>
          <w:tab w:val="num" w:pos="720"/>
        </w:tabs>
        <w:spacing w:line="360" w:lineRule="auto"/>
        <w:rPr>
          <w:sz w:val="24"/>
          <w:szCs w:val="24"/>
        </w:rPr>
      </w:pPr>
    </w:p>
    <w:sectPr w:rsidR="0001554A" w:rsidRPr="00BC7E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6DC"/>
    <w:multiLevelType w:val="hybridMultilevel"/>
    <w:tmpl w:val="75943192"/>
    <w:lvl w:ilvl="0" w:tplc="380C7966">
      <w:start w:val="1"/>
      <w:numFmt w:val="bullet"/>
      <w:lvlText w:val="•"/>
      <w:lvlJc w:val="left"/>
      <w:pPr>
        <w:tabs>
          <w:tab w:val="num" w:pos="720"/>
        </w:tabs>
        <w:ind w:left="720" w:hanging="360"/>
      </w:pPr>
      <w:rPr>
        <w:rFonts w:ascii="Arial" w:hAnsi="Arial" w:hint="default"/>
      </w:rPr>
    </w:lvl>
    <w:lvl w:ilvl="1" w:tplc="B5867B16" w:tentative="1">
      <w:start w:val="1"/>
      <w:numFmt w:val="bullet"/>
      <w:lvlText w:val="•"/>
      <w:lvlJc w:val="left"/>
      <w:pPr>
        <w:tabs>
          <w:tab w:val="num" w:pos="1440"/>
        </w:tabs>
        <w:ind w:left="1440" w:hanging="360"/>
      </w:pPr>
      <w:rPr>
        <w:rFonts w:ascii="Arial" w:hAnsi="Arial" w:hint="default"/>
      </w:rPr>
    </w:lvl>
    <w:lvl w:ilvl="2" w:tplc="5DAC2D84" w:tentative="1">
      <w:start w:val="1"/>
      <w:numFmt w:val="bullet"/>
      <w:lvlText w:val="•"/>
      <w:lvlJc w:val="left"/>
      <w:pPr>
        <w:tabs>
          <w:tab w:val="num" w:pos="2160"/>
        </w:tabs>
        <w:ind w:left="2160" w:hanging="360"/>
      </w:pPr>
      <w:rPr>
        <w:rFonts w:ascii="Arial" w:hAnsi="Arial" w:hint="default"/>
      </w:rPr>
    </w:lvl>
    <w:lvl w:ilvl="3" w:tplc="737CD018" w:tentative="1">
      <w:start w:val="1"/>
      <w:numFmt w:val="bullet"/>
      <w:lvlText w:val="•"/>
      <w:lvlJc w:val="left"/>
      <w:pPr>
        <w:tabs>
          <w:tab w:val="num" w:pos="2880"/>
        </w:tabs>
        <w:ind w:left="2880" w:hanging="360"/>
      </w:pPr>
      <w:rPr>
        <w:rFonts w:ascii="Arial" w:hAnsi="Arial" w:hint="default"/>
      </w:rPr>
    </w:lvl>
    <w:lvl w:ilvl="4" w:tplc="E10660D4" w:tentative="1">
      <w:start w:val="1"/>
      <w:numFmt w:val="bullet"/>
      <w:lvlText w:val="•"/>
      <w:lvlJc w:val="left"/>
      <w:pPr>
        <w:tabs>
          <w:tab w:val="num" w:pos="3600"/>
        </w:tabs>
        <w:ind w:left="3600" w:hanging="360"/>
      </w:pPr>
      <w:rPr>
        <w:rFonts w:ascii="Arial" w:hAnsi="Arial" w:hint="default"/>
      </w:rPr>
    </w:lvl>
    <w:lvl w:ilvl="5" w:tplc="3B103F8A" w:tentative="1">
      <w:start w:val="1"/>
      <w:numFmt w:val="bullet"/>
      <w:lvlText w:val="•"/>
      <w:lvlJc w:val="left"/>
      <w:pPr>
        <w:tabs>
          <w:tab w:val="num" w:pos="4320"/>
        </w:tabs>
        <w:ind w:left="4320" w:hanging="360"/>
      </w:pPr>
      <w:rPr>
        <w:rFonts w:ascii="Arial" w:hAnsi="Arial" w:hint="default"/>
      </w:rPr>
    </w:lvl>
    <w:lvl w:ilvl="6" w:tplc="25A218E6" w:tentative="1">
      <w:start w:val="1"/>
      <w:numFmt w:val="bullet"/>
      <w:lvlText w:val="•"/>
      <w:lvlJc w:val="left"/>
      <w:pPr>
        <w:tabs>
          <w:tab w:val="num" w:pos="5040"/>
        </w:tabs>
        <w:ind w:left="5040" w:hanging="360"/>
      </w:pPr>
      <w:rPr>
        <w:rFonts w:ascii="Arial" w:hAnsi="Arial" w:hint="default"/>
      </w:rPr>
    </w:lvl>
    <w:lvl w:ilvl="7" w:tplc="AE2C689A" w:tentative="1">
      <w:start w:val="1"/>
      <w:numFmt w:val="bullet"/>
      <w:lvlText w:val="•"/>
      <w:lvlJc w:val="left"/>
      <w:pPr>
        <w:tabs>
          <w:tab w:val="num" w:pos="5760"/>
        </w:tabs>
        <w:ind w:left="5760" w:hanging="360"/>
      </w:pPr>
      <w:rPr>
        <w:rFonts w:ascii="Arial" w:hAnsi="Arial" w:hint="default"/>
      </w:rPr>
    </w:lvl>
    <w:lvl w:ilvl="8" w:tplc="581827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BC29E7"/>
    <w:multiLevelType w:val="hybridMultilevel"/>
    <w:tmpl w:val="83E0C9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E93E7C"/>
    <w:multiLevelType w:val="multilevel"/>
    <w:tmpl w:val="A80E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B297A"/>
    <w:multiLevelType w:val="hybridMultilevel"/>
    <w:tmpl w:val="F4B8D54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7D55FB"/>
    <w:multiLevelType w:val="hybridMultilevel"/>
    <w:tmpl w:val="88B6425C"/>
    <w:lvl w:ilvl="0" w:tplc="8D72CCE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99088E"/>
    <w:multiLevelType w:val="hybridMultilevel"/>
    <w:tmpl w:val="D2A6B24E"/>
    <w:lvl w:ilvl="0" w:tplc="EE806B6E">
      <w:start w:val="1"/>
      <w:numFmt w:val="bullet"/>
      <w:lvlText w:val="•"/>
      <w:lvlJc w:val="left"/>
      <w:pPr>
        <w:tabs>
          <w:tab w:val="num" w:pos="720"/>
        </w:tabs>
        <w:ind w:left="720" w:hanging="360"/>
      </w:pPr>
      <w:rPr>
        <w:rFonts w:ascii="Times New Roman" w:hAnsi="Times New Roman" w:hint="default"/>
      </w:rPr>
    </w:lvl>
    <w:lvl w:ilvl="1" w:tplc="DD7C6BD0" w:tentative="1">
      <w:start w:val="1"/>
      <w:numFmt w:val="bullet"/>
      <w:lvlText w:val="•"/>
      <w:lvlJc w:val="left"/>
      <w:pPr>
        <w:tabs>
          <w:tab w:val="num" w:pos="1440"/>
        </w:tabs>
        <w:ind w:left="1440" w:hanging="360"/>
      </w:pPr>
      <w:rPr>
        <w:rFonts w:ascii="Times New Roman" w:hAnsi="Times New Roman" w:hint="default"/>
      </w:rPr>
    </w:lvl>
    <w:lvl w:ilvl="2" w:tplc="9D123F8E" w:tentative="1">
      <w:start w:val="1"/>
      <w:numFmt w:val="bullet"/>
      <w:lvlText w:val="•"/>
      <w:lvlJc w:val="left"/>
      <w:pPr>
        <w:tabs>
          <w:tab w:val="num" w:pos="2160"/>
        </w:tabs>
        <w:ind w:left="2160" w:hanging="360"/>
      </w:pPr>
      <w:rPr>
        <w:rFonts w:ascii="Times New Roman" w:hAnsi="Times New Roman" w:hint="default"/>
      </w:rPr>
    </w:lvl>
    <w:lvl w:ilvl="3" w:tplc="9D184D04" w:tentative="1">
      <w:start w:val="1"/>
      <w:numFmt w:val="bullet"/>
      <w:lvlText w:val="•"/>
      <w:lvlJc w:val="left"/>
      <w:pPr>
        <w:tabs>
          <w:tab w:val="num" w:pos="2880"/>
        </w:tabs>
        <w:ind w:left="2880" w:hanging="360"/>
      </w:pPr>
      <w:rPr>
        <w:rFonts w:ascii="Times New Roman" w:hAnsi="Times New Roman" w:hint="default"/>
      </w:rPr>
    </w:lvl>
    <w:lvl w:ilvl="4" w:tplc="E1EA8B3E" w:tentative="1">
      <w:start w:val="1"/>
      <w:numFmt w:val="bullet"/>
      <w:lvlText w:val="•"/>
      <w:lvlJc w:val="left"/>
      <w:pPr>
        <w:tabs>
          <w:tab w:val="num" w:pos="3600"/>
        </w:tabs>
        <w:ind w:left="3600" w:hanging="360"/>
      </w:pPr>
      <w:rPr>
        <w:rFonts w:ascii="Times New Roman" w:hAnsi="Times New Roman" w:hint="default"/>
      </w:rPr>
    </w:lvl>
    <w:lvl w:ilvl="5" w:tplc="72186890" w:tentative="1">
      <w:start w:val="1"/>
      <w:numFmt w:val="bullet"/>
      <w:lvlText w:val="•"/>
      <w:lvlJc w:val="left"/>
      <w:pPr>
        <w:tabs>
          <w:tab w:val="num" w:pos="4320"/>
        </w:tabs>
        <w:ind w:left="4320" w:hanging="360"/>
      </w:pPr>
      <w:rPr>
        <w:rFonts w:ascii="Times New Roman" w:hAnsi="Times New Roman" w:hint="default"/>
      </w:rPr>
    </w:lvl>
    <w:lvl w:ilvl="6" w:tplc="F2B82718" w:tentative="1">
      <w:start w:val="1"/>
      <w:numFmt w:val="bullet"/>
      <w:lvlText w:val="•"/>
      <w:lvlJc w:val="left"/>
      <w:pPr>
        <w:tabs>
          <w:tab w:val="num" w:pos="5040"/>
        </w:tabs>
        <w:ind w:left="5040" w:hanging="360"/>
      </w:pPr>
      <w:rPr>
        <w:rFonts w:ascii="Times New Roman" w:hAnsi="Times New Roman" w:hint="default"/>
      </w:rPr>
    </w:lvl>
    <w:lvl w:ilvl="7" w:tplc="18F2783A" w:tentative="1">
      <w:start w:val="1"/>
      <w:numFmt w:val="bullet"/>
      <w:lvlText w:val="•"/>
      <w:lvlJc w:val="left"/>
      <w:pPr>
        <w:tabs>
          <w:tab w:val="num" w:pos="5760"/>
        </w:tabs>
        <w:ind w:left="5760" w:hanging="360"/>
      </w:pPr>
      <w:rPr>
        <w:rFonts w:ascii="Times New Roman" w:hAnsi="Times New Roman" w:hint="default"/>
      </w:rPr>
    </w:lvl>
    <w:lvl w:ilvl="8" w:tplc="D8C6B64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C9A0E76"/>
    <w:multiLevelType w:val="hybridMultilevel"/>
    <w:tmpl w:val="0158D698"/>
    <w:lvl w:ilvl="0" w:tplc="0E02E4CE">
      <w:start w:val="1"/>
      <w:numFmt w:val="bullet"/>
      <w:lvlText w:val=""/>
      <w:lvlJc w:val="left"/>
      <w:pPr>
        <w:tabs>
          <w:tab w:val="num" w:pos="720"/>
        </w:tabs>
        <w:ind w:left="720" w:hanging="360"/>
      </w:pPr>
      <w:rPr>
        <w:rFonts w:ascii="Wingdings 3" w:hAnsi="Wingdings 3" w:hint="default"/>
      </w:rPr>
    </w:lvl>
    <w:lvl w:ilvl="1" w:tplc="4058C050" w:tentative="1">
      <w:start w:val="1"/>
      <w:numFmt w:val="bullet"/>
      <w:lvlText w:val=""/>
      <w:lvlJc w:val="left"/>
      <w:pPr>
        <w:tabs>
          <w:tab w:val="num" w:pos="1440"/>
        </w:tabs>
        <w:ind w:left="1440" w:hanging="360"/>
      </w:pPr>
      <w:rPr>
        <w:rFonts w:ascii="Wingdings 3" w:hAnsi="Wingdings 3" w:hint="default"/>
      </w:rPr>
    </w:lvl>
    <w:lvl w:ilvl="2" w:tplc="502E49AA" w:tentative="1">
      <w:start w:val="1"/>
      <w:numFmt w:val="bullet"/>
      <w:lvlText w:val=""/>
      <w:lvlJc w:val="left"/>
      <w:pPr>
        <w:tabs>
          <w:tab w:val="num" w:pos="2160"/>
        </w:tabs>
        <w:ind w:left="2160" w:hanging="360"/>
      </w:pPr>
      <w:rPr>
        <w:rFonts w:ascii="Wingdings 3" w:hAnsi="Wingdings 3" w:hint="default"/>
      </w:rPr>
    </w:lvl>
    <w:lvl w:ilvl="3" w:tplc="4F386590" w:tentative="1">
      <w:start w:val="1"/>
      <w:numFmt w:val="bullet"/>
      <w:lvlText w:val=""/>
      <w:lvlJc w:val="left"/>
      <w:pPr>
        <w:tabs>
          <w:tab w:val="num" w:pos="2880"/>
        </w:tabs>
        <w:ind w:left="2880" w:hanging="360"/>
      </w:pPr>
      <w:rPr>
        <w:rFonts w:ascii="Wingdings 3" w:hAnsi="Wingdings 3" w:hint="default"/>
      </w:rPr>
    </w:lvl>
    <w:lvl w:ilvl="4" w:tplc="9CF25C8E" w:tentative="1">
      <w:start w:val="1"/>
      <w:numFmt w:val="bullet"/>
      <w:lvlText w:val=""/>
      <w:lvlJc w:val="left"/>
      <w:pPr>
        <w:tabs>
          <w:tab w:val="num" w:pos="3600"/>
        </w:tabs>
        <w:ind w:left="3600" w:hanging="360"/>
      </w:pPr>
      <w:rPr>
        <w:rFonts w:ascii="Wingdings 3" w:hAnsi="Wingdings 3" w:hint="default"/>
      </w:rPr>
    </w:lvl>
    <w:lvl w:ilvl="5" w:tplc="39665290" w:tentative="1">
      <w:start w:val="1"/>
      <w:numFmt w:val="bullet"/>
      <w:lvlText w:val=""/>
      <w:lvlJc w:val="left"/>
      <w:pPr>
        <w:tabs>
          <w:tab w:val="num" w:pos="4320"/>
        </w:tabs>
        <w:ind w:left="4320" w:hanging="360"/>
      </w:pPr>
      <w:rPr>
        <w:rFonts w:ascii="Wingdings 3" w:hAnsi="Wingdings 3" w:hint="default"/>
      </w:rPr>
    </w:lvl>
    <w:lvl w:ilvl="6" w:tplc="DF186070" w:tentative="1">
      <w:start w:val="1"/>
      <w:numFmt w:val="bullet"/>
      <w:lvlText w:val=""/>
      <w:lvlJc w:val="left"/>
      <w:pPr>
        <w:tabs>
          <w:tab w:val="num" w:pos="5040"/>
        </w:tabs>
        <w:ind w:left="5040" w:hanging="360"/>
      </w:pPr>
      <w:rPr>
        <w:rFonts w:ascii="Wingdings 3" w:hAnsi="Wingdings 3" w:hint="default"/>
      </w:rPr>
    </w:lvl>
    <w:lvl w:ilvl="7" w:tplc="17963518" w:tentative="1">
      <w:start w:val="1"/>
      <w:numFmt w:val="bullet"/>
      <w:lvlText w:val=""/>
      <w:lvlJc w:val="left"/>
      <w:pPr>
        <w:tabs>
          <w:tab w:val="num" w:pos="5760"/>
        </w:tabs>
        <w:ind w:left="5760" w:hanging="360"/>
      </w:pPr>
      <w:rPr>
        <w:rFonts w:ascii="Wingdings 3" w:hAnsi="Wingdings 3" w:hint="default"/>
      </w:rPr>
    </w:lvl>
    <w:lvl w:ilvl="8" w:tplc="31D4008E"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FBD68AC"/>
    <w:multiLevelType w:val="hybridMultilevel"/>
    <w:tmpl w:val="B9A69BF4"/>
    <w:lvl w:ilvl="0" w:tplc="6AB28686">
      <w:start w:val="1"/>
      <w:numFmt w:val="bullet"/>
      <w:lvlText w:val="•"/>
      <w:lvlJc w:val="left"/>
      <w:pPr>
        <w:tabs>
          <w:tab w:val="num" w:pos="720"/>
        </w:tabs>
        <w:ind w:left="720" w:hanging="360"/>
      </w:pPr>
      <w:rPr>
        <w:rFonts w:ascii="Times New Roman" w:hAnsi="Times New Roman" w:hint="default"/>
      </w:rPr>
    </w:lvl>
    <w:lvl w:ilvl="1" w:tplc="32BA7BC8" w:tentative="1">
      <w:start w:val="1"/>
      <w:numFmt w:val="bullet"/>
      <w:lvlText w:val="•"/>
      <w:lvlJc w:val="left"/>
      <w:pPr>
        <w:tabs>
          <w:tab w:val="num" w:pos="1440"/>
        </w:tabs>
        <w:ind w:left="1440" w:hanging="360"/>
      </w:pPr>
      <w:rPr>
        <w:rFonts w:ascii="Times New Roman" w:hAnsi="Times New Roman" w:hint="default"/>
      </w:rPr>
    </w:lvl>
    <w:lvl w:ilvl="2" w:tplc="11CC390A" w:tentative="1">
      <w:start w:val="1"/>
      <w:numFmt w:val="bullet"/>
      <w:lvlText w:val="•"/>
      <w:lvlJc w:val="left"/>
      <w:pPr>
        <w:tabs>
          <w:tab w:val="num" w:pos="2160"/>
        </w:tabs>
        <w:ind w:left="2160" w:hanging="360"/>
      </w:pPr>
      <w:rPr>
        <w:rFonts w:ascii="Times New Roman" w:hAnsi="Times New Roman" w:hint="default"/>
      </w:rPr>
    </w:lvl>
    <w:lvl w:ilvl="3" w:tplc="BFAA8E70" w:tentative="1">
      <w:start w:val="1"/>
      <w:numFmt w:val="bullet"/>
      <w:lvlText w:val="•"/>
      <w:lvlJc w:val="left"/>
      <w:pPr>
        <w:tabs>
          <w:tab w:val="num" w:pos="2880"/>
        </w:tabs>
        <w:ind w:left="2880" w:hanging="360"/>
      </w:pPr>
      <w:rPr>
        <w:rFonts w:ascii="Times New Roman" w:hAnsi="Times New Roman" w:hint="default"/>
      </w:rPr>
    </w:lvl>
    <w:lvl w:ilvl="4" w:tplc="EDFC8A82" w:tentative="1">
      <w:start w:val="1"/>
      <w:numFmt w:val="bullet"/>
      <w:lvlText w:val="•"/>
      <w:lvlJc w:val="left"/>
      <w:pPr>
        <w:tabs>
          <w:tab w:val="num" w:pos="3600"/>
        </w:tabs>
        <w:ind w:left="3600" w:hanging="360"/>
      </w:pPr>
      <w:rPr>
        <w:rFonts w:ascii="Times New Roman" w:hAnsi="Times New Roman" w:hint="default"/>
      </w:rPr>
    </w:lvl>
    <w:lvl w:ilvl="5" w:tplc="01964EFC" w:tentative="1">
      <w:start w:val="1"/>
      <w:numFmt w:val="bullet"/>
      <w:lvlText w:val="•"/>
      <w:lvlJc w:val="left"/>
      <w:pPr>
        <w:tabs>
          <w:tab w:val="num" w:pos="4320"/>
        </w:tabs>
        <w:ind w:left="4320" w:hanging="360"/>
      </w:pPr>
      <w:rPr>
        <w:rFonts w:ascii="Times New Roman" w:hAnsi="Times New Roman" w:hint="default"/>
      </w:rPr>
    </w:lvl>
    <w:lvl w:ilvl="6" w:tplc="77D0D676" w:tentative="1">
      <w:start w:val="1"/>
      <w:numFmt w:val="bullet"/>
      <w:lvlText w:val="•"/>
      <w:lvlJc w:val="left"/>
      <w:pPr>
        <w:tabs>
          <w:tab w:val="num" w:pos="5040"/>
        </w:tabs>
        <w:ind w:left="5040" w:hanging="360"/>
      </w:pPr>
      <w:rPr>
        <w:rFonts w:ascii="Times New Roman" w:hAnsi="Times New Roman" w:hint="default"/>
      </w:rPr>
    </w:lvl>
    <w:lvl w:ilvl="7" w:tplc="2A6CC166" w:tentative="1">
      <w:start w:val="1"/>
      <w:numFmt w:val="bullet"/>
      <w:lvlText w:val="•"/>
      <w:lvlJc w:val="left"/>
      <w:pPr>
        <w:tabs>
          <w:tab w:val="num" w:pos="5760"/>
        </w:tabs>
        <w:ind w:left="5760" w:hanging="360"/>
      </w:pPr>
      <w:rPr>
        <w:rFonts w:ascii="Times New Roman" w:hAnsi="Times New Roman" w:hint="default"/>
      </w:rPr>
    </w:lvl>
    <w:lvl w:ilvl="8" w:tplc="DD00DDB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1B621DD"/>
    <w:multiLevelType w:val="multilevel"/>
    <w:tmpl w:val="BC8E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01361A"/>
    <w:multiLevelType w:val="multilevel"/>
    <w:tmpl w:val="5E48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763EBE"/>
    <w:multiLevelType w:val="hybridMultilevel"/>
    <w:tmpl w:val="9742618E"/>
    <w:lvl w:ilvl="0" w:tplc="F014B91E">
      <w:start w:val="1"/>
      <w:numFmt w:val="bullet"/>
      <w:lvlText w:val="•"/>
      <w:lvlJc w:val="left"/>
      <w:pPr>
        <w:tabs>
          <w:tab w:val="num" w:pos="720"/>
        </w:tabs>
        <w:ind w:left="720" w:hanging="360"/>
      </w:pPr>
      <w:rPr>
        <w:rFonts w:ascii="Arial" w:hAnsi="Arial" w:hint="default"/>
      </w:rPr>
    </w:lvl>
    <w:lvl w:ilvl="1" w:tplc="5F20DF7E" w:tentative="1">
      <w:start w:val="1"/>
      <w:numFmt w:val="bullet"/>
      <w:lvlText w:val="•"/>
      <w:lvlJc w:val="left"/>
      <w:pPr>
        <w:tabs>
          <w:tab w:val="num" w:pos="1440"/>
        </w:tabs>
        <w:ind w:left="1440" w:hanging="360"/>
      </w:pPr>
      <w:rPr>
        <w:rFonts w:ascii="Arial" w:hAnsi="Arial" w:hint="default"/>
      </w:rPr>
    </w:lvl>
    <w:lvl w:ilvl="2" w:tplc="8A0C7AA4" w:tentative="1">
      <w:start w:val="1"/>
      <w:numFmt w:val="bullet"/>
      <w:lvlText w:val="•"/>
      <w:lvlJc w:val="left"/>
      <w:pPr>
        <w:tabs>
          <w:tab w:val="num" w:pos="2160"/>
        </w:tabs>
        <w:ind w:left="2160" w:hanging="360"/>
      </w:pPr>
      <w:rPr>
        <w:rFonts w:ascii="Arial" w:hAnsi="Arial" w:hint="default"/>
      </w:rPr>
    </w:lvl>
    <w:lvl w:ilvl="3" w:tplc="42E48350" w:tentative="1">
      <w:start w:val="1"/>
      <w:numFmt w:val="bullet"/>
      <w:lvlText w:val="•"/>
      <w:lvlJc w:val="left"/>
      <w:pPr>
        <w:tabs>
          <w:tab w:val="num" w:pos="2880"/>
        </w:tabs>
        <w:ind w:left="2880" w:hanging="360"/>
      </w:pPr>
      <w:rPr>
        <w:rFonts w:ascii="Arial" w:hAnsi="Arial" w:hint="default"/>
      </w:rPr>
    </w:lvl>
    <w:lvl w:ilvl="4" w:tplc="0838AC6A" w:tentative="1">
      <w:start w:val="1"/>
      <w:numFmt w:val="bullet"/>
      <w:lvlText w:val="•"/>
      <w:lvlJc w:val="left"/>
      <w:pPr>
        <w:tabs>
          <w:tab w:val="num" w:pos="3600"/>
        </w:tabs>
        <w:ind w:left="3600" w:hanging="360"/>
      </w:pPr>
      <w:rPr>
        <w:rFonts w:ascii="Arial" w:hAnsi="Arial" w:hint="default"/>
      </w:rPr>
    </w:lvl>
    <w:lvl w:ilvl="5" w:tplc="CB4CAC00" w:tentative="1">
      <w:start w:val="1"/>
      <w:numFmt w:val="bullet"/>
      <w:lvlText w:val="•"/>
      <w:lvlJc w:val="left"/>
      <w:pPr>
        <w:tabs>
          <w:tab w:val="num" w:pos="4320"/>
        </w:tabs>
        <w:ind w:left="4320" w:hanging="360"/>
      </w:pPr>
      <w:rPr>
        <w:rFonts w:ascii="Arial" w:hAnsi="Arial" w:hint="default"/>
      </w:rPr>
    </w:lvl>
    <w:lvl w:ilvl="6" w:tplc="0A1887A0" w:tentative="1">
      <w:start w:val="1"/>
      <w:numFmt w:val="bullet"/>
      <w:lvlText w:val="•"/>
      <w:lvlJc w:val="left"/>
      <w:pPr>
        <w:tabs>
          <w:tab w:val="num" w:pos="5040"/>
        </w:tabs>
        <w:ind w:left="5040" w:hanging="360"/>
      </w:pPr>
      <w:rPr>
        <w:rFonts w:ascii="Arial" w:hAnsi="Arial" w:hint="default"/>
      </w:rPr>
    </w:lvl>
    <w:lvl w:ilvl="7" w:tplc="A1FCDFD0" w:tentative="1">
      <w:start w:val="1"/>
      <w:numFmt w:val="bullet"/>
      <w:lvlText w:val="•"/>
      <w:lvlJc w:val="left"/>
      <w:pPr>
        <w:tabs>
          <w:tab w:val="num" w:pos="5760"/>
        </w:tabs>
        <w:ind w:left="5760" w:hanging="360"/>
      </w:pPr>
      <w:rPr>
        <w:rFonts w:ascii="Arial" w:hAnsi="Arial" w:hint="default"/>
      </w:rPr>
    </w:lvl>
    <w:lvl w:ilvl="8" w:tplc="B97C53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78C5D8A"/>
    <w:multiLevelType w:val="hybridMultilevel"/>
    <w:tmpl w:val="E5DCD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4A47AF"/>
    <w:multiLevelType w:val="hybridMultilevel"/>
    <w:tmpl w:val="B526F4A4"/>
    <w:lvl w:ilvl="0" w:tplc="C6F435B2">
      <w:start w:val="1"/>
      <w:numFmt w:val="bullet"/>
      <w:lvlText w:val="•"/>
      <w:lvlJc w:val="left"/>
      <w:pPr>
        <w:tabs>
          <w:tab w:val="num" w:pos="720"/>
        </w:tabs>
        <w:ind w:left="720" w:hanging="360"/>
      </w:pPr>
      <w:rPr>
        <w:rFonts w:ascii="Arial" w:hAnsi="Arial" w:hint="default"/>
      </w:rPr>
    </w:lvl>
    <w:lvl w:ilvl="1" w:tplc="5E5C4D1C" w:tentative="1">
      <w:start w:val="1"/>
      <w:numFmt w:val="bullet"/>
      <w:lvlText w:val="•"/>
      <w:lvlJc w:val="left"/>
      <w:pPr>
        <w:tabs>
          <w:tab w:val="num" w:pos="1440"/>
        </w:tabs>
        <w:ind w:left="1440" w:hanging="360"/>
      </w:pPr>
      <w:rPr>
        <w:rFonts w:ascii="Arial" w:hAnsi="Arial" w:hint="default"/>
      </w:rPr>
    </w:lvl>
    <w:lvl w:ilvl="2" w:tplc="A4F82B90" w:tentative="1">
      <w:start w:val="1"/>
      <w:numFmt w:val="bullet"/>
      <w:lvlText w:val="•"/>
      <w:lvlJc w:val="left"/>
      <w:pPr>
        <w:tabs>
          <w:tab w:val="num" w:pos="2160"/>
        </w:tabs>
        <w:ind w:left="2160" w:hanging="360"/>
      </w:pPr>
      <w:rPr>
        <w:rFonts w:ascii="Arial" w:hAnsi="Arial" w:hint="default"/>
      </w:rPr>
    </w:lvl>
    <w:lvl w:ilvl="3" w:tplc="8F3A0AC4" w:tentative="1">
      <w:start w:val="1"/>
      <w:numFmt w:val="bullet"/>
      <w:lvlText w:val="•"/>
      <w:lvlJc w:val="left"/>
      <w:pPr>
        <w:tabs>
          <w:tab w:val="num" w:pos="2880"/>
        </w:tabs>
        <w:ind w:left="2880" w:hanging="360"/>
      </w:pPr>
      <w:rPr>
        <w:rFonts w:ascii="Arial" w:hAnsi="Arial" w:hint="default"/>
      </w:rPr>
    </w:lvl>
    <w:lvl w:ilvl="4" w:tplc="506A7D8A" w:tentative="1">
      <w:start w:val="1"/>
      <w:numFmt w:val="bullet"/>
      <w:lvlText w:val="•"/>
      <w:lvlJc w:val="left"/>
      <w:pPr>
        <w:tabs>
          <w:tab w:val="num" w:pos="3600"/>
        </w:tabs>
        <w:ind w:left="3600" w:hanging="360"/>
      </w:pPr>
      <w:rPr>
        <w:rFonts w:ascii="Arial" w:hAnsi="Arial" w:hint="default"/>
      </w:rPr>
    </w:lvl>
    <w:lvl w:ilvl="5" w:tplc="851CE44A" w:tentative="1">
      <w:start w:val="1"/>
      <w:numFmt w:val="bullet"/>
      <w:lvlText w:val="•"/>
      <w:lvlJc w:val="left"/>
      <w:pPr>
        <w:tabs>
          <w:tab w:val="num" w:pos="4320"/>
        </w:tabs>
        <w:ind w:left="4320" w:hanging="360"/>
      </w:pPr>
      <w:rPr>
        <w:rFonts w:ascii="Arial" w:hAnsi="Arial" w:hint="default"/>
      </w:rPr>
    </w:lvl>
    <w:lvl w:ilvl="6" w:tplc="905804E6" w:tentative="1">
      <w:start w:val="1"/>
      <w:numFmt w:val="bullet"/>
      <w:lvlText w:val="•"/>
      <w:lvlJc w:val="left"/>
      <w:pPr>
        <w:tabs>
          <w:tab w:val="num" w:pos="5040"/>
        </w:tabs>
        <w:ind w:left="5040" w:hanging="360"/>
      </w:pPr>
      <w:rPr>
        <w:rFonts w:ascii="Arial" w:hAnsi="Arial" w:hint="default"/>
      </w:rPr>
    </w:lvl>
    <w:lvl w:ilvl="7" w:tplc="3E9A035E" w:tentative="1">
      <w:start w:val="1"/>
      <w:numFmt w:val="bullet"/>
      <w:lvlText w:val="•"/>
      <w:lvlJc w:val="left"/>
      <w:pPr>
        <w:tabs>
          <w:tab w:val="num" w:pos="5760"/>
        </w:tabs>
        <w:ind w:left="5760" w:hanging="360"/>
      </w:pPr>
      <w:rPr>
        <w:rFonts w:ascii="Arial" w:hAnsi="Arial" w:hint="default"/>
      </w:rPr>
    </w:lvl>
    <w:lvl w:ilvl="8" w:tplc="7804AE4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A4A1777"/>
    <w:multiLevelType w:val="hybridMultilevel"/>
    <w:tmpl w:val="37BA3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C111CA"/>
    <w:multiLevelType w:val="hybridMultilevel"/>
    <w:tmpl w:val="4B7C3F50"/>
    <w:lvl w:ilvl="0" w:tplc="5CF82242">
      <w:start w:val="1"/>
      <w:numFmt w:val="bullet"/>
      <w:lvlText w:val="•"/>
      <w:lvlJc w:val="left"/>
      <w:pPr>
        <w:tabs>
          <w:tab w:val="num" w:pos="720"/>
        </w:tabs>
        <w:ind w:left="720" w:hanging="360"/>
      </w:pPr>
      <w:rPr>
        <w:rFonts w:ascii="Times New Roman" w:hAnsi="Times New Roman" w:hint="default"/>
      </w:rPr>
    </w:lvl>
    <w:lvl w:ilvl="1" w:tplc="C8F03FE2" w:tentative="1">
      <w:start w:val="1"/>
      <w:numFmt w:val="bullet"/>
      <w:lvlText w:val="•"/>
      <w:lvlJc w:val="left"/>
      <w:pPr>
        <w:tabs>
          <w:tab w:val="num" w:pos="1440"/>
        </w:tabs>
        <w:ind w:left="1440" w:hanging="360"/>
      </w:pPr>
      <w:rPr>
        <w:rFonts w:ascii="Times New Roman" w:hAnsi="Times New Roman" w:hint="default"/>
      </w:rPr>
    </w:lvl>
    <w:lvl w:ilvl="2" w:tplc="106EAD6C" w:tentative="1">
      <w:start w:val="1"/>
      <w:numFmt w:val="bullet"/>
      <w:lvlText w:val="•"/>
      <w:lvlJc w:val="left"/>
      <w:pPr>
        <w:tabs>
          <w:tab w:val="num" w:pos="2160"/>
        </w:tabs>
        <w:ind w:left="2160" w:hanging="360"/>
      </w:pPr>
      <w:rPr>
        <w:rFonts w:ascii="Times New Roman" w:hAnsi="Times New Roman" w:hint="default"/>
      </w:rPr>
    </w:lvl>
    <w:lvl w:ilvl="3" w:tplc="8CDA22C2" w:tentative="1">
      <w:start w:val="1"/>
      <w:numFmt w:val="bullet"/>
      <w:lvlText w:val="•"/>
      <w:lvlJc w:val="left"/>
      <w:pPr>
        <w:tabs>
          <w:tab w:val="num" w:pos="2880"/>
        </w:tabs>
        <w:ind w:left="2880" w:hanging="360"/>
      </w:pPr>
      <w:rPr>
        <w:rFonts w:ascii="Times New Roman" w:hAnsi="Times New Roman" w:hint="default"/>
      </w:rPr>
    </w:lvl>
    <w:lvl w:ilvl="4" w:tplc="C54A1DB8" w:tentative="1">
      <w:start w:val="1"/>
      <w:numFmt w:val="bullet"/>
      <w:lvlText w:val="•"/>
      <w:lvlJc w:val="left"/>
      <w:pPr>
        <w:tabs>
          <w:tab w:val="num" w:pos="3600"/>
        </w:tabs>
        <w:ind w:left="3600" w:hanging="360"/>
      </w:pPr>
      <w:rPr>
        <w:rFonts w:ascii="Times New Roman" w:hAnsi="Times New Roman" w:hint="default"/>
      </w:rPr>
    </w:lvl>
    <w:lvl w:ilvl="5" w:tplc="882C80BE" w:tentative="1">
      <w:start w:val="1"/>
      <w:numFmt w:val="bullet"/>
      <w:lvlText w:val="•"/>
      <w:lvlJc w:val="left"/>
      <w:pPr>
        <w:tabs>
          <w:tab w:val="num" w:pos="4320"/>
        </w:tabs>
        <w:ind w:left="4320" w:hanging="360"/>
      </w:pPr>
      <w:rPr>
        <w:rFonts w:ascii="Times New Roman" w:hAnsi="Times New Roman" w:hint="default"/>
      </w:rPr>
    </w:lvl>
    <w:lvl w:ilvl="6" w:tplc="62E687DC" w:tentative="1">
      <w:start w:val="1"/>
      <w:numFmt w:val="bullet"/>
      <w:lvlText w:val="•"/>
      <w:lvlJc w:val="left"/>
      <w:pPr>
        <w:tabs>
          <w:tab w:val="num" w:pos="5040"/>
        </w:tabs>
        <w:ind w:left="5040" w:hanging="360"/>
      </w:pPr>
      <w:rPr>
        <w:rFonts w:ascii="Times New Roman" w:hAnsi="Times New Roman" w:hint="default"/>
      </w:rPr>
    </w:lvl>
    <w:lvl w:ilvl="7" w:tplc="68C847FE" w:tentative="1">
      <w:start w:val="1"/>
      <w:numFmt w:val="bullet"/>
      <w:lvlText w:val="•"/>
      <w:lvlJc w:val="left"/>
      <w:pPr>
        <w:tabs>
          <w:tab w:val="num" w:pos="5760"/>
        </w:tabs>
        <w:ind w:left="5760" w:hanging="360"/>
      </w:pPr>
      <w:rPr>
        <w:rFonts w:ascii="Times New Roman" w:hAnsi="Times New Roman" w:hint="default"/>
      </w:rPr>
    </w:lvl>
    <w:lvl w:ilvl="8" w:tplc="69AC7FB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1D00BB6"/>
    <w:multiLevelType w:val="hybridMultilevel"/>
    <w:tmpl w:val="F8E4F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5955316">
    <w:abstractNumId w:val="13"/>
  </w:num>
  <w:num w:numId="2" w16cid:durableId="1389840876">
    <w:abstractNumId w:val="14"/>
  </w:num>
  <w:num w:numId="3" w16cid:durableId="1337802471">
    <w:abstractNumId w:val="5"/>
  </w:num>
  <w:num w:numId="4" w16cid:durableId="478881933">
    <w:abstractNumId w:val="0"/>
  </w:num>
  <w:num w:numId="5" w16cid:durableId="1783497985">
    <w:abstractNumId w:val="10"/>
  </w:num>
  <w:num w:numId="6" w16cid:durableId="801197359">
    <w:abstractNumId w:val="7"/>
  </w:num>
  <w:num w:numId="7" w16cid:durableId="2115781278">
    <w:abstractNumId w:val="15"/>
  </w:num>
  <w:num w:numId="8" w16cid:durableId="1091664624">
    <w:abstractNumId w:val="12"/>
  </w:num>
  <w:num w:numId="9" w16cid:durableId="932276615">
    <w:abstractNumId w:val="9"/>
  </w:num>
  <w:num w:numId="10" w16cid:durableId="1403067794">
    <w:abstractNumId w:val="2"/>
  </w:num>
  <w:num w:numId="11" w16cid:durableId="115998815">
    <w:abstractNumId w:val="3"/>
  </w:num>
  <w:num w:numId="12" w16cid:durableId="1058085">
    <w:abstractNumId w:val="4"/>
  </w:num>
  <w:num w:numId="13" w16cid:durableId="4594928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1197696">
    <w:abstractNumId w:val="6"/>
  </w:num>
  <w:num w:numId="15" w16cid:durableId="462357366">
    <w:abstractNumId w:val="1"/>
  </w:num>
  <w:num w:numId="16" w16cid:durableId="1169709468">
    <w:abstractNumId w:val="8"/>
  </w:num>
  <w:num w:numId="17" w16cid:durableId="9638534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579"/>
    <w:rsid w:val="0001554A"/>
    <w:rsid w:val="000403FA"/>
    <w:rsid w:val="00052891"/>
    <w:rsid w:val="00065912"/>
    <w:rsid w:val="00077122"/>
    <w:rsid w:val="000819B6"/>
    <w:rsid w:val="000879AE"/>
    <w:rsid w:val="00093253"/>
    <w:rsid w:val="000A0654"/>
    <w:rsid w:val="000A3A6B"/>
    <w:rsid w:val="000A417B"/>
    <w:rsid w:val="000B05D0"/>
    <w:rsid w:val="000B32EF"/>
    <w:rsid w:val="000B6A52"/>
    <w:rsid w:val="000B7437"/>
    <w:rsid w:val="000C4A95"/>
    <w:rsid w:val="000E2652"/>
    <w:rsid w:val="000E7475"/>
    <w:rsid w:val="000F407A"/>
    <w:rsid w:val="000F5866"/>
    <w:rsid w:val="00102B2C"/>
    <w:rsid w:val="001119D2"/>
    <w:rsid w:val="001359A9"/>
    <w:rsid w:val="0013777F"/>
    <w:rsid w:val="001379B3"/>
    <w:rsid w:val="0015304A"/>
    <w:rsid w:val="00154F7D"/>
    <w:rsid w:val="00155BD4"/>
    <w:rsid w:val="001633B8"/>
    <w:rsid w:val="00175A00"/>
    <w:rsid w:val="0018191C"/>
    <w:rsid w:val="00181AC8"/>
    <w:rsid w:val="00183149"/>
    <w:rsid w:val="001861E9"/>
    <w:rsid w:val="001A5D29"/>
    <w:rsid w:val="001B2903"/>
    <w:rsid w:val="001B2CF8"/>
    <w:rsid w:val="001C64FE"/>
    <w:rsid w:val="001C6E86"/>
    <w:rsid w:val="001D6ABB"/>
    <w:rsid w:val="001D782D"/>
    <w:rsid w:val="001E133A"/>
    <w:rsid w:val="001E3DA7"/>
    <w:rsid w:val="001F37A7"/>
    <w:rsid w:val="001F55AD"/>
    <w:rsid w:val="001F6864"/>
    <w:rsid w:val="001F695A"/>
    <w:rsid w:val="00204F91"/>
    <w:rsid w:val="00205118"/>
    <w:rsid w:val="00224636"/>
    <w:rsid w:val="00232E60"/>
    <w:rsid w:val="00245FF1"/>
    <w:rsid w:val="00247C99"/>
    <w:rsid w:val="0025445F"/>
    <w:rsid w:val="00264D98"/>
    <w:rsid w:val="00290152"/>
    <w:rsid w:val="0029566F"/>
    <w:rsid w:val="002A4663"/>
    <w:rsid w:val="002A6E61"/>
    <w:rsid w:val="002A7318"/>
    <w:rsid w:val="002B51EA"/>
    <w:rsid w:val="002C7596"/>
    <w:rsid w:val="002D3659"/>
    <w:rsid w:val="002D3A0E"/>
    <w:rsid w:val="002D74AD"/>
    <w:rsid w:val="002E6327"/>
    <w:rsid w:val="002F6937"/>
    <w:rsid w:val="003055C1"/>
    <w:rsid w:val="00320DC2"/>
    <w:rsid w:val="00322053"/>
    <w:rsid w:val="00327B20"/>
    <w:rsid w:val="003434CA"/>
    <w:rsid w:val="00363596"/>
    <w:rsid w:val="00365E19"/>
    <w:rsid w:val="00382B3E"/>
    <w:rsid w:val="003B1E3A"/>
    <w:rsid w:val="003B5381"/>
    <w:rsid w:val="003C0C88"/>
    <w:rsid w:val="003E1A58"/>
    <w:rsid w:val="003E2342"/>
    <w:rsid w:val="003E40FA"/>
    <w:rsid w:val="004050AA"/>
    <w:rsid w:val="00414BDA"/>
    <w:rsid w:val="00417B61"/>
    <w:rsid w:val="004306F0"/>
    <w:rsid w:val="00433B8C"/>
    <w:rsid w:val="0044438D"/>
    <w:rsid w:val="0046461B"/>
    <w:rsid w:val="00487E41"/>
    <w:rsid w:val="00492BFC"/>
    <w:rsid w:val="004A4CDD"/>
    <w:rsid w:val="004B3973"/>
    <w:rsid w:val="004C5BF4"/>
    <w:rsid w:val="004C644D"/>
    <w:rsid w:val="004D2AB1"/>
    <w:rsid w:val="004F2CB7"/>
    <w:rsid w:val="004F6E84"/>
    <w:rsid w:val="00505C06"/>
    <w:rsid w:val="00522940"/>
    <w:rsid w:val="00535225"/>
    <w:rsid w:val="00542DEB"/>
    <w:rsid w:val="00545DEB"/>
    <w:rsid w:val="00546BE3"/>
    <w:rsid w:val="005473D5"/>
    <w:rsid w:val="00551041"/>
    <w:rsid w:val="00551B24"/>
    <w:rsid w:val="005647A5"/>
    <w:rsid w:val="0058042B"/>
    <w:rsid w:val="005A29B8"/>
    <w:rsid w:val="005B1C4F"/>
    <w:rsid w:val="005B61DD"/>
    <w:rsid w:val="005D223B"/>
    <w:rsid w:val="005E2E4C"/>
    <w:rsid w:val="005F47BE"/>
    <w:rsid w:val="005F79EC"/>
    <w:rsid w:val="0060006E"/>
    <w:rsid w:val="00620776"/>
    <w:rsid w:val="00626B01"/>
    <w:rsid w:val="0062736C"/>
    <w:rsid w:val="00640E12"/>
    <w:rsid w:val="006A680E"/>
    <w:rsid w:val="006B09B6"/>
    <w:rsid w:val="006C2D39"/>
    <w:rsid w:val="006C2E9A"/>
    <w:rsid w:val="006C5C5C"/>
    <w:rsid w:val="006E4656"/>
    <w:rsid w:val="006F7402"/>
    <w:rsid w:val="00702C42"/>
    <w:rsid w:val="0071249F"/>
    <w:rsid w:val="007377BE"/>
    <w:rsid w:val="00752557"/>
    <w:rsid w:val="00752F66"/>
    <w:rsid w:val="007568DE"/>
    <w:rsid w:val="00757493"/>
    <w:rsid w:val="007710A6"/>
    <w:rsid w:val="007822C6"/>
    <w:rsid w:val="007830F3"/>
    <w:rsid w:val="0078781D"/>
    <w:rsid w:val="0079221E"/>
    <w:rsid w:val="00793AAF"/>
    <w:rsid w:val="007C010C"/>
    <w:rsid w:val="007C46F9"/>
    <w:rsid w:val="007D03C9"/>
    <w:rsid w:val="007D061D"/>
    <w:rsid w:val="007D5CC6"/>
    <w:rsid w:val="007E7B75"/>
    <w:rsid w:val="0080149D"/>
    <w:rsid w:val="008062E0"/>
    <w:rsid w:val="00807FB3"/>
    <w:rsid w:val="00822248"/>
    <w:rsid w:val="0082600A"/>
    <w:rsid w:val="008306BF"/>
    <w:rsid w:val="0083549D"/>
    <w:rsid w:val="00840753"/>
    <w:rsid w:val="00840A6B"/>
    <w:rsid w:val="00853491"/>
    <w:rsid w:val="0086164A"/>
    <w:rsid w:val="0087679D"/>
    <w:rsid w:val="008926A2"/>
    <w:rsid w:val="008930A2"/>
    <w:rsid w:val="008B3F49"/>
    <w:rsid w:val="008C1A21"/>
    <w:rsid w:val="008E4805"/>
    <w:rsid w:val="009057FE"/>
    <w:rsid w:val="00907A0C"/>
    <w:rsid w:val="00924253"/>
    <w:rsid w:val="0093339E"/>
    <w:rsid w:val="00936BA6"/>
    <w:rsid w:val="00936BFA"/>
    <w:rsid w:val="009727FD"/>
    <w:rsid w:val="009740F6"/>
    <w:rsid w:val="009C0116"/>
    <w:rsid w:val="009C600C"/>
    <w:rsid w:val="009E07D6"/>
    <w:rsid w:val="009E663F"/>
    <w:rsid w:val="00A12D88"/>
    <w:rsid w:val="00A22AF3"/>
    <w:rsid w:val="00A34A0A"/>
    <w:rsid w:val="00A40586"/>
    <w:rsid w:val="00A60680"/>
    <w:rsid w:val="00A63D7A"/>
    <w:rsid w:val="00A72209"/>
    <w:rsid w:val="00A9436C"/>
    <w:rsid w:val="00A960A8"/>
    <w:rsid w:val="00AA1C4C"/>
    <w:rsid w:val="00AB63F2"/>
    <w:rsid w:val="00AB7A3D"/>
    <w:rsid w:val="00AB7F43"/>
    <w:rsid w:val="00AF1E87"/>
    <w:rsid w:val="00AF6097"/>
    <w:rsid w:val="00AF71C6"/>
    <w:rsid w:val="00B208CB"/>
    <w:rsid w:val="00B21A11"/>
    <w:rsid w:val="00B2320C"/>
    <w:rsid w:val="00B37C2B"/>
    <w:rsid w:val="00B47D89"/>
    <w:rsid w:val="00B558A8"/>
    <w:rsid w:val="00B62A6A"/>
    <w:rsid w:val="00B73AB0"/>
    <w:rsid w:val="00B817AC"/>
    <w:rsid w:val="00B83C8F"/>
    <w:rsid w:val="00B85FFF"/>
    <w:rsid w:val="00BA1330"/>
    <w:rsid w:val="00BC4A17"/>
    <w:rsid w:val="00BC626F"/>
    <w:rsid w:val="00BC7ECA"/>
    <w:rsid w:val="00BD1C82"/>
    <w:rsid w:val="00BE258F"/>
    <w:rsid w:val="00C02B20"/>
    <w:rsid w:val="00C11333"/>
    <w:rsid w:val="00C11DAF"/>
    <w:rsid w:val="00C22E6E"/>
    <w:rsid w:val="00C27463"/>
    <w:rsid w:val="00C310DA"/>
    <w:rsid w:val="00C57A53"/>
    <w:rsid w:val="00C677F8"/>
    <w:rsid w:val="00C90CBE"/>
    <w:rsid w:val="00C930FC"/>
    <w:rsid w:val="00C961C1"/>
    <w:rsid w:val="00CA2812"/>
    <w:rsid w:val="00CA452E"/>
    <w:rsid w:val="00CC693C"/>
    <w:rsid w:val="00CD6D32"/>
    <w:rsid w:val="00CE169A"/>
    <w:rsid w:val="00CF0AAA"/>
    <w:rsid w:val="00CF4605"/>
    <w:rsid w:val="00D04633"/>
    <w:rsid w:val="00D201E6"/>
    <w:rsid w:val="00D214B2"/>
    <w:rsid w:val="00D36A20"/>
    <w:rsid w:val="00D41CCB"/>
    <w:rsid w:val="00D4305B"/>
    <w:rsid w:val="00D5120E"/>
    <w:rsid w:val="00D54956"/>
    <w:rsid w:val="00D620A6"/>
    <w:rsid w:val="00D62482"/>
    <w:rsid w:val="00D8492D"/>
    <w:rsid w:val="00DA2770"/>
    <w:rsid w:val="00DA513C"/>
    <w:rsid w:val="00DB083C"/>
    <w:rsid w:val="00DB2029"/>
    <w:rsid w:val="00DB5567"/>
    <w:rsid w:val="00DC2E27"/>
    <w:rsid w:val="00DD3C31"/>
    <w:rsid w:val="00DE40D8"/>
    <w:rsid w:val="00DE4515"/>
    <w:rsid w:val="00DF0B75"/>
    <w:rsid w:val="00DF59AD"/>
    <w:rsid w:val="00DF69E6"/>
    <w:rsid w:val="00E04C1D"/>
    <w:rsid w:val="00E136B9"/>
    <w:rsid w:val="00E13C5A"/>
    <w:rsid w:val="00E30AD1"/>
    <w:rsid w:val="00E34E0B"/>
    <w:rsid w:val="00E60291"/>
    <w:rsid w:val="00E65577"/>
    <w:rsid w:val="00E73288"/>
    <w:rsid w:val="00E75F85"/>
    <w:rsid w:val="00E81F7A"/>
    <w:rsid w:val="00E84AEC"/>
    <w:rsid w:val="00E87FF7"/>
    <w:rsid w:val="00EA15E4"/>
    <w:rsid w:val="00EA63B1"/>
    <w:rsid w:val="00EC11D7"/>
    <w:rsid w:val="00EF1316"/>
    <w:rsid w:val="00EF1EA6"/>
    <w:rsid w:val="00EF3579"/>
    <w:rsid w:val="00F00B9C"/>
    <w:rsid w:val="00F02256"/>
    <w:rsid w:val="00F346A4"/>
    <w:rsid w:val="00F47D84"/>
    <w:rsid w:val="00F61563"/>
    <w:rsid w:val="00F63025"/>
    <w:rsid w:val="00F641E0"/>
    <w:rsid w:val="00F666B9"/>
    <w:rsid w:val="00FA79F1"/>
    <w:rsid w:val="00FC14F6"/>
    <w:rsid w:val="00FC27DC"/>
    <w:rsid w:val="00FD6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30FD"/>
  <w15:chartTrackingRefBased/>
  <w15:docId w15:val="{EE458794-6B9D-4430-9603-5D635856D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7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F3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3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3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3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3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35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5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5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5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3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3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3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3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3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579"/>
    <w:rPr>
      <w:rFonts w:eastAsiaTheme="majorEastAsia" w:cstheme="majorBidi"/>
      <w:color w:val="272727" w:themeColor="text1" w:themeTint="D8"/>
    </w:rPr>
  </w:style>
  <w:style w:type="paragraph" w:styleId="Title">
    <w:name w:val="Title"/>
    <w:basedOn w:val="Normal"/>
    <w:next w:val="Normal"/>
    <w:link w:val="TitleChar"/>
    <w:uiPriority w:val="10"/>
    <w:qFormat/>
    <w:rsid w:val="00EF357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579"/>
    <w:pPr>
      <w:spacing w:before="160"/>
      <w:jc w:val="center"/>
    </w:pPr>
    <w:rPr>
      <w:i/>
      <w:iCs/>
      <w:color w:val="404040" w:themeColor="text1" w:themeTint="BF"/>
    </w:rPr>
  </w:style>
  <w:style w:type="character" w:customStyle="1" w:styleId="QuoteChar">
    <w:name w:val="Quote Char"/>
    <w:basedOn w:val="DefaultParagraphFont"/>
    <w:link w:val="Quote"/>
    <w:uiPriority w:val="29"/>
    <w:rsid w:val="00EF3579"/>
    <w:rPr>
      <w:i/>
      <w:iCs/>
      <w:color w:val="404040" w:themeColor="text1" w:themeTint="BF"/>
    </w:rPr>
  </w:style>
  <w:style w:type="paragraph" w:styleId="ListParagraph">
    <w:name w:val="List Paragraph"/>
    <w:basedOn w:val="Normal"/>
    <w:uiPriority w:val="34"/>
    <w:qFormat/>
    <w:rsid w:val="00EF3579"/>
    <w:pPr>
      <w:ind w:left="720"/>
      <w:contextualSpacing/>
    </w:pPr>
  </w:style>
  <w:style w:type="character" w:styleId="IntenseEmphasis">
    <w:name w:val="Intense Emphasis"/>
    <w:basedOn w:val="DefaultParagraphFont"/>
    <w:uiPriority w:val="21"/>
    <w:qFormat/>
    <w:rsid w:val="00EF3579"/>
    <w:rPr>
      <w:i/>
      <w:iCs/>
      <w:color w:val="0F4761" w:themeColor="accent1" w:themeShade="BF"/>
    </w:rPr>
  </w:style>
  <w:style w:type="paragraph" w:styleId="IntenseQuote">
    <w:name w:val="Intense Quote"/>
    <w:basedOn w:val="Normal"/>
    <w:next w:val="Normal"/>
    <w:link w:val="IntenseQuoteChar"/>
    <w:uiPriority w:val="30"/>
    <w:qFormat/>
    <w:rsid w:val="00EF3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3579"/>
    <w:rPr>
      <w:i/>
      <w:iCs/>
      <w:color w:val="0F4761" w:themeColor="accent1" w:themeShade="BF"/>
    </w:rPr>
  </w:style>
  <w:style w:type="character" w:styleId="IntenseReference">
    <w:name w:val="Intense Reference"/>
    <w:basedOn w:val="DefaultParagraphFont"/>
    <w:uiPriority w:val="32"/>
    <w:qFormat/>
    <w:rsid w:val="00EF3579"/>
    <w:rPr>
      <w:b/>
      <w:bCs/>
      <w:smallCaps/>
      <w:color w:val="0F4761" w:themeColor="accent1" w:themeShade="BF"/>
      <w:spacing w:val="5"/>
    </w:rPr>
  </w:style>
  <w:style w:type="character" w:styleId="Hyperlink">
    <w:name w:val="Hyperlink"/>
    <w:basedOn w:val="DefaultParagraphFont"/>
    <w:uiPriority w:val="99"/>
    <w:unhideWhenUsed/>
    <w:rsid w:val="00264D98"/>
    <w:rPr>
      <w:color w:val="467886" w:themeColor="hyperlink"/>
      <w:u w:val="single"/>
    </w:rPr>
  </w:style>
  <w:style w:type="paragraph" w:styleId="Bibliography">
    <w:name w:val="Bibliography"/>
    <w:basedOn w:val="Normal"/>
    <w:next w:val="Normal"/>
    <w:uiPriority w:val="37"/>
    <w:unhideWhenUsed/>
    <w:rsid w:val="00752557"/>
  </w:style>
  <w:style w:type="character" w:styleId="FollowedHyperlink">
    <w:name w:val="FollowedHyperlink"/>
    <w:basedOn w:val="DefaultParagraphFont"/>
    <w:uiPriority w:val="99"/>
    <w:semiHidden/>
    <w:unhideWhenUsed/>
    <w:rsid w:val="00BC626F"/>
    <w:rPr>
      <w:color w:val="96607D" w:themeColor="followedHyperlink"/>
      <w:u w:val="single"/>
    </w:rPr>
  </w:style>
  <w:style w:type="character" w:styleId="UnresolvedMention">
    <w:name w:val="Unresolved Mention"/>
    <w:basedOn w:val="DefaultParagraphFont"/>
    <w:uiPriority w:val="99"/>
    <w:semiHidden/>
    <w:unhideWhenUsed/>
    <w:rsid w:val="0086164A"/>
    <w:rPr>
      <w:color w:val="605E5C"/>
      <w:shd w:val="clear" w:color="auto" w:fill="E1DFDD"/>
    </w:rPr>
  </w:style>
  <w:style w:type="paragraph" w:styleId="Caption">
    <w:name w:val="caption"/>
    <w:basedOn w:val="Normal"/>
    <w:next w:val="Normal"/>
    <w:uiPriority w:val="35"/>
    <w:semiHidden/>
    <w:unhideWhenUsed/>
    <w:qFormat/>
    <w:rsid w:val="000E7475"/>
    <w:pPr>
      <w:spacing w:after="200"/>
    </w:pPr>
    <w:rPr>
      <w:i/>
      <w:iCs/>
      <w:color w:val="0E2841" w:themeColor="text2"/>
      <w:sz w:val="18"/>
      <w:szCs w:val="18"/>
    </w:rPr>
  </w:style>
  <w:style w:type="paragraph" w:styleId="TableofFigures">
    <w:name w:val="table of figures"/>
    <w:basedOn w:val="Normal"/>
    <w:next w:val="Normal"/>
    <w:uiPriority w:val="99"/>
    <w:unhideWhenUsed/>
    <w:rsid w:val="000E7475"/>
  </w:style>
  <w:style w:type="paragraph" w:styleId="TOCHeading">
    <w:name w:val="TOC Heading"/>
    <w:basedOn w:val="Heading1"/>
    <w:next w:val="Normal"/>
    <w:uiPriority w:val="39"/>
    <w:unhideWhenUsed/>
    <w:qFormat/>
    <w:rsid w:val="000E7475"/>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0E747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8217">
      <w:bodyDiv w:val="1"/>
      <w:marLeft w:val="0"/>
      <w:marRight w:val="0"/>
      <w:marTop w:val="0"/>
      <w:marBottom w:val="0"/>
      <w:divBdr>
        <w:top w:val="none" w:sz="0" w:space="0" w:color="auto"/>
        <w:left w:val="none" w:sz="0" w:space="0" w:color="auto"/>
        <w:bottom w:val="none" w:sz="0" w:space="0" w:color="auto"/>
        <w:right w:val="none" w:sz="0" w:space="0" w:color="auto"/>
      </w:divBdr>
    </w:div>
    <w:div w:id="7752837">
      <w:bodyDiv w:val="1"/>
      <w:marLeft w:val="0"/>
      <w:marRight w:val="0"/>
      <w:marTop w:val="0"/>
      <w:marBottom w:val="0"/>
      <w:divBdr>
        <w:top w:val="none" w:sz="0" w:space="0" w:color="auto"/>
        <w:left w:val="none" w:sz="0" w:space="0" w:color="auto"/>
        <w:bottom w:val="none" w:sz="0" w:space="0" w:color="auto"/>
        <w:right w:val="none" w:sz="0" w:space="0" w:color="auto"/>
      </w:divBdr>
      <w:divsChild>
        <w:div w:id="1116755390">
          <w:marLeft w:val="547"/>
          <w:marRight w:val="0"/>
          <w:marTop w:val="0"/>
          <w:marBottom w:val="0"/>
          <w:divBdr>
            <w:top w:val="none" w:sz="0" w:space="0" w:color="auto"/>
            <w:left w:val="none" w:sz="0" w:space="0" w:color="auto"/>
            <w:bottom w:val="none" w:sz="0" w:space="0" w:color="auto"/>
            <w:right w:val="none" w:sz="0" w:space="0" w:color="auto"/>
          </w:divBdr>
        </w:div>
      </w:divsChild>
    </w:div>
    <w:div w:id="19599155">
      <w:bodyDiv w:val="1"/>
      <w:marLeft w:val="0"/>
      <w:marRight w:val="0"/>
      <w:marTop w:val="0"/>
      <w:marBottom w:val="0"/>
      <w:divBdr>
        <w:top w:val="none" w:sz="0" w:space="0" w:color="auto"/>
        <w:left w:val="none" w:sz="0" w:space="0" w:color="auto"/>
        <w:bottom w:val="none" w:sz="0" w:space="0" w:color="auto"/>
        <w:right w:val="none" w:sz="0" w:space="0" w:color="auto"/>
      </w:divBdr>
    </w:div>
    <w:div w:id="21903200">
      <w:bodyDiv w:val="1"/>
      <w:marLeft w:val="0"/>
      <w:marRight w:val="0"/>
      <w:marTop w:val="0"/>
      <w:marBottom w:val="0"/>
      <w:divBdr>
        <w:top w:val="none" w:sz="0" w:space="0" w:color="auto"/>
        <w:left w:val="none" w:sz="0" w:space="0" w:color="auto"/>
        <w:bottom w:val="none" w:sz="0" w:space="0" w:color="auto"/>
        <w:right w:val="none" w:sz="0" w:space="0" w:color="auto"/>
      </w:divBdr>
    </w:div>
    <w:div w:id="27217182">
      <w:bodyDiv w:val="1"/>
      <w:marLeft w:val="0"/>
      <w:marRight w:val="0"/>
      <w:marTop w:val="0"/>
      <w:marBottom w:val="0"/>
      <w:divBdr>
        <w:top w:val="none" w:sz="0" w:space="0" w:color="auto"/>
        <w:left w:val="none" w:sz="0" w:space="0" w:color="auto"/>
        <w:bottom w:val="none" w:sz="0" w:space="0" w:color="auto"/>
        <w:right w:val="none" w:sz="0" w:space="0" w:color="auto"/>
      </w:divBdr>
    </w:div>
    <w:div w:id="35131429">
      <w:bodyDiv w:val="1"/>
      <w:marLeft w:val="0"/>
      <w:marRight w:val="0"/>
      <w:marTop w:val="0"/>
      <w:marBottom w:val="0"/>
      <w:divBdr>
        <w:top w:val="none" w:sz="0" w:space="0" w:color="auto"/>
        <w:left w:val="none" w:sz="0" w:space="0" w:color="auto"/>
        <w:bottom w:val="none" w:sz="0" w:space="0" w:color="auto"/>
        <w:right w:val="none" w:sz="0" w:space="0" w:color="auto"/>
      </w:divBdr>
    </w:div>
    <w:div w:id="57869761">
      <w:bodyDiv w:val="1"/>
      <w:marLeft w:val="0"/>
      <w:marRight w:val="0"/>
      <w:marTop w:val="0"/>
      <w:marBottom w:val="0"/>
      <w:divBdr>
        <w:top w:val="none" w:sz="0" w:space="0" w:color="auto"/>
        <w:left w:val="none" w:sz="0" w:space="0" w:color="auto"/>
        <w:bottom w:val="none" w:sz="0" w:space="0" w:color="auto"/>
        <w:right w:val="none" w:sz="0" w:space="0" w:color="auto"/>
      </w:divBdr>
    </w:div>
    <w:div w:id="69893038">
      <w:bodyDiv w:val="1"/>
      <w:marLeft w:val="0"/>
      <w:marRight w:val="0"/>
      <w:marTop w:val="0"/>
      <w:marBottom w:val="0"/>
      <w:divBdr>
        <w:top w:val="none" w:sz="0" w:space="0" w:color="auto"/>
        <w:left w:val="none" w:sz="0" w:space="0" w:color="auto"/>
        <w:bottom w:val="none" w:sz="0" w:space="0" w:color="auto"/>
        <w:right w:val="none" w:sz="0" w:space="0" w:color="auto"/>
      </w:divBdr>
    </w:div>
    <w:div w:id="83117347">
      <w:bodyDiv w:val="1"/>
      <w:marLeft w:val="0"/>
      <w:marRight w:val="0"/>
      <w:marTop w:val="0"/>
      <w:marBottom w:val="0"/>
      <w:divBdr>
        <w:top w:val="none" w:sz="0" w:space="0" w:color="auto"/>
        <w:left w:val="none" w:sz="0" w:space="0" w:color="auto"/>
        <w:bottom w:val="none" w:sz="0" w:space="0" w:color="auto"/>
        <w:right w:val="none" w:sz="0" w:space="0" w:color="auto"/>
      </w:divBdr>
    </w:div>
    <w:div w:id="101537419">
      <w:bodyDiv w:val="1"/>
      <w:marLeft w:val="0"/>
      <w:marRight w:val="0"/>
      <w:marTop w:val="0"/>
      <w:marBottom w:val="0"/>
      <w:divBdr>
        <w:top w:val="none" w:sz="0" w:space="0" w:color="auto"/>
        <w:left w:val="none" w:sz="0" w:space="0" w:color="auto"/>
        <w:bottom w:val="none" w:sz="0" w:space="0" w:color="auto"/>
        <w:right w:val="none" w:sz="0" w:space="0" w:color="auto"/>
      </w:divBdr>
    </w:div>
    <w:div w:id="147669918">
      <w:bodyDiv w:val="1"/>
      <w:marLeft w:val="0"/>
      <w:marRight w:val="0"/>
      <w:marTop w:val="0"/>
      <w:marBottom w:val="0"/>
      <w:divBdr>
        <w:top w:val="none" w:sz="0" w:space="0" w:color="auto"/>
        <w:left w:val="none" w:sz="0" w:space="0" w:color="auto"/>
        <w:bottom w:val="none" w:sz="0" w:space="0" w:color="auto"/>
        <w:right w:val="none" w:sz="0" w:space="0" w:color="auto"/>
      </w:divBdr>
    </w:div>
    <w:div w:id="171343348">
      <w:bodyDiv w:val="1"/>
      <w:marLeft w:val="0"/>
      <w:marRight w:val="0"/>
      <w:marTop w:val="0"/>
      <w:marBottom w:val="0"/>
      <w:divBdr>
        <w:top w:val="none" w:sz="0" w:space="0" w:color="auto"/>
        <w:left w:val="none" w:sz="0" w:space="0" w:color="auto"/>
        <w:bottom w:val="none" w:sz="0" w:space="0" w:color="auto"/>
        <w:right w:val="none" w:sz="0" w:space="0" w:color="auto"/>
      </w:divBdr>
    </w:div>
    <w:div w:id="198786897">
      <w:bodyDiv w:val="1"/>
      <w:marLeft w:val="0"/>
      <w:marRight w:val="0"/>
      <w:marTop w:val="0"/>
      <w:marBottom w:val="0"/>
      <w:divBdr>
        <w:top w:val="none" w:sz="0" w:space="0" w:color="auto"/>
        <w:left w:val="none" w:sz="0" w:space="0" w:color="auto"/>
        <w:bottom w:val="none" w:sz="0" w:space="0" w:color="auto"/>
        <w:right w:val="none" w:sz="0" w:space="0" w:color="auto"/>
      </w:divBdr>
    </w:div>
    <w:div w:id="205215755">
      <w:bodyDiv w:val="1"/>
      <w:marLeft w:val="0"/>
      <w:marRight w:val="0"/>
      <w:marTop w:val="0"/>
      <w:marBottom w:val="0"/>
      <w:divBdr>
        <w:top w:val="none" w:sz="0" w:space="0" w:color="auto"/>
        <w:left w:val="none" w:sz="0" w:space="0" w:color="auto"/>
        <w:bottom w:val="none" w:sz="0" w:space="0" w:color="auto"/>
        <w:right w:val="none" w:sz="0" w:space="0" w:color="auto"/>
      </w:divBdr>
    </w:div>
    <w:div w:id="217475353">
      <w:bodyDiv w:val="1"/>
      <w:marLeft w:val="0"/>
      <w:marRight w:val="0"/>
      <w:marTop w:val="0"/>
      <w:marBottom w:val="0"/>
      <w:divBdr>
        <w:top w:val="none" w:sz="0" w:space="0" w:color="auto"/>
        <w:left w:val="none" w:sz="0" w:space="0" w:color="auto"/>
        <w:bottom w:val="none" w:sz="0" w:space="0" w:color="auto"/>
        <w:right w:val="none" w:sz="0" w:space="0" w:color="auto"/>
      </w:divBdr>
    </w:div>
    <w:div w:id="221409410">
      <w:bodyDiv w:val="1"/>
      <w:marLeft w:val="0"/>
      <w:marRight w:val="0"/>
      <w:marTop w:val="0"/>
      <w:marBottom w:val="0"/>
      <w:divBdr>
        <w:top w:val="none" w:sz="0" w:space="0" w:color="auto"/>
        <w:left w:val="none" w:sz="0" w:space="0" w:color="auto"/>
        <w:bottom w:val="none" w:sz="0" w:space="0" w:color="auto"/>
        <w:right w:val="none" w:sz="0" w:space="0" w:color="auto"/>
      </w:divBdr>
    </w:div>
    <w:div w:id="234706657">
      <w:bodyDiv w:val="1"/>
      <w:marLeft w:val="0"/>
      <w:marRight w:val="0"/>
      <w:marTop w:val="0"/>
      <w:marBottom w:val="0"/>
      <w:divBdr>
        <w:top w:val="none" w:sz="0" w:space="0" w:color="auto"/>
        <w:left w:val="none" w:sz="0" w:space="0" w:color="auto"/>
        <w:bottom w:val="none" w:sz="0" w:space="0" w:color="auto"/>
        <w:right w:val="none" w:sz="0" w:space="0" w:color="auto"/>
      </w:divBdr>
    </w:div>
    <w:div w:id="235359046">
      <w:bodyDiv w:val="1"/>
      <w:marLeft w:val="0"/>
      <w:marRight w:val="0"/>
      <w:marTop w:val="0"/>
      <w:marBottom w:val="0"/>
      <w:divBdr>
        <w:top w:val="none" w:sz="0" w:space="0" w:color="auto"/>
        <w:left w:val="none" w:sz="0" w:space="0" w:color="auto"/>
        <w:bottom w:val="none" w:sz="0" w:space="0" w:color="auto"/>
        <w:right w:val="none" w:sz="0" w:space="0" w:color="auto"/>
      </w:divBdr>
    </w:div>
    <w:div w:id="272518561">
      <w:bodyDiv w:val="1"/>
      <w:marLeft w:val="0"/>
      <w:marRight w:val="0"/>
      <w:marTop w:val="0"/>
      <w:marBottom w:val="0"/>
      <w:divBdr>
        <w:top w:val="none" w:sz="0" w:space="0" w:color="auto"/>
        <w:left w:val="none" w:sz="0" w:space="0" w:color="auto"/>
        <w:bottom w:val="none" w:sz="0" w:space="0" w:color="auto"/>
        <w:right w:val="none" w:sz="0" w:space="0" w:color="auto"/>
      </w:divBdr>
    </w:div>
    <w:div w:id="282004554">
      <w:bodyDiv w:val="1"/>
      <w:marLeft w:val="0"/>
      <w:marRight w:val="0"/>
      <w:marTop w:val="0"/>
      <w:marBottom w:val="0"/>
      <w:divBdr>
        <w:top w:val="none" w:sz="0" w:space="0" w:color="auto"/>
        <w:left w:val="none" w:sz="0" w:space="0" w:color="auto"/>
        <w:bottom w:val="none" w:sz="0" w:space="0" w:color="auto"/>
        <w:right w:val="none" w:sz="0" w:space="0" w:color="auto"/>
      </w:divBdr>
    </w:div>
    <w:div w:id="393509847">
      <w:bodyDiv w:val="1"/>
      <w:marLeft w:val="0"/>
      <w:marRight w:val="0"/>
      <w:marTop w:val="0"/>
      <w:marBottom w:val="0"/>
      <w:divBdr>
        <w:top w:val="none" w:sz="0" w:space="0" w:color="auto"/>
        <w:left w:val="none" w:sz="0" w:space="0" w:color="auto"/>
        <w:bottom w:val="none" w:sz="0" w:space="0" w:color="auto"/>
        <w:right w:val="none" w:sz="0" w:space="0" w:color="auto"/>
      </w:divBdr>
      <w:divsChild>
        <w:div w:id="81994258">
          <w:marLeft w:val="360"/>
          <w:marRight w:val="0"/>
          <w:marTop w:val="200"/>
          <w:marBottom w:val="0"/>
          <w:divBdr>
            <w:top w:val="none" w:sz="0" w:space="0" w:color="auto"/>
            <w:left w:val="none" w:sz="0" w:space="0" w:color="auto"/>
            <w:bottom w:val="none" w:sz="0" w:space="0" w:color="auto"/>
            <w:right w:val="none" w:sz="0" w:space="0" w:color="auto"/>
          </w:divBdr>
        </w:div>
        <w:div w:id="305475616">
          <w:marLeft w:val="360"/>
          <w:marRight w:val="0"/>
          <w:marTop w:val="200"/>
          <w:marBottom w:val="0"/>
          <w:divBdr>
            <w:top w:val="none" w:sz="0" w:space="0" w:color="auto"/>
            <w:left w:val="none" w:sz="0" w:space="0" w:color="auto"/>
            <w:bottom w:val="none" w:sz="0" w:space="0" w:color="auto"/>
            <w:right w:val="none" w:sz="0" w:space="0" w:color="auto"/>
          </w:divBdr>
        </w:div>
        <w:div w:id="816730635">
          <w:marLeft w:val="360"/>
          <w:marRight w:val="0"/>
          <w:marTop w:val="200"/>
          <w:marBottom w:val="0"/>
          <w:divBdr>
            <w:top w:val="none" w:sz="0" w:space="0" w:color="auto"/>
            <w:left w:val="none" w:sz="0" w:space="0" w:color="auto"/>
            <w:bottom w:val="none" w:sz="0" w:space="0" w:color="auto"/>
            <w:right w:val="none" w:sz="0" w:space="0" w:color="auto"/>
          </w:divBdr>
        </w:div>
        <w:div w:id="1749841322">
          <w:marLeft w:val="360"/>
          <w:marRight w:val="0"/>
          <w:marTop w:val="200"/>
          <w:marBottom w:val="0"/>
          <w:divBdr>
            <w:top w:val="none" w:sz="0" w:space="0" w:color="auto"/>
            <w:left w:val="none" w:sz="0" w:space="0" w:color="auto"/>
            <w:bottom w:val="none" w:sz="0" w:space="0" w:color="auto"/>
            <w:right w:val="none" w:sz="0" w:space="0" w:color="auto"/>
          </w:divBdr>
        </w:div>
        <w:div w:id="947811752">
          <w:marLeft w:val="360"/>
          <w:marRight w:val="0"/>
          <w:marTop w:val="200"/>
          <w:marBottom w:val="0"/>
          <w:divBdr>
            <w:top w:val="none" w:sz="0" w:space="0" w:color="auto"/>
            <w:left w:val="none" w:sz="0" w:space="0" w:color="auto"/>
            <w:bottom w:val="none" w:sz="0" w:space="0" w:color="auto"/>
            <w:right w:val="none" w:sz="0" w:space="0" w:color="auto"/>
          </w:divBdr>
        </w:div>
        <w:div w:id="516431721">
          <w:marLeft w:val="360"/>
          <w:marRight w:val="0"/>
          <w:marTop w:val="200"/>
          <w:marBottom w:val="0"/>
          <w:divBdr>
            <w:top w:val="none" w:sz="0" w:space="0" w:color="auto"/>
            <w:left w:val="none" w:sz="0" w:space="0" w:color="auto"/>
            <w:bottom w:val="none" w:sz="0" w:space="0" w:color="auto"/>
            <w:right w:val="none" w:sz="0" w:space="0" w:color="auto"/>
          </w:divBdr>
        </w:div>
      </w:divsChild>
    </w:div>
    <w:div w:id="444470926">
      <w:bodyDiv w:val="1"/>
      <w:marLeft w:val="0"/>
      <w:marRight w:val="0"/>
      <w:marTop w:val="0"/>
      <w:marBottom w:val="0"/>
      <w:divBdr>
        <w:top w:val="none" w:sz="0" w:space="0" w:color="auto"/>
        <w:left w:val="none" w:sz="0" w:space="0" w:color="auto"/>
        <w:bottom w:val="none" w:sz="0" w:space="0" w:color="auto"/>
        <w:right w:val="none" w:sz="0" w:space="0" w:color="auto"/>
      </w:divBdr>
    </w:div>
    <w:div w:id="451218487">
      <w:bodyDiv w:val="1"/>
      <w:marLeft w:val="0"/>
      <w:marRight w:val="0"/>
      <w:marTop w:val="0"/>
      <w:marBottom w:val="0"/>
      <w:divBdr>
        <w:top w:val="none" w:sz="0" w:space="0" w:color="auto"/>
        <w:left w:val="none" w:sz="0" w:space="0" w:color="auto"/>
        <w:bottom w:val="none" w:sz="0" w:space="0" w:color="auto"/>
        <w:right w:val="none" w:sz="0" w:space="0" w:color="auto"/>
      </w:divBdr>
    </w:div>
    <w:div w:id="456797467">
      <w:bodyDiv w:val="1"/>
      <w:marLeft w:val="0"/>
      <w:marRight w:val="0"/>
      <w:marTop w:val="0"/>
      <w:marBottom w:val="0"/>
      <w:divBdr>
        <w:top w:val="none" w:sz="0" w:space="0" w:color="auto"/>
        <w:left w:val="none" w:sz="0" w:space="0" w:color="auto"/>
        <w:bottom w:val="none" w:sz="0" w:space="0" w:color="auto"/>
        <w:right w:val="none" w:sz="0" w:space="0" w:color="auto"/>
      </w:divBdr>
    </w:div>
    <w:div w:id="494030533">
      <w:bodyDiv w:val="1"/>
      <w:marLeft w:val="0"/>
      <w:marRight w:val="0"/>
      <w:marTop w:val="0"/>
      <w:marBottom w:val="0"/>
      <w:divBdr>
        <w:top w:val="none" w:sz="0" w:space="0" w:color="auto"/>
        <w:left w:val="none" w:sz="0" w:space="0" w:color="auto"/>
        <w:bottom w:val="none" w:sz="0" w:space="0" w:color="auto"/>
        <w:right w:val="none" w:sz="0" w:space="0" w:color="auto"/>
      </w:divBdr>
    </w:div>
    <w:div w:id="503322898">
      <w:bodyDiv w:val="1"/>
      <w:marLeft w:val="0"/>
      <w:marRight w:val="0"/>
      <w:marTop w:val="0"/>
      <w:marBottom w:val="0"/>
      <w:divBdr>
        <w:top w:val="none" w:sz="0" w:space="0" w:color="auto"/>
        <w:left w:val="none" w:sz="0" w:space="0" w:color="auto"/>
        <w:bottom w:val="none" w:sz="0" w:space="0" w:color="auto"/>
        <w:right w:val="none" w:sz="0" w:space="0" w:color="auto"/>
      </w:divBdr>
    </w:div>
    <w:div w:id="503521406">
      <w:bodyDiv w:val="1"/>
      <w:marLeft w:val="0"/>
      <w:marRight w:val="0"/>
      <w:marTop w:val="0"/>
      <w:marBottom w:val="0"/>
      <w:divBdr>
        <w:top w:val="none" w:sz="0" w:space="0" w:color="auto"/>
        <w:left w:val="none" w:sz="0" w:space="0" w:color="auto"/>
        <w:bottom w:val="none" w:sz="0" w:space="0" w:color="auto"/>
        <w:right w:val="none" w:sz="0" w:space="0" w:color="auto"/>
      </w:divBdr>
    </w:div>
    <w:div w:id="512231540">
      <w:bodyDiv w:val="1"/>
      <w:marLeft w:val="0"/>
      <w:marRight w:val="0"/>
      <w:marTop w:val="0"/>
      <w:marBottom w:val="0"/>
      <w:divBdr>
        <w:top w:val="none" w:sz="0" w:space="0" w:color="auto"/>
        <w:left w:val="none" w:sz="0" w:space="0" w:color="auto"/>
        <w:bottom w:val="none" w:sz="0" w:space="0" w:color="auto"/>
        <w:right w:val="none" w:sz="0" w:space="0" w:color="auto"/>
      </w:divBdr>
    </w:div>
    <w:div w:id="538476338">
      <w:bodyDiv w:val="1"/>
      <w:marLeft w:val="0"/>
      <w:marRight w:val="0"/>
      <w:marTop w:val="0"/>
      <w:marBottom w:val="0"/>
      <w:divBdr>
        <w:top w:val="none" w:sz="0" w:space="0" w:color="auto"/>
        <w:left w:val="none" w:sz="0" w:space="0" w:color="auto"/>
        <w:bottom w:val="none" w:sz="0" w:space="0" w:color="auto"/>
        <w:right w:val="none" w:sz="0" w:space="0" w:color="auto"/>
      </w:divBdr>
    </w:div>
    <w:div w:id="540635212">
      <w:bodyDiv w:val="1"/>
      <w:marLeft w:val="0"/>
      <w:marRight w:val="0"/>
      <w:marTop w:val="0"/>
      <w:marBottom w:val="0"/>
      <w:divBdr>
        <w:top w:val="none" w:sz="0" w:space="0" w:color="auto"/>
        <w:left w:val="none" w:sz="0" w:space="0" w:color="auto"/>
        <w:bottom w:val="none" w:sz="0" w:space="0" w:color="auto"/>
        <w:right w:val="none" w:sz="0" w:space="0" w:color="auto"/>
      </w:divBdr>
    </w:div>
    <w:div w:id="590435115">
      <w:bodyDiv w:val="1"/>
      <w:marLeft w:val="0"/>
      <w:marRight w:val="0"/>
      <w:marTop w:val="0"/>
      <w:marBottom w:val="0"/>
      <w:divBdr>
        <w:top w:val="none" w:sz="0" w:space="0" w:color="auto"/>
        <w:left w:val="none" w:sz="0" w:space="0" w:color="auto"/>
        <w:bottom w:val="none" w:sz="0" w:space="0" w:color="auto"/>
        <w:right w:val="none" w:sz="0" w:space="0" w:color="auto"/>
      </w:divBdr>
    </w:div>
    <w:div w:id="631054978">
      <w:bodyDiv w:val="1"/>
      <w:marLeft w:val="0"/>
      <w:marRight w:val="0"/>
      <w:marTop w:val="0"/>
      <w:marBottom w:val="0"/>
      <w:divBdr>
        <w:top w:val="none" w:sz="0" w:space="0" w:color="auto"/>
        <w:left w:val="none" w:sz="0" w:space="0" w:color="auto"/>
        <w:bottom w:val="none" w:sz="0" w:space="0" w:color="auto"/>
        <w:right w:val="none" w:sz="0" w:space="0" w:color="auto"/>
      </w:divBdr>
    </w:div>
    <w:div w:id="633025288">
      <w:bodyDiv w:val="1"/>
      <w:marLeft w:val="0"/>
      <w:marRight w:val="0"/>
      <w:marTop w:val="0"/>
      <w:marBottom w:val="0"/>
      <w:divBdr>
        <w:top w:val="none" w:sz="0" w:space="0" w:color="auto"/>
        <w:left w:val="none" w:sz="0" w:space="0" w:color="auto"/>
        <w:bottom w:val="none" w:sz="0" w:space="0" w:color="auto"/>
        <w:right w:val="none" w:sz="0" w:space="0" w:color="auto"/>
      </w:divBdr>
    </w:div>
    <w:div w:id="657149905">
      <w:bodyDiv w:val="1"/>
      <w:marLeft w:val="0"/>
      <w:marRight w:val="0"/>
      <w:marTop w:val="0"/>
      <w:marBottom w:val="0"/>
      <w:divBdr>
        <w:top w:val="none" w:sz="0" w:space="0" w:color="auto"/>
        <w:left w:val="none" w:sz="0" w:space="0" w:color="auto"/>
        <w:bottom w:val="none" w:sz="0" w:space="0" w:color="auto"/>
        <w:right w:val="none" w:sz="0" w:space="0" w:color="auto"/>
      </w:divBdr>
    </w:div>
    <w:div w:id="709646328">
      <w:bodyDiv w:val="1"/>
      <w:marLeft w:val="0"/>
      <w:marRight w:val="0"/>
      <w:marTop w:val="0"/>
      <w:marBottom w:val="0"/>
      <w:divBdr>
        <w:top w:val="none" w:sz="0" w:space="0" w:color="auto"/>
        <w:left w:val="none" w:sz="0" w:space="0" w:color="auto"/>
        <w:bottom w:val="none" w:sz="0" w:space="0" w:color="auto"/>
        <w:right w:val="none" w:sz="0" w:space="0" w:color="auto"/>
      </w:divBdr>
    </w:div>
    <w:div w:id="750812754">
      <w:bodyDiv w:val="1"/>
      <w:marLeft w:val="0"/>
      <w:marRight w:val="0"/>
      <w:marTop w:val="0"/>
      <w:marBottom w:val="0"/>
      <w:divBdr>
        <w:top w:val="none" w:sz="0" w:space="0" w:color="auto"/>
        <w:left w:val="none" w:sz="0" w:space="0" w:color="auto"/>
        <w:bottom w:val="none" w:sz="0" w:space="0" w:color="auto"/>
        <w:right w:val="none" w:sz="0" w:space="0" w:color="auto"/>
      </w:divBdr>
    </w:div>
    <w:div w:id="760445928">
      <w:bodyDiv w:val="1"/>
      <w:marLeft w:val="0"/>
      <w:marRight w:val="0"/>
      <w:marTop w:val="0"/>
      <w:marBottom w:val="0"/>
      <w:divBdr>
        <w:top w:val="none" w:sz="0" w:space="0" w:color="auto"/>
        <w:left w:val="none" w:sz="0" w:space="0" w:color="auto"/>
        <w:bottom w:val="none" w:sz="0" w:space="0" w:color="auto"/>
        <w:right w:val="none" w:sz="0" w:space="0" w:color="auto"/>
      </w:divBdr>
    </w:div>
    <w:div w:id="782648924">
      <w:bodyDiv w:val="1"/>
      <w:marLeft w:val="0"/>
      <w:marRight w:val="0"/>
      <w:marTop w:val="0"/>
      <w:marBottom w:val="0"/>
      <w:divBdr>
        <w:top w:val="none" w:sz="0" w:space="0" w:color="auto"/>
        <w:left w:val="none" w:sz="0" w:space="0" w:color="auto"/>
        <w:bottom w:val="none" w:sz="0" w:space="0" w:color="auto"/>
        <w:right w:val="none" w:sz="0" w:space="0" w:color="auto"/>
      </w:divBdr>
    </w:div>
    <w:div w:id="838035155">
      <w:bodyDiv w:val="1"/>
      <w:marLeft w:val="0"/>
      <w:marRight w:val="0"/>
      <w:marTop w:val="0"/>
      <w:marBottom w:val="0"/>
      <w:divBdr>
        <w:top w:val="none" w:sz="0" w:space="0" w:color="auto"/>
        <w:left w:val="none" w:sz="0" w:space="0" w:color="auto"/>
        <w:bottom w:val="none" w:sz="0" w:space="0" w:color="auto"/>
        <w:right w:val="none" w:sz="0" w:space="0" w:color="auto"/>
      </w:divBdr>
    </w:div>
    <w:div w:id="845482728">
      <w:bodyDiv w:val="1"/>
      <w:marLeft w:val="0"/>
      <w:marRight w:val="0"/>
      <w:marTop w:val="0"/>
      <w:marBottom w:val="0"/>
      <w:divBdr>
        <w:top w:val="none" w:sz="0" w:space="0" w:color="auto"/>
        <w:left w:val="none" w:sz="0" w:space="0" w:color="auto"/>
        <w:bottom w:val="none" w:sz="0" w:space="0" w:color="auto"/>
        <w:right w:val="none" w:sz="0" w:space="0" w:color="auto"/>
      </w:divBdr>
    </w:div>
    <w:div w:id="855385252">
      <w:bodyDiv w:val="1"/>
      <w:marLeft w:val="0"/>
      <w:marRight w:val="0"/>
      <w:marTop w:val="0"/>
      <w:marBottom w:val="0"/>
      <w:divBdr>
        <w:top w:val="none" w:sz="0" w:space="0" w:color="auto"/>
        <w:left w:val="none" w:sz="0" w:space="0" w:color="auto"/>
        <w:bottom w:val="none" w:sz="0" w:space="0" w:color="auto"/>
        <w:right w:val="none" w:sz="0" w:space="0" w:color="auto"/>
      </w:divBdr>
    </w:div>
    <w:div w:id="885215732">
      <w:bodyDiv w:val="1"/>
      <w:marLeft w:val="0"/>
      <w:marRight w:val="0"/>
      <w:marTop w:val="0"/>
      <w:marBottom w:val="0"/>
      <w:divBdr>
        <w:top w:val="none" w:sz="0" w:space="0" w:color="auto"/>
        <w:left w:val="none" w:sz="0" w:space="0" w:color="auto"/>
        <w:bottom w:val="none" w:sz="0" w:space="0" w:color="auto"/>
        <w:right w:val="none" w:sz="0" w:space="0" w:color="auto"/>
      </w:divBdr>
    </w:div>
    <w:div w:id="891232267">
      <w:bodyDiv w:val="1"/>
      <w:marLeft w:val="0"/>
      <w:marRight w:val="0"/>
      <w:marTop w:val="0"/>
      <w:marBottom w:val="0"/>
      <w:divBdr>
        <w:top w:val="none" w:sz="0" w:space="0" w:color="auto"/>
        <w:left w:val="none" w:sz="0" w:space="0" w:color="auto"/>
        <w:bottom w:val="none" w:sz="0" w:space="0" w:color="auto"/>
        <w:right w:val="none" w:sz="0" w:space="0" w:color="auto"/>
      </w:divBdr>
    </w:div>
    <w:div w:id="895435528">
      <w:bodyDiv w:val="1"/>
      <w:marLeft w:val="0"/>
      <w:marRight w:val="0"/>
      <w:marTop w:val="0"/>
      <w:marBottom w:val="0"/>
      <w:divBdr>
        <w:top w:val="none" w:sz="0" w:space="0" w:color="auto"/>
        <w:left w:val="none" w:sz="0" w:space="0" w:color="auto"/>
        <w:bottom w:val="none" w:sz="0" w:space="0" w:color="auto"/>
        <w:right w:val="none" w:sz="0" w:space="0" w:color="auto"/>
      </w:divBdr>
    </w:div>
    <w:div w:id="900212218">
      <w:bodyDiv w:val="1"/>
      <w:marLeft w:val="0"/>
      <w:marRight w:val="0"/>
      <w:marTop w:val="0"/>
      <w:marBottom w:val="0"/>
      <w:divBdr>
        <w:top w:val="none" w:sz="0" w:space="0" w:color="auto"/>
        <w:left w:val="none" w:sz="0" w:space="0" w:color="auto"/>
        <w:bottom w:val="none" w:sz="0" w:space="0" w:color="auto"/>
        <w:right w:val="none" w:sz="0" w:space="0" w:color="auto"/>
      </w:divBdr>
    </w:div>
    <w:div w:id="928003214">
      <w:bodyDiv w:val="1"/>
      <w:marLeft w:val="0"/>
      <w:marRight w:val="0"/>
      <w:marTop w:val="0"/>
      <w:marBottom w:val="0"/>
      <w:divBdr>
        <w:top w:val="none" w:sz="0" w:space="0" w:color="auto"/>
        <w:left w:val="none" w:sz="0" w:space="0" w:color="auto"/>
        <w:bottom w:val="none" w:sz="0" w:space="0" w:color="auto"/>
        <w:right w:val="none" w:sz="0" w:space="0" w:color="auto"/>
      </w:divBdr>
    </w:div>
    <w:div w:id="936062181">
      <w:bodyDiv w:val="1"/>
      <w:marLeft w:val="0"/>
      <w:marRight w:val="0"/>
      <w:marTop w:val="0"/>
      <w:marBottom w:val="0"/>
      <w:divBdr>
        <w:top w:val="none" w:sz="0" w:space="0" w:color="auto"/>
        <w:left w:val="none" w:sz="0" w:space="0" w:color="auto"/>
        <w:bottom w:val="none" w:sz="0" w:space="0" w:color="auto"/>
        <w:right w:val="none" w:sz="0" w:space="0" w:color="auto"/>
      </w:divBdr>
    </w:div>
    <w:div w:id="937712953">
      <w:bodyDiv w:val="1"/>
      <w:marLeft w:val="0"/>
      <w:marRight w:val="0"/>
      <w:marTop w:val="0"/>
      <w:marBottom w:val="0"/>
      <w:divBdr>
        <w:top w:val="none" w:sz="0" w:space="0" w:color="auto"/>
        <w:left w:val="none" w:sz="0" w:space="0" w:color="auto"/>
        <w:bottom w:val="none" w:sz="0" w:space="0" w:color="auto"/>
        <w:right w:val="none" w:sz="0" w:space="0" w:color="auto"/>
      </w:divBdr>
    </w:div>
    <w:div w:id="939290291">
      <w:bodyDiv w:val="1"/>
      <w:marLeft w:val="0"/>
      <w:marRight w:val="0"/>
      <w:marTop w:val="0"/>
      <w:marBottom w:val="0"/>
      <w:divBdr>
        <w:top w:val="none" w:sz="0" w:space="0" w:color="auto"/>
        <w:left w:val="none" w:sz="0" w:space="0" w:color="auto"/>
        <w:bottom w:val="none" w:sz="0" w:space="0" w:color="auto"/>
        <w:right w:val="none" w:sz="0" w:space="0" w:color="auto"/>
      </w:divBdr>
    </w:div>
    <w:div w:id="939603045">
      <w:bodyDiv w:val="1"/>
      <w:marLeft w:val="0"/>
      <w:marRight w:val="0"/>
      <w:marTop w:val="0"/>
      <w:marBottom w:val="0"/>
      <w:divBdr>
        <w:top w:val="none" w:sz="0" w:space="0" w:color="auto"/>
        <w:left w:val="none" w:sz="0" w:space="0" w:color="auto"/>
        <w:bottom w:val="none" w:sz="0" w:space="0" w:color="auto"/>
        <w:right w:val="none" w:sz="0" w:space="0" w:color="auto"/>
      </w:divBdr>
    </w:div>
    <w:div w:id="949358026">
      <w:bodyDiv w:val="1"/>
      <w:marLeft w:val="0"/>
      <w:marRight w:val="0"/>
      <w:marTop w:val="0"/>
      <w:marBottom w:val="0"/>
      <w:divBdr>
        <w:top w:val="none" w:sz="0" w:space="0" w:color="auto"/>
        <w:left w:val="none" w:sz="0" w:space="0" w:color="auto"/>
        <w:bottom w:val="none" w:sz="0" w:space="0" w:color="auto"/>
        <w:right w:val="none" w:sz="0" w:space="0" w:color="auto"/>
      </w:divBdr>
    </w:div>
    <w:div w:id="986857180">
      <w:bodyDiv w:val="1"/>
      <w:marLeft w:val="0"/>
      <w:marRight w:val="0"/>
      <w:marTop w:val="0"/>
      <w:marBottom w:val="0"/>
      <w:divBdr>
        <w:top w:val="none" w:sz="0" w:space="0" w:color="auto"/>
        <w:left w:val="none" w:sz="0" w:space="0" w:color="auto"/>
        <w:bottom w:val="none" w:sz="0" w:space="0" w:color="auto"/>
        <w:right w:val="none" w:sz="0" w:space="0" w:color="auto"/>
      </w:divBdr>
      <w:divsChild>
        <w:div w:id="1370103106">
          <w:marLeft w:val="547"/>
          <w:marRight w:val="0"/>
          <w:marTop w:val="200"/>
          <w:marBottom w:val="0"/>
          <w:divBdr>
            <w:top w:val="none" w:sz="0" w:space="0" w:color="auto"/>
            <w:left w:val="none" w:sz="0" w:space="0" w:color="auto"/>
            <w:bottom w:val="none" w:sz="0" w:space="0" w:color="auto"/>
            <w:right w:val="none" w:sz="0" w:space="0" w:color="auto"/>
          </w:divBdr>
        </w:div>
        <w:div w:id="586351111">
          <w:marLeft w:val="547"/>
          <w:marRight w:val="0"/>
          <w:marTop w:val="200"/>
          <w:marBottom w:val="0"/>
          <w:divBdr>
            <w:top w:val="none" w:sz="0" w:space="0" w:color="auto"/>
            <w:left w:val="none" w:sz="0" w:space="0" w:color="auto"/>
            <w:bottom w:val="none" w:sz="0" w:space="0" w:color="auto"/>
            <w:right w:val="none" w:sz="0" w:space="0" w:color="auto"/>
          </w:divBdr>
        </w:div>
        <w:div w:id="1352073334">
          <w:marLeft w:val="547"/>
          <w:marRight w:val="0"/>
          <w:marTop w:val="200"/>
          <w:marBottom w:val="0"/>
          <w:divBdr>
            <w:top w:val="none" w:sz="0" w:space="0" w:color="auto"/>
            <w:left w:val="none" w:sz="0" w:space="0" w:color="auto"/>
            <w:bottom w:val="none" w:sz="0" w:space="0" w:color="auto"/>
            <w:right w:val="none" w:sz="0" w:space="0" w:color="auto"/>
          </w:divBdr>
        </w:div>
        <w:div w:id="709644432">
          <w:marLeft w:val="547"/>
          <w:marRight w:val="0"/>
          <w:marTop w:val="200"/>
          <w:marBottom w:val="0"/>
          <w:divBdr>
            <w:top w:val="none" w:sz="0" w:space="0" w:color="auto"/>
            <w:left w:val="none" w:sz="0" w:space="0" w:color="auto"/>
            <w:bottom w:val="none" w:sz="0" w:space="0" w:color="auto"/>
            <w:right w:val="none" w:sz="0" w:space="0" w:color="auto"/>
          </w:divBdr>
        </w:div>
      </w:divsChild>
    </w:div>
    <w:div w:id="1020161828">
      <w:bodyDiv w:val="1"/>
      <w:marLeft w:val="0"/>
      <w:marRight w:val="0"/>
      <w:marTop w:val="0"/>
      <w:marBottom w:val="0"/>
      <w:divBdr>
        <w:top w:val="none" w:sz="0" w:space="0" w:color="auto"/>
        <w:left w:val="none" w:sz="0" w:space="0" w:color="auto"/>
        <w:bottom w:val="none" w:sz="0" w:space="0" w:color="auto"/>
        <w:right w:val="none" w:sz="0" w:space="0" w:color="auto"/>
      </w:divBdr>
    </w:div>
    <w:div w:id="1033312694">
      <w:bodyDiv w:val="1"/>
      <w:marLeft w:val="0"/>
      <w:marRight w:val="0"/>
      <w:marTop w:val="0"/>
      <w:marBottom w:val="0"/>
      <w:divBdr>
        <w:top w:val="none" w:sz="0" w:space="0" w:color="auto"/>
        <w:left w:val="none" w:sz="0" w:space="0" w:color="auto"/>
        <w:bottom w:val="none" w:sz="0" w:space="0" w:color="auto"/>
        <w:right w:val="none" w:sz="0" w:space="0" w:color="auto"/>
      </w:divBdr>
    </w:div>
    <w:div w:id="1096365888">
      <w:bodyDiv w:val="1"/>
      <w:marLeft w:val="0"/>
      <w:marRight w:val="0"/>
      <w:marTop w:val="0"/>
      <w:marBottom w:val="0"/>
      <w:divBdr>
        <w:top w:val="none" w:sz="0" w:space="0" w:color="auto"/>
        <w:left w:val="none" w:sz="0" w:space="0" w:color="auto"/>
        <w:bottom w:val="none" w:sz="0" w:space="0" w:color="auto"/>
        <w:right w:val="none" w:sz="0" w:space="0" w:color="auto"/>
      </w:divBdr>
    </w:div>
    <w:div w:id="1105072478">
      <w:bodyDiv w:val="1"/>
      <w:marLeft w:val="0"/>
      <w:marRight w:val="0"/>
      <w:marTop w:val="0"/>
      <w:marBottom w:val="0"/>
      <w:divBdr>
        <w:top w:val="none" w:sz="0" w:space="0" w:color="auto"/>
        <w:left w:val="none" w:sz="0" w:space="0" w:color="auto"/>
        <w:bottom w:val="none" w:sz="0" w:space="0" w:color="auto"/>
        <w:right w:val="none" w:sz="0" w:space="0" w:color="auto"/>
      </w:divBdr>
    </w:div>
    <w:div w:id="1105467867">
      <w:bodyDiv w:val="1"/>
      <w:marLeft w:val="0"/>
      <w:marRight w:val="0"/>
      <w:marTop w:val="0"/>
      <w:marBottom w:val="0"/>
      <w:divBdr>
        <w:top w:val="none" w:sz="0" w:space="0" w:color="auto"/>
        <w:left w:val="none" w:sz="0" w:space="0" w:color="auto"/>
        <w:bottom w:val="none" w:sz="0" w:space="0" w:color="auto"/>
        <w:right w:val="none" w:sz="0" w:space="0" w:color="auto"/>
      </w:divBdr>
    </w:div>
    <w:div w:id="1125927110">
      <w:bodyDiv w:val="1"/>
      <w:marLeft w:val="0"/>
      <w:marRight w:val="0"/>
      <w:marTop w:val="0"/>
      <w:marBottom w:val="0"/>
      <w:divBdr>
        <w:top w:val="none" w:sz="0" w:space="0" w:color="auto"/>
        <w:left w:val="none" w:sz="0" w:space="0" w:color="auto"/>
        <w:bottom w:val="none" w:sz="0" w:space="0" w:color="auto"/>
        <w:right w:val="none" w:sz="0" w:space="0" w:color="auto"/>
      </w:divBdr>
    </w:div>
    <w:div w:id="1126578552">
      <w:bodyDiv w:val="1"/>
      <w:marLeft w:val="0"/>
      <w:marRight w:val="0"/>
      <w:marTop w:val="0"/>
      <w:marBottom w:val="0"/>
      <w:divBdr>
        <w:top w:val="none" w:sz="0" w:space="0" w:color="auto"/>
        <w:left w:val="none" w:sz="0" w:space="0" w:color="auto"/>
        <w:bottom w:val="none" w:sz="0" w:space="0" w:color="auto"/>
        <w:right w:val="none" w:sz="0" w:space="0" w:color="auto"/>
      </w:divBdr>
    </w:div>
    <w:div w:id="1158770764">
      <w:bodyDiv w:val="1"/>
      <w:marLeft w:val="0"/>
      <w:marRight w:val="0"/>
      <w:marTop w:val="0"/>
      <w:marBottom w:val="0"/>
      <w:divBdr>
        <w:top w:val="none" w:sz="0" w:space="0" w:color="auto"/>
        <w:left w:val="none" w:sz="0" w:space="0" w:color="auto"/>
        <w:bottom w:val="none" w:sz="0" w:space="0" w:color="auto"/>
        <w:right w:val="none" w:sz="0" w:space="0" w:color="auto"/>
      </w:divBdr>
    </w:div>
    <w:div w:id="1176579444">
      <w:bodyDiv w:val="1"/>
      <w:marLeft w:val="0"/>
      <w:marRight w:val="0"/>
      <w:marTop w:val="0"/>
      <w:marBottom w:val="0"/>
      <w:divBdr>
        <w:top w:val="none" w:sz="0" w:space="0" w:color="auto"/>
        <w:left w:val="none" w:sz="0" w:space="0" w:color="auto"/>
        <w:bottom w:val="none" w:sz="0" w:space="0" w:color="auto"/>
        <w:right w:val="none" w:sz="0" w:space="0" w:color="auto"/>
      </w:divBdr>
    </w:div>
    <w:div w:id="1177891768">
      <w:bodyDiv w:val="1"/>
      <w:marLeft w:val="0"/>
      <w:marRight w:val="0"/>
      <w:marTop w:val="0"/>
      <w:marBottom w:val="0"/>
      <w:divBdr>
        <w:top w:val="none" w:sz="0" w:space="0" w:color="auto"/>
        <w:left w:val="none" w:sz="0" w:space="0" w:color="auto"/>
        <w:bottom w:val="none" w:sz="0" w:space="0" w:color="auto"/>
        <w:right w:val="none" w:sz="0" w:space="0" w:color="auto"/>
      </w:divBdr>
    </w:div>
    <w:div w:id="1201163982">
      <w:bodyDiv w:val="1"/>
      <w:marLeft w:val="0"/>
      <w:marRight w:val="0"/>
      <w:marTop w:val="0"/>
      <w:marBottom w:val="0"/>
      <w:divBdr>
        <w:top w:val="none" w:sz="0" w:space="0" w:color="auto"/>
        <w:left w:val="none" w:sz="0" w:space="0" w:color="auto"/>
        <w:bottom w:val="none" w:sz="0" w:space="0" w:color="auto"/>
        <w:right w:val="none" w:sz="0" w:space="0" w:color="auto"/>
      </w:divBdr>
    </w:div>
    <w:div w:id="1209995223">
      <w:bodyDiv w:val="1"/>
      <w:marLeft w:val="0"/>
      <w:marRight w:val="0"/>
      <w:marTop w:val="0"/>
      <w:marBottom w:val="0"/>
      <w:divBdr>
        <w:top w:val="none" w:sz="0" w:space="0" w:color="auto"/>
        <w:left w:val="none" w:sz="0" w:space="0" w:color="auto"/>
        <w:bottom w:val="none" w:sz="0" w:space="0" w:color="auto"/>
        <w:right w:val="none" w:sz="0" w:space="0" w:color="auto"/>
      </w:divBdr>
    </w:div>
    <w:div w:id="1232539284">
      <w:bodyDiv w:val="1"/>
      <w:marLeft w:val="0"/>
      <w:marRight w:val="0"/>
      <w:marTop w:val="0"/>
      <w:marBottom w:val="0"/>
      <w:divBdr>
        <w:top w:val="none" w:sz="0" w:space="0" w:color="auto"/>
        <w:left w:val="none" w:sz="0" w:space="0" w:color="auto"/>
        <w:bottom w:val="none" w:sz="0" w:space="0" w:color="auto"/>
        <w:right w:val="none" w:sz="0" w:space="0" w:color="auto"/>
      </w:divBdr>
    </w:div>
    <w:div w:id="1255285278">
      <w:bodyDiv w:val="1"/>
      <w:marLeft w:val="0"/>
      <w:marRight w:val="0"/>
      <w:marTop w:val="0"/>
      <w:marBottom w:val="0"/>
      <w:divBdr>
        <w:top w:val="none" w:sz="0" w:space="0" w:color="auto"/>
        <w:left w:val="none" w:sz="0" w:space="0" w:color="auto"/>
        <w:bottom w:val="none" w:sz="0" w:space="0" w:color="auto"/>
        <w:right w:val="none" w:sz="0" w:space="0" w:color="auto"/>
      </w:divBdr>
    </w:div>
    <w:div w:id="1256093135">
      <w:bodyDiv w:val="1"/>
      <w:marLeft w:val="0"/>
      <w:marRight w:val="0"/>
      <w:marTop w:val="0"/>
      <w:marBottom w:val="0"/>
      <w:divBdr>
        <w:top w:val="none" w:sz="0" w:space="0" w:color="auto"/>
        <w:left w:val="none" w:sz="0" w:space="0" w:color="auto"/>
        <w:bottom w:val="none" w:sz="0" w:space="0" w:color="auto"/>
        <w:right w:val="none" w:sz="0" w:space="0" w:color="auto"/>
      </w:divBdr>
    </w:div>
    <w:div w:id="1258365624">
      <w:bodyDiv w:val="1"/>
      <w:marLeft w:val="0"/>
      <w:marRight w:val="0"/>
      <w:marTop w:val="0"/>
      <w:marBottom w:val="0"/>
      <w:divBdr>
        <w:top w:val="none" w:sz="0" w:space="0" w:color="auto"/>
        <w:left w:val="none" w:sz="0" w:space="0" w:color="auto"/>
        <w:bottom w:val="none" w:sz="0" w:space="0" w:color="auto"/>
        <w:right w:val="none" w:sz="0" w:space="0" w:color="auto"/>
      </w:divBdr>
    </w:div>
    <w:div w:id="1288465807">
      <w:bodyDiv w:val="1"/>
      <w:marLeft w:val="0"/>
      <w:marRight w:val="0"/>
      <w:marTop w:val="0"/>
      <w:marBottom w:val="0"/>
      <w:divBdr>
        <w:top w:val="none" w:sz="0" w:space="0" w:color="auto"/>
        <w:left w:val="none" w:sz="0" w:space="0" w:color="auto"/>
        <w:bottom w:val="none" w:sz="0" w:space="0" w:color="auto"/>
        <w:right w:val="none" w:sz="0" w:space="0" w:color="auto"/>
      </w:divBdr>
    </w:div>
    <w:div w:id="1298989860">
      <w:bodyDiv w:val="1"/>
      <w:marLeft w:val="0"/>
      <w:marRight w:val="0"/>
      <w:marTop w:val="0"/>
      <w:marBottom w:val="0"/>
      <w:divBdr>
        <w:top w:val="none" w:sz="0" w:space="0" w:color="auto"/>
        <w:left w:val="none" w:sz="0" w:space="0" w:color="auto"/>
        <w:bottom w:val="none" w:sz="0" w:space="0" w:color="auto"/>
        <w:right w:val="none" w:sz="0" w:space="0" w:color="auto"/>
      </w:divBdr>
    </w:div>
    <w:div w:id="1309702051">
      <w:bodyDiv w:val="1"/>
      <w:marLeft w:val="0"/>
      <w:marRight w:val="0"/>
      <w:marTop w:val="0"/>
      <w:marBottom w:val="0"/>
      <w:divBdr>
        <w:top w:val="none" w:sz="0" w:space="0" w:color="auto"/>
        <w:left w:val="none" w:sz="0" w:space="0" w:color="auto"/>
        <w:bottom w:val="none" w:sz="0" w:space="0" w:color="auto"/>
        <w:right w:val="none" w:sz="0" w:space="0" w:color="auto"/>
      </w:divBdr>
    </w:div>
    <w:div w:id="1323586354">
      <w:bodyDiv w:val="1"/>
      <w:marLeft w:val="0"/>
      <w:marRight w:val="0"/>
      <w:marTop w:val="0"/>
      <w:marBottom w:val="0"/>
      <w:divBdr>
        <w:top w:val="none" w:sz="0" w:space="0" w:color="auto"/>
        <w:left w:val="none" w:sz="0" w:space="0" w:color="auto"/>
        <w:bottom w:val="none" w:sz="0" w:space="0" w:color="auto"/>
        <w:right w:val="none" w:sz="0" w:space="0" w:color="auto"/>
      </w:divBdr>
    </w:div>
    <w:div w:id="1346708520">
      <w:bodyDiv w:val="1"/>
      <w:marLeft w:val="0"/>
      <w:marRight w:val="0"/>
      <w:marTop w:val="0"/>
      <w:marBottom w:val="0"/>
      <w:divBdr>
        <w:top w:val="none" w:sz="0" w:space="0" w:color="auto"/>
        <w:left w:val="none" w:sz="0" w:space="0" w:color="auto"/>
        <w:bottom w:val="none" w:sz="0" w:space="0" w:color="auto"/>
        <w:right w:val="none" w:sz="0" w:space="0" w:color="auto"/>
      </w:divBdr>
    </w:div>
    <w:div w:id="1351569599">
      <w:bodyDiv w:val="1"/>
      <w:marLeft w:val="0"/>
      <w:marRight w:val="0"/>
      <w:marTop w:val="0"/>
      <w:marBottom w:val="0"/>
      <w:divBdr>
        <w:top w:val="none" w:sz="0" w:space="0" w:color="auto"/>
        <w:left w:val="none" w:sz="0" w:space="0" w:color="auto"/>
        <w:bottom w:val="none" w:sz="0" w:space="0" w:color="auto"/>
        <w:right w:val="none" w:sz="0" w:space="0" w:color="auto"/>
      </w:divBdr>
    </w:div>
    <w:div w:id="1362590889">
      <w:bodyDiv w:val="1"/>
      <w:marLeft w:val="0"/>
      <w:marRight w:val="0"/>
      <w:marTop w:val="0"/>
      <w:marBottom w:val="0"/>
      <w:divBdr>
        <w:top w:val="none" w:sz="0" w:space="0" w:color="auto"/>
        <w:left w:val="none" w:sz="0" w:space="0" w:color="auto"/>
        <w:bottom w:val="none" w:sz="0" w:space="0" w:color="auto"/>
        <w:right w:val="none" w:sz="0" w:space="0" w:color="auto"/>
      </w:divBdr>
    </w:div>
    <w:div w:id="1371568165">
      <w:bodyDiv w:val="1"/>
      <w:marLeft w:val="0"/>
      <w:marRight w:val="0"/>
      <w:marTop w:val="0"/>
      <w:marBottom w:val="0"/>
      <w:divBdr>
        <w:top w:val="none" w:sz="0" w:space="0" w:color="auto"/>
        <w:left w:val="none" w:sz="0" w:space="0" w:color="auto"/>
        <w:bottom w:val="none" w:sz="0" w:space="0" w:color="auto"/>
        <w:right w:val="none" w:sz="0" w:space="0" w:color="auto"/>
      </w:divBdr>
    </w:div>
    <w:div w:id="1399670197">
      <w:bodyDiv w:val="1"/>
      <w:marLeft w:val="0"/>
      <w:marRight w:val="0"/>
      <w:marTop w:val="0"/>
      <w:marBottom w:val="0"/>
      <w:divBdr>
        <w:top w:val="none" w:sz="0" w:space="0" w:color="auto"/>
        <w:left w:val="none" w:sz="0" w:space="0" w:color="auto"/>
        <w:bottom w:val="none" w:sz="0" w:space="0" w:color="auto"/>
        <w:right w:val="none" w:sz="0" w:space="0" w:color="auto"/>
      </w:divBdr>
    </w:div>
    <w:div w:id="1417097722">
      <w:bodyDiv w:val="1"/>
      <w:marLeft w:val="0"/>
      <w:marRight w:val="0"/>
      <w:marTop w:val="0"/>
      <w:marBottom w:val="0"/>
      <w:divBdr>
        <w:top w:val="none" w:sz="0" w:space="0" w:color="auto"/>
        <w:left w:val="none" w:sz="0" w:space="0" w:color="auto"/>
        <w:bottom w:val="none" w:sz="0" w:space="0" w:color="auto"/>
        <w:right w:val="none" w:sz="0" w:space="0" w:color="auto"/>
      </w:divBdr>
    </w:div>
    <w:div w:id="1419911888">
      <w:bodyDiv w:val="1"/>
      <w:marLeft w:val="0"/>
      <w:marRight w:val="0"/>
      <w:marTop w:val="0"/>
      <w:marBottom w:val="0"/>
      <w:divBdr>
        <w:top w:val="none" w:sz="0" w:space="0" w:color="auto"/>
        <w:left w:val="none" w:sz="0" w:space="0" w:color="auto"/>
        <w:bottom w:val="none" w:sz="0" w:space="0" w:color="auto"/>
        <w:right w:val="none" w:sz="0" w:space="0" w:color="auto"/>
      </w:divBdr>
    </w:div>
    <w:div w:id="1432316787">
      <w:bodyDiv w:val="1"/>
      <w:marLeft w:val="0"/>
      <w:marRight w:val="0"/>
      <w:marTop w:val="0"/>
      <w:marBottom w:val="0"/>
      <w:divBdr>
        <w:top w:val="none" w:sz="0" w:space="0" w:color="auto"/>
        <w:left w:val="none" w:sz="0" w:space="0" w:color="auto"/>
        <w:bottom w:val="none" w:sz="0" w:space="0" w:color="auto"/>
        <w:right w:val="none" w:sz="0" w:space="0" w:color="auto"/>
      </w:divBdr>
    </w:div>
    <w:div w:id="1446074154">
      <w:bodyDiv w:val="1"/>
      <w:marLeft w:val="0"/>
      <w:marRight w:val="0"/>
      <w:marTop w:val="0"/>
      <w:marBottom w:val="0"/>
      <w:divBdr>
        <w:top w:val="none" w:sz="0" w:space="0" w:color="auto"/>
        <w:left w:val="none" w:sz="0" w:space="0" w:color="auto"/>
        <w:bottom w:val="none" w:sz="0" w:space="0" w:color="auto"/>
        <w:right w:val="none" w:sz="0" w:space="0" w:color="auto"/>
      </w:divBdr>
    </w:div>
    <w:div w:id="1460413561">
      <w:bodyDiv w:val="1"/>
      <w:marLeft w:val="0"/>
      <w:marRight w:val="0"/>
      <w:marTop w:val="0"/>
      <w:marBottom w:val="0"/>
      <w:divBdr>
        <w:top w:val="none" w:sz="0" w:space="0" w:color="auto"/>
        <w:left w:val="none" w:sz="0" w:space="0" w:color="auto"/>
        <w:bottom w:val="none" w:sz="0" w:space="0" w:color="auto"/>
        <w:right w:val="none" w:sz="0" w:space="0" w:color="auto"/>
      </w:divBdr>
    </w:div>
    <w:div w:id="1480272342">
      <w:bodyDiv w:val="1"/>
      <w:marLeft w:val="0"/>
      <w:marRight w:val="0"/>
      <w:marTop w:val="0"/>
      <w:marBottom w:val="0"/>
      <w:divBdr>
        <w:top w:val="none" w:sz="0" w:space="0" w:color="auto"/>
        <w:left w:val="none" w:sz="0" w:space="0" w:color="auto"/>
        <w:bottom w:val="none" w:sz="0" w:space="0" w:color="auto"/>
        <w:right w:val="none" w:sz="0" w:space="0" w:color="auto"/>
      </w:divBdr>
    </w:div>
    <w:div w:id="1494761833">
      <w:bodyDiv w:val="1"/>
      <w:marLeft w:val="0"/>
      <w:marRight w:val="0"/>
      <w:marTop w:val="0"/>
      <w:marBottom w:val="0"/>
      <w:divBdr>
        <w:top w:val="none" w:sz="0" w:space="0" w:color="auto"/>
        <w:left w:val="none" w:sz="0" w:space="0" w:color="auto"/>
        <w:bottom w:val="none" w:sz="0" w:space="0" w:color="auto"/>
        <w:right w:val="none" w:sz="0" w:space="0" w:color="auto"/>
      </w:divBdr>
    </w:div>
    <w:div w:id="1500388366">
      <w:bodyDiv w:val="1"/>
      <w:marLeft w:val="0"/>
      <w:marRight w:val="0"/>
      <w:marTop w:val="0"/>
      <w:marBottom w:val="0"/>
      <w:divBdr>
        <w:top w:val="none" w:sz="0" w:space="0" w:color="auto"/>
        <w:left w:val="none" w:sz="0" w:space="0" w:color="auto"/>
        <w:bottom w:val="none" w:sz="0" w:space="0" w:color="auto"/>
        <w:right w:val="none" w:sz="0" w:space="0" w:color="auto"/>
      </w:divBdr>
    </w:div>
    <w:div w:id="1504737237">
      <w:bodyDiv w:val="1"/>
      <w:marLeft w:val="0"/>
      <w:marRight w:val="0"/>
      <w:marTop w:val="0"/>
      <w:marBottom w:val="0"/>
      <w:divBdr>
        <w:top w:val="none" w:sz="0" w:space="0" w:color="auto"/>
        <w:left w:val="none" w:sz="0" w:space="0" w:color="auto"/>
        <w:bottom w:val="none" w:sz="0" w:space="0" w:color="auto"/>
        <w:right w:val="none" w:sz="0" w:space="0" w:color="auto"/>
      </w:divBdr>
    </w:div>
    <w:div w:id="1504973009">
      <w:bodyDiv w:val="1"/>
      <w:marLeft w:val="0"/>
      <w:marRight w:val="0"/>
      <w:marTop w:val="0"/>
      <w:marBottom w:val="0"/>
      <w:divBdr>
        <w:top w:val="none" w:sz="0" w:space="0" w:color="auto"/>
        <w:left w:val="none" w:sz="0" w:space="0" w:color="auto"/>
        <w:bottom w:val="none" w:sz="0" w:space="0" w:color="auto"/>
        <w:right w:val="none" w:sz="0" w:space="0" w:color="auto"/>
      </w:divBdr>
    </w:div>
    <w:div w:id="1516577768">
      <w:bodyDiv w:val="1"/>
      <w:marLeft w:val="0"/>
      <w:marRight w:val="0"/>
      <w:marTop w:val="0"/>
      <w:marBottom w:val="0"/>
      <w:divBdr>
        <w:top w:val="none" w:sz="0" w:space="0" w:color="auto"/>
        <w:left w:val="none" w:sz="0" w:space="0" w:color="auto"/>
        <w:bottom w:val="none" w:sz="0" w:space="0" w:color="auto"/>
        <w:right w:val="none" w:sz="0" w:space="0" w:color="auto"/>
      </w:divBdr>
    </w:div>
    <w:div w:id="1516729780">
      <w:bodyDiv w:val="1"/>
      <w:marLeft w:val="0"/>
      <w:marRight w:val="0"/>
      <w:marTop w:val="0"/>
      <w:marBottom w:val="0"/>
      <w:divBdr>
        <w:top w:val="none" w:sz="0" w:space="0" w:color="auto"/>
        <w:left w:val="none" w:sz="0" w:space="0" w:color="auto"/>
        <w:bottom w:val="none" w:sz="0" w:space="0" w:color="auto"/>
        <w:right w:val="none" w:sz="0" w:space="0" w:color="auto"/>
      </w:divBdr>
    </w:div>
    <w:div w:id="1520583984">
      <w:bodyDiv w:val="1"/>
      <w:marLeft w:val="0"/>
      <w:marRight w:val="0"/>
      <w:marTop w:val="0"/>
      <w:marBottom w:val="0"/>
      <w:divBdr>
        <w:top w:val="none" w:sz="0" w:space="0" w:color="auto"/>
        <w:left w:val="none" w:sz="0" w:space="0" w:color="auto"/>
        <w:bottom w:val="none" w:sz="0" w:space="0" w:color="auto"/>
        <w:right w:val="none" w:sz="0" w:space="0" w:color="auto"/>
      </w:divBdr>
    </w:div>
    <w:div w:id="1526095965">
      <w:bodyDiv w:val="1"/>
      <w:marLeft w:val="0"/>
      <w:marRight w:val="0"/>
      <w:marTop w:val="0"/>
      <w:marBottom w:val="0"/>
      <w:divBdr>
        <w:top w:val="none" w:sz="0" w:space="0" w:color="auto"/>
        <w:left w:val="none" w:sz="0" w:space="0" w:color="auto"/>
        <w:bottom w:val="none" w:sz="0" w:space="0" w:color="auto"/>
        <w:right w:val="none" w:sz="0" w:space="0" w:color="auto"/>
      </w:divBdr>
    </w:div>
    <w:div w:id="1527329210">
      <w:bodyDiv w:val="1"/>
      <w:marLeft w:val="0"/>
      <w:marRight w:val="0"/>
      <w:marTop w:val="0"/>
      <w:marBottom w:val="0"/>
      <w:divBdr>
        <w:top w:val="none" w:sz="0" w:space="0" w:color="auto"/>
        <w:left w:val="none" w:sz="0" w:space="0" w:color="auto"/>
        <w:bottom w:val="none" w:sz="0" w:space="0" w:color="auto"/>
        <w:right w:val="none" w:sz="0" w:space="0" w:color="auto"/>
      </w:divBdr>
    </w:div>
    <w:div w:id="1569419210">
      <w:bodyDiv w:val="1"/>
      <w:marLeft w:val="0"/>
      <w:marRight w:val="0"/>
      <w:marTop w:val="0"/>
      <w:marBottom w:val="0"/>
      <w:divBdr>
        <w:top w:val="none" w:sz="0" w:space="0" w:color="auto"/>
        <w:left w:val="none" w:sz="0" w:space="0" w:color="auto"/>
        <w:bottom w:val="none" w:sz="0" w:space="0" w:color="auto"/>
        <w:right w:val="none" w:sz="0" w:space="0" w:color="auto"/>
      </w:divBdr>
    </w:div>
    <w:div w:id="1590431973">
      <w:bodyDiv w:val="1"/>
      <w:marLeft w:val="0"/>
      <w:marRight w:val="0"/>
      <w:marTop w:val="0"/>
      <w:marBottom w:val="0"/>
      <w:divBdr>
        <w:top w:val="none" w:sz="0" w:space="0" w:color="auto"/>
        <w:left w:val="none" w:sz="0" w:space="0" w:color="auto"/>
        <w:bottom w:val="none" w:sz="0" w:space="0" w:color="auto"/>
        <w:right w:val="none" w:sz="0" w:space="0" w:color="auto"/>
      </w:divBdr>
    </w:div>
    <w:div w:id="1600065546">
      <w:bodyDiv w:val="1"/>
      <w:marLeft w:val="0"/>
      <w:marRight w:val="0"/>
      <w:marTop w:val="0"/>
      <w:marBottom w:val="0"/>
      <w:divBdr>
        <w:top w:val="none" w:sz="0" w:space="0" w:color="auto"/>
        <w:left w:val="none" w:sz="0" w:space="0" w:color="auto"/>
        <w:bottom w:val="none" w:sz="0" w:space="0" w:color="auto"/>
        <w:right w:val="none" w:sz="0" w:space="0" w:color="auto"/>
      </w:divBdr>
    </w:div>
    <w:div w:id="1601252466">
      <w:bodyDiv w:val="1"/>
      <w:marLeft w:val="0"/>
      <w:marRight w:val="0"/>
      <w:marTop w:val="0"/>
      <w:marBottom w:val="0"/>
      <w:divBdr>
        <w:top w:val="none" w:sz="0" w:space="0" w:color="auto"/>
        <w:left w:val="none" w:sz="0" w:space="0" w:color="auto"/>
        <w:bottom w:val="none" w:sz="0" w:space="0" w:color="auto"/>
        <w:right w:val="none" w:sz="0" w:space="0" w:color="auto"/>
      </w:divBdr>
    </w:div>
    <w:div w:id="1611662725">
      <w:bodyDiv w:val="1"/>
      <w:marLeft w:val="0"/>
      <w:marRight w:val="0"/>
      <w:marTop w:val="0"/>
      <w:marBottom w:val="0"/>
      <w:divBdr>
        <w:top w:val="none" w:sz="0" w:space="0" w:color="auto"/>
        <w:left w:val="none" w:sz="0" w:space="0" w:color="auto"/>
        <w:bottom w:val="none" w:sz="0" w:space="0" w:color="auto"/>
        <w:right w:val="none" w:sz="0" w:space="0" w:color="auto"/>
      </w:divBdr>
    </w:div>
    <w:div w:id="1625768214">
      <w:bodyDiv w:val="1"/>
      <w:marLeft w:val="0"/>
      <w:marRight w:val="0"/>
      <w:marTop w:val="0"/>
      <w:marBottom w:val="0"/>
      <w:divBdr>
        <w:top w:val="none" w:sz="0" w:space="0" w:color="auto"/>
        <w:left w:val="none" w:sz="0" w:space="0" w:color="auto"/>
        <w:bottom w:val="none" w:sz="0" w:space="0" w:color="auto"/>
        <w:right w:val="none" w:sz="0" w:space="0" w:color="auto"/>
      </w:divBdr>
    </w:div>
    <w:div w:id="1657032196">
      <w:bodyDiv w:val="1"/>
      <w:marLeft w:val="0"/>
      <w:marRight w:val="0"/>
      <w:marTop w:val="0"/>
      <w:marBottom w:val="0"/>
      <w:divBdr>
        <w:top w:val="none" w:sz="0" w:space="0" w:color="auto"/>
        <w:left w:val="none" w:sz="0" w:space="0" w:color="auto"/>
        <w:bottom w:val="none" w:sz="0" w:space="0" w:color="auto"/>
        <w:right w:val="none" w:sz="0" w:space="0" w:color="auto"/>
      </w:divBdr>
    </w:div>
    <w:div w:id="1678926061">
      <w:bodyDiv w:val="1"/>
      <w:marLeft w:val="0"/>
      <w:marRight w:val="0"/>
      <w:marTop w:val="0"/>
      <w:marBottom w:val="0"/>
      <w:divBdr>
        <w:top w:val="none" w:sz="0" w:space="0" w:color="auto"/>
        <w:left w:val="none" w:sz="0" w:space="0" w:color="auto"/>
        <w:bottom w:val="none" w:sz="0" w:space="0" w:color="auto"/>
        <w:right w:val="none" w:sz="0" w:space="0" w:color="auto"/>
      </w:divBdr>
    </w:div>
    <w:div w:id="1687363518">
      <w:bodyDiv w:val="1"/>
      <w:marLeft w:val="0"/>
      <w:marRight w:val="0"/>
      <w:marTop w:val="0"/>
      <w:marBottom w:val="0"/>
      <w:divBdr>
        <w:top w:val="none" w:sz="0" w:space="0" w:color="auto"/>
        <w:left w:val="none" w:sz="0" w:space="0" w:color="auto"/>
        <w:bottom w:val="none" w:sz="0" w:space="0" w:color="auto"/>
        <w:right w:val="none" w:sz="0" w:space="0" w:color="auto"/>
      </w:divBdr>
    </w:div>
    <w:div w:id="1687976848">
      <w:bodyDiv w:val="1"/>
      <w:marLeft w:val="0"/>
      <w:marRight w:val="0"/>
      <w:marTop w:val="0"/>
      <w:marBottom w:val="0"/>
      <w:divBdr>
        <w:top w:val="none" w:sz="0" w:space="0" w:color="auto"/>
        <w:left w:val="none" w:sz="0" w:space="0" w:color="auto"/>
        <w:bottom w:val="none" w:sz="0" w:space="0" w:color="auto"/>
        <w:right w:val="none" w:sz="0" w:space="0" w:color="auto"/>
      </w:divBdr>
    </w:div>
    <w:div w:id="1690251237">
      <w:bodyDiv w:val="1"/>
      <w:marLeft w:val="0"/>
      <w:marRight w:val="0"/>
      <w:marTop w:val="0"/>
      <w:marBottom w:val="0"/>
      <w:divBdr>
        <w:top w:val="none" w:sz="0" w:space="0" w:color="auto"/>
        <w:left w:val="none" w:sz="0" w:space="0" w:color="auto"/>
        <w:bottom w:val="none" w:sz="0" w:space="0" w:color="auto"/>
        <w:right w:val="none" w:sz="0" w:space="0" w:color="auto"/>
      </w:divBdr>
    </w:div>
    <w:div w:id="1705205671">
      <w:bodyDiv w:val="1"/>
      <w:marLeft w:val="0"/>
      <w:marRight w:val="0"/>
      <w:marTop w:val="0"/>
      <w:marBottom w:val="0"/>
      <w:divBdr>
        <w:top w:val="none" w:sz="0" w:space="0" w:color="auto"/>
        <w:left w:val="none" w:sz="0" w:space="0" w:color="auto"/>
        <w:bottom w:val="none" w:sz="0" w:space="0" w:color="auto"/>
        <w:right w:val="none" w:sz="0" w:space="0" w:color="auto"/>
      </w:divBdr>
    </w:div>
    <w:div w:id="1727337090">
      <w:bodyDiv w:val="1"/>
      <w:marLeft w:val="0"/>
      <w:marRight w:val="0"/>
      <w:marTop w:val="0"/>
      <w:marBottom w:val="0"/>
      <w:divBdr>
        <w:top w:val="none" w:sz="0" w:space="0" w:color="auto"/>
        <w:left w:val="none" w:sz="0" w:space="0" w:color="auto"/>
        <w:bottom w:val="none" w:sz="0" w:space="0" w:color="auto"/>
        <w:right w:val="none" w:sz="0" w:space="0" w:color="auto"/>
      </w:divBdr>
    </w:div>
    <w:div w:id="1733238833">
      <w:bodyDiv w:val="1"/>
      <w:marLeft w:val="0"/>
      <w:marRight w:val="0"/>
      <w:marTop w:val="0"/>
      <w:marBottom w:val="0"/>
      <w:divBdr>
        <w:top w:val="none" w:sz="0" w:space="0" w:color="auto"/>
        <w:left w:val="none" w:sz="0" w:space="0" w:color="auto"/>
        <w:bottom w:val="none" w:sz="0" w:space="0" w:color="auto"/>
        <w:right w:val="none" w:sz="0" w:space="0" w:color="auto"/>
      </w:divBdr>
    </w:div>
    <w:div w:id="1749843560">
      <w:bodyDiv w:val="1"/>
      <w:marLeft w:val="0"/>
      <w:marRight w:val="0"/>
      <w:marTop w:val="0"/>
      <w:marBottom w:val="0"/>
      <w:divBdr>
        <w:top w:val="none" w:sz="0" w:space="0" w:color="auto"/>
        <w:left w:val="none" w:sz="0" w:space="0" w:color="auto"/>
        <w:bottom w:val="none" w:sz="0" w:space="0" w:color="auto"/>
        <w:right w:val="none" w:sz="0" w:space="0" w:color="auto"/>
      </w:divBdr>
    </w:div>
    <w:div w:id="1769306440">
      <w:bodyDiv w:val="1"/>
      <w:marLeft w:val="0"/>
      <w:marRight w:val="0"/>
      <w:marTop w:val="0"/>
      <w:marBottom w:val="0"/>
      <w:divBdr>
        <w:top w:val="none" w:sz="0" w:space="0" w:color="auto"/>
        <w:left w:val="none" w:sz="0" w:space="0" w:color="auto"/>
        <w:bottom w:val="none" w:sz="0" w:space="0" w:color="auto"/>
        <w:right w:val="none" w:sz="0" w:space="0" w:color="auto"/>
      </w:divBdr>
      <w:divsChild>
        <w:div w:id="1540779405">
          <w:marLeft w:val="547"/>
          <w:marRight w:val="0"/>
          <w:marTop w:val="0"/>
          <w:marBottom w:val="0"/>
          <w:divBdr>
            <w:top w:val="none" w:sz="0" w:space="0" w:color="auto"/>
            <w:left w:val="none" w:sz="0" w:space="0" w:color="auto"/>
            <w:bottom w:val="none" w:sz="0" w:space="0" w:color="auto"/>
            <w:right w:val="none" w:sz="0" w:space="0" w:color="auto"/>
          </w:divBdr>
        </w:div>
        <w:div w:id="1639801388">
          <w:marLeft w:val="547"/>
          <w:marRight w:val="0"/>
          <w:marTop w:val="0"/>
          <w:marBottom w:val="0"/>
          <w:divBdr>
            <w:top w:val="none" w:sz="0" w:space="0" w:color="auto"/>
            <w:left w:val="none" w:sz="0" w:space="0" w:color="auto"/>
            <w:bottom w:val="none" w:sz="0" w:space="0" w:color="auto"/>
            <w:right w:val="none" w:sz="0" w:space="0" w:color="auto"/>
          </w:divBdr>
        </w:div>
        <w:div w:id="1958170313">
          <w:marLeft w:val="547"/>
          <w:marRight w:val="0"/>
          <w:marTop w:val="0"/>
          <w:marBottom w:val="0"/>
          <w:divBdr>
            <w:top w:val="none" w:sz="0" w:space="0" w:color="auto"/>
            <w:left w:val="none" w:sz="0" w:space="0" w:color="auto"/>
            <w:bottom w:val="none" w:sz="0" w:space="0" w:color="auto"/>
            <w:right w:val="none" w:sz="0" w:space="0" w:color="auto"/>
          </w:divBdr>
        </w:div>
        <w:div w:id="1534490886">
          <w:marLeft w:val="547"/>
          <w:marRight w:val="0"/>
          <w:marTop w:val="0"/>
          <w:marBottom w:val="0"/>
          <w:divBdr>
            <w:top w:val="none" w:sz="0" w:space="0" w:color="auto"/>
            <w:left w:val="none" w:sz="0" w:space="0" w:color="auto"/>
            <w:bottom w:val="none" w:sz="0" w:space="0" w:color="auto"/>
            <w:right w:val="none" w:sz="0" w:space="0" w:color="auto"/>
          </w:divBdr>
        </w:div>
        <w:div w:id="1632323992">
          <w:marLeft w:val="547"/>
          <w:marRight w:val="0"/>
          <w:marTop w:val="0"/>
          <w:marBottom w:val="0"/>
          <w:divBdr>
            <w:top w:val="none" w:sz="0" w:space="0" w:color="auto"/>
            <w:left w:val="none" w:sz="0" w:space="0" w:color="auto"/>
            <w:bottom w:val="none" w:sz="0" w:space="0" w:color="auto"/>
            <w:right w:val="none" w:sz="0" w:space="0" w:color="auto"/>
          </w:divBdr>
        </w:div>
        <w:div w:id="1840853415">
          <w:marLeft w:val="547"/>
          <w:marRight w:val="0"/>
          <w:marTop w:val="0"/>
          <w:marBottom w:val="0"/>
          <w:divBdr>
            <w:top w:val="none" w:sz="0" w:space="0" w:color="auto"/>
            <w:left w:val="none" w:sz="0" w:space="0" w:color="auto"/>
            <w:bottom w:val="none" w:sz="0" w:space="0" w:color="auto"/>
            <w:right w:val="none" w:sz="0" w:space="0" w:color="auto"/>
          </w:divBdr>
        </w:div>
        <w:div w:id="1018627642">
          <w:marLeft w:val="547"/>
          <w:marRight w:val="0"/>
          <w:marTop w:val="0"/>
          <w:marBottom w:val="0"/>
          <w:divBdr>
            <w:top w:val="none" w:sz="0" w:space="0" w:color="auto"/>
            <w:left w:val="none" w:sz="0" w:space="0" w:color="auto"/>
            <w:bottom w:val="none" w:sz="0" w:space="0" w:color="auto"/>
            <w:right w:val="none" w:sz="0" w:space="0" w:color="auto"/>
          </w:divBdr>
        </w:div>
      </w:divsChild>
    </w:div>
    <w:div w:id="1773278028">
      <w:bodyDiv w:val="1"/>
      <w:marLeft w:val="0"/>
      <w:marRight w:val="0"/>
      <w:marTop w:val="0"/>
      <w:marBottom w:val="0"/>
      <w:divBdr>
        <w:top w:val="none" w:sz="0" w:space="0" w:color="auto"/>
        <w:left w:val="none" w:sz="0" w:space="0" w:color="auto"/>
        <w:bottom w:val="none" w:sz="0" w:space="0" w:color="auto"/>
        <w:right w:val="none" w:sz="0" w:space="0" w:color="auto"/>
      </w:divBdr>
    </w:div>
    <w:div w:id="1793161363">
      <w:bodyDiv w:val="1"/>
      <w:marLeft w:val="0"/>
      <w:marRight w:val="0"/>
      <w:marTop w:val="0"/>
      <w:marBottom w:val="0"/>
      <w:divBdr>
        <w:top w:val="none" w:sz="0" w:space="0" w:color="auto"/>
        <w:left w:val="none" w:sz="0" w:space="0" w:color="auto"/>
        <w:bottom w:val="none" w:sz="0" w:space="0" w:color="auto"/>
        <w:right w:val="none" w:sz="0" w:space="0" w:color="auto"/>
      </w:divBdr>
    </w:div>
    <w:div w:id="1794639623">
      <w:bodyDiv w:val="1"/>
      <w:marLeft w:val="0"/>
      <w:marRight w:val="0"/>
      <w:marTop w:val="0"/>
      <w:marBottom w:val="0"/>
      <w:divBdr>
        <w:top w:val="none" w:sz="0" w:space="0" w:color="auto"/>
        <w:left w:val="none" w:sz="0" w:space="0" w:color="auto"/>
        <w:bottom w:val="none" w:sz="0" w:space="0" w:color="auto"/>
        <w:right w:val="none" w:sz="0" w:space="0" w:color="auto"/>
      </w:divBdr>
    </w:div>
    <w:div w:id="1800568820">
      <w:bodyDiv w:val="1"/>
      <w:marLeft w:val="0"/>
      <w:marRight w:val="0"/>
      <w:marTop w:val="0"/>
      <w:marBottom w:val="0"/>
      <w:divBdr>
        <w:top w:val="none" w:sz="0" w:space="0" w:color="auto"/>
        <w:left w:val="none" w:sz="0" w:space="0" w:color="auto"/>
        <w:bottom w:val="none" w:sz="0" w:space="0" w:color="auto"/>
        <w:right w:val="none" w:sz="0" w:space="0" w:color="auto"/>
      </w:divBdr>
    </w:div>
    <w:div w:id="1804736967">
      <w:bodyDiv w:val="1"/>
      <w:marLeft w:val="0"/>
      <w:marRight w:val="0"/>
      <w:marTop w:val="0"/>
      <w:marBottom w:val="0"/>
      <w:divBdr>
        <w:top w:val="none" w:sz="0" w:space="0" w:color="auto"/>
        <w:left w:val="none" w:sz="0" w:space="0" w:color="auto"/>
        <w:bottom w:val="none" w:sz="0" w:space="0" w:color="auto"/>
        <w:right w:val="none" w:sz="0" w:space="0" w:color="auto"/>
      </w:divBdr>
    </w:div>
    <w:div w:id="1887637325">
      <w:bodyDiv w:val="1"/>
      <w:marLeft w:val="0"/>
      <w:marRight w:val="0"/>
      <w:marTop w:val="0"/>
      <w:marBottom w:val="0"/>
      <w:divBdr>
        <w:top w:val="none" w:sz="0" w:space="0" w:color="auto"/>
        <w:left w:val="none" w:sz="0" w:space="0" w:color="auto"/>
        <w:bottom w:val="none" w:sz="0" w:space="0" w:color="auto"/>
        <w:right w:val="none" w:sz="0" w:space="0" w:color="auto"/>
      </w:divBdr>
    </w:div>
    <w:div w:id="1935016054">
      <w:bodyDiv w:val="1"/>
      <w:marLeft w:val="0"/>
      <w:marRight w:val="0"/>
      <w:marTop w:val="0"/>
      <w:marBottom w:val="0"/>
      <w:divBdr>
        <w:top w:val="none" w:sz="0" w:space="0" w:color="auto"/>
        <w:left w:val="none" w:sz="0" w:space="0" w:color="auto"/>
        <w:bottom w:val="none" w:sz="0" w:space="0" w:color="auto"/>
        <w:right w:val="none" w:sz="0" w:space="0" w:color="auto"/>
      </w:divBdr>
    </w:div>
    <w:div w:id="1953588121">
      <w:bodyDiv w:val="1"/>
      <w:marLeft w:val="0"/>
      <w:marRight w:val="0"/>
      <w:marTop w:val="0"/>
      <w:marBottom w:val="0"/>
      <w:divBdr>
        <w:top w:val="none" w:sz="0" w:space="0" w:color="auto"/>
        <w:left w:val="none" w:sz="0" w:space="0" w:color="auto"/>
        <w:bottom w:val="none" w:sz="0" w:space="0" w:color="auto"/>
        <w:right w:val="none" w:sz="0" w:space="0" w:color="auto"/>
      </w:divBdr>
    </w:div>
    <w:div w:id="1971548473">
      <w:bodyDiv w:val="1"/>
      <w:marLeft w:val="0"/>
      <w:marRight w:val="0"/>
      <w:marTop w:val="0"/>
      <w:marBottom w:val="0"/>
      <w:divBdr>
        <w:top w:val="none" w:sz="0" w:space="0" w:color="auto"/>
        <w:left w:val="none" w:sz="0" w:space="0" w:color="auto"/>
        <w:bottom w:val="none" w:sz="0" w:space="0" w:color="auto"/>
        <w:right w:val="none" w:sz="0" w:space="0" w:color="auto"/>
      </w:divBdr>
    </w:div>
    <w:div w:id="1972443021">
      <w:bodyDiv w:val="1"/>
      <w:marLeft w:val="0"/>
      <w:marRight w:val="0"/>
      <w:marTop w:val="0"/>
      <w:marBottom w:val="0"/>
      <w:divBdr>
        <w:top w:val="none" w:sz="0" w:space="0" w:color="auto"/>
        <w:left w:val="none" w:sz="0" w:space="0" w:color="auto"/>
        <w:bottom w:val="none" w:sz="0" w:space="0" w:color="auto"/>
        <w:right w:val="none" w:sz="0" w:space="0" w:color="auto"/>
      </w:divBdr>
      <w:divsChild>
        <w:div w:id="744373522">
          <w:marLeft w:val="547"/>
          <w:marRight w:val="0"/>
          <w:marTop w:val="0"/>
          <w:marBottom w:val="0"/>
          <w:divBdr>
            <w:top w:val="none" w:sz="0" w:space="0" w:color="auto"/>
            <w:left w:val="none" w:sz="0" w:space="0" w:color="auto"/>
            <w:bottom w:val="none" w:sz="0" w:space="0" w:color="auto"/>
            <w:right w:val="none" w:sz="0" w:space="0" w:color="auto"/>
          </w:divBdr>
        </w:div>
      </w:divsChild>
    </w:div>
    <w:div w:id="2015301161">
      <w:bodyDiv w:val="1"/>
      <w:marLeft w:val="0"/>
      <w:marRight w:val="0"/>
      <w:marTop w:val="0"/>
      <w:marBottom w:val="0"/>
      <w:divBdr>
        <w:top w:val="none" w:sz="0" w:space="0" w:color="auto"/>
        <w:left w:val="none" w:sz="0" w:space="0" w:color="auto"/>
        <w:bottom w:val="none" w:sz="0" w:space="0" w:color="auto"/>
        <w:right w:val="none" w:sz="0" w:space="0" w:color="auto"/>
      </w:divBdr>
    </w:div>
    <w:div w:id="2053186203">
      <w:bodyDiv w:val="1"/>
      <w:marLeft w:val="0"/>
      <w:marRight w:val="0"/>
      <w:marTop w:val="0"/>
      <w:marBottom w:val="0"/>
      <w:divBdr>
        <w:top w:val="none" w:sz="0" w:space="0" w:color="auto"/>
        <w:left w:val="none" w:sz="0" w:space="0" w:color="auto"/>
        <w:bottom w:val="none" w:sz="0" w:space="0" w:color="auto"/>
        <w:right w:val="none" w:sz="0" w:space="0" w:color="auto"/>
      </w:divBdr>
    </w:div>
    <w:div w:id="2057270520">
      <w:bodyDiv w:val="1"/>
      <w:marLeft w:val="0"/>
      <w:marRight w:val="0"/>
      <w:marTop w:val="0"/>
      <w:marBottom w:val="0"/>
      <w:divBdr>
        <w:top w:val="none" w:sz="0" w:space="0" w:color="auto"/>
        <w:left w:val="none" w:sz="0" w:space="0" w:color="auto"/>
        <w:bottom w:val="none" w:sz="0" w:space="0" w:color="auto"/>
        <w:right w:val="none" w:sz="0" w:space="0" w:color="auto"/>
      </w:divBdr>
      <w:divsChild>
        <w:div w:id="63570006">
          <w:marLeft w:val="360"/>
          <w:marRight w:val="0"/>
          <w:marTop w:val="90"/>
          <w:marBottom w:val="150"/>
          <w:divBdr>
            <w:top w:val="none" w:sz="0" w:space="0" w:color="auto"/>
            <w:left w:val="none" w:sz="0" w:space="0" w:color="auto"/>
            <w:bottom w:val="none" w:sz="0" w:space="0" w:color="auto"/>
            <w:right w:val="none" w:sz="0" w:space="0" w:color="auto"/>
          </w:divBdr>
        </w:div>
      </w:divsChild>
    </w:div>
    <w:div w:id="2059090494">
      <w:bodyDiv w:val="1"/>
      <w:marLeft w:val="0"/>
      <w:marRight w:val="0"/>
      <w:marTop w:val="0"/>
      <w:marBottom w:val="0"/>
      <w:divBdr>
        <w:top w:val="none" w:sz="0" w:space="0" w:color="auto"/>
        <w:left w:val="none" w:sz="0" w:space="0" w:color="auto"/>
        <w:bottom w:val="none" w:sz="0" w:space="0" w:color="auto"/>
        <w:right w:val="none" w:sz="0" w:space="0" w:color="auto"/>
      </w:divBdr>
    </w:div>
    <w:div w:id="2076976815">
      <w:bodyDiv w:val="1"/>
      <w:marLeft w:val="0"/>
      <w:marRight w:val="0"/>
      <w:marTop w:val="0"/>
      <w:marBottom w:val="0"/>
      <w:divBdr>
        <w:top w:val="none" w:sz="0" w:space="0" w:color="auto"/>
        <w:left w:val="none" w:sz="0" w:space="0" w:color="auto"/>
        <w:bottom w:val="none" w:sz="0" w:space="0" w:color="auto"/>
        <w:right w:val="none" w:sz="0" w:space="0" w:color="auto"/>
      </w:divBdr>
    </w:div>
    <w:div w:id="2113668459">
      <w:bodyDiv w:val="1"/>
      <w:marLeft w:val="0"/>
      <w:marRight w:val="0"/>
      <w:marTop w:val="0"/>
      <w:marBottom w:val="0"/>
      <w:divBdr>
        <w:top w:val="none" w:sz="0" w:space="0" w:color="auto"/>
        <w:left w:val="none" w:sz="0" w:space="0" w:color="auto"/>
        <w:bottom w:val="none" w:sz="0" w:space="0" w:color="auto"/>
        <w:right w:val="none" w:sz="0" w:space="0" w:color="auto"/>
      </w:divBdr>
    </w:div>
    <w:div w:id="2118983659">
      <w:bodyDiv w:val="1"/>
      <w:marLeft w:val="0"/>
      <w:marRight w:val="0"/>
      <w:marTop w:val="0"/>
      <w:marBottom w:val="0"/>
      <w:divBdr>
        <w:top w:val="none" w:sz="0" w:space="0" w:color="auto"/>
        <w:left w:val="none" w:sz="0" w:space="0" w:color="auto"/>
        <w:bottom w:val="none" w:sz="0" w:space="0" w:color="auto"/>
        <w:right w:val="none" w:sz="0" w:space="0" w:color="auto"/>
      </w:divBdr>
    </w:div>
    <w:div w:id="2123110251">
      <w:bodyDiv w:val="1"/>
      <w:marLeft w:val="0"/>
      <w:marRight w:val="0"/>
      <w:marTop w:val="0"/>
      <w:marBottom w:val="0"/>
      <w:divBdr>
        <w:top w:val="none" w:sz="0" w:space="0" w:color="auto"/>
        <w:left w:val="none" w:sz="0" w:space="0" w:color="auto"/>
        <w:bottom w:val="none" w:sz="0" w:space="0" w:color="auto"/>
        <w:right w:val="none" w:sz="0" w:space="0" w:color="auto"/>
      </w:divBdr>
    </w:div>
    <w:div w:id="2126195900">
      <w:bodyDiv w:val="1"/>
      <w:marLeft w:val="0"/>
      <w:marRight w:val="0"/>
      <w:marTop w:val="0"/>
      <w:marBottom w:val="0"/>
      <w:divBdr>
        <w:top w:val="none" w:sz="0" w:space="0" w:color="auto"/>
        <w:left w:val="none" w:sz="0" w:space="0" w:color="auto"/>
        <w:bottom w:val="none" w:sz="0" w:space="0" w:color="auto"/>
        <w:right w:val="none" w:sz="0" w:space="0" w:color="auto"/>
      </w:divBdr>
    </w:div>
    <w:div w:id="212861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4" ma:contentTypeDescription="Create a new document." ma:contentTypeScope="" ma:versionID="a2686b7d2123fcd0382c3a2a22bd9cf3">
  <xsd:schema xmlns:xsd="http://www.w3.org/2001/XMLSchema" xmlns:xs="http://www.w3.org/2001/XMLSchema" xmlns:p="http://schemas.microsoft.com/office/2006/metadata/properties" xmlns:ns3="ad7316b1-23f1-480c-8fa6-cbf037f4db9c" targetNamespace="http://schemas.microsoft.com/office/2006/metadata/properties" ma:root="true" ma:fieldsID="15b415645f8b11600cd95247856b438e"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Whi24</b:Tag>
    <b:SourceType>DocumentFromInternetSite</b:SourceType>
    <b:Guid>{F0E23C9A-820B-4DB6-B7AD-7B30A47D88C6}</b:Guid>
    <b:Title>Consumer Rights Act 2015</b:Title>
    <b:Year>2024</b:Year>
    <b:Author>
      <b:Author>
        <b:Corporate>Which?</b:Corporate>
      </b:Author>
    </b:Author>
    <b:Month>August</b:Month>
    <b:Day>21</b:Day>
    <b:YearAccessed>25</b:YearAccessed>
    <b:MonthAccessed>May</b:MonthAccessed>
    <b:DayAccessed>25</b:DayAccessed>
    <b:URL>https://www.which.co.uk/consumer-rights/regulation/consumer-rights-act-aKJYx8n5KiSl</b:URL>
    <b:RefOrder>6</b:RefOrder>
  </b:Source>
  <b:Source>
    <b:Tag>Leg24</b:Tag>
    <b:SourceType>DocumentFromInternetSite</b:SourceType>
    <b:Guid>{3FFA2876-7A52-491F-A73C-6E837BF29FEF}</b:Guid>
    <b:Author>
      <b:Author>
        <b:Corporate>Legal Creatives</b:Corporate>
      </b:Author>
    </b:Author>
    <b:Title>Rethinking Legalese</b:Title>
    <b:Year>2024</b:Year>
    <b:Month>August</b:Month>
    <b:Day>22</b:Day>
    <b:YearAccessed>2025</b:YearAccessed>
    <b:MonthAccessed>May</b:MonthAccessed>
    <b:DayAccessed>29</b:DayAccessed>
    <b:URL>https://www.legalcreatives.com/blog/rethinking-legalese-why-complex-language-doesn-t-mean-better-law</b:URL>
    <b:RefOrder>7</b:RefOrder>
  </b:Source>
  <b:Source>
    <b:Tag>Mar23</b:Tag>
    <b:SourceType>JournalArticle</b:SourceType>
    <b:Guid>{89B98033-7770-4240-9250-5D189A21E115}</b:Guid>
    <b:Title>Even lawyers do not like legalese</b:Title>
    <b:Year>2023</b:Year>
    <b:YearAccessed>2025</b:YearAccessed>
    <b:MonthAccessed>May</b:MonthAccessed>
    <b:DayAccessed>27</b:DayAccessed>
    <b:URL>https://www.pnas.org/doi/10.1073/pnas.2302672120</b:URL>
    <b:Author>
      <b:Author>
        <b:NameList>
          <b:Person>
            <b:Last>Martínez</b:Last>
            <b:First>Eric</b:First>
          </b:Person>
          <b:Person>
            <b:Last>Mollica</b:Last>
            <b:First>Francis</b:First>
          </b:Person>
          <b:Person>
            <b:Last>Gibson</b:Last>
            <b:First>Edward</b:First>
          </b:Person>
        </b:NameList>
      </b:Author>
    </b:Author>
    <b:JournalName>Proceedings of the National Academy of Sciences</b:JournalName>
    <b:RefOrder>20</b:RefOrder>
  </b:Source>
  <b:Source>
    <b:Tag>Off24</b:Tag>
    <b:SourceType>DocumentFromInternetSite</b:SourceType>
    <b:Guid>{9A4EFB6B-EB12-4A1F-9740-76A9F7269C58}</b:Guid>
    <b:Title>General Product Safety Regulations 2005</b:Title>
    <b:Year>2024</b:Year>
    <b:Author>
      <b:Author>
        <b:Corporate>Office for Product Safety &amp; Standards</b:Corporate>
      </b:Author>
    </b:Author>
    <b:Month>December</b:Month>
    <b:Day>13</b:Day>
    <b:YearAccessed>2025</b:YearAccessed>
    <b:MonthAccessed>May</b:MonthAccessed>
    <b:DayAccessed>29</b:DayAccessed>
    <b:URL>https://www.gov.uk/government/publications/general-product-safety-regulations-2005/general-product-safety-regulations-2005-great-britain#obligations-of-producers-and-distributors</b:URL>
    <b:RefOrder>12</b:RefOrder>
  </b:Source>
  <b:Source>
    <b:Tag>The05</b:Tag>
    <b:SourceType>DocumentFromInternetSite</b:SourceType>
    <b:Guid>{D0C28738-A1D0-4F9F-A408-6D9BE4DC35C1}</b:Guid>
    <b:Author>
      <b:Author>
        <b:Corporate>The National Archives</b:Corporate>
      </b:Author>
    </b:Author>
    <b:Title>The General Product Safety Regulations 2005</b:Title>
    <b:Year>2005</b:Year>
    <b:YearAccessed>2025</b:YearAccessed>
    <b:MonthAccessed>June</b:MonthAccessed>
    <b:DayAccessed>1</b:DayAccessed>
    <b:URL>https://www.legislation.gov.uk/uksi/2005/1803/contents</b:URL>
    <b:RefOrder>13</b:RefOrder>
  </b:Source>
  <b:Source>
    <b:Tag>SON24</b:Tag>
    <b:SourceType>Report</b:SourceType>
    <b:Guid>{6EC7FAE1-B372-4912-B608-CB2800C213EA}</b:Guid>
    <b:Title>Sustainability Report</b:Title>
    <b:Year>2024</b:Year>
    <b:YearAccessed>2025</b:YearAccessed>
    <b:MonthAccessed>June</b:MonthAccessed>
    <b:DayAccessed>1</b:DayAccessed>
    <b:URL>https://www.sony.com/en/SonyInfo/csr/library/reports/SustainabilityReport2024_E.pdf</b:URL>
    <b:Author>
      <b:Author>
        <b:Corporate>SONY</b:Corporate>
      </b:Author>
    </b:Author>
    <b:Publisher>Sony</b:Publisher>
    <b:Pages>74-84</b:Pages>
    <b:RefOrder>14</b:RefOrder>
  </b:Source>
  <b:Source>
    <b:Tag>SON16</b:Tag>
    <b:SourceType>DocumentFromInternetSite</b:SourceType>
    <b:Guid>{0F288AD3-8D8D-41AB-9E8D-18F375882A2F}</b:Guid>
    <b:Title>Important notification about battery pack VGP-BPS26 in VAIO Personal Computers</b:Title>
    <b:Year>2016</b:Year>
    <b:Author>
      <b:Author>
        <b:Corporate>SONY</b:Corporate>
      </b:Author>
    </b:Author>
    <b:Month>November</b:Month>
    <b:Day>24</b:Day>
    <b:YearAccessed>2025</b:YearAccessed>
    <b:MonthAccessed>June</b:MonthAccessed>
    <b:DayAccessed>1</b:DayAccessed>
    <b:URL>https://www.sony.com/electronics/support/serial-number-checker/17</b:URL>
    <b:RefOrder>15</b:RefOrder>
  </b:Source>
  <b:Source>
    <b:Tag>Bas20</b:Tag>
    <b:SourceType>JournalArticle</b:SourceType>
    <b:Guid>{CD1E9A1C-479D-4D37-A99B-6DC686312A4C}</b:Guid>
    <b:Title>Invitation to Treat In Law Of Contract</b:Title>
    <b:Year>2020</b:Year>
    <b:YearAccessed>2025</b:YearAccessed>
    <b:MonthAccessed>June</b:MonthAccessed>
    <b:DayAccessed>1</b:DayAccessed>
    <b:URL>https://www.researchgate.net/publication/379484026_2020_230_I_wwwirssacademyirmbr</b:URL>
    <b:Author>
      <b:Author>
        <b:NameList>
          <b:Person>
            <b:Last>Bashir</b:Last>
            <b:First>Sobia</b:First>
          </b:Person>
          <b:Person>
            <b:Last>Khan</b:Last>
            <b:First>Faisal</b:First>
            <b:Middle>Shehzad</b:Middle>
          </b:Person>
          <b:Person>
            <b:Last>Khan</b:Last>
            <b:First>Abdus</b:First>
            <b:Middle>Samad</b:Middle>
          </b:Person>
        </b:NameList>
      </b:Author>
    </b:Author>
    <b:JournalName>International Review of Social Sciences</b:JournalName>
    <b:Volume>8</b:Volume>
    <b:Issue>7</b:Issue>
    <b:RefOrder>1</b:RefOrder>
  </b:Source>
  <b:Source>
    <b:Tag>Hum25</b:Tag>
    <b:SourceType>InternetSite</b:SourceType>
    <b:Guid>{ABB4F64F-8CC3-4ABA-99A1-355217F1D2EE}</b:Guid>
    <b:Author>
      <b:Author>
        <b:NameList>
          <b:Person>
            <b:Last>Ahmad</b:Last>
            <b:First>Humna</b:First>
          </b:Person>
        </b:NameList>
      </b:Author>
    </b:Author>
    <b:Title>What is Consideration in Contract Law in the UK?</b:Title>
    <b:Year>2025</b:Year>
    <b:YearAccessed>2025</b:YearAccessed>
    <b:MonthAccessed>May</b:MonthAccessed>
    <b:DayAccessed>28</b:DayAccessed>
    <b:URL>https://legalvision.co.uk/commercial-contracts/consideration-contracts/</b:URL>
    <b:RefOrder>3</b:RefOrder>
  </b:Source>
  <b:Source>
    <b:Tag>Wel23</b:Tag>
    <b:SourceType>DocumentFromInternetSite</b:SourceType>
    <b:Guid>{71484AB8-D39F-4F5D-92A3-79A51BD30F07}</b:Guid>
    <b:Author>
      <b:Author>
        <b:Corporate>Welsh Government</b:Corporate>
      </b:Author>
    </b:Author>
    <b:Title>The Environmental Protection (Single-use Plastic Products) (Wales) Act 2023</b:Title>
    <b:Year>2023</b:Year>
    <b:Month>September</b:Month>
    <b:Day>20</b:Day>
    <b:YearAccessed>2025</b:YearAccessed>
    <b:MonthAccessed>June</b:MonthAccessed>
    <b:DayAccessed>1</b:DayAccessed>
    <b:URL>https://www.gov.wales/environmental-protection-single-use-plastic-products-wales-act#:~:text=The%20Environmental%20Protection%20%28Single-use%20Plastic%20Products%29%20%28Wales%29%20Act,to%20consumers%20in%20Wales%2C%20unless%20an%20exemption%20applies.</b:URL>
    <b:RefOrder>16</b:RefOrder>
  </b:Source>
  <b:Source>
    <b:Tag>Yua21</b:Tag>
    <b:SourceType>JournalArticle</b:SourceType>
    <b:Guid>{728EA3E4-DFD0-49C7-9D38-599FD46DCFC6}</b:Guid>
    <b:Title>Single-use plastics: Production, usage, disposal, and adverse impacts</b:Title>
    <b:Year>2021</b:Year>
    <b:Author>
      <b:Author>
        <b:NameList>
          <b:Person>
            <b:Last>Chen</b:Last>
            <b:First>Yuan</b:First>
          </b:Person>
          <b:Person>
            <b:Last>Kumar Awasthi</b:Last>
            <b:First>Abhishek,</b:First>
            <b:Middle>Wei, Fan</b:Middle>
          </b:Person>
          <b:Person>
            <b:Last>Tan</b:Last>
            <b:First>Quanyin</b:First>
          </b:Person>
          <b:Person>
            <b:Last>Li</b:Last>
            <b:First>Jinhui</b:First>
          </b:Person>
        </b:NameList>
      </b:Author>
    </b:Author>
    <b:JournalName>Science of the Total Environment</b:JournalName>
    <b:Volume>752</b:Volume>
    <b:YearAccessed>2025</b:YearAccessed>
    <b:MonthAccessed>June</b:MonthAccessed>
    <b:DayAccessed>2</b:DayAccessed>
    <b:URL>https://www.sciencedirect.com/science/article/abs/pii/S0048969720353018</b:URL>
    <b:RefOrder>17</b:RefOrder>
  </b:Source>
  <b:Source>
    <b:Tag>Off13</b:Tag>
    <b:SourceType>Report</b:SourceType>
    <b:Guid>{FEA5406C-3620-4BF3-9D81-851E1EAB8F73}</b:Guid>
    <b:Title>When Laws Become Too Complex</b:Title>
    <b:Year>2013</b:Year>
    <b:Author>
      <b:Author>
        <b:Corporate>Office of the Parliamentary Council</b:Corporate>
      </b:Author>
    </b:Author>
    <b:Publisher>Cabinet Office</b:Publisher>
    <b:YearAccessed>2025</b:YearAccessed>
    <b:MonthAccessed>June</b:MonthAccessed>
    <b:DayAccessed>3</b:DayAccessed>
    <b:URL>https://assets.publishing.service.gov.uk/media/5a7a2ce9e5274a34770e4c80/GoodLaw_report_8April_AP.pdf</b:URL>
    <b:RefOrder>8</b:RefOrder>
  </b:Source>
  <b:Source>
    <b:Tag>Jus24</b:Tag>
    <b:SourceType>JournalArticle</b:SourceType>
    <b:Guid>{027C9FBF-2EF5-4D28-9DDD-E3C274CB0C05}</b:Guid>
    <b:Title>Text Simplification System for Legal Contract Review</b:Title>
    <b:Year>2024</b:Year>
    <b:Author>
      <b:Author>
        <b:NameList>
          <b:Person>
            <b:Last>Justo</b:Last>
            <b:First>Jenel</b:First>
            <b:Middle>M</b:Middle>
          </b:Person>
          <b:Person>
            <b:Last>Recario</b:Last>
            <b:First>Reginald</b:First>
            <b:Middle>Neil C</b:Middle>
          </b:Person>
        </b:NameList>
      </b:Author>
    </b:Author>
    <b:JournalName>Advances in Information and Communication</b:JournalName>
    <b:Pages>105-123</b:Pages>
    <b:YearAccessed>2025</b:YearAccessed>
    <b:MonthAccessed>June</b:MonthAccessed>
    <b:DayAccessed>5</b:DayAccessed>
    <b:RefOrder>9</b:RefOrder>
  </b:Source>
  <b:Source>
    <b:Tag>Lis26</b:Tag>
    <b:SourceType>JournalArticle</b:SourceType>
    <b:Guid>{D622F32A-F971-401D-9083-375FF5A59E7C}</b:Guid>
    <b:Author>
      <b:Author>
        <b:NameList>
          <b:Person>
            <b:Last>Lissack</b:Last>
            <b:First>Michael</b:First>
          </b:Person>
        </b:NameList>
      </b:Author>
    </b:Author>
    <b:Title>Don't Be Addicted: The Oft-Overlooked Dangers of Simplification</b:Title>
    <b:JournalName>The Journal of Design, Economics, and Innovation</b:JournalName>
    <b:Year>2026</b:Year>
    <b:Pages>29-45</b:Pages>
    <b:Volume>2</b:Volume>
    <b:Issue>1</b:Issue>
    <b:YearAccessed>2025</b:YearAccessed>
    <b:MonthAccessed>June</b:MonthAccessed>
    <b:DayAccessed>5</b:DayAccessed>
    <b:RefOrder>10</b:RefOrder>
  </b:Source>
  <b:Source>
    <b:Tag>FOR23</b:Tag>
    <b:SourceType>DocumentFromInternetSite</b:SourceType>
    <b:Guid>{1D30FE14-EEBC-4680-87F8-EDBEC760CD0F}</b:Guid>
    <b:Title>Single-use plastic ban in Wales from 30th October</b:Title>
    <b:Year>2023</b:Year>
    <b:Author>
      <b:Author>
        <b:Corporate>FOR Cardiff Offices</b:Corporate>
      </b:Author>
    </b:Author>
    <b:Month>October</b:Month>
    <b:Day>3</b:Day>
    <b:YearAccessed>2025</b:YearAccessed>
    <b:MonthAccessed>May</b:MonthAccessed>
    <b:DayAccessed>30</b:DayAccessed>
    <b:URL>https://www.forcardiff.com/sustainability-hub/single-use-plastic-ban-in-wales-from-30th-october/#:~:text=This%20law%20will%20ban%20the%20sale%20or%20supply,existing%20stock%20and%20to%20buy%20or%20make%20alternatives.</b:URL>
    <b:RefOrder>18</b:RefOrder>
  </b:Source>
  <b:Source>
    <b:Tag>Wel231</b:Tag>
    <b:SourceType>DocumentFromInternetSite</b:SourceType>
    <b:Guid>{848E1AA4-FD0C-45C6-AD6D-FC046E8AF4D7}</b:Guid>
    <b:Title>Statutory guidance for bans and restrictions on single-use plastic in Wales</b:Title>
    <b:Year>2023</b:Year>
    <b:YearAccessed>2025</b:YearAccessed>
    <b:MonthAccessed>June</b:MonthAccessed>
    <b:DayAccessed>4</b:DayAccessed>
    <b:URL>https://www.gov.wales/sites/default/files/publications/2023-11/single-use-plastic-statutory-guidance.pdf</b:URL>
    <b:Author>
      <b:Author>
        <b:Corporate>Welsh Government</b:Corporate>
      </b:Author>
    </b:Author>
    <b:RefOrder>19</b:RefOrder>
  </b:Source>
  <b:Source>
    <b:Tag>Gib79</b:Tag>
    <b:SourceType>Case</b:SourceType>
    <b:Guid>{BEC5034E-C3FA-46BD-A1AA-49C7BC2C611B}</b:Guid>
    <b:Title>Gibson V Manchester City Council (1979) UKHL 6</b:Title>
    <b:Year>1979</b:Year>
    <b:RefOrder>21</b:RefOrder>
  </b:Source>
  <b:Source>
    <b:Tag>Car93</b:Tag>
    <b:SourceType>Case</b:SourceType>
    <b:Guid>{3D73A52D-13F1-4FA3-A0EC-E7EF170A0261}</b:Guid>
    <b:Title>Carlill V Carbolic Smoke Ball Co 1 QB 256</b:Title>
    <b:Year>1893</b:Year>
    <b:RefOrder>22</b:RefOrder>
  </b:Source>
  <b:Source>
    <b:Tag>Sca41</b:Tag>
    <b:SourceType>Case</b:SourceType>
    <b:Guid>{51E72EF6-659C-46FB-8EED-64A267D53EDF}</b:Guid>
    <b:Title>Scammell v Nephew LTD Ouston 1 AC 251</b:Title>
    <b:Year>1941</b:Year>
    <b:RefOrder>23</b:RefOrder>
  </b:Source>
  <b:Source>
    <b:Tag>Lef57</b:Tag>
    <b:SourceType>Case</b:SourceType>
    <b:Guid>{54173C15-46EF-480D-AE96-9D84304DA199}</b:Guid>
    <b:Title>Lefkowitz v Great Minneapolis Surplus Store 86 N.W.2d 689, 251 Minn. 188</b:Title>
    <b:Year>1957</b:Year>
    <b:RefOrder>24</b:RefOrder>
  </b:Source>
  <b:Source>
    <b:Tag>Par68</b:Tag>
    <b:SourceType>Case</b:SourceType>
    <b:Guid>{8436CD58-9FBC-4148-801C-FB2673313F6E}</b:Guid>
    <b:Title>Partridge v Crittenden 1 WLR 1204</b:Title>
    <b:Year>1968</b:Year>
    <b:RefOrder>25</b:RefOrder>
  </b:Source>
  <b:Source>
    <b:Tag>Ada</b:Tag>
    <b:SourceType>Case</b:SourceType>
    <b:Guid>{BB2710BD-D883-4606-A40B-6830D8E0375B}</b:Guid>
    <b:Title>Adams V Lindsell 1 B &amp; Ald 681</b:Title>
    <b:Year>1818</b:Year>
    <b:RefOrder>26</b:RefOrder>
  </b:Source>
  <b:Source>
    <b:Tag>Fel62</b:Tag>
    <b:SourceType>Case</b:SourceType>
    <b:Guid>{019BE69A-9B22-4A80-8FD8-3963F2612CE9}</b:Guid>
    <b:Title>Felthouse V Bindley EWHC CP J35; 142 ER 1037</b:Title>
    <b:Year>1862</b:Year>
    <b:RefOrder>27</b:RefOrder>
  </b:Source>
  <b:Source>
    <b:Tag>Dun</b:Tag>
    <b:SourceType>Case</b:SourceType>
    <b:Guid>{18EB67F6-D08A-4E55-A74E-24572CE48345}</b:Guid>
    <b:Title>Dunlop Pneumatic Tyre Co LTD v New Garage &amp; Motor Co LTD UKHL 1, AC 79</b:Title>
    <b:Year>1915</b:Year>
    <b:RefOrder>28</b:RefOrder>
  </b:Source>
  <b:Source>
    <b:Tag>Lam15</b:Tag>
    <b:SourceType>Case</b:SourceType>
    <b:Guid>{820D7F99-5803-45D2-A8B9-5EB08C261A24}</b:Guid>
    <b:Title>Lampleigh v Brathwait EWHC KB J17</b:Title>
    <b:Year>1615</b:Year>
    <b:RefOrder>29</b:RefOrder>
  </b:Source>
  <b:Source>
    <b:Tag>Cha60</b:Tag>
    <b:SourceType>Case</b:SourceType>
    <b:Guid>{90DFF8A8-D57F-48C2-917F-9B6BAC6A90A4}</b:Guid>
    <b:Title>Chappell and Co v Nestle Co LTD AC 87</b:Title>
    <b:Year>1960</b:Year>
    <b:RefOrder>30</b:RefOrder>
  </b:Source>
  <b:Source>
    <b:Tag>Bal19</b:Tag>
    <b:SourceType>Case</b:SourceType>
    <b:Guid>{3D69F528-190E-4B61-9DD0-0F57279213C1}</b:Guid>
    <b:Title>Balfour V Balfour 2KB 571</b:Title>
    <b:Year>1919</b:Year>
    <b:RefOrder>31</b:RefOrder>
  </b:Source>
  <b:Source>
    <b:Tag>Nas08</b:Tag>
    <b:SourceType>Case</b:SourceType>
    <b:Guid>{59589A44-CDF5-402C-810A-0F5271230CF9}</b:Guid>
    <b:Title>Nash V Inman 2 KB 1</b:Title>
    <b:Year>1908</b:Year>
    <b:RefOrder>32</b:RefOrder>
  </b:Source>
  <b:Source>
    <b:Tag>Gul11</b:Tag>
    <b:SourceType>JournalArticle</b:SourceType>
    <b:Guid>{FD889171-290C-4C5B-8FBC-D7C10D3E517D}</b:Guid>
    <b:Title>'Intention to Create Legal Relations'. A Contractual Necessity or An Illsory Concept</b:Title>
    <b:Year>2011</b:Year>
    <b:Author>
      <b:Author>
        <b:NameList>
          <b:Person>
            <b:Last>Gulati</b:Last>
            <b:First>Bhawna</b:First>
          </b:Person>
        </b:NameList>
      </b:Author>
    </b:Author>
    <b:JournalName>Beijing Law Review</b:JournalName>
    <b:YearAccessed>2025</b:YearAccessed>
    <b:MonthAccessed>June</b:MonthAccessed>
    <b:DayAccessed>5</b:DayAccessed>
    <b:RefOrder>4</b:RefOrder>
  </b:Source>
  <b:Source>
    <b:Tag>Bea25</b:Tag>
    <b:SourceType>DocumentFromInternetSite</b:SourceType>
    <b:Guid>{2D423252-8DC8-46E5-AAE1-B99C1892CF57}</b:Guid>
    <b:Title>Lack of Capacity in Contract Law</b:Title>
    <b:Year>2025</b:Year>
    <b:Author>
      <b:Author>
        <b:NameList>
          <b:Person>
            <b:Last>Sainz</b:Last>
            <b:First>Beatrice</b:First>
          </b:Person>
        </b:NameList>
      </b:Author>
    </b:Author>
    <b:Month>April</b:Month>
    <b:Day>23</b:Day>
    <b:YearAccessed>2025</b:YearAccessed>
    <b:MonthAccessed>June</b:MonthAccessed>
    <b:DayAccessed>5</b:DayAccessed>
    <b:RefOrder>5</b:RefOrder>
  </b:Source>
  <b:Source>
    <b:Tag>Sul23</b:Tag>
    <b:SourceType>JournalArticle</b:SourceType>
    <b:Guid>{1E1E0B54-63AB-48ED-9BD7-5A4F4CFAD953}</b:Guid>
    <b:Title>Basic Terms for Conclusion and Entry into Force of Contracts</b:Title>
    <b:Year>2023</b:Year>
    <b:YearAccessed>2025</b:YearAccessed>
    <b:MonthAccessed>June</b:MonthAccessed>
    <b:DayAccessed>5</b:DayAccessed>
    <b:URL>https://aem.az/uploads/files/2023-04/1682249993_1681988760_elmi-s-17_4-82-88.pdf</b:URL>
    <b:Author>
      <b:Author>
        <b:NameList>
          <b:Person>
            <b:Last>Suleymanli</b:Last>
            <b:First>Osman</b:First>
          </b:Person>
        </b:NameList>
      </b:Author>
    </b:Author>
    <b:JournalName>SCIENTIFIC WORK International scientific journal</b:JournalName>
    <b:Pages>81-87</b:Pages>
    <b:Volume>17</b:Volume>
    <b:Issue>4</b:Issue>
    <b:RefOrder>2</b:RefOrder>
  </b:Source>
  <b:Source>
    <b:Tag>UKG22</b:Tag>
    <b:SourceType>DocumentFromInternetSite</b:SourceType>
    <b:Guid>{73947C32-C5D3-433F-874E-9A4C966895BF}</b:Guid>
    <b:Title>'Blame Game' ends as no fault divorce comes into force</b:Title>
    <b:Year>2022</b:Year>
    <b:Author>
      <b:Author>
        <b:Corporate>UK Government</b:Corporate>
      </b:Author>
    </b:Author>
    <b:Month>April</b:Month>
    <b:Day>6</b:Day>
    <b:YearAccessed>2025</b:YearAccessed>
    <b:MonthAccessed>June</b:MonthAccessed>
    <b:DayAccessed>5</b:DayAccessed>
    <b:RefOrder>11</b:RefOrder>
  </b:Source>
  <b:Source>
    <b:Tag>Div69</b:Tag>
    <b:SourceType>Case</b:SourceType>
    <b:Guid>{01745AFF-A7F1-4DAB-BB27-4B384769123D}</b:Guid>
    <b:Title>Divorce Reform Act c, 55</b:Title>
    <b:Year>1969</b:Year>
    <b:RefOrder>33</b:RefOrder>
  </b:Source>
  <b:Source>
    <b:Tag>Div20</b:Tag>
    <b:SourceType>Case</b:SourceType>
    <b:Guid>{66E13522-9E18-4EA4-AB3F-D5F0BA598CE8}</b:Guid>
    <b:Title>Divorce, Dissolution and Seperation Act 2020 c.11</b:Title>
    <b:Year>2020</b:Year>
    <b:RefOrder>34</b:RefOrder>
  </b:Source>
</b:Sources>
</file>

<file path=customXml/itemProps1.xml><?xml version="1.0" encoding="utf-8"?>
<ds:datastoreItem xmlns:ds="http://schemas.openxmlformats.org/officeDocument/2006/customXml" ds:itemID="{A0DB177C-275A-4E3E-BE17-CD8DC87E11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C0DBEF-E836-4127-9377-744B804BA653}">
  <ds:schemaRefs>
    <ds:schemaRef ds:uri="http://schemas.microsoft.com/sharepoint/v3/contenttype/forms"/>
  </ds:schemaRefs>
</ds:datastoreItem>
</file>

<file path=customXml/itemProps3.xml><?xml version="1.0" encoding="utf-8"?>
<ds:datastoreItem xmlns:ds="http://schemas.openxmlformats.org/officeDocument/2006/customXml" ds:itemID="{2A253AAB-0096-4811-8EB8-69EB81B31C1C}">
  <ds:schemaRefs>
    <ds:schemaRef ds:uri="http://purl.org/dc/elements/1.1/"/>
    <ds:schemaRef ds:uri="http://www.w3.org/XML/1998/namespace"/>
    <ds:schemaRef ds:uri="http://schemas.microsoft.com/office/2006/documentManagement/types"/>
    <ds:schemaRef ds:uri="http://schemas.microsoft.com/office/2006/metadata/properties"/>
    <ds:schemaRef ds:uri="http://purl.org/dc/terms/"/>
    <ds:schemaRef ds:uri="ad7316b1-23f1-480c-8fa6-cbf037f4db9c"/>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C5153E8F-2FC3-40D0-9634-FDC360BEE61B}">
  <ds:schemaRefs>
    <ds:schemaRef ds:uri="http://schemas.openxmlformats.org/officeDocument/2006/bibliography"/>
  </ds:schemaRefs>
</ds:datastoreItem>
</file>

<file path=docMetadata/LabelInfo.xml><?xml version="1.0" encoding="utf-8"?>
<clbl:labelList xmlns:clbl="http://schemas.microsoft.com/office/2020/mipLabelMetadata">
  <clbl:label id="{66c65d8a-9158-4521-a2d8-664963db48e4}" enabled="0" method="" siteId="{66c65d8a-9158-4521-a2d8-664963db48e4}" removed="1"/>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3091</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Lloyd (2315243)</dc:creator>
  <cp:keywords/>
  <dc:description/>
  <cp:lastModifiedBy>Lauren Lloyd (2315243)</cp:lastModifiedBy>
  <cp:revision>2</cp:revision>
  <dcterms:created xsi:type="dcterms:W3CDTF">2025-06-05T17:19:00Z</dcterms:created>
  <dcterms:modified xsi:type="dcterms:W3CDTF">2025-06-05T17:19:00Z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