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B9ACD" w14:textId="77777777" w:rsidR="001968C6" w:rsidRPr="00E60875" w:rsidRDefault="001968C6" w:rsidP="001968C6">
      <w:pPr>
        <w:jc w:val="both"/>
        <w:rPr>
          <w:rFonts w:ascii="Times New Roman" w:hAnsi="Times New Roman" w:cs="Times New Roman"/>
          <w:sz w:val="24"/>
          <w:szCs w:val="24"/>
        </w:rPr>
      </w:pPr>
      <w:bookmarkStart w:id="0" w:name="_Hlk211250589"/>
    </w:p>
    <w:p w14:paraId="1A5E9B8B" w14:textId="77777777" w:rsidR="001968C6" w:rsidRPr="00E60875" w:rsidRDefault="001968C6" w:rsidP="001968C6">
      <w:pPr>
        <w:jc w:val="both"/>
        <w:rPr>
          <w:rFonts w:ascii="Times New Roman" w:hAnsi="Times New Roman" w:cs="Times New Roman"/>
          <w:sz w:val="24"/>
          <w:szCs w:val="24"/>
        </w:rPr>
      </w:pPr>
    </w:p>
    <w:p w14:paraId="3A81DAA5" w14:textId="77777777" w:rsidR="001968C6" w:rsidRPr="00E60875" w:rsidRDefault="001968C6" w:rsidP="001968C6">
      <w:pPr>
        <w:jc w:val="both"/>
        <w:rPr>
          <w:rFonts w:ascii="Times New Roman" w:hAnsi="Times New Roman" w:cs="Times New Roman"/>
          <w:sz w:val="24"/>
          <w:szCs w:val="24"/>
        </w:rPr>
      </w:pPr>
    </w:p>
    <w:p w14:paraId="22ADB9CB" w14:textId="77777777" w:rsidR="001968C6" w:rsidRPr="008D5C42" w:rsidRDefault="001968C6" w:rsidP="008D5C42">
      <w:pPr>
        <w:spacing w:line="360" w:lineRule="auto"/>
        <w:jc w:val="both"/>
        <w:rPr>
          <w:rFonts w:ascii="Arial" w:hAnsi="Arial" w:cs="Arial"/>
        </w:rPr>
      </w:pPr>
      <w:r w:rsidRPr="008D5C42">
        <w:rPr>
          <w:rFonts w:ascii="Arial" w:hAnsi="Arial" w:cs="Arial"/>
        </w:rPr>
        <w:t>Title:</w:t>
      </w:r>
    </w:p>
    <w:p w14:paraId="7DBD7004" w14:textId="77777777" w:rsidR="001968C6" w:rsidRPr="008D5C42" w:rsidRDefault="001968C6" w:rsidP="008D5C42">
      <w:pPr>
        <w:spacing w:line="360" w:lineRule="auto"/>
        <w:jc w:val="both"/>
        <w:rPr>
          <w:rFonts w:ascii="Arial" w:hAnsi="Arial" w:cs="Arial"/>
          <w:b/>
          <w:bCs/>
          <w:i/>
          <w:iCs/>
        </w:rPr>
      </w:pPr>
      <w:r w:rsidRPr="008D5C42">
        <w:rPr>
          <w:rFonts w:ascii="Arial" w:hAnsi="Arial" w:cs="Arial"/>
          <w:b/>
          <w:bCs/>
          <w:i/>
          <w:iCs/>
        </w:rPr>
        <w:t>Adverse Childhood Experiences and Trauma in Young people in the UK: Novel Systemic Literature Review.</w:t>
      </w:r>
    </w:p>
    <w:p w14:paraId="677F5066" w14:textId="68000A73" w:rsidR="001968C6" w:rsidRPr="008D5C42" w:rsidRDefault="00374B17" w:rsidP="008D5C42">
      <w:pPr>
        <w:spacing w:line="360" w:lineRule="auto"/>
        <w:jc w:val="both"/>
        <w:rPr>
          <w:rFonts w:ascii="Arial" w:hAnsi="Arial" w:cs="Arial"/>
          <w:b/>
          <w:bCs/>
        </w:rPr>
      </w:pPr>
      <w:r w:rsidRPr="008D5C42">
        <w:rPr>
          <w:rFonts w:ascii="Arial" w:hAnsi="Arial" w:cs="Arial"/>
          <w:b/>
          <w:bCs/>
        </w:rPr>
        <w:t xml:space="preserve">Student </w:t>
      </w:r>
      <w:r w:rsidR="001968C6" w:rsidRPr="008D5C42">
        <w:rPr>
          <w:rFonts w:ascii="Arial" w:hAnsi="Arial" w:cs="Arial"/>
          <w:b/>
          <w:bCs/>
        </w:rPr>
        <w:t>Name</w:t>
      </w:r>
      <w:r w:rsidR="004A1149" w:rsidRPr="008D5C42">
        <w:rPr>
          <w:rFonts w:ascii="Arial" w:hAnsi="Arial" w:cs="Arial"/>
          <w:b/>
          <w:bCs/>
        </w:rPr>
        <w:t>: Deborah Agada</w:t>
      </w:r>
    </w:p>
    <w:p w14:paraId="7049D467" w14:textId="5B6678A4" w:rsidR="00374B17" w:rsidRPr="008D5C42" w:rsidRDefault="00374B17" w:rsidP="008D5C42">
      <w:pPr>
        <w:spacing w:line="360" w:lineRule="auto"/>
        <w:jc w:val="both"/>
        <w:rPr>
          <w:rFonts w:ascii="Arial" w:hAnsi="Arial" w:cs="Arial"/>
          <w:b/>
          <w:bCs/>
        </w:rPr>
      </w:pPr>
      <w:r w:rsidRPr="008D5C42">
        <w:rPr>
          <w:rFonts w:ascii="Arial" w:hAnsi="Arial" w:cs="Arial"/>
          <w:b/>
          <w:bCs/>
        </w:rPr>
        <w:t>Student Number: 2224942</w:t>
      </w:r>
    </w:p>
    <w:p w14:paraId="0593CCC1" w14:textId="4449E1B7" w:rsidR="00D84704" w:rsidRPr="008D5C42" w:rsidRDefault="00D84704" w:rsidP="008D5C42">
      <w:pPr>
        <w:spacing w:line="360" w:lineRule="auto"/>
        <w:jc w:val="both"/>
        <w:rPr>
          <w:rFonts w:ascii="Arial" w:hAnsi="Arial" w:cs="Arial"/>
          <w:b/>
          <w:bCs/>
        </w:rPr>
      </w:pPr>
      <w:r w:rsidRPr="008D5C42">
        <w:rPr>
          <w:rFonts w:ascii="Arial" w:hAnsi="Arial" w:cs="Arial"/>
          <w:b/>
          <w:bCs/>
        </w:rPr>
        <w:t>Module title: Independent Project</w:t>
      </w:r>
    </w:p>
    <w:p w14:paraId="1A3C3824" w14:textId="754B242B" w:rsidR="001968C6" w:rsidRPr="008D5C42" w:rsidRDefault="00374B17" w:rsidP="008D5C42">
      <w:pPr>
        <w:spacing w:line="360" w:lineRule="auto"/>
        <w:jc w:val="both"/>
        <w:rPr>
          <w:rFonts w:ascii="Arial" w:hAnsi="Arial" w:cs="Arial"/>
          <w:b/>
          <w:bCs/>
        </w:rPr>
      </w:pPr>
      <w:r w:rsidRPr="008D5C42">
        <w:rPr>
          <w:rFonts w:ascii="Arial" w:hAnsi="Arial" w:cs="Arial"/>
          <w:b/>
          <w:bCs/>
        </w:rPr>
        <w:t xml:space="preserve">Module Code: </w:t>
      </w:r>
      <w:r w:rsidR="00D84704" w:rsidRPr="008D5C42">
        <w:rPr>
          <w:rFonts w:ascii="Arial" w:hAnsi="Arial" w:cs="Arial"/>
          <w:b/>
          <w:bCs/>
        </w:rPr>
        <w:t>BMHP6020</w:t>
      </w:r>
    </w:p>
    <w:p w14:paraId="7A9F1992" w14:textId="7A41D758" w:rsidR="00D84704" w:rsidRPr="008D5C42" w:rsidRDefault="00374B17" w:rsidP="008D5C42">
      <w:pPr>
        <w:spacing w:line="360" w:lineRule="auto"/>
        <w:jc w:val="both"/>
        <w:rPr>
          <w:rFonts w:ascii="Arial" w:hAnsi="Arial" w:cs="Arial"/>
          <w:b/>
          <w:bCs/>
        </w:rPr>
      </w:pPr>
      <w:r w:rsidRPr="008D5C42">
        <w:rPr>
          <w:rFonts w:ascii="Arial" w:hAnsi="Arial" w:cs="Arial"/>
          <w:b/>
          <w:bCs/>
        </w:rPr>
        <w:t>Lecturer’s name: Joanne</w:t>
      </w:r>
      <w:r w:rsidR="00D84704" w:rsidRPr="008D5C42">
        <w:rPr>
          <w:rFonts w:ascii="Arial" w:hAnsi="Arial" w:cs="Arial"/>
          <w:b/>
          <w:bCs/>
        </w:rPr>
        <w:t xml:space="preserve"> Davies</w:t>
      </w:r>
    </w:p>
    <w:p w14:paraId="79C78805" w14:textId="6778694B" w:rsidR="001968C6" w:rsidRPr="008D5C42" w:rsidRDefault="001968C6" w:rsidP="008D5C42">
      <w:pPr>
        <w:spacing w:line="360" w:lineRule="auto"/>
        <w:jc w:val="both"/>
        <w:rPr>
          <w:rFonts w:ascii="Arial" w:hAnsi="Arial" w:cs="Arial"/>
          <w:b/>
          <w:bCs/>
        </w:rPr>
      </w:pPr>
    </w:p>
    <w:p w14:paraId="76BA1043" w14:textId="77777777" w:rsidR="001968C6" w:rsidRPr="008D5C42" w:rsidRDefault="001968C6" w:rsidP="008D5C42">
      <w:pPr>
        <w:spacing w:line="360" w:lineRule="auto"/>
        <w:jc w:val="both"/>
        <w:rPr>
          <w:rFonts w:ascii="Arial" w:hAnsi="Arial" w:cs="Arial"/>
          <w:b/>
          <w:bCs/>
          <w:i/>
          <w:iCs/>
        </w:rPr>
      </w:pPr>
      <w:r w:rsidRPr="008D5C42">
        <w:rPr>
          <w:rFonts w:ascii="Arial" w:hAnsi="Arial" w:cs="Arial"/>
          <w:b/>
          <w:bCs/>
          <w:i/>
          <w:iCs/>
        </w:rPr>
        <w:br w:type="page"/>
      </w:r>
    </w:p>
    <w:p w14:paraId="5B0EE2A2" w14:textId="77777777" w:rsidR="001968C6" w:rsidRPr="008D5C42" w:rsidRDefault="001968C6" w:rsidP="008D5C42">
      <w:pPr>
        <w:spacing w:line="360" w:lineRule="auto"/>
        <w:jc w:val="both"/>
        <w:rPr>
          <w:rFonts w:ascii="Arial" w:hAnsi="Arial" w:cs="Arial"/>
          <w:b/>
          <w:bCs/>
          <w:i/>
          <w:iCs/>
        </w:rPr>
      </w:pPr>
      <w:r w:rsidRPr="008D5C42">
        <w:rPr>
          <w:rFonts w:ascii="Arial" w:hAnsi="Arial" w:cs="Arial"/>
          <w:b/>
          <w:bCs/>
          <w:i/>
          <w:iCs/>
        </w:rPr>
        <w:lastRenderedPageBreak/>
        <w:t>ABSTRACT</w:t>
      </w:r>
    </w:p>
    <w:p w14:paraId="65194A46" w14:textId="77777777" w:rsidR="001968C6" w:rsidRPr="008D5C42" w:rsidRDefault="001968C6" w:rsidP="008D5C42">
      <w:pPr>
        <w:spacing w:line="360" w:lineRule="auto"/>
        <w:jc w:val="both"/>
        <w:rPr>
          <w:rFonts w:ascii="Arial" w:hAnsi="Arial" w:cs="Arial"/>
          <w:iCs/>
        </w:rPr>
      </w:pPr>
      <w:r w:rsidRPr="008D5C42">
        <w:rPr>
          <w:rFonts w:ascii="Arial" w:hAnsi="Arial" w:cs="Arial"/>
          <w:iCs/>
        </w:rPr>
        <w:t>This is a systematic literature review that integrates empirical studies in the UK (2015-2025) of the responsiveness of negative childhood experiences (ACEs) to psychological, emotional and behavioural outcomes in youth aged 10 to 25 years. Due to a thorough search of PubMed, CINAHL, PsycINFO and Google Scholar, six major studies were found four quantitative research cohort and cross-sectional studies and two qualitative research interview studies. Strict procedures were used with pre-identified PICOS questions, dual eliminations in Excel, two-phase screening including 20 per cent supervisor confirmation, CASP quality appraisal and a narrative synthesis based on the six phases of thematic analysis developed by Braun and Clarke.</w:t>
      </w:r>
    </w:p>
    <w:p w14:paraId="16434F13" w14:textId="77777777" w:rsidR="001968C6" w:rsidRPr="008D5C42" w:rsidRDefault="001968C6" w:rsidP="008D5C42">
      <w:pPr>
        <w:spacing w:line="360" w:lineRule="auto"/>
        <w:jc w:val="both"/>
        <w:rPr>
          <w:rFonts w:ascii="Arial" w:hAnsi="Arial" w:cs="Arial"/>
          <w:iCs/>
        </w:rPr>
      </w:pPr>
      <w:r w:rsidRPr="008D5C42">
        <w:rPr>
          <w:rFonts w:ascii="Arial" w:hAnsi="Arial" w:cs="Arial"/>
          <w:iCs/>
        </w:rPr>
        <w:t>The quantitative findings demonstrate that the dose-response relationship was clear in the sense that individuals who experienced four or more ACEs were more likely to experience anxiety, depression, self-harm and heavy substance use by two to six times and they were stronger in females, sexual-minority youths, and impoverished localities. Qualitative themes are utilized to enlighten on existing shame, fragmentation and service mistrust in identity, and adaptive coping and resilient resources. Integrative analysis identifies four domains of protection, such as secure adult relationships, peer support, trauma-informed care and lifestyle/economic care which mediate ACE effects.</w:t>
      </w:r>
    </w:p>
    <w:p w14:paraId="2F3D581B" w14:textId="77777777" w:rsidR="001968C6" w:rsidRPr="008D5C42" w:rsidRDefault="001968C6" w:rsidP="008D5C42">
      <w:pPr>
        <w:spacing w:line="360" w:lineRule="auto"/>
        <w:jc w:val="both"/>
        <w:rPr>
          <w:rFonts w:ascii="Arial" w:hAnsi="Arial" w:cs="Arial"/>
          <w:iCs/>
        </w:rPr>
      </w:pPr>
      <w:r w:rsidRPr="008D5C42">
        <w:rPr>
          <w:rFonts w:ascii="Arial" w:hAnsi="Arial" w:cs="Arial"/>
          <w:iCs/>
        </w:rPr>
        <w:t>These findings help in ascertaining the fact that people are influenced by trauma both in terms of biological and social learning and they also outline feasible ways of mitigating its effects. Practical implications are implementation of regular ACE enquiry and providing trauma-informed responses, ordering of family-based warmth programmes, co-designing peer-support and training of all child- and adult-service staff in integrated trauma-informed care. Policymaking has been advised to be supported by statutory cross-sector screening and ring-fenced funding on attachment and peer interventions, on trauma-informed commissioning metrics and enhanced action against child poverty and housing insecurity.</w:t>
      </w:r>
    </w:p>
    <w:p w14:paraId="5F69D33B" w14:textId="77777777" w:rsidR="001968C6" w:rsidRPr="008D5C42" w:rsidRDefault="001968C6" w:rsidP="008D5C42">
      <w:pPr>
        <w:spacing w:line="360" w:lineRule="auto"/>
        <w:jc w:val="both"/>
        <w:rPr>
          <w:rFonts w:ascii="Arial" w:hAnsi="Arial" w:cs="Arial"/>
          <w:i/>
          <w:iCs/>
        </w:rPr>
      </w:pPr>
      <w:r w:rsidRPr="008D5C42">
        <w:rPr>
          <w:rFonts w:ascii="Arial" w:hAnsi="Arial" w:cs="Arial"/>
          <w:iCs/>
        </w:rPr>
        <w:t xml:space="preserve">Further studies need to focus on large prospective cohorts in the United Kingdom, intersectional studies, mixed methods intervention studies, biomarker validation and economic analysis of resilience-building programmes. It makes this review informative to the specific approach taken in reducing the long-term impact of childhood adversity by bringing together UK-specific evidence and providing a coherent Ecological-Trauma Framework. Nevertheless, the smaller sample sizes, self-reported ACE measure, and heterogeneity of studies limit the generalisability; </w:t>
      </w:r>
      <w:proofErr w:type="gramStart"/>
      <w:r w:rsidRPr="008D5C42">
        <w:rPr>
          <w:rFonts w:ascii="Arial" w:hAnsi="Arial" w:cs="Arial"/>
          <w:iCs/>
        </w:rPr>
        <w:t>thus</w:t>
      </w:r>
      <w:proofErr w:type="gramEnd"/>
      <w:r w:rsidRPr="008D5C42">
        <w:rPr>
          <w:rFonts w:ascii="Arial" w:hAnsi="Arial" w:cs="Arial"/>
          <w:iCs/>
        </w:rPr>
        <w:t xml:space="preserve"> future studies in the UK need to embrace longitudinal and mixed methods designs to test the impact of trauma-informed interventions and long-term outcomes.</w:t>
      </w:r>
      <w:r w:rsidRPr="008D5C42">
        <w:rPr>
          <w:rFonts w:ascii="Arial" w:hAnsi="Arial" w:cs="Arial"/>
          <w:i/>
          <w:iCs/>
        </w:rPr>
        <w:br w:type="page"/>
      </w:r>
    </w:p>
    <w:sdt>
      <w:sdtPr>
        <w:rPr>
          <w:rFonts w:eastAsiaTheme="minorHAnsi"/>
          <w:color w:val="auto"/>
          <w:kern w:val="2"/>
          <w:lang w:val="en-GB"/>
          <w14:ligatures w14:val="standardContextual"/>
        </w:rPr>
        <w:id w:val="1885052174"/>
        <w:docPartObj>
          <w:docPartGallery w:val="Table of Contents"/>
          <w:docPartUnique/>
        </w:docPartObj>
      </w:sdtPr>
      <w:sdtEndPr>
        <w:rPr>
          <w:b/>
          <w:bCs/>
          <w:noProof/>
        </w:rPr>
      </w:sdtEndPr>
      <w:sdtContent>
        <w:p w14:paraId="79D96CF3" w14:textId="77777777" w:rsidR="001968C6" w:rsidRPr="008D5C42" w:rsidRDefault="001968C6" w:rsidP="008D5C42">
          <w:pPr>
            <w:pStyle w:val="TOCHeading"/>
          </w:pPr>
          <w:r w:rsidRPr="008D5C42">
            <w:t>Contents</w:t>
          </w:r>
        </w:p>
        <w:p w14:paraId="4A13562E" w14:textId="44389170" w:rsidR="001968C6" w:rsidRPr="008D5C42" w:rsidRDefault="001968C6" w:rsidP="008D5C42">
          <w:pPr>
            <w:pStyle w:val="TOC1"/>
            <w:tabs>
              <w:tab w:val="right" w:leader="dot" w:pos="9016"/>
            </w:tabs>
            <w:spacing w:line="360" w:lineRule="auto"/>
            <w:rPr>
              <w:rFonts w:ascii="Arial" w:eastAsiaTheme="minorEastAsia" w:hAnsi="Arial" w:cs="Arial"/>
              <w:noProof/>
            </w:rPr>
          </w:pPr>
          <w:r w:rsidRPr="008D5C42">
            <w:rPr>
              <w:rFonts w:ascii="Arial" w:hAnsi="Arial" w:cs="Arial"/>
            </w:rPr>
            <w:fldChar w:fldCharType="begin"/>
          </w:r>
          <w:r w:rsidRPr="008D5C42">
            <w:rPr>
              <w:rFonts w:ascii="Arial" w:hAnsi="Arial" w:cs="Arial"/>
            </w:rPr>
            <w:instrText xml:space="preserve"> TOC \o "1-3" \h \z \u </w:instrText>
          </w:r>
          <w:r w:rsidRPr="008D5C42">
            <w:rPr>
              <w:rFonts w:ascii="Arial" w:hAnsi="Arial" w:cs="Arial"/>
            </w:rPr>
            <w:fldChar w:fldCharType="separate"/>
          </w:r>
          <w:hyperlink w:anchor="_Toc214984576" w:history="1">
            <w:r w:rsidRPr="008D5C42">
              <w:rPr>
                <w:rStyle w:val="Hyperlink"/>
                <w:rFonts w:ascii="Arial" w:hAnsi="Arial" w:cs="Arial"/>
                <w:noProof/>
              </w:rPr>
              <w:t>CHAPTER 1: INTRODUCTION</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_Toc214984576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5</w:t>
            </w:r>
            <w:r w:rsidRPr="008D5C42">
              <w:rPr>
                <w:rFonts w:ascii="Arial" w:hAnsi="Arial" w:cs="Arial"/>
                <w:noProof/>
                <w:webHidden/>
              </w:rPr>
              <w:fldChar w:fldCharType="end"/>
            </w:r>
          </w:hyperlink>
        </w:p>
        <w:p w14:paraId="62DE0670" w14:textId="5B3FD88B"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77" w:history="1">
            <w:r w:rsidRPr="008D5C42">
              <w:rPr>
                <w:rStyle w:val="Hyperlink"/>
                <w:rFonts w:ascii="Arial" w:hAnsi="Arial" w:cs="Arial"/>
                <w:noProof/>
              </w:rPr>
              <w:t>1.1 Overview of the Topic</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_Toc214984577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5</w:t>
            </w:r>
            <w:r w:rsidRPr="008D5C42">
              <w:rPr>
                <w:rFonts w:ascii="Arial" w:hAnsi="Arial" w:cs="Arial"/>
                <w:noProof/>
                <w:webHidden/>
              </w:rPr>
              <w:fldChar w:fldCharType="end"/>
            </w:r>
          </w:hyperlink>
        </w:p>
        <w:p w14:paraId="7AA9EDD2" w14:textId="69491A4E"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78" w:history="1">
            <w:r w:rsidRPr="008D5C42">
              <w:rPr>
                <w:rStyle w:val="Hyperlink"/>
                <w:rFonts w:ascii="Arial" w:hAnsi="Arial" w:cs="Arial"/>
                <w:noProof/>
              </w:rPr>
              <w:t>1.2 Definition and Scope of ACEs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_Toc214984578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5</w:t>
            </w:r>
            <w:r w:rsidRPr="008D5C42">
              <w:rPr>
                <w:rFonts w:ascii="Arial" w:hAnsi="Arial" w:cs="Arial"/>
                <w:noProof/>
                <w:webHidden/>
              </w:rPr>
              <w:fldChar w:fldCharType="end"/>
            </w:r>
          </w:hyperlink>
        </w:p>
        <w:p w14:paraId="64158A26" w14:textId="218C8AF3"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79" w:history="1">
            <w:r w:rsidRPr="008D5C42">
              <w:rPr>
                <w:rStyle w:val="Hyperlink"/>
                <w:rFonts w:ascii="Arial" w:hAnsi="Arial" w:cs="Arial"/>
                <w:noProof/>
              </w:rPr>
              <w:t>1.3 Rationale for UK-Specific Focus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_Toc214984579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5</w:t>
            </w:r>
            <w:r w:rsidRPr="008D5C42">
              <w:rPr>
                <w:rFonts w:ascii="Arial" w:hAnsi="Arial" w:cs="Arial"/>
                <w:noProof/>
                <w:webHidden/>
              </w:rPr>
              <w:fldChar w:fldCharType="end"/>
            </w:r>
          </w:hyperlink>
        </w:p>
        <w:p w14:paraId="2961AD32" w14:textId="5A2FAB3E"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80" w:history="1">
            <w:r w:rsidRPr="008D5C42">
              <w:rPr>
                <w:rStyle w:val="Hyperlink"/>
                <w:rFonts w:ascii="Arial" w:hAnsi="Arial" w:cs="Arial"/>
                <w:noProof/>
              </w:rPr>
              <w:t>1.4 Problem Statement and Research Gap</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_Toc214984580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6</w:t>
            </w:r>
            <w:r w:rsidRPr="008D5C42">
              <w:rPr>
                <w:rFonts w:ascii="Arial" w:hAnsi="Arial" w:cs="Arial"/>
                <w:noProof/>
                <w:webHidden/>
              </w:rPr>
              <w:fldChar w:fldCharType="end"/>
            </w:r>
          </w:hyperlink>
        </w:p>
        <w:p w14:paraId="233E2564" w14:textId="5420F650"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81" w:history="1">
            <w:r w:rsidRPr="008D5C42">
              <w:rPr>
                <w:rStyle w:val="Hyperlink"/>
                <w:rFonts w:ascii="Arial" w:hAnsi="Arial" w:cs="Arial"/>
                <w:noProof/>
              </w:rPr>
              <w:t>1.5 Research Aim, Objectives and Questions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_Toc214984581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6</w:t>
            </w:r>
            <w:r w:rsidRPr="008D5C42">
              <w:rPr>
                <w:rFonts w:ascii="Arial" w:hAnsi="Arial" w:cs="Arial"/>
                <w:noProof/>
                <w:webHidden/>
              </w:rPr>
              <w:fldChar w:fldCharType="end"/>
            </w:r>
          </w:hyperlink>
        </w:p>
        <w:p w14:paraId="222D3915" w14:textId="141BA9B1"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82" w:history="1">
            <w:r w:rsidRPr="008D5C42">
              <w:rPr>
                <w:rStyle w:val="Hyperlink"/>
                <w:rFonts w:ascii="Arial" w:hAnsi="Arial" w:cs="Arial"/>
                <w:noProof/>
              </w:rPr>
              <w:t>1.6 Significance and Justification</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_Toc214984582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6</w:t>
            </w:r>
            <w:r w:rsidRPr="008D5C42">
              <w:rPr>
                <w:rFonts w:ascii="Arial" w:hAnsi="Arial" w:cs="Arial"/>
                <w:noProof/>
                <w:webHidden/>
              </w:rPr>
              <w:fldChar w:fldCharType="end"/>
            </w:r>
          </w:hyperlink>
        </w:p>
        <w:p w14:paraId="3BF3A69B" w14:textId="186B3DD0"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83" w:history="1">
            <w:r w:rsidRPr="008D5C42">
              <w:rPr>
                <w:rStyle w:val="Hyperlink"/>
                <w:rFonts w:ascii="Arial" w:hAnsi="Arial" w:cs="Arial"/>
                <w:noProof/>
              </w:rPr>
              <w:t>1.7 Structure of the Dissertation</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_Toc214984583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7</w:t>
            </w:r>
            <w:r w:rsidRPr="008D5C42">
              <w:rPr>
                <w:rFonts w:ascii="Arial" w:hAnsi="Arial" w:cs="Arial"/>
                <w:noProof/>
                <w:webHidden/>
              </w:rPr>
              <w:fldChar w:fldCharType="end"/>
            </w:r>
          </w:hyperlink>
        </w:p>
        <w:p w14:paraId="0D4B6932" w14:textId="57B3408C" w:rsidR="001968C6" w:rsidRPr="008D5C42" w:rsidRDefault="001968C6" w:rsidP="008D5C42">
          <w:pPr>
            <w:pStyle w:val="TOC1"/>
            <w:tabs>
              <w:tab w:val="right" w:leader="dot" w:pos="9016"/>
            </w:tabs>
            <w:spacing w:line="360" w:lineRule="auto"/>
            <w:rPr>
              <w:rFonts w:ascii="Arial" w:eastAsiaTheme="minorEastAsia" w:hAnsi="Arial" w:cs="Arial"/>
              <w:noProof/>
            </w:rPr>
          </w:pPr>
          <w:hyperlink w:anchor="_Toc214984584" w:history="1">
            <w:r w:rsidRPr="008D5C42">
              <w:rPr>
                <w:rStyle w:val="Hyperlink"/>
                <w:rFonts w:ascii="Arial" w:hAnsi="Arial" w:cs="Arial"/>
                <w:noProof/>
              </w:rPr>
              <w:t>CHAPTER 2: BACKGROUND AND CONTEXT</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_Toc214984584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8</w:t>
            </w:r>
            <w:r w:rsidRPr="008D5C42">
              <w:rPr>
                <w:rFonts w:ascii="Arial" w:hAnsi="Arial" w:cs="Arial"/>
                <w:noProof/>
                <w:webHidden/>
              </w:rPr>
              <w:fldChar w:fldCharType="end"/>
            </w:r>
          </w:hyperlink>
        </w:p>
        <w:p w14:paraId="210F5152" w14:textId="6DECA870"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85" w:history="1">
            <w:r w:rsidRPr="008D5C42">
              <w:rPr>
                <w:rStyle w:val="Hyperlink"/>
                <w:rFonts w:ascii="Arial" w:hAnsi="Arial" w:cs="Arial"/>
                <w:noProof/>
              </w:rPr>
              <w:t>2.1 Conceptual Foundations of ACEs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_Toc214984585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8</w:t>
            </w:r>
            <w:r w:rsidRPr="008D5C42">
              <w:rPr>
                <w:rFonts w:ascii="Arial" w:hAnsi="Arial" w:cs="Arial"/>
                <w:noProof/>
                <w:webHidden/>
              </w:rPr>
              <w:fldChar w:fldCharType="end"/>
            </w:r>
          </w:hyperlink>
        </w:p>
        <w:p w14:paraId="63AF8C6E" w14:textId="3E3B1B94"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86" w:history="1">
            <w:r w:rsidRPr="008D5C42">
              <w:rPr>
                <w:rStyle w:val="Hyperlink"/>
                <w:rFonts w:ascii="Arial" w:hAnsi="Arial" w:cs="Arial"/>
                <w:noProof/>
              </w:rPr>
              <w:t>2.2 Prevalence and Epidemiology of ACEs in the UK</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_Toc214984586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8</w:t>
            </w:r>
            <w:r w:rsidRPr="008D5C42">
              <w:rPr>
                <w:rFonts w:ascii="Arial" w:hAnsi="Arial" w:cs="Arial"/>
                <w:noProof/>
                <w:webHidden/>
              </w:rPr>
              <w:fldChar w:fldCharType="end"/>
            </w:r>
          </w:hyperlink>
        </w:p>
        <w:p w14:paraId="60AB4967" w14:textId="4C1F826C"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87" w:history="1">
            <w:r w:rsidRPr="008D5C42">
              <w:rPr>
                <w:rStyle w:val="Hyperlink"/>
                <w:rFonts w:ascii="Arial" w:hAnsi="Arial" w:cs="Arial"/>
                <w:noProof/>
              </w:rPr>
              <w:t>2.3 Psychological, Emotional and Behavioural Consequences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_Toc214984587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9</w:t>
            </w:r>
            <w:r w:rsidRPr="008D5C42">
              <w:rPr>
                <w:rFonts w:ascii="Arial" w:hAnsi="Arial" w:cs="Arial"/>
                <w:noProof/>
                <w:webHidden/>
              </w:rPr>
              <w:fldChar w:fldCharType="end"/>
            </w:r>
          </w:hyperlink>
        </w:p>
        <w:p w14:paraId="262BCE69" w14:textId="4B582E2D"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88" w:history="1">
            <w:r w:rsidRPr="008D5C42">
              <w:rPr>
                <w:rStyle w:val="Hyperlink"/>
                <w:rFonts w:ascii="Arial" w:hAnsi="Arial" w:cs="Arial"/>
                <w:noProof/>
              </w:rPr>
              <w:t>2.4 Current Interventions and Support Programmes.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_Toc214984588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10</w:t>
            </w:r>
            <w:r w:rsidRPr="008D5C42">
              <w:rPr>
                <w:rFonts w:ascii="Arial" w:hAnsi="Arial" w:cs="Arial"/>
                <w:noProof/>
                <w:webHidden/>
              </w:rPr>
              <w:fldChar w:fldCharType="end"/>
            </w:r>
          </w:hyperlink>
        </w:p>
        <w:p w14:paraId="799A4B63" w14:textId="6D3C6162"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89" w:history="1">
            <w:r w:rsidRPr="008D5C42">
              <w:rPr>
                <w:rStyle w:val="Hyperlink"/>
                <w:rFonts w:ascii="Arial" w:hAnsi="Arial" w:cs="Arial"/>
                <w:noProof/>
              </w:rPr>
              <w:t>2.5 Policy and Legislative Context</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_Toc214984589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11</w:t>
            </w:r>
            <w:r w:rsidRPr="008D5C42">
              <w:rPr>
                <w:rFonts w:ascii="Arial" w:hAnsi="Arial" w:cs="Arial"/>
                <w:noProof/>
                <w:webHidden/>
              </w:rPr>
              <w:fldChar w:fldCharType="end"/>
            </w:r>
          </w:hyperlink>
        </w:p>
        <w:p w14:paraId="2F4B0C7A" w14:textId="467035A3"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90" w:history="1">
            <w:r w:rsidRPr="008D5C42">
              <w:rPr>
                <w:rStyle w:val="Hyperlink"/>
                <w:rFonts w:ascii="Arial" w:hAnsi="Arial" w:cs="Arial"/>
                <w:noProof/>
              </w:rPr>
              <w:t>2.6 Identified Gaps and Justification for Review</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_Toc214984590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11</w:t>
            </w:r>
            <w:r w:rsidRPr="008D5C42">
              <w:rPr>
                <w:rFonts w:ascii="Arial" w:hAnsi="Arial" w:cs="Arial"/>
                <w:noProof/>
                <w:webHidden/>
              </w:rPr>
              <w:fldChar w:fldCharType="end"/>
            </w:r>
          </w:hyperlink>
        </w:p>
        <w:p w14:paraId="6D2A735E" w14:textId="2E954752"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91" w:history="1">
            <w:r w:rsidRPr="008D5C42">
              <w:rPr>
                <w:rStyle w:val="Hyperlink"/>
                <w:rFonts w:ascii="Arial" w:hAnsi="Arial" w:cs="Arial"/>
                <w:noProof/>
              </w:rPr>
              <w:t>2.7 Theoretical and Conceptual Framework</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_Toc214984591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12</w:t>
            </w:r>
            <w:r w:rsidRPr="008D5C42">
              <w:rPr>
                <w:rFonts w:ascii="Arial" w:hAnsi="Arial" w:cs="Arial"/>
                <w:noProof/>
                <w:webHidden/>
              </w:rPr>
              <w:fldChar w:fldCharType="end"/>
            </w:r>
          </w:hyperlink>
        </w:p>
        <w:p w14:paraId="1098CF31" w14:textId="707D03A2"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92" w:history="1">
            <w:r w:rsidRPr="008D5C42">
              <w:rPr>
                <w:rStyle w:val="Hyperlink"/>
                <w:rFonts w:ascii="Arial" w:hAnsi="Arial" w:cs="Arial"/>
                <w:noProof/>
              </w:rPr>
              <w:t>2.8 Summary</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_Toc214984592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12</w:t>
            </w:r>
            <w:r w:rsidRPr="008D5C42">
              <w:rPr>
                <w:rFonts w:ascii="Arial" w:hAnsi="Arial" w:cs="Arial"/>
                <w:noProof/>
                <w:webHidden/>
              </w:rPr>
              <w:fldChar w:fldCharType="end"/>
            </w:r>
          </w:hyperlink>
        </w:p>
        <w:p w14:paraId="51514FF5" w14:textId="5612A3D7" w:rsidR="001968C6" w:rsidRPr="008D5C42" w:rsidRDefault="001968C6" w:rsidP="008D5C42">
          <w:pPr>
            <w:pStyle w:val="TOC1"/>
            <w:tabs>
              <w:tab w:val="right" w:leader="dot" w:pos="9016"/>
            </w:tabs>
            <w:spacing w:line="360" w:lineRule="auto"/>
            <w:rPr>
              <w:rFonts w:ascii="Arial" w:eastAsiaTheme="minorEastAsia" w:hAnsi="Arial" w:cs="Arial"/>
              <w:noProof/>
            </w:rPr>
          </w:pPr>
          <w:hyperlink w:anchor="_Toc214984593" w:history="1">
            <w:r w:rsidRPr="008D5C42">
              <w:rPr>
                <w:rStyle w:val="Hyperlink"/>
                <w:rFonts w:ascii="Arial" w:hAnsi="Arial" w:cs="Arial"/>
                <w:noProof/>
              </w:rPr>
              <w:t>Chapter 3: METHODOLOGY</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_Toc214984593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13</w:t>
            </w:r>
            <w:r w:rsidRPr="008D5C42">
              <w:rPr>
                <w:rFonts w:ascii="Arial" w:hAnsi="Arial" w:cs="Arial"/>
                <w:noProof/>
                <w:webHidden/>
              </w:rPr>
              <w:fldChar w:fldCharType="end"/>
            </w:r>
          </w:hyperlink>
        </w:p>
        <w:p w14:paraId="37755CF2" w14:textId="217941C8"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94" w:history="1">
            <w:r w:rsidRPr="008D5C42">
              <w:rPr>
                <w:rStyle w:val="Hyperlink"/>
                <w:rFonts w:ascii="Arial" w:hAnsi="Arial" w:cs="Arial"/>
                <w:noProof/>
              </w:rPr>
              <w:t>3.1 Overview of Study Design</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_Toc214984594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13</w:t>
            </w:r>
            <w:r w:rsidRPr="008D5C42">
              <w:rPr>
                <w:rFonts w:ascii="Arial" w:hAnsi="Arial" w:cs="Arial"/>
                <w:noProof/>
                <w:webHidden/>
              </w:rPr>
              <w:fldChar w:fldCharType="end"/>
            </w:r>
          </w:hyperlink>
        </w:p>
        <w:p w14:paraId="2C7B7BD1" w14:textId="206D13EC"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95" w:history="1">
            <w:r w:rsidRPr="008D5C42">
              <w:rPr>
                <w:rStyle w:val="Hyperlink"/>
                <w:rFonts w:ascii="Arial" w:hAnsi="Arial" w:cs="Arial"/>
                <w:noProof/>
              </w:rPr>
              <w:t>3.2 Search Strategy</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_Toc214984595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13</w:t>
            </w:r>
            <w:r w:rsidRPr="008D5C42">
              <w:rPr>
                <w:rFonts w:ascii="Arial" w:hAnsi="Arial" w:cs="Arial"/>
                <w:noProof/>
                <w:webHidden/>
              </w:rPr>
              <w:fldChar w:fldCharType="end"/>
            </w:r>
          </w:hyperlink>
        </w:p>
        <w:p w14:paraId="1849DAD8" w14:textId="4CE365EE"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96" w:history="1">
            <w:r w:rsidRPr="008D5C42">
              <w:rPr>
                <w:rStyle w:val="Hyperlink"/>
                <w:rFonts w:ascii="Arial" w:hAnsi="Arial" w:cs="Arial"/>
                <w:noProof/>
              </w:rPr>
              <w:t>3.3 Eligibility criteria</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_Toc214984596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13</w:t>
            </w:r>
            <w:r w:rsidRPr="008D5C42">
              <w:rPr>
                <w:rFonts w:ascii="Arial" w:hAnsi="Arial" w:cs="Arial"/>
                <w:noProof/>
                <w:webHidden/>
              </w:rPr>
              <w:fldChar w:fldCharType="end"/>
            </w:r>
          </w:hyperlink>
        </w:p>
        <w:p w14:paraId="645D42BE" w14:textId="489711B9"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97" w:history="1">
            <w:r w:rsidRPr="008D5C42">
              <w:rPr>
                <w:rStyle w:val="Hyperlink"/>
                <w:rFonts w:ascii="Arial" w:hAnsi="Arial" w:cs="Arial"/>
                <w:noProof/>
              </w:rPr>
              <w:t>3.4 Study selection procedure</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_Toc214984597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13</w:t>
            </w:r>
            <w:r w:rsidRPr="008D5C42">
              <w:rPr>
                <w:rFonts w:ascii="Arial" w:hAnsi="Arial" w:cs="Arial"/>
                <w:noProof/>
                <w:webHidden/>
              </w:rPr>
              <w:fldChar w:fldCharType="end"/>
            </w:r>
          </w:hyperlink>
        </w:p>
        <w:p w14:paraId="68D66EA7" w14:textId="36A45D0E"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98" w:history="1">
            <w:r w:rsidRPr="008D5C42">
              <w:rPr>
                <w:rStyle w:val="Hyperlink"/>
                <w:rFonts w:ascii="Arial" w:hAnsi="Arial" w:cs="Arial"/>
                <w:noProof/>
              </w:rPr>
              <w:t>3.5 Quality appraisal</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_Toc214984598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14</w:t>
            </w:r>
            <w:r w:rsidRPr="008D5C42">
              <w:rPr>
                <w:rFonts w:ascii="Arial" w:hAnsi="Arial" w:cs="Arial"/>
                <w:noProof/>
                <w:webHidden/>
              </w:rPr>
              <w:fldChar w:fldCharType="end"/>
            </w:r>
          </w:hyperlink>
        </w:p>
        <w:p w14:paraId="055FF1A3" w14:textId="47ED3F8A"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599" w:history="1">
            <w:r w:rsidRPr="008D5C42">
              <w:rPr>
                <w:rStyle w:val="Hyperlink"/>
                <w:rFonts w:ascii="Arial" w:hAnsi="Arial" w:cs="Arial"/>
                <w:noProof/>
              </w:rPr>
              <w:t>3.6 Data extraction process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_Toc214984599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14</w:t>
            </w:r>
            <w:r w:rsidRPr="008D5C42">
              <w:rPr>
                <w:rFonts w:ascii="Arial" w:hAnsi="Arial" w:cs="Arial"/>
                <w:noProof/>
                <w:webHidden/>
              </w:rPr>
              <w:fldChar w:fldCharType="end"/>
            </w:r>
          </w:hyperlink>
        </w:p>
        <w:p w14:paraId="4CC59C15" w14:textId="137E3542"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00" w:history="1">
            <w:r w:rsidRPr="008D5C42">
              <w:rPr>
                <w:rStyle w:val="Hyperlink"/>
                <w:rFonts w:ascii="Arial" w:hAnsi="Arial" w:cs="Arial"/>
                <w:noProof/>
              </w:rPr>
              <w:t>3.7 Data synthesis method</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_Toc214984600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14</w:t>
            </w:r>
            <w:r w:rsidRPr="008D5C42">
              <w:rPr>
                <w:rFonts w:ascii="Arial" w:hAnsi="Arial" w:cs="Arial"/>
                <w:noProof/>
                <w:webHidden/>
              </w:rPr>
              <w:fldChar w:fldCharType="end"/>
            </w:r>
          </w:hyperlink>
        </w:p>
        <w:p w14:paraId="5401AF5D" w14:textId="569EC1A7"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01" w:history="1">
            <w:r w:rsidRPr="008D5C42">
              <w:rPr>
                <w:rStyle w:val="Hyperlink"/>
                <w:rFonts w:ascii="Arial" w:hAnsi="Arial" w:cs="Arial"/>
                <w:noProof/>
              </w:rPr>
              <w:t>3.8 Reflexivity &amp; rigour</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_Toc214984601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15</w:t>
            </w:r>
            <w:r w:rsidRPr="008D5C42">
              <w:rPr>
                <w:rFonts w:ascii="Arial" w:hAnsi="Arial" w:cs="Arial"/>
                <w:noProof/>
                <w:webHidden/>
              </w:rPr>
              <w:fldChar w:fldCharType="end"/>
            </w:r>
          </w:hyperlink>
        </w:p>
        <w:p w14:paraId="5FB1658A" w14:textId="4D1737F8"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02" w:history="1">
            <w:r w:rsidRPr="008D5C42">
              <w:rPr>
                <w:rStyle w:val="Hyperlink"/>
                <w:rFonts w:ascii="Arial" w:hAnsi="Arial" w:cs="Arial"/>
                <w:noProof/>
              </w:rPr>
              <w:t>3.9 Ethical considerations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_Toc214984602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15</w:t>
            </w:r>
            <w:r w:rsidRPr="008D5C42">
              <w:rPr>
                <w:rFonts w:ascii="Arial" w:hAnsi="Arial" w:cs="Arial"/>
                <w:noProof/>
                <w:webHidden/>
              </w:rPr>
              <w:fldChar w:fldCharType="end"/>
            </w:r>
          </w:hyperlink>
        </w:p>
        <w:p w14:paraId="33914868" w14:textId="1AF3BBE6"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03" w:history="1">
            <w:r w:rsidRPr="008D5C42">
              <w:rPr>
                <w:rStyle w:val="Hyperlink"/>
                <w:rFonts w:ascii="Arial" w:hAnsi="Arial" w:cs="Arial"/>
                <w:noProof/>
              </w:rPr>
              <w:t>3.10 Methodological limitations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_Toc214984603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15</w:t>
            </w:r>
            <w:r w:rsidRPr="008D5C42">
              <w:rPr>
                <w:rFonts w:ascii="Arial" w:hAnsi="Arial" w:cs="Arial"/>
                <w:noProof/>
                <w:webHidden/>
              </w:rPr>
              <w:fldChar w:fldCharType="end"/>
            </w:r>
          </w:hyperlink>
        </w:p>
        <w:p w14:paraId="67939F7C" w14:textId="1B94EFDB" w:rsidR="001968C6" w:rsidRPr="008D5C42" w:rsidRDefault="001968C6" w:rsidP="008D5C42">
          <w:pPr>
            <w:pStyle w:val="TOC1"/>
            <w:tabs>
              <w:tab w:val="right" w:leader="dot" w:pos="9016"/>
            </w:tabs>
            <w:spacing w:line="360" w:lineRule="auto"/>
            <w:rPr>
              <w:rFonts w:ascii="Arial" w:eastAsiaTheme="minorEastAsia" w:hAnsi="Arial" w:cs="Arial"/>
              <w:noProof/>
            </w:rPr>
          </w:pPr>
          <w:hyperlink w:anchor="_Toc214984604" w:history="1">
            <w:r w:rsidRPr="008D5C42">
              <w:rPr>
                <w:rStyle w:val="Hyperlink"/>
                <w:rFonts w:ascii="Arial" w:hAnsi="Arial" w:cs="Arial"/>
                <w:noProof/>
              </w:rPr>
              <w:t>Chapter 4: RESULTS &amp; DISCUSSION</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_Toc214984604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16</w:t>
            </w:r>
            <w:r w:rsidRPr="008D5C42">
              <w:rPr>
                <w:rFonts w:ascii="Arial" w:hAnsi="Arial" w:cs="Arial"/>
                <w:noProof/>
                <w:webHidden/>
              </w:rPr>
              <w:fldChar w:fldCharType="end"/>
            </w:r>
          </w:hyperlink>
        </w:p>
        <w:p w14:paraId="255A52DB" w14:textId="2C08484D"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05" w:history="1">
            <w:r w:rsidRPr="008D5C42">
              <w:rPr>
                <w:rStyle w:val="Hyperlink"/>
                <w:rFonts w:ascii="Arial" w:hAnsi="Arial" w:cs="Arial"/>
                <w:noProof/>
              </w:rPr>
              <w:t>4.1 Introduction</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_Toc214984605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16</w:t>
            </w:r>
            <w:r w:rsidRPr="008D5C42">
              <w:rPr>
                <w:rFonts w:ascii="Arial" w:hAnsi="Arial" w:cs="Arial"/>
                <w:noProof/>
                <w:webHidden/>
              </w:rPr>
              <w:fldChar w:fldCharType="end"/>
            </w:r>
          </w:hyperlink>
        </w:p>
        <w:p w14:paraId="15296A3C" w14:textId="7893858B" w:rsidR="001968C6" w:rsidRPr="008D5C42" w:rsidRDefault="001968C6" w:rsidP="008D5C42">
          <w:pPr>
            <w:pStyle w:val="TOC3"/>
            <w:tabs>
              <w:tab w:val="right" w:leader="dot" w:pos="9016"/>
            </w:tabs>
            <w:spacing w:line="360" w:lineRule="auto"/>
            <w:rPr>
              <w:rFonts w:ascii="Arial" w:eastAsiaTheme="minorEastAsia" w:hAnsi="Arial" w:cs="Arial"/>
              <w:noProof/>
            </w:rPr>
          </w:pPr>
          <w:hyperlink w:anchor="_Toc214984606" w:history="1">
            <w:r w:rsidRPr="008D5C42">
              <w:rPr>
                <w:rStyle w:val="Hyperlink"/>
                <w:rFonts w:ascii="Arial" w:hAnsi="Arial" w:cs="Arial"/>
                <w:noProof/>
              </w:rPr>
              <w:t>4.1.1 Thematic Analysis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_Toc214984606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16</w:t>
            </w:r>
            <w:r w:rsidRPr="008D5C42">
              <w:rPr>
                <w:rFonts w:ascii="Arial" w:hAnsi="Arial" w:cs="Arial"/>
                <w:noProof/>
                <w:webHidden/>
              </w:rPr>
              <w:fldChar w:fldCharType="end"/>
            </w:r>
          </w:hyperlink>
        </w:p>
        <w:p w14:paraId="70DD4EFE" w14:textId="4A55E823"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07" w:history="1">
            <w:r w:rsidRPr="008D5C42">
              <w:rPr>
                <w:rStyle w:val="Hyperlink"/>
                <w:rFonts w:ascii="Arial" w:hAnsi="Arial" w:cs="Arial"/>
                <w:noProof/>
              </w:rPr>
              <w:t>4.2 Characteristics of included studies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_Toc214984607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16</w:t>
            </w:r>
            <w:r w:rsidRPr="008D5C42">
              <w:rPr>
                <w:rFonts w:ascii="Arial" w:hAnsi="Arial" w:cs="Arial"/>
                <w:noProof/>
                <w:webHidden/>
              </w:rPr>
              <w:fldChar w:fldCharType="end"/>
            </w:r>
          </w:hyperlink>
        </w:p>
        <w:p w14:paraId="752C663F" w14:textId="046FBD33"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08" w:history="1">
            <w:r w:rsidRPr="008D5C42">
              <w:rPr>
                <w:rStyle w:val="Hyperlink"/>
                <w:rFonts w:ascii="Arial" w:hAnsi="Arial" w:cs="Arial"/>
                <w:i/>
                <w:noProof/>
              </w:rPr>
              <w:t>4.3 Theme 1 – Internalising Symptoms and Psychological Distress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_Toc214984608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17</w:t>
            </w:r>
            <w:r w:rsidRPr="008D5C42">
              <w:rPr>
                <w:rFonts w:ascii="Arial" w:hAnsi="Arial" w:cs="Arial"/>
                <w:noProof/>
                <w:webHidden/>
              </w:rPr>
              <w:fldChar w:fldCharType="end"/>
            </w:r>
          </w:hyperlink>
        </w:p>
        <w:p w14:paraId="435B8861" w14:textId="71EB0A5F"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09" w:history="1">
            <w:r w:rsidRPr="008D5C42">
              <w:rPr>
                <w:rStyle w:val="Hyperlink"/>
                <w:rFonts w:ascii="Arial" w:hAnsi="Arial" w:cs="Arial"/>
                <w:noProof/>
              </w:rPr>
              <w:t>4.4 Theme 2 – Externalising and Risk-Taking Behaviours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_Toc214984609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18</w:t>
            </w:r>
            <w:r w:rsidRPr="008D5C42">
              <w:rPr>
                <w:rFonts w:ascii="Arial" w:hAnsi="Arial" w:cs="Arial"/>
                <w:noProof/>
                <w:webHidden/>
              </w:rPr>
              <w:fldChar w:fldCharType="end"/>
            </w:r>
          </w:hyperlink>
        </w:p>
        <w:p w14:paraId="298BD711" w14:textId="6B3B5729"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10" w:history="1">
            <w:r w:rsidRPr="008D5C42">
              <w:rPr>
                <w:rStyle w:val="Hyperlink"/>
                <w:rFonts w:ascii="Arial" w:hAnsi="Arial" w:cs="Arial"/>
                <w:noProof/>
              </w:rPr>
              <w:t>4.5 THEME 3 – Protective and Resilience Factors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_Toc214984610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19</w:t>
            </w:r>
            <w:r w:rsidRPr="008D5C42">
              <w:rPr>
                <w:rFonts w:ascii="Arial" w:hAnsi="Arial" w:cs="Arial"/>
                <w:noProof/>
                <w:webHidden/>
              </w:rPr>
              <w:fldChar w:fldCharType="end"/>
            </w:r>
          </w:hyperlink>
        </w:p>
        <w:p w14:paraId="74C67B3E" w14:textId="31107F85"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11" w:history="1">
            <w:r w:rsidRPr="008D5C42">
              <w:rPr>
                <w:rStyle w:val="Hyperlink"/>
                <w:rFonts w:ascii="Arial" w:hAnsi="Arial" w:cs="Arial"/>
                <w:noProof/>
              </w:rPr>
              <w:t>4.6 THEME 4 – Qualitative Lived Experience Insights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_Toc214984611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19</w:t>
            </w:r>
            <w:r w:rsidRPr="008D5C42">
              <w:rPr>
                <w:rFonts w:ascii="Arial" w:hAnsi="Arial" w:cs="Arial"/>
                <w:noProof/>
                <w:webHidden/>
              </w:rPr>
              <w:fldChar w:fldCharType="end"/>
            </w:r>
          </w:hyperlink>
        </w:p>
        <w:p w14:paraId="7D72F214" w14:textId="4573F0F5"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12" w:history="1">
            <w:r w:rsidRPr="008D5C42">
              <w:rPr>
                <w:rStyle w:val="Hyperlink"/>
                <w:rFonts w:ascii="Arial" w:hAnsi="Arial" w:cs="Arial"/>
                <w:noProof/>
              </w:rPr>
              <w:t>4.7 Integrated Model</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_Toc214984612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21</w:t>
            </w:r>
            <w:r w:rsidRPr="008D5C42">
              <w:rPr>
                <w:rFonts w:ascii="Arial" w:hAnsi="Arial" w:cs="Arial"/>
                <w:noProof/>
                <w:webHidden/>
              </w:rPr>
              <w:fldChar w:fldCharType="end"/>
            </w:r>
          </w:hyperlink>
        </w:p>
        <w:p w14:paraId="3DBDF382" w14:textId="07EB4E77"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13" w:history="1">
            <w:r w:rsidRPr="008D5C42">
              <w:rPr>
                <w:rStyle w:val="Hyperlink"/>
                <w:rFonts w:ascii="Arial" w:hAnsi="Arial" w:cs="Arial"/>
                <w:i/>
                <w:noProof/>
              </w:rPr>
              <w:t>4.8 Chapter Summary</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_Toc214984613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21</w:t>
            </w:r>
            <w:r w:rsidRPr="008D5C42">
              <w:rPr>
                <w:rFonts w:ascii="Arial" w:hAnsi="Arial" w:cs="Arial"/>
                <w:noProof/>
                <w:webHidden/>
              </w:rPr>
              <w:fldChar w:fldCharType="end"/>
            </w:r>
          </w:hyperlink>
        </w:p>
        <w:p w14:paraId="3B33A103" w14:textId="1D6CD275" w:rsidR="001968C6" w:rsidRPr="008D5C42" w:rsidRDefault="001968C6" w:rsidP="008D5C42">
          <w:pPr>
            <w:pStyle w:val="TOC1"/>
            <w:tabs>
              <w:tab w:val="right" w:leader="dot" w:pos="9016"/>
            </w:tabs>
            <w:spacing w:line="360" w:lineRule="auto"/>
            <w:rPr>
              <w:rFonts w:ascii="Arial" w:eastAsiaTheme="minorEastAsia" w:hAnsi="Arial" w:cs="Arial"/>
              <w:noProof/>
            </w:rPr>
          </w:pPr>
          <w:hyperlink w:anchor="_Toc214984614" w:history="1">
            <w:r w:rsidRPr="008D5C42">
              <w:rPr>
                <w:rStyle w:val="Hyperlink"/>
                <w:rFonts w:ascii="Arial" w:hAnsi="Arial" w:cs="Arial"/>
                <w:bCs/>
                <w:noProof/>
                <w:lang w:val="en-US"/>
              </w:rPr>
              <w:t>CHAPTER 5: CONCLUSION AND RECOMMENDATIONS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_Toc214984614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22</w:t>
            </w:r>
            <w:r w:rsidRPr="008D5C42">
              <w:rPr>
                <w:rFonts w:ascii="Arial" w:hAnsi="Arial" w:cs="Arial"/>
                <w:noProof/>
                <w:webHidden/>
              </w:rPr>
              <w:fldChar w:fldCharType="end"/>
            </w:r>
          </w:hyperlink>
        </w:p>
        <w:p w14:paraId="46B4C150" w14:textId="13F182C3"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15" w:history="1">
            <w:r w:rsidRPr="008D5C42">
              <w:rPr>
                <w:rStyle w:val="Hyperlink"/>
                <w:rFonts w:ascii="Arial" w:hAnsi="Arial" w:cs="Arial"/>
                <w:noProof/>
              </w:rPr>
              <w:t>5.1 Chapter introduction</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_Toc214984615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22</w:t>
            </w:r>
            <w:r w:rsidRPr="008D5C42">
              <w:rPr>
                <w:rFonts w:ascii="Arial" w:hAnsi="Arial" w:cs="Arial"/>
                <w:noProof/>
                <w:webHidden/>
              </w:rPr>
              <w:fldChar w:fldCharType="end"/>
            </w:r>
          </w:hyperlink>
        </w:p>
        <w:p w14:paraId="1F68F002" w14:textId="24EC4EFF"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16" w:history="1">
            <w:r w:rsidRPr="008D5C42">
              <w:rPr>
                <w:rStyle w:val="Hyperlink"/>
                <w:rFonts w:ascii="Arial" w:hAnsi="Arial" w:cs="Arial"/>
                <w:noProof/>
              </w:rPr>
              <w:t>5.2 Achievement of aim and objectives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_Toc214984616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22</w:t>
            </w:r>
            <w:r w:rsidRPr="008D5C42">
              <w:rPr>
                <w:rFonts w:ascii="Arial" w:hAnsi="Arial" w:cs="Arial"/>
                <w:noProof/>
                <w:webHidden/>
              </w:rPr>
              <w:fldChar w:fldCharType="end"/>
            </w:r>
          </w:hyperlink>
        </w:p>
        <w:p w14:paraId="17CC3D51" w14:textId="356D7087"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17" w:history="1">
            <w:r w:rsidRPr="008D5C42">
              <w:rPr>
                <w:rStyle w:val="Hyperlink"/>
                <w:rFonts w:ascii="Arial" w:hAnsi="Arial" w:cs="Arial"/>
                <w:noProof/>
              </w:rPr>
              <w:t>5.3 Recommendations for practice</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_Toc214984617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23</w:t>
            </w:r>
            <w:r w:rsidRPr="008D5C42">
              <w:rPr>
                <w:rFonts w:ascii="Arial" w:hAnsi="Arial" w:cs="Arial"/>
                <w:noProof/>
                <w:webHidden/>
              </w:rPr>
              <w:fldChar w:fldCharType="end"/>
            </w:r>
          </w:hyperlink>
        </w:p>
        <w:p w14:paraId="115915EF" w14:textId="2E3ADE9A"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18" w:history="1">
            <w:r w:rsidRPr="008D5C42">
              <w:rPr>
                <w:rStyle w:val="Hyperlink"/>
                <w:rFonts w:ascii="Arial" w:hAnsi="Arial" w:cs="Arial"/>
                <w:noProof/>
              </w:rPr>
              <w:t>5.4 Recommendations for policy</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_Toc214984618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23</w:t>
            </w:r>
            <w:r w:rsidRPr="008D5C42">
              <w:rPr>
                <w:rFonts w:ascii="Arial" w:hAnsi="Arial" w:cs="Arial"/>
                <w:noProof/>
                <w:webHidden/>
              </w:rPr>
              <w:fldChar w:fldCharType="end"/>
            </w:r>
          </w:hyperlink>
        </w:p>
        <w:p w14:paraId="21AB2C92" w14:textId="2EBE2C20"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19" w:history="1">
            <w:r w:rsidRPr="008D5C42">
              <w:rPr>
                <w:rStyle w:val="Hyperlink"/>
                <w:rFonts w:ascii="Arial" w:hAnsi="Arial" w:cs="Arial"/>
                <w:noProof/>
              </w:rPr>
              <w:t>5.5 Limitations of the study</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_Toc214984619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24</w:t>
            </w:r>
            <w:r w:rsidRPr="008D5C42">
              <w:rPr>
                <w:rFonts w:ascii="Arial" w:hAnsi="Arial" w:cs="Arial"/>
                <w:noProof/>
                <w:webHidden/>
              </w:rPr>
              <w:fldChar w:fldCharType="end"/>
            </w:r>
          </w:hyperlink>
        </w:p>
        <w:p w14:paraId="3ED9A01A" w14:textId="7C98A67C"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20" w:history="1">
            <w:r w:rsidRPr="008D5C42">
              <w:rPr>
                <w:rStyle w:val="Hyperlink"/>
                <w:rFonts w:ascii="Arial" w:hAnsi="Arial" w:cs="Arial"/>
                <w:noProof/>
              </w:rPr>
              <w:t>5.6 Future research</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_Toc214984620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24</w:t>
            </w:r>
            <w:r w:rsidRPr="008D5C42">
              <w:rPr>
                <w:rFonts w:ascii="Arial" w:hAnsi="Arial" w:cs="Arial"/>
                <w:noProof/>
                <w:webHidden/>
              </w:rPr>
              <w:fldChar w:fldCharType="end"/>
            </w:r>
          </w:hyperlink>
        </w:p>
        <w:p w14:paraId="3DDFCEBA" w14:textId="06DF16F3"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21" w:history="1">
            <w:r w:rsidRPr="008D5C42">
              <w:rPr>
                <w:rStyle w:val="Hyperlink"/>
                <w:rFonts w:ascii="Arial" w:hAnsi="Arial" w:cs="Arial"/>
                <w:noProof/>
              </w:rPr>
              <w:t>5.7 Overall conclusion</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_Toc214984621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24</w:t>
            </w:r>
            <w:r w:rsidRPr="008D5C42">
              <w:rPr>
                <w:rFonts w:ascii="Arial" w:hAnsi="Arial" w:cs="Arial"/>
                <w:noProof/>
                <w:webHidden/>
              </w:rPr>
              <w:fldChar w:fldCharType="end"/>
            </w:r>
          </w:hyperlink>
        </w:p>
        <w:p w14:paraId="4E0A81C6" w14:textId="46B303EF" w:rsidR="001968C6" w:rsidRPr="008D5C42" w:rsidRDefault="001968C6" w:rsidP="008D5C42">
          <w:pPr>
            <w:pStyle w:val="TOC1"/>
            <w:tabs>
              <w:tab w:val="right" w:leader="dot" w:pos="9016"/>
            </w:tabs>
            <w:spacing w:line="360" w:lineRule="auto"/>
            <w:rPr>
              <w:rFonts w:ascii="Arial" w:eastAsiaTheme="minorEastAsia" w:hAnsi="Arial" w:cs="Arial"/>
              <w:noProof/>
            </w:rPr>
          </w:pPr>
          <w:hyperlink w:anchor="_Toc214984622" w:history="1">
            <w:r w:rsidRPr="008D5C42">
              <w:rPr>
                <w:rStyle w:val="Hyperlink"/>
                <w:rFonts w:ascii="Arial" w:hAnsi="Arial" w:cs="Arial"/>
                <w:noProof/>
              </w:rPr>
              <w:t>REFERENCES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_Toc214984622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26</w:t>
            </w:r>
            <w:r w:rsidRPr="008D5C42">
              <w:rPr>
                <w:rFonts w:ascii="Arial" w:hAnsi="Arial" w:cs="Arial"/>
                <w:noProof/>
                <w:webHidden/>
              </w:rPr>
              <w:fldChar w:fldCharType="end"/>
            </w:r>
          </w:hyperlink>
        </w:p>
        <w:p w14:paraId="0421585C" w14:textId="1F137A14" w:rsidR="001968C6" w:rsidRPr="008D5C42" w:rsidRDefault="001968C6" w:rsidP="008D5C42">
          <w:pPr>
            <w:pStyle w:val="TOC1"/>
            <w:tabs>
              <w:tab w:val="right" w:leader="dot" w:pos="9016"/>
            </w:tabs>
            <w:spacing w:line="360" w:lineRule="auto"/>
            <w:rPr>
              <w:rFonts w:ascii="Arial" w:eastAsiaTheme="minorEastAsia" w:hAnsi="Arial" w:cs="Arial"/>
              <w:noProof/>
            </w:rPr>
          </w:pPr>
          <w:hyperlink w:anchor="_Toc214984623" w:history="1">
            <w:r w:rsidRPr="008D5C42">
              <w:rPr>
                <w:rStyle w:val="Hyperlink"/>
                <w:rFonts w:ascii="Arial" w:hAnsi="Arial" w:cs="Arial"/>
                <w:noProof/>
              </w:rPr>
              <w:t>LIST OF TABLES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_Toc214984623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31</w:t>
            </w:r>
            <w:r w:rsidRPr="008D5C42">
              <w:rPr>
                <w:rFonts w:ascii="Arial" w:hAnsi="Arial" w:cs="Arial"/>
                <w:noProof/>
                <w:webHidden/>
              </w:rPr>
              <w:fldChar w:fldCharType="end"/>
            </w:r>
          </w:hyperlink>
        </w:p>
        <w:p w14:paraId="0E476338" w14:textId="12049A6E"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24" w:history="1">
            <w:r w:rsidRPr="008D5C42">
              <w:rPr>
                <w:rStyle w:val="Hyperlink"/>
                <w:rFonts w:ascii="Arial" w:hAnsi="Arial" w:cs="Arial"/>
                <w:noProof/>
              </w:rPr>
              <w:t>Table 1: Eligibility criteria</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_Toc214984624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31</w:t>
            </w:r>
            <w:r w:rsidRPr="008D5C42">
              <w:rPr>
                <w:rFonts w:ascii="Arial" w:hAnsi="Arial" w:cs="Arial"/>
                <w:noProof/>
                <w:webHidden/>
              </w:rPr>
              <w:fldChar w:fldCharType="end"/>
            </w:r>
          </w:hyperlink>
        </w:p>
        <w:p w14:paraId="63B60BBF" w14:textId="3D8D1A01"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25" w:history="1">
            <w:r w:rsidRPr="008D5C42">
              <w:rPr>
                <w:rStyle w:val="Hyperlink"/>
                <w:rFonts w:ascii="Arial" w:hAnsi="Arial" w:cs="Arial"/>
                <w:noProof/>
              </w:rPr>
              <w:t>Table 2: Screening Summary Table</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_Toc214984625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31</w:t>
            </w:r>
            <w:r w:rsidRPr="008D5C42">
              <w:rPr>
                <w:rFonts w:ascii="Arial" w:hAnsi="Arial" w:cs="Arial"/>
                <w:noProof/>
                <w:webHidden/>
              </w:rPr>
              <w:fldChar w:fldCharType="end"/>
            </w:r>
          </w:hyperlink>
        </w:p>
        <w:p w14:paraId="59ED8543" w14:textId="408180D1"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26" w:history="1">
            <w:r w:rsidRPr="008D5C42">
              <w:rPr>
                <w:rStyle w:val="Hyperlink"/>
                <w:rFonts w:ascii="Arial" w:hAnsi="Arial" w:cs="Arial"/>
                <w:noProof/>
              </w:rPr>
              <w:t>Table 3: Simple Summary Table of Results</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_Toc214984626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32</w:t>
            </w:r>
            <w:r w:rsidRPr="008D5C42">
              <w:rPr>
                <w:rFonts w:ascii="Arial" w:hAnsi="Arial" w:cs="Arial"/>
                <w:noProof/>
                <w:webHidden/>
              </w:rPr>
              <w:fldChar w:fldCharType="end"/>
            </w:r>
          </w:hyperlink>
        </w:p>
        <w:p w14:paraId="081E443E" w14:textId="48977D74" w:rsidR="001968C6" w:rsidRPr="008D5C42" w:rsidRDefault="001968C6" w:rsidP="008D5C42">
          <w:pPr>
            <w:pStyle w:val="TOC2"/>
            <w:tabs>
              <w:tab w:val="right" w:leader="dot" w:pos="9016"/>
            </w:tabs>
            <w:spacing w:line="360" w:lineRule="auto"/>
            <w:rPr>
              <w:rFonts w:ascii="Arial" w:eastAsiaTheme="minorEastAsia" w:hAnsi="Arial" w:cs="Arial"/>
              <w:noProof/>
            </w:rPr>
          </w:pPr>
          <w:hyperlink w:anchor="_Toc214984627" w:history="1">
            <w:r w:rsidRPr="008D5C42">
              <w:rPr>
                <w:rStyle w:val="Hyperlink"/>
                <w:rFonts w:ascii="Arial" w:hAnsi="Arial" w:cs="Arial"/>
                <w:noProof/>
              </w:rPr>
              <w:t>Table 4: Quality Appraisal</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_Toc214984627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33</w:t>
            </w:r>
            <w:r w:rsidRPr="008D5C42">
              <w:rPr>
                <w:rFonts w:ascii="Arial" w:hAnsi="Arial" w:cs="Arial"/>
                <w:noProof/>
                <w:webHidden/>
              </w:rPr>
              <w:fldChar w:fldCharType="end"/>
            </w:r>
          </w:hyperlink>
        </w:p>
        <w:p w14:paraId="0C2CBD64" w14:textId="0CB3D124" w:rsidR="001968C6" w:rsidRPr="008D5C42" w:rsidRDefault="001968C6" w:rsidP="008D5C42">
          <w:pPr>
            <w:pStyle w:val="TOC1"/>
            <w:tabs>
              <w:tab w:val="right" w:leader="dot" w:pos="9016"/>
            </w:tabs>
            <w:spacing w:line="360" w:lineRule="auto"/>
            <w:rPr>
              <w:rFonts w:ascii="Arial" w:eastAsiaTheme="minorEastAsia" w:hAnsi="Arial" w:cs="Arial"/>
              <w:noProof/>
            </w:rPr>
          </w:pPr>
          <w:hyperlink w:anchor="_Toc214984628" w:history="1">
            <w:r w:rsidRPr="008D5C42">
              <w:rPr>
                <w:rStyle w:val="Hyperlink"/>
                <w:rFonts w:ascii="Arial" w:hAnsi="Arial" w:cs="Arial"/>
                <w:noProof/>
              </w:rPr>
              <w:t>APPENDIX A: Data extraction table</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_Toc214984628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34</w:t>
            </w:r>
            <w:r w:rsidRPr="008D5C42">
              <w:rPr>
                <w:rFonts w:ascii="Arial" w:hAnsi="Arial" w:cs="Arial"/>
                <w:noProof/>
                <w:webHidden/>
              </w:rPr>
              <w:fldChar w:fldCharType="end"/>
            </w:r>
          </w:hyperlink>
        </w:p>
        <w:p w14:paraId="2B6A6804" w14:textId="4B535827" w:rsidR="001968C6" w:rsidRPr="008D5C42" w:rsidRDefault="001968C6" w:rsidP="008D5C42">
          <w:pPr>
            <w:pStyle w:val="TOC1"/>
            <w:tabs>
              <w:tab w:val="right" w:leader="dot" w:pos="9016"/>
            </w:tabs>
            <w:spacing w:line="360" w:lineRule="auto"/>
            <w:rPr>
              <w:rFonts w:ascii="Arial" w:eastAsiaTheme="minorEastAsia" w:hAnsi="Arial" w:cs="Arial"/>
              <w:noProof/>
            </w:rPr>
          </w:pPr>
          <w:hyperlink w:anchor="_Toc214984629" w:history="1">
            <w:r w:rsidRPr="008D5C42">
              <w:rPr>
                <w:rStyle w:val="Hyperlink"/>
                <w:rFonts w:ascii="Arial" w:hAnsi="Arial" w:cs="Arial"/>
                <w:noProof/>
              </w:rPr>
              <w:t>Appendix B – Source Tracking Table</w:t>
            </w:r>
            <w:r w:rsidRPr="008D5C42">
              <w:rPr>
                <w:rFonts w:ascii="Arial" w:hAnsi="Arial" w:cs="Arial"/>
                <w:noProof/>
                <w:webHidden/>
              </w:rPr>
              <w:tab/>
            </w:r>
            <w:r w:rsidRPr="008D5C42">
              <w:rPr>
                <w:rFonts w:ascii="Arial" w:hAnsi="Arial" w:cs="Arial"/>
                <w:noProof/>
                <w:webHidden/>
              </w:rPr>
              <w:fldChar w:fldCharType="begin"/>
            </w:r>
            <w:r w:rsidRPr="008D5C42">
              <w:rPr>
                <w:rFonts w:ascii="Arial" w:hAnsi="Arial" w:cs="Arial"/>
                <w:noProof/>
                <w:webHidden/>
              </w:rPr>
              <w:instrText xml:space="preserve"> PAGEREF _Toc214984629 \h </w:instrText>
            </w:r>
            <w:r w:rsidRPr="008D5C42">
              <w:rPr>
                <w:rFonts w:ascii="Arial" w:hAnsi="Arial" w:cs="Arial"/>
                <w:noProof/>
                <w:webHidden/>
              </w:rPr>
            </w:r>
            <w:r w:rsidRPr="008D5C42">
              <w:rPr>
                <w:rFonts w:ascii="Arial" w:hAnsi="Arial" w:cs="Arial"/>
                <w:noProof/>
                <w:webHidden/>
              </w:rPr>
              <w:fldChar w:fldCharType="separate"/>
            </w:r>
            <w:r w:rsidRPr="008D5C42">
              <w:rPr>
                <w:rFonts w:ascii="Arial" w:hAnsi="Arial" w:cs="Arial"/>
                <w:noProof/>
                <w:webHidden/>
              </w:rPr>
              <w:t>37</w:t>
            </w:r>
            <w:r w:rsidRPr="008D5C42">
              <w:rPr>
                <w:rFonts w:ascii="Arial" w:hAnsi="Arial" w:cs="Arial"/>
                <w:noProof/>
                <w:webHidden/>
              </w:rPr>
              <w:fldChar w:fldCharType="end"/>
            </w:r>
          </w:hyperlink>
        </w:p>
        <w:p w14:paraId="17127426" w14:textId="2C252E42" w:rsidR="001968C6" w:rsidRPr="008D5C42" w:rsidRDefault="001968C6" w:rsidP="008D5C42">
          <w:pPr>
            <w:spacing w:line="360" w:lineRule="auto"/>
            <w:jc w:val="both"/>
            <w:rPr>
              <w:rFonts w:ascii="Arial" w:hAnsi="Arial" w:cs="Arial"/>
            </w:rPr>
          </w:pPr>
          <w:r w:rsidRPr="008D5C42">
            <w:rPr>
              <w:rFonts w:ascii="Arial" w:hAnsi="Arial" w:cs="Arial"/>
              <w:b/>
              <w:bCs/>
              <w:noProof/>
            </w:rPr>
            <w:fldChar w:fldCharType="end"/>
          </w:r>
        </w:p>
      </w:sdtContent>
    </w:sdt>
    <w:p w14:paraId="39FEA4A1" w14:textId="77777777" w:rsidR="001968C6" w:rsidRPr="008D5C42" w:rsidRDefault="001968C6" w:rsidP="008D5C42">
      <w:pPr>
        <w:spacing w:line="360" w:lineRule="auto"/>
        <w:jc w:val="both"/>
        <w:rPr>
          <w:rFonts w:ascii="Arial" w:hAnsi="Arial" w:cs="Arial"/>
          <w:b/>
          <w:bCs/>
          <w:i/>
          <w:iCs/>
        </w:rPr>
      </w:pPr>
    </w:p>
    <w:p w14:paraId="78FE919F" w14:textId="77777777" w:rsidR="001968C6" w:rsidRPr="008D5C42" w:rsidRDefault="001968C6" w:rsidP="008D5C42">
      <w:pPr>
        <w:spacing w:line="360" w:lineRule="auto"/>
        <w:jc w:val="both"/>
        <w:rPr>
          <w:rFonts w:ascii="Arial" w:hAnsi="Arial" w:cs="Arial"/>
          <w:b/>
          <w:bCs/>
          <w:i/>
          <w:iCs/>
        </w:rPr>
      </w:pPr>
      <w:r w:rsidRPr="008D5C42">
        <w:rPr>
          <w:rFonts w:ascii="Arial" w:hAnsi="Arial" w:cs="Arial"/>
          <w:b/>
          <w:bCs/>
          <w:i/>
          <w:iCs/>
        </w:rPr>
        <w:br w:type="page"/>
      </w:r>
    </w:p>
    <w:p w14:paraId="5925787F" w14:textId="77777777" w:rsidR="001968C6" w:rsidRPr="008D5C42" w:rsidRDefault="001968C6" w:rsidP="008D5C42">
      <w:pPr>
        <w:pStyle w:val="Heading1"/>
      </w:pPr>
      <w:bookmarkStart w:id="1" w:name="_Toc214984576"/>
      <w:r w:rsidRPr="008D5C42">
        <w:lastRenderedPageBreak/>
        <w:t>CHAPTER 1: INTRODUCTION</w:t>
      </w:r>
      <w:bookmarkEnd w:id="1"/>
    </w:p>
    <w:p w14:paraId="0D8C842B" w14:textId="77777777" w:rsidR="001968C6" w:rsidRPr="008D5C42" w:rsidRDefault="001968C6" w:rsidP="008D5C42">
      <w:pPr>
        <w:pStyle w:val="Heading2"/>
      </w:pPr>
      <w:bookmarkStart w:id="2" w:name="_Toc214984577"/>
      <w:r w:rsidRPr="008D5C42">
        <w:t>1.1 Overview of the Topic</w:t>
      </w:r>
      <w:bookmarkEnd w:id="2"/>
    </w:p>
    <w:p w14:paraId="62B72BE7" w14:textId="77777777" w:rsidR="001968C6" w:rsidRPr="008D5C42" w:rsidRDefault="001968C6" w:rsidP="008D5C42">
      <w:pPr>
        <w:spacing w:line="360" w:lineRule="auto"/>
        <w:jc w:val="both"/>
        <w:rPr>
          <w:rFonts w:ascii="Arial" w:hAnsi="Arial" w:cs="Arial"/>
        </w:rPr>
      </w:pPr>
      <w:r w:rsidRPr="008D5C42">
        <w:rPr>
          <w:rFonts w:ascii="Arial" w:hAnsi="Arial" w:cs="Arial"/>
        </w:rPr>
        <w:t>Adverse childhood experiences (ACEs) are a series of stressful or traumatic events experienced prior to the age of 18 which can include physical, emotional or sexual maltreatment, neglect and household dysfunction (</w:t>
      </w:r>
      <w:proofErr w:type="spellStart"/>
      <w:r w:rsidRPr="008D5C42">
        <w:rPr>
          <w:rFonts w:ascii="Arial" w:hAnsi="Arial" w:cs="Arial"/>
        </w:rPr>
        <w:t>Felitti</w:t>
      </w:r>
      <w:proofErr w:type="spellEnd"/>
      <w:r w:rsidRPr="008D5C42">
        <w:rPr>
          <w:rFonts w:ascii="Arial" w:hAnsi="Arial" w:cs="Arial"/>
        </w:rPr>
        <w:t xml:space="preserve"> et al., 2019; Anda et al., 1999; Chapman et al., 2007). ACEs were initially identified in a landmark US-based study and now are considered as key determinants of long-term health and social outcomes in all countries around the world (Hughes et al., 2017; Gilbert et al., 2009; Norman et al., 2012). It is also in the United Kingdom that the role of ACEs in increasing adolescent mental health issues, school exclusion and youth offending has received increasing attention (Bellis et al., 2015; Ford et al. 2007; Public Health England 2019). Since the UK health and social care systems, schooling and statutory protection provisions vary in crucial aspects with the rest of the world, it becomes crucial to examine ACE-based trauma in the context of the </w:t>
      </w:r>
      <w:proofErr w:type="gramStart"/>
      <w:r w:rsidRPr="008D5C42">
        <w:rPr>
          <w:rFonts w:ascii="Arial" w:hAnsi="Arial" w:cs="Arial"/>
        </w:rPr>
        <w:t>UK in particular</w:t>
      </w:r>
      <w:proofErr w:type="gramEnd"/>
      <w:r w:rsidRPr="008D5C42">
        <w:rPr>
          <w:rFonts w:ascii="Arial" w:hAnsi="Arial" w:cs="Arial"/>
        </w:rPr>
        <w:t xml:space="preserve"> (Department for Education &amp; Department of Health 2015; Ofsted 2022). In this chapter, the author presents ACEs as a health concern and explains that this dissertation is concerned with research studies on ACEs and their psychological, emotional and behavioural outcomes in young individuals (up until the age of 25).</w:t>
      </w:r>
    </w:p>
    <w:p w14:paraId="281C254B" w14:textId="77777777" w:rsidR="001968C6" w:rsidRPr="008D5C42" w:rsidRDefault="001968C6" w:rsidP="008D5C42">
      <w:pPr>
        <w:pStyle w:val="Heading2"/>
      </w:pPr>
      <w:bookmarkStart w:id="3" w:name="_Toc214984578"/>
      <w:r w:rsidRPr="008D5C42">
        <w:t>1.2 Definition and Scope of ACEs</w:t>
      </w:r>
      <w:bookmarkEnd w:id="3"/>
      <w:r w:rsidRPr="008D5C42">
        <w:t xml:space="preserve"> </w:t>
      </w:r>
    </w:p>
    <w:p w14:paraId="5ACF890F" w14:textId="77777777" w:rsidR="001968C6" w:rsidRPr="008D5C42" w:rsidRDefault="001968C6" w:rsidP="008D5C42">
      <w:pPr>
        <w:spacing w:line="360" w:lineRule="auto"/>
        <w:jc w:val="both"/>
        <w:rPr>
          <w:rFonts w:ascii="Arial" w:hAnsi="Arial" w:cs="Arial"/>
        </w:rPr>
      </w:pPr>
      <w:r w:rsidRPr="008D5C42">
        <w:rPr>
          <w:rFonts w:ascii="Arial" w:hAnsi="Arial" w:cs="Arial"/>
        </w:rPr>
        <w:t>ACEs are both the physical or emotional maltreatment of a child (physical or emotional abuse and physical or emotional neglect) and environmental misfortunes (parental substance abuse, mental illness, domestic violence, parental separation or incarceration) (</w:t>
      </w:r>
      <w:proofErr w:type="spellStart"/>
      <w:r w:rsidRPr="008D5C42">
        <w:rPr>
          <w:rFonts w:ascii="Arial" w:hAnsi="Arial" w:cs="Arial"/>
        </w:rPr>
        <w:t>Felitti</w:t>
      </w:r>
      <w:proofErr w:type="spellEnd"/>
      <w:r w:rsidRPr="008D5C42">
        <w:rPr>
          <w:rFonts w:ascii="Arial" w:hAnsi="Arial" w:cs="Arial"/>
        </w:rPr>
        <w:t xml:space="preserve"> et al., 2019; Burke et al. 2011). The ACE concept has been applied to other forms of experiences in the UK literature, including living in neighbourhoods with high rates of community violence or chronic poverty (Lareya et al., 2015; Maynard et al. 2019). In the context of this review, young people can be characterized as persons between the ages of 10 and 25, which is the developmental period between early adolescence and a period of emerging adulthood (Jeffrey et al., 2020; Moffitt et al. 2011; Masten 2014). It is a critical age interval because the processes of brain maturation, social identity, and resilience are observed in full during this time and ACEs suffered during childhood are presented as mental health or behavioural problems in late adolescence or early adulthood (Lam et al., 2024).</w:t>
      </w:r>
    </w:p>
    <w:p w14:paraId="66C9E3FB" w14:textId="77777777" w:rsidR="001968C6" w:rsidRPr="008D5C42" w:rsidRDefault="001968C6" w:rsidP="008D5C42">
      <w:pPr>
        <w:pStyle w:val="Heading2"/>
      </w:pPr>
      <w:bookmarkStart w:id="4" w:name="_Toc214984579"/>
      <w:r w:rsidRPr="008D5C42">
        <w:t>1.3 Rationale for UK-Specific Focus</w:t>
      </w:r>
      <w:bookmarkEnd w:id="4"/>
      <w:r w:rsidRPr="008D5C42">
        <w:t xml:space="preserve"> </w:t>
      </w:r>
    </w:p>
    <w:p w14:paraId="6A3C04B9"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International systematic reviews have reported a positive correlation between ACEs and poor mental health outcomes (Hughes et al., 2017), in the UK, the Australian studies are indicating contextual factors that are likely to alter these relationships. As an instance, the National Health Service (NHS) and social services in England and Wales are enforced under the statutory safeguarding guidelines, which are not similar in North America or the continental </w:t>
      </w:r>
      <w:r w:rsidRPr="008D5C42">
        <w:rPr>
          <w:rFonts w:ascii="Arial" w:hAnsi="Arial" w:cs="Arial"/>
        </w:rPr>
        <w:lastRenderedPageBreak/>
        <w:t xml:space="preserve">Europe (Department of Health and Social Care, 2018). Furthermore, according to UK-wide statistics published by NHS Digital, around 45 percent of youths indicate experiencing at least one ACE by the age of 18 years and the rates are higher in disadvantaged areas like the </w:t>
      </w:r>
      <w:proofErr w:type="gramStart"/>
      <w:r w:rsidRPr="008D5C42">
        <w:rPr>
          <w:rFonts w:ascii="Arial" w:hAnsi="Arial" w:cs="Arial"/>
        </w:rPr>
        <w:t>North West</w:t>
      </w:r>
      <w:proofErr w:type="gramEnd"/>
      <w:r w:rsidRPr="008D5C42">
        <w:rPr>
          <w:rFonts w:ascii="Arial" w:hAnsi="Arial" w:cs="Arial"/>
        </w:rPr>
        <w:t xml:space="preserve"> and West Midlands (NHS Digital, 2020). NSPCC records that approximately a fourth of children in England will have encountered severe mistreatment prior to their 18 </w:t>
      </w:r>
      <w:proofErr w:type="spellStart"/>
      <w:r w:rsidRPr="008D5C42">
        <w:rPr>
          <w:rFonts w:ascii="Arial" w:hAnsi="Arial" w:cs="Arial"/>
        </w:rPr>
        <w:t>th</w:t>
      </w:r>
      <w:proofErr w:type="spellEnd"/>
      <w:r w:rsidRPr="008D5C42">
        <w:rPr>
          <w:rFonts w:ascii="Arial" w:hAnsi="Arial" w:cs="Arial"/>
        </w:rPr>
        <w:t xml:space="preserve"> birthday (NSPCC, 2021). Due to such policy, cultural, and epidemiological differences, the results of other countries might not be extrapolated to UK contexts; a UK-specific systematic review, in turn, can reveal the patterns and service gaps, which are not visible in the international syntheses (Maynard et al., 2019).</w:t>
      </w:r>
    </w:p>
    <w:p w14:paraId="1B8E26AB" w14:textId="77777777" w:rsidR="001968C6" w:rsidRPr="008D5C42" w:rsidRDefault="001968C6" w:rsidP="008D5C42">
      <w:pPr>
        <w:pStyle w:val="Heading2"/>
      </w:pPr>
      <w:bookmarkStart w:id="5" w:name="_Toc214984580"/>
      <w:r w:rsidRPr="008D5C42">
        <w:t>1.4 Problem Statement and Research Gap</w:t>
      </w:r>
      <w:bookmarkEnd w:id="5"/>
      <w:r w:rsidRPr="008D5C42">
        <w:t xml:space="preserve"> </w:t>
      </w:r>
    </w:p>
    <w:p w14:paraId="376E3275" w14:textId="77777777" w:rsidR="001968C6" w:rsidRPr="008D5C42" w:rsidRDefault="001968C6" w:rsidP="008D5C42">
      <w:pPr>
        <w:spacing w:line="360" w:lineRule="auto"/>
        <w:jc w:val="both"/>
        <w:rPr>
          <w:rFonts w:ascii="Arial" w:hAnsi="Arial" w:cs="Arial"/>
        </w:rPr>
      </w:pPr>
      <w:r w:rsidRPr="008D5C42">
        <w:rPr>
          <w:rFonts w:ascii="Arial" w:hAnsi="Arial" w:cs="Arial"/>
        </w:rPr>
        <w:t>Although there is an increasing pool of research on UK ACE, a recent systematic review confined to UK-based, peer-reviewed articles on the topic that had solely aggregated data on ACEs and related outcomes in youths aged less than 25 was not found (Bellis et al. 2013). The available UK-specific reviews either include adult and adolescent samples without the age stratification (e.g. Bellis et al., 2015) or they involve general categories of adversities without a thematic synthesis of psychological and behavioural outcomes (Moffatt et al., 2018). Also, the results of a few studies conducted in the UK are inconsistent as to the size of ACE effects on self-harm compared to substance misuse, which is evidence of heterogeneity in study designs and outcome measures (Baldwin et al., 2023). This evidence base is not coherent, and people tend to have a hard time finding out which ACEs are the most traumatizing and the best interventions that work in the region. Therefore, a systematic literature review grouping the UK-only, peer-reviewed studies (2015-2025) with the aim of mapping current trends, results and intervention paradigms is now necessary.</w:t>
      </w:r>
    </w:p>
    <w:p w14:paraId="19927F29" w14:textId="77777777" w:rsidR="001968C6" w:rsidRPr="008D5C42" w:rsidRDefault="001968C6" w:rsidP="008D5C42">
      <w:pPr>
        <w:pStyle w:val="Heading2"/>
      </w:pPr>
      <w:bookmarkStart w:id="6" w:name="_Toc214984581"/>
      <w:r w:rsidRPr="008D5C42">
        <w:t>1.5 Research Aim, Objectives and Questions</w:t>
      </w:r>
      <w:bookmarkEnd w:id="6"/>
      <w:r w:rsidRPr="008D5C42">
        <w:t xml:space="preserve"> </w:t>
      </w:r>
    </w:p>
    <w:p w14:paraId="2424F467"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Aim</w:t>
      </w:r>
    </w:p>
    <w:p w14:paraId="38C0E936" w14:textId="77777777" w:rsidR="001968C6" w:rsidRPr="008D5C42" w:rsidRDefault="001968C6" w:rsidP="008D5C42">
      <w:pPr>
        <w:spacing w:line="360" w:lineRule="auto"/>
        <w:jc w:val="both"/>
        <w:rPr>
          <w:rFonts w:ascii="Arial" w:hAnsi="Arial" w:cs="Arial"/>
        </w:rPr>
      </w:pPr>
      <w:r w:rsidRPr="008D5C42">
        <w:rPr>
          <w:rFonts w:ascii="Arial" w:hAnsi="Arial" w:cs="Arial"/>
        </w:rPr>
        <w:t>This dissertation will seek to undertake a systematic literature review to investigate the role of ACEs in psychological, emotional and behavioural trauma outcomes in young people, aged less than 25, in the UK through a systematic review of peer-reviewed studies in the UK (2015-2025) to identify gaps in research and inform the policy, practice and future research.</w:t>
      </w:r>
    </w:p>
    <w:p w14:paraId="5BBF95A1"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Objectives</w:t>
      </w:r>
    </w:p>
    <w:p w14:paraId="5FDC3999" w14:textId="77777777" w:rsidR="001968C6" w:rsidRPr="008D5C42" w:rsidRDefault="001968C6" w:rsidP="008D5C42">
      <w:pPr>
        <w:spacing w:line="360" w:lineRule="auto"/>
        <w:jc w:val="both"/>
        <w:rPr>
          <w:rFonts w:ascii="Arial" w:hAnsi="Arial" w:cs="Arial"/>
        </w:rPr>
      </w:pPr>
      <w:r w:rsidRPr="008D5C42">
        <w:rPr>
          <w:rFonts w:ascii="Arial" w:hAnsi="Arial" w:cs="Arial"/>
        </w:rPr>
        <w:t>The goals of this review are to conceptualise and critically discuss ACEs and ACE measurement in UK contexts, understand psychological, emotional and behavioural implications of ACEs in UK youth, assess the effectiveness of current responses and interventions to ACE-related trauma in UK contexts, and offer evidence-based advice about policy, practice and future research on the topic of preventing and mitigating ACEs.</w:t>
      </w:r>
    </w:p>
    <w:p w14:paraId="1E9A82F1"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lastRenderedPageBreak/>
        <w:t>Research Questions</w:t>
      </w:r>
    </w:p>
    <w:p w14:paraId="289E21A8" w14:textId="77777777" w:rsidR="001968C6" w:rsidRPr="008D5C42" w:rsidRDefault="001968C6" w:rsidP="008D5C42">
      <w:pPr>
        <w:spacing w:line="360" w:lineRule="auto"/>
        <w:jc w:val="both"/>
        <w:rPr>
          <w:rFonts w:ascii="Arial" w:hAnsi="Arial" w:cs="Arial"/>
        </w:rPr>
      </w:pPr>
      <w:r w:rsidRPr="008D5C42">
        <w:rPr>
          <w:rFonts w:ascii="Arial" w:hAnsi="Arial" w:cs="Arial"/>
        </w:rPr>
        <w:t>What are their most common psychological effects of ACEs in the UK youth population?</w:t>
      </w:r>
    </w:p>
    <w:p w14:paraId="557DF628" w14:textId="77777777" w:rsidR="001968C6" w:rsidRPr="008D5C42" w:rsidRDefault="001968C6" w:rsidP="008D5C42">
      <w:pPr>
        <w:spacing w:line="360" w:lineRule="auto"/>
        <w:jc w:val="both"/>
        <w:rPr>
          <w:rFonts w:ascii="Arial" w:hAnsi="Arial" w:cs="Arial"/>
        </w:rPr>
      </w:pPr>
      <w:r w:rsidRPr="008D5C42">
        <w:rPr>
          <w:rFonts w:ascii="Arial" w:hAnsi="Arial" w:cs="Arial"/>
        </w:rPr>
        <w:t>What behavioural and social consequences (e.g. self-damage, substance abuse, school exclusion) of ACEs have been identified in the UK?</w:t>
      </w:r>
    </w:p>
    <w:p w14:paraId="5C594B59" w14:textId="77777777" w:rsidR="001968C6" w:rsidRPr="008D5C42" w:rsidRDefault="001968C6" w:rsidP="008D5C42">
      <w:pPr>
        <w:spacing w:line="360" w:lineRule="auto"/>
        <w:jc w:val="both"/>
        <w:rPr>
          <w:rFonts w:ascii="Arial" w:hAnsi="Arial" w:cs="Arial"/>
        </w:rPr>
      </w:pPr>
      <w:r w:rsidRPr="008D5C42">
        <w:rPr>
          <w:rFonts w:ascii="Arial" w:hAnsi="Arial" w:cs="Arial"/>
        </w:rPr>
        <w:t>What is the evidence of the effectiveness of the UK-based interventions to reduce ACE-related trauma outcomes?</w:t>
      </w:r>
    </w:p>
    <w:p w14:paraId="68AC87F8" w14:textId="77777777" w:rsidR="001968C6" w:rsidRPr="008D5C42" w:rsidRDefault="001968C6" w:rsidP="008D5C42">
      <w:pPr>
        <w:pStyle w:val="Heading2"/>
      </w:pPr>
      <w:bookmarkStart w:id="7" w:name="_Toc214984582"/>
      <w:r w:rsidRPr="008D5C42">
        <w:t>1.6 Significance and Justification</w:t>
      </w:r>
      <w:bookmarkEnd w:id="7"/>
      <w:r w:rsidRPr="008D5C42">
        <w:t xml:space="preserve"> </w:t>
      </w:r>
    </w:p>
    <w:p w14:paraId="3DE931DA"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It is essential to comprehend the </w:t>
      </w:r>
      <w:proofErr w:type="gramStart"/>
      <w:r w:rsidRPr="008D5C42">
        <w:rPr>
          <w:rFonts w:ascii="Arial" w:hAnsi="Arial" w:cs="Arial"/>
        </w:rPr>
        <w:t>particular dynamics</w:t>
      </w:r>
      <w:proofErr w:type="gramEnd"/>
      <w:r w:rsidRPr="008D5C42">
        <w:rPr>
          <w:rFonts w:ascii="Arial" w:hAnsi="Arial" w:cs="Arial"/>
        </w:rPr>
        <w:t xml:space="preserve"> of ACEs in the UK by </w:t>
      </w:r>
      <w:proofErr w:type="gramStart"/>
      <w:r w:rsidRPr="008D5C42">
        <w:rPr>
          <w:rFonts w:ascii="Arial" w:hAnsi="Arial" w:cs="Arial"/>
        </w:rPr>
        <w:t>a number of</w:t>
      </w:r>
      <w:proofErr w:type="gramEnd"/>
      <w:r w:rsidRPr="008D5C42">
        <w:rPr>
          <w:rFonts w:ascii="Arial" w:hAnsi="Arial" w:cs="Arial"/>
        </w:rPr>
        <w:t xml:space="preserve"> stakeholders. To health and social care practitioners, a UK-oriented synthesis will help define the ACEs with the strongest relationships with specific trauma outcomes, thus be able to identify and provide targeted assistance early. The policymakers might use the findings to guide resource allocation on evidence-based intervention programmes, including evidence-based schools or community youth services, that have proved to be effective in the UK context (Johnson et al., 2019). On the academic level, this review will note methodological shortcomings of the current research (e.g. small samples, cross-sectional designs) and identify areas where longitudinal research is required. In the case of charitable organisations and commissioners, there would be clear evidence on gaps in service provision especially in areas under-resourced to influence their strategic planning. Finally, the dissertation will also be added to the national debate on how to decrease the trajectory of intergenerational transmission of trauma by bringing together UK-based evidence on ACEs and outcomes among the youth. The following chapter is a review of the available literature on ACEs, mental health outcomes, and resilience where gaps in the conceptual and empirical knowledge are identified by the study.</w:t>
      </w:r>
    </w:p>
    <w:p w14:paraId="362A3C3B" w14:textId="77777777" w:rsidR="001968C6" w:rsidRPr="008D5C42" w:rsidRDefault="001968C6" w:rsidP="008D5C42">
      <w:pPr>
        <w:pStyle w:val="Heading2"/>
      </w:pPr>
      <w:bookmarkStart w:id="8" w:name="_Toc214984583"/>
      <w:r w:rsidRPr="008D5C42">
        <w:t>1.7 Structure of the Dissertation</w:t>
      </w:r>
      <w:bookmarkEnd w:id="8"/>
      <w:r w:rsidRPr="008D5C42">
        <w:t xml:space="preserve"> </w:t>
      </w:r>
    </w:p>
    <w:p w14:paraId="0D557A94"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The dissertation will have five chapters. Chapter 1 covers the concept of ACEs as a health issue of concern, the definition of key terms and the purpose of the research, objectives and questions. Chapter 2 provides the background and context including conceptual frameworks, UK prevalence statistics, and the impact of ACEs in youth, current interventions as well as related policy. Chapter 3 describes the approach followed in the systematic literature review- search strategy, inclusion/exclusion criteria, quality appraisal and data synthesis. Chapter 4 is the findings of the review whereby the findings are presented by </w:t>
      </w:r>
      <w:proofErr w:type="gramStart"/>
      <w:r w:rsidRPr="008D5C42">
        <w:rPr>
          <w:rFonts w:ascii="Arial" w:hAnsi="Arial" w:cs="Arial"/>
        </w:rPr>
        <w:t>themes</w:t>
      </w:r>
      <w:proofErr w:type="gramEnd"/>
      <w:r w:rsidRPr="008D5C42">
        <w:rPr>
          <w:rFonts w:ascii="Arial" w:hAnsi="Arial" w:cs="Arial"/>
        </w:rPr>
        <w:t xml:space="preserve"> and it provides a critical discussion of the same that incorporates UK policy and practice aspects. Lastly, Chapter 5 gives evidence-based suggestions, explains limitations as well as proposing future research directions.</w:t>
      </w:r>
    </w:p>
    <w:p w14:paraId="234C3CC2" w14:textId="77777777" w:rsidR="001968C6" w:rsidRPr="008D5C42" w:rsidRDefault="001968C6" w:rsidP="008D5C42">
      <w:pPr>
        <w:spacing w:line="360" w:lineRule="auto"/>
        <w:jc w:val="both"/>
        <w:rPr>
          <w:rFonts w:ascii="Arial" w:hAnsi="Arial" w:cs="Arial"/>
        </w:rPr>
      </w:pPr>
      <w:r w:rsidRPr="008D5C42">
        <w:rPr>
          <w:rFonts w:ascii="Arial" w:hAnsi="Arial" w:cs="Arial"/>
        </w:rPr>
        <w:lastRenderedPageBreak/>
        <w:t xml:space="preserve"> </w:t>
      </w:r>
    </w:p>
    <w:p w14:paraId="3EC3B2C5" w14:textId="77777777" w:rsidR="001968C6" w:rsidRPr="008D5C42" w:rsidRDefault="001968C6" w:rsidP="008D5C42">
      <w:pPr>
        <w:spacing w:line="360" w:lineRule="auto"/>
        <w:jc w:val="both"/>
        <w:rPr>
          <w:rFonts w:ascii="Arial" w:hAnsi="Arial" w:cs="Arial"/>
        </w:rPr>
      </w:pPr>
      <w:r w:rsidRPr="008D5C42">
        <w:rPr>
          <w:rFonts w:ascii="Arial" w:hAnsi="Arial" w:cs="Arial"/>
        </w:rPr>
        <w:br w:type="page"/>
      </w:r>
    </w:p>
    <w:p w14:paraId="74AE16AA" w14:textId="77777777" w:rsidR="001968C6" w:rsidRPr="008D5C42" w:rsidRDefault="001968C6" w:rsidP="008D5C42">
      <w:pPr>
        <w:pStyle w:val="Heading1"/>
      </w:pPr>
      <w:bookmarkStart w:id="9" w:name="_Toc214984584"/>
      <w:r w:rsidRPr="008D5C42">
        <w:lastRenderedPageBreak/>
        <w:t>CHAPTER 2: BACKGROUND AND CONTEXT</w:t>
      </w:r>
      <w:bookmarkEnd w:id="9"/>
    </w:p>
    <w:p w14:paraId="55A87590" w14:textId="77777777" w:rsidR="001968C6" w:rsidRPr="008D5C42" w:rsidRDefault="001968C6" w:rsidP="008D5C42">
      <w:pPr>
        <w:pStyle w:val="Heading2"/>
      </w:pPr>
      <w:bookmarkStart w:id="10" w:name="_Toc214984585"/>
      <w:r w:rsidRPr="008D5C42">
        <w:t>2.1 Conceptual Foundations of ACEs</w:t>
      </w:r>
      <w:bookmarkEnd w:id="10"/>
      <w:r w:rsidRPr="008D5C42">
        <w:t xml:space="preserve"> </w:t>
      </w:r>
    </w:p>
    <w:p w14:paraId="3AB2EE41"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Adverse Childhood Experiences (ACEs) idea was borrowed through the landmark study by </w:t>
      </w:r>
      <w:proofErr w:type="spellStart"/>
      <w:r w:rsidRPr="008D5C42">
        <w:rPr>
          <w:rFonts w:ascii="Arial" w:hAnsi="Arial" w:cs="Arial"/>
        </w:rPr>
        <w:t>Felitti</w:t>
      </w:r>
      <w:proofErr w:type="spellEnd"/>
      <w:r w:rsidRPr="008D5C42">
        <w:rPr>
          <w:rFonts w:ascii="Arial" w:hAnsi="Arial" w:cs="Arial"/>
        </w:rPr>
        <w:t xml:space="preserve"> et al. (2019), who established relationships between childhood abuse and domestic instability and adult health problems and death. Although it was first conducted in America, the theoretical foundation has been widely applied in the entire United Kingdom. In the UK literature, ACEs are broadly discussed as the experiences that put the child at risk of safety or stability, physical, emotional, and sexual abuse; physical or emotional neglect; and family misfortunes, including parental mental illness, intake of substances, domestic violence or imprisonment (Hughes et al., 2017; Bellis et al., 2019). Recently, UK scholars have broadened the scope of the concept to incorporate contextual adversities, including community violence, poverty and discrimination (Lam et al., 2024; Maynard et al. 2019), which is a more ecologically sensitive definition of childhood adversity.</w:t>
      </w:r>
    </w:p>
    <w:p w14:paraId="7D6AFE63"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ACE research is based on </w:t>
      </w:r>
      <w:proofErr w:type="gramStart"/>
      <w:r w:rsidRPr="008D5C42">
        <w:rPr>
          <w:rFonts w:ascii="Arial" w:hAnsi="Arial" w:cs="Arial"/>
        </w:rPr>
        <w:t>a number of</w:t>
      </w:r>
      <w:proofErr w:type="gramEnd"/>
      <w:r w:rsidRPr="008D5C42">
        <w:rPr>
          <w:rFonts w:ascii="Arial" w:hAnsi="Arial" w:cs="Arial"/>
        </w:rPr>
        <w:t xml:space="preserve"> theoretical frameworks. The theory of ecological systems (Bronfenbrenner, 1979; Masten 2014) that is often mentioned in any UK research provides that the development of a child is conditioned by the concentric circles of systems: the farthest such as society and the nearest such as family or school. This paradigm identifies the interplay between the disadvantage of the neighbourhood and domestic instability, that is likely to lead to cumulative risk of trauma (Baldwin et al., 2023). The British knowledge making use of the trauma theory (Herman, 2015) allows concluding that traumatic experiences may cause depletion of the sense of safety, autonomy, and trust in a young person and usually lead to a prolonged dysregulation of the psyche (van der Kolk 2014). </w:t>
      </w:r>
    </w:p>
    <w:p w14:paraId="0CAE26CF" w14:textId="77777777" w:rsidR="001968C6" w:rsidRPr="008D5C42" w:rsidRDefault="001968C6" w:rsidP="008D5C42">
      <w:pPr>
        <w:spacing w:line="360" w:lineRule="auto"/>
        <w:jc w:val="both"/>
        <w:rPr>
          <w:rFonts w:ascii="Arial" w:hAnsi="Arial" w:cs="Arial"/>
        </w:rPr>
      </w:pPr>
      <w:r w:rsidRPr="008D5C42">
        <w:rPr>
          <w:rFonts w:ascii="Arial" w:hAnsi="Arial" w:cs="Arial"/>
        </w:rPr>
        <w:t>There are also developmental psychopathology models that explain the influence of early adversities on the neurobiological systems (such as hypothalamic-pituitary-adrenal (HPA) axis functioning) leading to altered neurobiological stress reactivity during adolescence and young adulthood (Gunnar and Quevedo 2007; Gunnar and Donzella 2002). Collectively, these theories equip UK researchers with the knowledge of how ACEs operate at multiple levels (individual, familial, societal), providing a high level of chances to explain the disparity in the trauma outcomes among young people (Lam et al., 2024). All these theoretical views add into the increasing interest of the UK in education, health, and social care in trauma-informed and ecological approaches, making up the conceptual background of the analyses provided further in this dissertation.</w:t>
      </w:r>
    </w:p>
    <w:p w14:paraId="10139D02" w14:textId="77777777" w:rsidR="001968C6" w:rsidRPr="008D5C42" w:rsidRDefault="001968C6" w:rsidP="008D5C42">
      <w:pPr>
        <w:pStyle w:val="Heading2"/>
      </w:pPr>
      <w:bookmarkStart w:id="11" w:name="_Toc214984586"/>
      <w:r w:rsidRPr="008D5C42">
        <w:t>2.2 Prevalence and Epidemiology of ACEs in the UK</w:t>
      </w:r>
      <w:bookmarkEnd w:id="11"/>
    </w:p>
    <w:p w14:paraId="5B7B05FB"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At the national level in the UK, prevalence has shown that ACEs are typical among the youth. According to NHS Digital (2020), 45 percent of children aged 11-17 years reported </w:t>
      </w:r>
      <w:r w:rsidRPr="008D5C42">
        <w:rPr>
          <w:rFonts w:ascii="Arial" w:hAnsi="Arial" w:cs="Arial"/>
        </w:rPr>
        <w:lastRenderedPageBreak/>
        <w:t xml:space="preserve">experiencing one or more ACEs by the age of 17 years and approximately 16 percent reported experiencing three or more ACEs. This is substantiated by NSPCC (2021), which states that a quarter of the youth in England and Wales undergo severe cases of trauma before the age of 18 years. Bellis et al. (2019) generalized these numbers to the European </w:t>
      </w:r>
      <w:proofErr w:type="gramStart"/>
      <w:r w:rsidRPr="008D5C42">
        <w:rPr>
          <w:rFonts w:ascii="Arial" w:hAnsi="Arial" w:cs="Arial"/>
        </w:rPr>
        <w:t>Region</w:t>
      </w:r>
      <w:proofErr w:type="gramEnd"/>
      <w:r w:rsidRPr="008D5C42">
        <w:rPr>
          <w:rFonts w:ascii="Arial" w:hAnsi="Arial" w:cs="Arial"/>
        </w:rPr>
        <w:t xml:space="preserve"> and it was shown that the UK rates are among the highest in Northern Europe and 47 per cent of those who took part in the survey in England and Wales have at least 1 ACE. The </w:t>
      </w:r>
      <w:proofErr w:type="gramStart"/>
      <w:r w:rsidRPr="008D5C42">
        <w:rPr>
          <w:rFonts w:ascii="Arial" w:hAnsi="Arial" w:cs="Arial"/>
        </w:rPr>
        <w:t>large scale</w:t>
      </w:r>
      <w:proofErr w:type="gramEnd"/>
      <w:r w:rsidRPr="008D5C42">
        <w:rPr>
          <w:rFonts w:ascii="Arial" w:hAnsi="Arial" w:cs="Arial"/>
        </w:rPr>
        <w:t xml:space="preserve"> surveys use standardised questionnaires to measure the experiences of maltreatment and household dysfunction and allow comparison across regions and time and reveal the high level of childhood adversity among the UK population.</w:t>
      </w:r>
    </w:p>
    <w:p w14:paraId="19A14720" w14:textId="77777777" w:rsidR="001968C6" w:rsidRPr="008D5C42" w:rsidRDefault="001968C6" w:rsidP="008D5C42">
      <w:pPr>
        <w:spacing w:line="360" w:lineRule="auto"/>
        <w:jc w:val="both"/>
        <w:rPr>
          <w:rFonts w:ascii="Arial" w:hAnsi="Arial" w:cs="Arial"/>
        </w:rPr>
      </w:pPr>
      <w:r w:rsidRPr="008D5C42">
        <w:rPr>
          <w:rFonts w:ascii="Arial" w:hAnsi="Arial" w:cs="Arial"/>
        </w:rPr>
        <w:t>The ACEs prevalence in the UK differ considerably according to socioeconomic status, geographical location and ethnic background. As an example, Bellis et al. (2019) discovered that youth in the lowest half of local authorities were nearly twice as prone to report various ACEs. There are also regional differences: teenagers in Northern England and the West Midlands have a greater proportion of parents who substance misuse and abuse their partners than those in the southern region of England (NHS Digital, 2020). Young people of minority ethnicity are more susceptible; Lam et al. (2024) found that Black and Asian children have higher chances to experience neighbourhood violence and insecure housing - situations, which are getting recognized as ACEs in the UK research. In addition, teenagers in care or those who have undergone the experience of local authority care also exhibit the greatest scores of ACEs, most of which are over three or four types of adversity (Hughes et al., 2017).</w:t>
      </w:r>
    </w:p>
    <w:p w14:paraId="5B326167" w14:textId="77777777" w:rsidR="001968C6" w:rsidRPr="008D5C42" w:rsidRDefault="001968C6" w:rsidP="008D5C42">
      <w:pPr>
        <w:spacing w:line="360" w:lineRule="auto"/>
        <w:jc w:val="both"/>
        <w:rPr>
          <w:rFonts w:ascii="Arial" w:hAnsi="Arial" w:cs="Arial"/>
        </w:rPr>
      </w:pPr>
      <w:r w:rsidRPr="008D5C42">
        <w:rPr>
          <w:rFonts w:ascii="Arial" w:hAnsi="Arial" w:cs="Arial"/>
        </w:rPr>
        <w:t>There are also gender differences; the United Kingdom research has found that females report sexual abuse and emotional neglect more often and males report physical neglect and parent imprisonment (Baldwin et al., 2023). These differences between demographic groups indicate the need to consider social determinants and intersectionality in the study of the prevalence of ACEs in UK settings. These population differences highlight the fact that in addition to prevalence, it is necessary to discuss the multiple psychological and behavioural impacts of ACEs discussed in the next section.</w:t>
      </w:r>
    </w:p>
    <w:p w14:paraId="36CF90E6" w14:textId="77777777" w:rsidR="001968C6" w:rsidRPr="008D5C42" w:rsidRDefault="001968C6" w:rsidP="008D5C42">
      <w:pPr>
        <w:pStyle w:val="Heading2"/>
      </w:pPr>
      <w:bookmarkStart w:id="12" w:name="_Toc214984587"/>
      <w:r w:rsidRPr="008D5C42">
        <w:t>2.3 Psychological, Emotional and Behavioural Consequences</w:t>
      </w:r>
      <w:bookmarkEnd w:id="12"/>
      <w:r w:rsidRPr="008D5C42">
        <w:t xml:space="preserve"> </w:t>
      </w:r>
    </w:p>
    <w:p w14:paraId="53F69149"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The studies in the UK have shown that ACEs are always associated with poor mental health among the adolescents. In a meta-analysis, Hughes et al. (2017) have shown that adolescents in the UK that had three or more ACEs were almost five times more likely to become depressed by the age of 18 than adolescents without ACEs (Burke et al. 2011). Similarly, a longitudinal cohort study by Ford, Burford, and Halligan (2021) found out that the symptoms of post-traumatic stress and anxiety were significantly more prevalent in adolescents with multiple </w:t>
      </w:r>
      <w:r w:rsidRPr="008D5C42">
        <w:rPr>
          <w:rFonts w:ascii="Arial" w:hAnsi="Arial" w:cs="Arial"/>
        </w:rPr>
        <w:lastRenderedPageBreak/>
        <w:t xml:space="preserve">ACEs. It was measured using validated tests, one of them being the Revised Child Anxiety and Depression Scale. </w:t>
      </w:r>
    </w:p>
    <w:p w14:paraId="35306D2B"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In a UK and Germany comparison, </w:t>
      </w:r>
      <w:proofErr w:type="spellStart"/>
      <w:r w:rsidRPr="008D5C42">
        <w:rPr>
          <w:rFonts w:ascii="Arial" w:hAnsi="Arial" w:cs="Arial"/>
        </w:rPr>
        <w:t>Lereya</w:t>
      </w:r>
      <w:proofErr w:type="spellEnd"/>
      <w:r w:rsidRPr="008D5C42">
        <w:rPr>
          <w:rFonts w:ascii="Arial" w:hAnsi="Arial" w:cs="Arial"/>
        </w:rPr>
        <w:t xml:space="preserve"> et al. (2015) discovered that children who had undergone peer bullying and maltreatment in the UK had a higher probability of developing self-harm and suicidal ideation in adolescence. In more recent studies, quasi experimental designs were applied to approximate causal pathways and Baldwin et al. (2023) identified that exposure to ACE was linked to 2.7 to 3.2 roughly more risk of developing clinical level depression or anxiety disorders in early adulthood. These overlapping results highlight the fact that the role of ACEs is a powerful risk factor of internalising psychopathology that is frequently mediated by impaired processes of attachment and emotion-regulation in the brain of the young individual.</w:t>
      </w:r>
    </w:p>
    <w:p w14:paraId="1DD8E7AF" w14:textId="77777777" w:rsidR="001968C6" w:rsidRPr="008D5C42" w:rsidRDefault="001968C6" w:rsidP="008D5C42">
      <w:pPr>
        <w:spacing w:line="360" w:lineRule="auto"/>
        <w:jc w:val="both"/>
        <w:rPr>
          <w:rFonts w:ascii="Arial" w:hAnsi="Arial" w:cs="Arial"/>
        </w:rPr>
      </w:pPr>
      <w:r w:rsidRPr="008D5C42">
        <w:rPr>
          <w:rFonts w:ascii="Arial" w:hAnsi="Arial" w:cs="Arial"/>
        </w:rPr>
        <w:t>New studies in the UK emphasize that ACEs interfere with the neurodevelopmental pathways. According to Hughes et al. (2017), evidence synthesised by the authors suggests that exposure to adversity changes the regulation of the HPA-axis that results in the development of cortisol dysregulation that becomes evident during adolescence. These neuroendocrine alterations are the precursors of emotional reactivity and impaired executive functioning, which are important initiators of mood and anxiety disorders (Baldwin et al., 2023). Lam et al. (2024) also found out that the teenagers who had more ACEs performed poorly on cognitive measurements of working memory and attention span, which implies that a prenatal toxic stress may have long-term effects on the brain regions that are associated with self-regulation. These results, combined, suggest that ACEs have a cumulative influence on mental health by psychological and biological pathways, which supports the dose response model that was previously defined.</w:t>
      </w:r>
    </w:p>
    <w:p w14:paraId="253CEEFB" w14:textId="77777777" w:rsidR="001968C6" w:rsidRPr="008D5C42" w:rsidRDefault="001968C6" w:rsidP="008D5C42">
      <w:pPr>
        <w:spacing w:line="360" w:lineRule="auto"/>
        <w:jc w:val="both"/>
        <w:rPr>
          <w:rFonts w:ascii="Arial" w:hAnsi="Arial" w:cs="Arial"/>
        </w:rPr>
      </w:pPr>
      <w:r w:rsidRPr="008D5C42">
        <w:rPr>
          <w:rFonts w:ascii="Arial" w:hAnsi="Arial" w:cs="Arial"/>
        </w:rPr>
        <w:t>Risk-taking and social problems are behaviourally interrelated with ACEs of UK cohorts. Bellis et al. (2019) showed that four or more ACEs in adolescents had a greater probability of substance misuse (alcohol, cannabis), and the probability of early sexual behaviour, 2-3 times that, respectively, of the no-ACEs group. Mars et al. (2019) discovered that the more ACEs teenagers have in the UK, the more likely they are to acquire instances of truancy and school exclusion that were usually facilitated by behavioural issues. Furthermore, Lam et al. (2024) have discovered that peer relationship, measured in terms of social isolation and victimisation by bullying, also had broad deficits in the teenagers who were exposed to ACE, thus leading to poor academic achievement and social withdrawal.</w:t>
      </w:r>
    </w:p>
    <w:p w14:paraId="2DA8D4D2" w14:textId="77777777" w:rsidR="001968C6" w:rsidRPr="008D5C42" w:rsidRDefault="001968C6" w:rsidP="008D5C42">
      <w:pPr>
        <w:pStyle w:val="Heading2"/>
      </w:pPr>
      <w:bookmarkStart w:id="13" w:name="_Toc214984588"/>
      <w:r w:rsidRPr="008D5C42">
        <w:t>2.4 Current Interventions and Support Programmes.</w:t>
      </w:r>
      <w:bookmarkEnd w:id="13"/>
      <w:r w:rsidRPr="008D5C42">
        <w:t xml:space="preserve"> </w:t>
      </w:r>
    </w:p>
    <w:p w14:paraId="40F95AA0"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It is known that the early intervention depends on the identification of ACEs. In the UK, the ACE-screening tools have been piloted at schools </w:t>
      </w:r>
      <w:proofErr w:type="gramStart"/>
      <w:r w:rsidRPr="008D5C42">
        <w:rPr>
          <w:rFonts w:ascii="Arial" w:hAnsi="Arial" w:cs="Arial"/>
        </w:rPr>
        <w:t>and also</w:t>
      </w:r>
      <w:proofErr w:type="gramEnd"/>
      <w:r w:rsidRPr="008D5C42">
        <w:rPr>
          <w:rFonts w:ascii="Arial" w:hAnsi="Arial" w:cs="Arial"/>
        </w:rPr>
        <w:t xml:space="preserve"> on community health services. As </w:t>
      </w:r>
      <w:r w:rsidRPr="008D5C42">
        <w:rPr>
          <w:rFonts w:ascii="Arial" w:hAnsi="Arial" w:cs="Arial"/>
        </w:rPr>
        <w:lastRenderedPageBreak/>
        <w:t xml:space="preserve">an indicator, Maynard et al. (2019) performed a review of trauma-informed practises in the UK schools and found out that the ACEs screening through teacher-training packages and computerised questionnaires enabled early referral to the child and adolescent mental health services (CAMHS). In addition to that, the Time to Change program of NHS England promotes the routine inquiry regarding child trauma in primary care through the quick screening questions that is </w:t>
      </w:r>
      <w:proofErr w:type="spellStart"/>
      <w:r w:rsidRPr="008D5C42">
        <w:rPr>
          <w:rFonts w:ascii="Arial" w:hAnsi="Arial" w:cs="Arial"/>
        </w:rPr>
        <w:t>modeled</w:t>
      </w:r>
      <w:proofErr w:type="spellEnd"/>
      <w:r w:rsidRPr="008D5C42">
        <w:rPr>
          <w:rFonts w:ascii="Arial" w:hAnsi="Arial" w:cs="Arial"/>
        </w:rPr>
        <w:t xml:space="preserve"> on the WHO ACE-IQ tool (NHS Digital, 2020). </w:t>
      </w:r>
    </w:p>
    <w:p w14:paraId="391679E7"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The adoption is still inconsistent, though, and </w:t>
      </w:r>
      <w:proofErr w:type="gramStart"/>
      <w:r w:rsidRPr="008D5C42">
        <w:rPr>
          <w:rFonts w:ascii="Arial" w:hAnsi="Arial" w:cs="Arial"/>
        </w:rPr>
        <w:t>the majority of</w:t>
      </w:r>
      <w:proofErr w:type="gramEnd"/>
      <w:r w:rsidRPr="008D5C42">
        <w:rPr>
          <w:rFonts w:ascii="Arial" w:hAnsi="Arial" w:cs="Arial"/>
        </w:rPr>
        <w:t xml:space="preserve"> schools mention concerns about the insufficient training of the staff and potential re-traumatisation of the staff without adequate follow-up provisions (Maynard et al., 2019). There </w:t>
      </w:r>
      <w:proofErr w:type="gramStart"/>
      <w:r w:rsidRPr="008D5C42">
        <w:rPr>
          <w:rFonts w:ascii="Arial" w:hAnsi="Arial" w:cs="Arial"/>
        </w:rPr>
        <w:t>are</w:t>
      </w:r>
      <w:proofErr w:type="gramEnd"/>
      <w:r w:rsidRPr="008D5C42">
        <w:rPr>
          <w:rFonts w:ascii="Arial" w:hAnsi="Arial" w:cs="Arial"/>
        </w:rPr>
        <w:t xml:space="preserve"> several UK initiatives aimed at the prevention of ACE-related trauma through psychological interventions and community-based support. A portion of NHS Trusts have adapted trauma-focused cognitive behaviour therapy (TF-CBT) to be used with adolescents exposed to multiple ACEs and significant reductions in the symptoms of PTSD and depressive ratings were recorded (NICE 2017). There is an increase in emotion regulation and reduction in feelings of loneliness with group interventions, such as peer support circles facilitated by workers who have received training on them (Mars et al., 2019).</w:t>
      </w:r>
    </w:p>
    <w:p w14:paraId="2E4F5B3A" w14:textId="1ACEF567" w:rsidR="001968C6" w:rsidRPr="008D5C42" w:rsidRDefault="001968C6" w:rsidP="008D5C42">
      <w:pPr>
        <w:spacing w:line="360" w:lineRule="auto"/>
        <w:jc w:val="both"/>
        <w:rPr>
          <w:rFonts w:ascii="Arial" w:hAnsi="Arial" w:cs="Arial"/>
        </w:rPr>
      </w:pPr>
      <w:r w:rsidRPr="008D5C42">
        <w:rPr>
          <w:rFonts w:ascii="Arial" w:hAnsi="Arial" w:cs="Arial"/>
        </w:rPr>
        <w:t xml:space="preserve">Additionally, the charity, Action for Children, offers family-based programs offering training in parenting skills and resilience building modules which have been shown to have the potential to reduce the frequency of ACEs within a sibling group (Baldwin et al., 2023). The tested community mental health hubs are based in Manchester and Birmingham; the hubs provide all-around services; in other words, counselling, social work, and educational support and are specifically designed to address youth with ACEs (Lam et al., 2024). In the UK, policy in relation to preventive interventions is becoming </w:t>
      </w:r>
      <w:r w:rsidR="00A07A3E" w:rsidRPr="008D5C42">
        <w:rPr>
          <w:rFonts w:ascii="Arial" w:hAnsi="Arial" w:cs="Arial"/>
        </w:rPr>
        <w:t>trauma informed</w:t>
      </w:r>
      <w:r w:rsidRPr="008D5C42">
        <w:rPr>
          <w:rFonts w:ascii="Arial" w:hAnsi="Arial" w:cs="Arial"/>
        </w:rPr>
        <w:t>.</w:t>
      </w:r>
    </w:p>
    <w:p w14:paraId="356B7E69" w14:textId="434E9FD0" w:rsidR="001968C6" w:rsidRPr="008D5C42" w:rsidRDefault="001968C6" w:rsidP="008D5C42">
      <w:pPr>
        <w:spacing w:line="360" w:lineRule="auto"/>
        <w:jc w:val="both"/>
        <w:rPr>
          <w:rFonts w:ascii="Arial" w:hAnsi="Arial" w:cs="Arial"/>
        </w:rPr>
      </w:pPr>
      <w:r w:rsidRPr="008D5C42">
        <w:rPr>
          <w:rFonts w:ascii="Arial" w:hAnsi="Arial" w:cs="Arial"/>
        </w:rPr>
        <w:t xml:space="preserve">As an illustration, the Department for Education's Whole School Approach to Mental Health encourages the introduction of social-emotional learning to curricula to react to the first signs of the trauma (DfE, 2023). In London, the community-based centre-based youth services are also invested in under the project Thrive LDN to provide drop-in services to affected families due to ACE, combining mental health counselling with social care referrals (Kelly et al., 2020). In Wales, the program "Together for Children and Young People" requires the multi-agency to identify and support children who are under high risk of ACEs (NHS Digital, 2020). With these improvements, policy impact evaluation is low, and numerous programs lack outcome data (Maynard et al., 2019). </w:t>
      </w:r>
      <w:proofErr w:type="gramStart"/>
      <w:r w:rsidRPr="008D5C42">
        <w:rPr>
          <w:rFonts w:ascii="Arial" w:hAnsi="Arial" w:cs="Arial"/>
        </w:rPr>
        <w:t>But,</w:t>
      </w:r>
      <w:proofErr w:type="gramEnd"/>
      <w:r w:rsidRPr="008D5C42">
        <w:rPr>
          <w:rFonts w:ascii="Arial" w:hAnsi="Arial" w:cs="Arial"/>
        </w:rPr>
        <w:t xml:space="preserve"> even though these practices have promising results, </w:t>
      </w:r>
      <w:proofErr w:type="gramStart"/>
      <w:r w:rsidRPr="008D5C42">
        <w:rPr>
          <w:rFonts w:ascii="Arial" w:hAnsi="Arial" w:cs="Arial"/>
        </w:rPr>
        <w:t>the vast majority of</w:t>
      </w:r>
      <w:proofErr w:type="gramEnd"/>
      <w:r w:rsidRPr="008D5C42">
        <w:rPr>
          <w:rFonts w:ascii="Arial" w:hAnsi="Arial" w:cs="Arial"/>
        </w:rPr>
        <w:t xml:space="preserve"> evaluations are small-scale or descriptive and not </w:t>
      </w:r>
      <w:proofErr w:type="gramStart"/>
      <w:r w:rsidRPr="008D5C42">
        <w:rPr>
          <w:rFonts w:ascii="Arial" w:hAnsi="Arial" w:cs="Arial"/>
        </w:rPr>
        <w:t>many</w:t>
      </w:r>
      <w:proofErr w:type="gramEnd"/>
      <w:r w:rsidRPr="008D5C42">
        <w:rPr>
          <w:rFonts w:ascii="Arial" w:hAnsi="Arial" w:cs="Arial"/>
        </w:rPr>
        <w:t xml:space="preserve"> </w:t>
      </w:r>
      <w:r w:rsidR="00A07A3E" w:rsidRPr="008D5C42">
        <w:rPr>
          <w:rFonts w:ascii="Arial" w:hAnsi="Arial" w:cs="Arial"/>
        </w:rPr>
        <w:t>research</w:t>
      </w:r>
      <w:r w:rsidRPr="008D5C42">
        <w:rPr>
          <w:rFonts w:ascii="Arial" w:hAnsi="Arial" w:cs="Arial"/>
        </w:rPr>
        <w:t xml:space="preserve"> in the UK evaluate outcomes in the long term or compare the effectiveness of interventions across regions.</w:t>
      </w:r>
    </w:p>
    <w:p w14:paraId="77DD60C7" w14:textId="77777777" w:rsidR="001968C6" w:rsidRPr="008D5C42" w:rsidRDefault="001968C6" w:rsidP="008D5C42">
      <w:pPr>
        <w:pStyle w:val="Heading2"/>
      </w:pPr>
      <w:bookmarkStart w:id="14" w:name="_Toc214984589"/>
      <w:r w:rsidRPr="008D5C42">
        <w:lastRenderedPageBreak/>
        <w:t>2.5 Policy and Legislative Context</w:t>
      </w:r>
      <w:bookmarkEnd w:id="14"/>
      <w:r w:rsidRPr="008D5C42">
        <w:t xml:space="preserve"> </w:t>
      </w:r>
    </w:p>
    <w:p w14:paraId="02D69BF2" w14:textId="77777777" w:rsidR="001968C6" w:rsidRPr="008D5C42" w:rsidRDefault="001968C6" w:rsidP="008D5C42">
      <w:pPr>
        <w:spacing w:line="360" w:lineRule="auto"/>
        <w:jc w:val="both"/>
        <w:rPr>
          <w:rFonts w:ascii="Arial" w:hAnsi="Arial" w:cs="Arial"/>
        </w:rPr>
      </w:pPr>
      <w:r w:rsidRPr="008D5C42">
        <w:rPr>
          <w:rFonts w:ascii="Arial" w:hAnsi="Arial" w:cs="Arial"/>
        </w:rPr>
        <w:t>The UK policy settings are beginning to recognize the central role of ACEs in social and health outcomes in the long-term. Children Act 2004 and recent "Working Together to Safeguard Children 2023" guidance (DfE, 2023) require the local authorities to share information with health services and schools on the issue of child welfare, implicitly acknowledging the value of ACEs as predictive factors of neglect and abuse. The Long-Term Plan (2019) of NHS England puts an emphasis on the early intervention in the mental health of children and directly says that it is necessary to treat children with trauma-related conditions (NHS Digital, 2020). British Psychological Society (BPS) and Royal College of Psychiatrists have been stated to have advocated the routine ACE-screening of CAMHS pathways, making trauma-informed care a matter of standard (BPS, 2021). Also, the ACE awareness should be embedded into the parenting support and perinatal services, where the strategy of Children and Young People Mental Health by Public Health England (2015) aims to address it (Public Health England, 2015).</w:t>
      </w:r>
    </w:p>
    <w:p w14:paraId="7E294AE2"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The UK has statutory protection guidance, which mandates the use of multi-agency in cases where a child has been regarded as in need. According to Working Together to Safeguard Children (DfE, 2023), such professionals </w:t>
      </w:r>
      <w:proofErr w:type="gramStart"/>
      <w:r w:rsidRPr="008D5C42">
        <w:rPr>
          <w:rFonts w:ascii="Arial" w:hAnsi="Arial" w:cs="Arial"/>
        </w:rPr>
        <w:t>have to</w:t>
      </w:r>
      <w:proofErr w:type="gramEnd"/>
      <w:r w:rsidRPr="008D5C42">
        <w:rPr>
          <w:rFonts w:ascii="Arial" w:hAnsi="Arial" w:cs="Arial"/>
        </w:rPr>
        <w:t xml:space="preserve"> recognize and report the possible presence of domestic violence, parental substance abuse or mental health issues. Audits of serious case reviews are supervised by Local Safeguarding Children Partnerships (LSCPs), and most of them note the failure to identify cumulative ACEs (Ofsted, 2022). CQI regulates CAMHS providers, and the clinical personnel must have competencies related to trauma-informed care (CQC, 2021). Although this is anchored on elaborate frameworks, frontline practitioners complain of inconsistency and lack of resources to train and implement ACE-aware safeguarding practices in a patchy way (Kelly et al., 2020). Although </w:t>
      </w:r>
      <w:proofErr w:type="gramStart"/>
      <w:r w:rsidRPr="008D5C42">
        <w:rPr>
          <w:rFonts w:ascii="Arial" w:hAnsi="Arial" w:cs="Arial"/>
        </w:rPr>
        <w:t>both of these</w:t>
      </w:r>
      <w:proofErr w:type="gramEnd"/>
      <w:r w:rsidRPr="008D5C42">
        <w:rPr>
          <w:rFonts w:ascii="Arial" w:hAnsi="Arial" w:cs="Arial"/>
        </w:rPr>
        <w:t xml:space="preserve"> frameworks reflect significant commitment of policy, the implementation is still inconsistent with gaps in the national response to ACEs persisting. The impact of these frameworks is still small, and their measurable impact has not been established yet.</w:t>
      </w:r>
    </w:p>
    <w:p w14:paraId="112AB43F" w14:textId="77777777" w:rsidR="001968C6" w:rsidRPr="008D5C42" w:rsidRDefault="001968C6" w:rsidP="008D5C42">
      <w:pPr>
        <w:pStyle w:val="Heading2"/>
      </w:pPr>
      <w:bookmarkStart w:id="15" w:name="_Toc214984590"/>
      <w:r w:rsidRPr="008D5C42">
        <w:t>2.6 Identified Gaps and Justification for Review</w:t>
      </w:r>
      <w:bookmarkEnd w:id="15"/>
      <w:r w:rsidRPr="008D5C42">
        <w:t xml:space="preserve"> </w:t>
      </w:r>
    </w:p>
    <w:p w14:paraId="2E518DE9"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Although studies in the UK have measured relationships between ACE exposure and particular mental outcomes (Hughes et al., 2017; Lam et al., 2024), most of them have cross-sectional designs, which do not allow causal conclusions. There are few very large-scale longitudinal cohorts in the UK that systematically define ACE timing, typology and dosage and developmental trajectories (Ford et al., 2021). Furthermore, national surveys tend to combine various ACE types, which are different with each other, into composite measures to conceal the dissimilar effects of, say, emotional neglect versus physical abuse (Bellis et al., 2019). As </w:t>
      </w:r>
      <w:r w:rsidRPr="008D5C42">
        <w:rPr>
          <w:rFonts w:ascii="Arial" w:hAnsi="Arial" w:cs="Arial"/>
        </w:rPr>
        <w:lastRenderedPageBreak/>
        <w:t>a result, policymakers and practitioners do not have granular data to make prioritisation of interventions to specific adversity profiles.</w:t>
      </w:r>
    </w:p>
    <w:p w14:paraId="09BDDFE4" w14:textId="77777777" w:rsidR="001968C6" w:rsidRPr="008D5C42" w:rsidRDefault="001968C6" w:rsidP="008D5C42">
      <w:pPr>
        <w:spacing w:line="360" w:lineRule="auto"/>
        <w:jc w:val="both"/>
        <w:rPr>
          <w:rFonts w:ascii="Arial" w:hAnsi="Arial" w:cs="Arial"/>
        </w:rPr>
      </w:pPr>
      <w:r w:rsidRPr="008D5C42">
        <w:rPr>
          <w:rFonts w:ascii="Arial" w:hAnsi="Arial" w:cs="Arial"/>
        </w:rPr>
        <w:t>There is a paucity of qualitative research on lived experiences of trauma in the UK youth. The available literature is inclined to concentrate on retrospective reflection of adult survivors (Mars et al., 2019), but not to notice the perspectives of adolescents on a current basis. Juxtaposition of epidemiological data and narrative analysis Mixed-method methodologies are scarcely used to understand contextual complexities.</w:t>
      </w:r>
    </w:p>
    <w:p w14:paraId="5442E2CD" w14:textId="77777777" w:rsidR="001968C6" w:rsidRPr="008D5C42" w:rsidRDefault="001968C6" w:rsidP="008D5C42">
      <w:pPr>
        <w:spacing w:line="360" w:lineRule="auto"/>
        <w:jc w:val="both"/>
        <w:rPr>
          <w:rFonts w:ascii="Arial" w:hAnsi="Arial" w:cs="Arial"/>
        </w:rPr>
      </w:pPr>
      <w:r w:rsidRPr="008D5C42">
        <w:rPr>
          <w:rFonts w:ascii="Arial" w:hAnsi="Arial" w:cs="Arial"/>
        </w:rPr>
        <w:t>With these restrictions, they suggest a UK-based systematic review that will synthesise recent peer-reviewed studies (2015 to 2025), disaggregate typologies of ACE, and combine quantitative and thematic results. The review will be used to shape specific policy, practice changes and future research directions by mapping different outcomes of trauma and various intervention models.</w:t>
      </w:r>
    </w:p>
    <w:p w14:paraId="2503BC6C" w14:textId="77777777" w:rsidR="001968C6" w:rsidRPr="008D5C42" w:rsidRDefault="001968C6" w:rsidP="008D5C42">
      <w:pPr>
        <w:pStyle w:val="Heading2"/>
      </w:pPr>
      <w:bookmarkStart w:id="16" w:name="_Toc214984591"/>
      <w:r w:rsidRPr="008D5C42">
        <w:t>2.7 Theoretical and Conceptual Framework</w:t>
      </w:r>
      <w:bookmarkEnd w:id="16"/>
      <w:r w:rsidRPr="008D5C42">
        <w:t xml:space="preserve">  </w:t>
      </w:r>
    </w:p>
    <w:p w14:paraId="1B604EEF"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This review follows an Ecological-Trauma Framework, which merges the ecological systems theory with the trauma theory of Bronfenbrenner to direct synthesis. At microsystem level, the personal ACEs (e.g. abuse, neglect) are subject to the interaction with the proximal familial relationships, at the mesosystem, school and peer environments buffer or enhance the trauma responses (Baldwin et al., 2023). The </w:t>
      </w:r>
      <w:proofErr w:type="spellStart"/>
      <w:r w:rsidRPr="008D5C42">
        <w:rPr>
          <w:rFonts w:ascii="Arial" w:hAnsi="Arial" w:cs="Arial"/>
        </w:rPr>
        <w:t>exosystem</w:t>
      </w:r>
      <w:proofErr w:type="spellEnd"/>
      <w:r w:rsidRPr="008D5C42">
        <w:rPr>
          <w:rFonts w:ascii="Arial" w:hAnsi="Arial" w:cs="Arial"/>
        </w:rPr>
        <w:t xml:space="preserve"> </w:t>
      </w:r>
      <w:proofErr w:type="gramStart"/>
      <w:r w:rsidRPr="008D5C42">
        <w:rPr>
          <w:rFonts w:ascii="Arial" w:hAnsi="Arial" w:cs="Arial"/>
        </w:rPr>
        <w:t>takes into account</w:t>
      </w:r>
      <w:proofErr w:type="gramEnd"/>
      <w:r w:rsidRPr="008D5C42">
        <w:rPr>
          <w:rFonts w:ascii="Arial" w:hAnsi="Arial" w:cs="Arial"/>
        </w:rPr>
        <w:t xml:space="preserve"> the community-level factors; neighbourhood violence, school resources and local safeguarding services that mediate access to support (Bellis et al., 2019). The macrosystem involves the general UK policies, cultural beliefs and socio-economic systems (Hughes et al., 2017). This combined model has been chosen as it corresponds to the multidimensionality of ACEs in UK research since it is possible to examine individual, relationship and systemic factors, which affect the wellbeing of young people.</w:t>
      </w:r>
    </w:p>
    <w:p w14:paraId="58C0D62D" w14:textId="078E6DC0" w:rsidR="001968C6" w:rsidRPr="008D5C42" w:rsidRDefault="001968C6" w:rsidP="008D5C42">
      <w:pPr>
        <w:spacing w:line="360" w:lineRule="auto"/>
        <w:jc w:val="both"/>
        <w:rPr>
          <w:rFonts w:ascii="Arial" w:hAnsi="Arial" w:cs="Arial"/>
        </w:rPr>
      </w:pPr>
      <w:r w:rsidRPr="008D5C42">
        <w:rPr>
          <w:rFonts w:ascii="Arial" w:hAnsi="Arial" w:cs="Arial"/>
        </w:rPr>
        <w:t>The traumatic theory highlights the fact that neurobiological pathways are disturbed by toxic stress, resulting in emotional dysregulation and the need to adapt the behaviour (</w:t>
      </w:r>
      <w:proofErr w:type="spellStart"/>
      <w:r w:rsidRPr="008D5C42">
        <w:rPr>
          <w:rFonts w:ascii="Arial" w:hAnsi="Arial" w:cs="Arial"/>
        </w:rPr>
        <w:t>Felitti</w:t>
      </w:r>
      <w:proofErr w:type="spellEnd"/>
      <w:r w:rsidRPr="008D5C42">
        <w:rPr>
          <w:rFonts w:ascii="Arial" w:hAnsi="Arial" w:cs="Arial"/>
        </w:rPr>
        <w:t xml:space="preserve"> et al., 2019). The conceptual framework will enable thematic coding of data retrieved regarding such domains as Individual Trauma Effects, Family Dynamics, School-Based Supports and Policy Context </w:t>
      </w:r>
      <w:r w:rsidR="00A07A3E" w:rsidRPr="008D5C42">
        <w:rPr>
          <w:rFonts w:ascii="Arial" w:hAnsi="Arial" w:cs="Arial"/>
        </w:rPr>
        <w:t>to</w:t>
      </w:r>
      <w:r w:rsidRPr="008D5C42">
        <w:rPr>
          <w:rFonts w:ascii="Arial" w:hAnsi="Arial" w:cs="Arial"/>
        </w:rPr>
        <w:t xml:space="preserve"> have a full range of ACE-related outcomes in various levels.</w:t>
      </w:r>
    </w:p>
    <w:p w14:paraId="78E574C1" w14:textId="77777777" w:rsidR="001968C6" w:rsidRPr="008D5C42" w:rsidRDefault="001968C6" w:rsidP="008D5C42">
      <w:pPr>
        <w:pStyle w:val="Heading2"/>
      </w:pPr>
      <w:bookmarkStart w:id="17" w:name="_Toc214984592"/>
      <w:r w:rsidRPr="008D5C42">
        <w:t>2.8 Summary</w:t>
      </w:r>
      <w:bookmarkEnd w:id="17"/>
      <w:r w:rsidRPr="008D5C42">
        <w:t xml:space="preserve"> </w:t>
      </w:r>
    </w:p>
    <w:p w14:paraId="15BD0C59" w14:textId="0C92B7BB" w:rsidR="001968C6" w:rsidRPr="008D5C42" w:rsidRDefault="001968C6" w:rsidP="008D5C42">
      <w:pPr>
        <w:spacing w:line="360" w:lineRule="auto"/>
        <w:jc w:val="both"/>
        <w:rPr>
          <w:rFonts w:ascii="Arial" w:hAnsi="Arial" w:cs="Arial"/>
        </w:rPr>
      </w:pPr>
      <w:r w:rsidRPr="008D5C42">
        <w:rPr>
          <w:rFonts w:ascii="Arial" w:hAnsi="Arial" w:cs="Arial"/>
        </w:rPr>
        <w:t>This chapter has defined the conceptual basis of the ACEs, presented the prevalence data on the UK and demographic patterns and discussed psychological, neurobiological and behavioural impacts on the youth. It has also outlined available interventions and policy frameworks, and gaps in both quantitative and qualitative evidence. Utili</w:t>
      </w:r>
      <w:r w:rsidR="00A07A3E" w:rsidRPr="008D5C42">
        <w:rPr>
          <w:rFonts w:ascii="Arial" w:hAnsi="Arial" w:cs="Arial"/>
        </w:rPr>
        <w:t>s</w:t>
      </w:r>
      <w:r w:rsidRPr="008D5C42">
        <w:rPr>
          <w:rFonts w:ascii="Arial" w:hAnsi="Arial" w:cs="Arial"/>
        </w:rPr>
        <w:t>ing an Ecological-Trauma Framework, the systematic review will be conducted to synthesi</w:t>
      </w:r>
      <w:r w:rsidR="00A07A3E" w:rsidRPr="008D5C42">
        <w:rPr>
          <w:rFonts w:ascii="Arial" w:hAnsi="Arial" w:cs="Arial"/>
        </w:rPr>
        <w:t>s</w:t>
      </w:r>
      <w:r w:rsidRPr="008D5C42">
        <w:rPr>
          <w:rFonts w:ascii="Arial" w:hAnsi="Arial" w:cs="Arial"/>
        </w:rPr>
        <w:t xml:space="preserve">e peer-reviewed </w:t>
      </w:r>
      <w:r w:rsidRPr="008D5C42">
        <w:rPr>
          <w:rFonts w:ascii="Arial" w:hAnsi="Arial" w:cs="Arial"/>
        </w:rPr>
        <w:lastRenderedPageBreak/>
        <w:t>studies (2015 to 2025) conducted in the UK to clarify the trends of trauma outcomes, as well as measure the effectiveness of interventions. Overall, the chapter has given the conceptual and empirical background of the study. The following chapter will describe the systematic review methodology: the search strategy, screening criteria, quality appraisal, and thematic synthesis strategy.</w:t>
      </w:r>
    </w:p>
    <w:p w14:paraId="108F6C1B" w14:textId="77777777" w:rsidR="001968C6" w:rsidRPr="008D5C42" w:rsidRDefault="001968C6" w:rsidP="008D5C42">
      <w:pPr>
        <w:spacing w:line="360" w:lineRule="auto"/>
        <w:jc w:val="both"/>
        <w:rPr>
          <w:rFonts w:ascii="Arial" w:hAnsi="Arial" w:cs="Arial"/>
        </w:rPr>
      </w:pPr>
      <w:r w:rsidRPr="008D5C42">
        <w:rPr>
          <w:rFonts w:ascii="Arial" w:hAnsi="Arial" w:cs="Arial"/>
        </w:rPr>
        <w:br w:type="page"/>
      </w:r>
    </w:p>
    <w:p w14:paraId="6932FD01" w14:textId="77777777" w:rsidR="001968C6" w:rsidRPr="008D5C42" w:rsidRDefault="001968C6" w:rsidP="008D5C42">
      <w:pPr>
        <w:pStyle w:val="Heading1"/>
      </w:pPr>
      <w:bookmarkStart w:id="18" w:name="_Toc214984593"/>
      <w:r w:rsidRPr="008D5C42">
        <w:lastRenderedPageBreak/>
        <w:t>Chapter 3: METHODOLOGY</w:t>
      </w:r>
      <w:bookmarkEnd w:id="18"/>
    </w:p>
    <w:p w14:paraId="64210E37" w14:textId="77777777" w:rsidR="001968C6" w:rsidRPr="008D5C42" w:rsidRDefault="001968C6" w:rsidP="008D5C42">
      <w:pPr>
        <w:pStyle w:val="Heading2"/>
      </w:pPr>
      <w:bookmarkStart w:id="19" w:name="_Toc214984594"/>
      <w:r w:rsidRPr="008D5C42">
        <w:t>3.1 Overview of Study Design</w:t>
      </w:r>
      <w:bookmarkEnd w:id="19"/>
      <w:r w:rsidRPr="008D5C42">
        <w:t xml:space="preserve"> </w:t>
      </w:r>
    </w:p>
    <w:p w14:paraId="632B41AC" w14:textId="6F7C6731" w:rsidR="001968C6" w:rsidRPr="008D5C42" w:rsidRDefault="001968C6" w:rsidP="008D5C42">
      <w:pPr>
        <w:spacing w:line="360" w:lineRule="auto"/>
        <w:jc w:val="both"/>
        <w:rPr>
          <w:rFonts w:ascii="Arial" w:hAnsi="Arial" w:cs="Arial"/>
        </w:rPr>
      </w:pPr>
      <w:r w:rsidRPr="008D5C42">
        <w:rPr>
          <w:rFonts w:ascii="Arial" w:hAnsi="Arial" w:cs="Arial"/>
        </w:rPr>
        <w:t>This chapter uses the conceptual gaps presented in Chapter 2 to present the methodological framework that would be applied to answer the research aim and objectives. This dissertation will take a methodological review of the literature to collect and assess primary evidence of psychological, emotional, and behavioural outcomes of ACEs in individuals aged 10 -25 years in United Kingdom. The review has a written protocol, which defines the criteria of eligibility, a series of database searches, the hand-selection of the duplicate ones, and a two-step screening process recorded in the Microsoft Excel, where twenty per cent of the decisions are to be re-checked by the academic supervisor. Such an evident procedure can assist others in replicating the research and minimi</w:t>
      </w:r>
      <w:r w:rsidR="00721817" w:rsidRPr="008D5C42">
        <w:rPr>
          <w:rFonts w:ascii="Arial" w:hAnsi="Arial" w:cs="Arial"/>
        </w:rPr>
        <w:t>s</w:t>
      </w:r>
      <w:r w:rsidRPr="008D5C42">
        <w:rPr>
          <w:rFonts w:ascii="Arial" w:hAnsi="Arial" w:cs="Arial"/>
        </w:rPr>
        <w:t>e the possibility of bias in the selection of information. The systematic review design was chosen since it enables clear and reproducible synthesis of evidence in fragments and enables a comparison of the methodological quality across UK studies.</w:t>
      </w:r>
    </w:p>
    <w:p w14:paraId="0D8360B1" w14:textId="77777777" w:rsidR="001968C6" w:rsidRPr="008D5C42" w:rsidRDefault="001968C6" w:rsidP="008D5C42">
      <w:pPr>
        <w:pStyle w:val="Heading2"/>
      </w:pPr>
      <w:bookmarkStart w:id="20" w:name="_Toc214984595"/>
      <w:r w:rsidRPr="008D5C42">
        <w:t>3.2 Search Strategy</w:t>
      </w:r>
      <w:bookmarkEnd w:id="20"/>
      <w:r w:rsidRPr="008D5C42">
        <w:t xml:space="preserve"> </w:t>
      </w:r>
    </w:p>
    <w:p w14:paraId="04212DC9" w14:textId="77777777" w:rsidR="001968C6" w:rsidRPr="008D5C42" w:rsidRDefault="001968C6" w:rsidP="008D5C42">
      <w:pPr>
        <w:spacing w:line="360" w:lineRule="auto"/>
        <w:jc w:val="both"/>
        <w:rPr>
          <w:rFonts w:ascii="Arial" w:hAnsi="Arial" w:cs="Arial"/>
        </w:rPr>
      </w:pPr>
      <w:r w:rsidRPr="008D5C42">
        <w:rPr>
          <w:rFonts w:ascii="Arial" w:hAnsi="Arial" w:cs="Arial"/>
        </w:rPr>
        <w:t>Affirmative was accomplished through a thorough electronic search of PubMed, CINAHL Complete, PsycINFO and Google Scholar regarding the research published between January 2015 and February 2025, and in accordance with the PRISMA 2020 principles of transparent reporting of systematic reviews (Page et al., 2021). The plan comprised of the use of controlled vocabulary and free text terms of ACEs, trauma, mental health, young people, and United Kingdom location, associated with Boolean operators and truncation. Pilot runs were used to refine search strings according to recall and precision to the four databases. Peer reviewed human research written in English was eligible only. All the extracted citations were copied into Microsoft Excel, and the duplicates were eliminated based on the matching titles and digital object identifiers. Titles and abstracts were then filtered by the criteria of eligibility and full texts were acquired in the case of any record being deemed possibly relevant. Recent reviews and reference lists of the papers that were included were hand searched to identify more studies. Appendix A includes the final search string and database specific syntax that can be used to replicate it.</w:t>
      </w:r>
    </w:p>
    <w:p w14:paraId="07E63670" w14:textId="77777777" w:rsidR="001968C6" w:rsidRPr="008D5C42" w:rsidRDefault="001968C6" w:rsidP="008D5C42">
      <w:pPr>
        <w:pStyle w:val="Heading2"/>
      </w:pPr>
      <w:bookmarkStart w:id="21" w:name="_Toc214984596"/>
      <w:r w:rsidRPr="008D5C42">
        <w:t>3.3 Eligibility criteria</w:t>
      </w:r>
      <w:bookmarkEnd w:id="21"/>
    </w:p>
    <w:p w14:paraId="25C325EE" w14:textId="66C295DA" w:rsidR="001968C6" w:rsidRPr="008D5C42" w:rsidRDefault="001968C6" w:rsidP="008D5C42">
      <w:pPr>
        <w:spacing w:line="360" w:lineRule="auto"/>
        <w:jc w:val="both"/>
        <w:rPr>
          <w:rFonts w:ascii="Arial" w:hAnsi="Arial" w:cs="Arial"/>
        </w:rPr>
      </w:pPr>
      <w:r w:rsidRPr="008D5C42">
        <w:rPr>
          <w:rFonts w:ascii="Arial" w:hAnsi="Arial" w:cs="Arial"/>
        </w:rPr>
        <w:t xml:space="preserve">The review had strict inclusion criteria that were developed prior to the commencement of the review to ensure that the review is confined to the studies that are relevant in answering the research question to ensure consistency in the methods. The clarity regarding the individual components of the PICOS structure allows the review process to filter the records in a systematic way </w:t>
      </w:r>
      <w:r w:rsidR="00A07A3E" w:rsidRPr="008D5C42">
        <w:rPr>
          <w:rFonts w:ascii="Arial" w:hAnsi="Arial" w:cs="Arial"/>
        </w:rPr>
        <w:t>to</w:t>
      </w:r>
      <w:r w:rsidRPr="008D5C42">
        <w:rPr>
          <w:rFonts w:ascii="Arial" w:hAnsi="Arial" w:cs="Arial"/>
        </w:rPr>
        <w:t xml:space="preserve"> minimi</w:t>
      </w:r>
      <w:r w:rsidR="00A07A3E" w:rsidRPr="008D5C42">
        <w:rPr>
          <w:rFonts w:ascii="Arial" w:hAnsi="Arial" w:cs="Arial"/>
        </w:rPr>
        <w:t>s</w:t>
      </w:r>
      <w:r w:rsidRPr="008D5C42">
        <w:rPr>
          <w:rFonts w:ascii="Arial" w:hAnsi="Arial" w:cs="Arial"/>
        </w:rPr>
        <w:t xml:space="preserve">e selection bias and provide researchers with the capability to </w:t>
      </w:r>
      <w:r w:rsidRPr="008D5C42">
        <w:rPr>
          <w:rFonts w:ascii="Arial" w:hAnsi="Arial" w:cs="Arial"/>
        </w:rPr>
        <w:lastRenderedPageBreak/>
        <w:t>replicate or critically evaluate the process in the future. Table 1 reports both the inclusion and exclusion criteria that were used on the title level and full-text appraisal level.</w:t>
      </w:r>
    </w:p>
    <w:p w14:paraId="4A92DAA0" w14:textId="77777777" w:rsidR="001968C6" w:rsidRPr="008D5C42" w:rsidRDefault="001968C6" w:rsidP="008D5C42">
      <w:pPr>
        <w:pStyle w:val="Heading2"/>
      </w:pPr>
      <w:bookmarkStart w:id="22" w:name="_Toc214984597"/>
      <w:r w:rsidRPr="008D5C42">
        <w:t>3.4 Study selection procedure</w:t>
      </w:r>
      <w:bookmarkEnd w:id="22"/>
      <w:r w:rsidRPr="008D5C42">
        <w:t xml:space="preserve"> </w:t>
      </w:r>
    </w:p>
    <w:p w14:paraId="7EDA0AAE" w14:textId="77777777" w:rsidR="001968C6" w:rsidRPr="008D5C42" w:rsidRDefault="001968C6" w:rsidP="008D5C42">
      <w:pPr>
        <w:spacing w:line="360" w:lineRule="auto"/>
        <w:jc w:val="both"/>
        <w:rPr>
          <w:rFonts w:ascii="Arial" w:hAnsi="Arial" w:cs="Arial"/>
        </w:rPr>
      </w:pPr>
      <w:r w:rsidRPr="008D5C42">
        <w:rPr>
          <w:rFonts w:ascii="Arial" w:hAnsi="Arial" w:cs="Arial"/>
        </w:rPr>
        <w:t>The search results were all downloaded to the Microsoft Excel where an automatic formula was used to compare titles and first authors to remove duplicates. This screening was done at two stages. The main reviewer first read all titles and abstracts and divided records into include, exclude and unclear based on the eligibility criteria listed in Table 1. Subsequently exhaustive screening of all the potentially eligible studies was done to get the complete text. To enhance rigour, the supervisor of the project cross-hand checked at every stage a random sample of twenty per cent of records; inconsistencies were sorted out through discussion to an agreed point as suggested in Cochrane handbook of systematic reviews (Higgins et al. 2022). A screening log merely recorded the count of each stage and produced an overall of one hundred and forty-eight distinct referrals following the elimination of duplicates, twelve complete articles assessed, and six studies incorporated. This has been indicated in the Screening Summary Table 2 to be transparent.</w:t>
      </w:r>
    </w:p>
    <w:p w14:paraId="0DD8BE42" w14:textId="77777777" w:rsidR="001968C6" w:rsidRPr="008D5C42" w:rsidRDefault="001968C6" w:rsidP="008D5C42">
      <w:pPr>
        <w:pStyle w:val="Heading2"/>
      </w:pPr>
      <w:bookmarkStart w:id="23" w:name="_Toc214984598"/>
      <w:r w:rsidRPr="008D5C42">
        <w:t>3.5 Quality appraisal</w:t>
      </w:r>
      <w:bookmarkEnd w:id="23"/>
      <w:r w:rsidRPr="008D5C42">
        <w:t xml:space="preserve"> </w:t>
      </w:r>
    </w:p>
    <w:p w14:paraId="4F07A5FE" w14:textId="77777777" w:rsidR="001968C6" w:rsidRPr="008D5C42" w:rsidRDefault="001968C6" w:rsidP="008D5C42">
      <w:pPr>
        <w:spacing w:line="360" w:lineRule="auto"/>
        <w:jc w:val="both"/>
        <w:rPr>
          <w:rFonts w:ascii="Arial" w:hAnsi="Arial" w:cs="Arial"/>
        </w:rPr>
      </w:pPr>
      <w:r w:rsidRPr="008D5C42">
        <w:rPr>
          <w:rFonts w:ascii="Arial" w:hAnsi="Arial" w:cs="Arial"/>
        </w:rPr>
        <w:t>The search results were all downloaded in Microsoft Excel where automatic formula was used to compare titles and first author to identify and remove duplicates. The screening was done in two stages. The first reviewer firstly read all titles and abstracts and classified records based on the eligibility criteria described in Table 1 as include, exclude or unclear. Thereafter all the possibly eligible studies were obtained and screened exhaustively. To maximize rigour, the project supervisor cross-hand checked at every step a random sample of twenty per cent of the records by himself; any discrepancy was resolved through discussion to consensus as suggested in the Cochrane handbook of systematic reviews (Higgins et al. 2022). A screening log merely recorded the count on each stage and provided one hundred and forty-eight distinct citations by eliminating duplicates and assessing twelve full texts and six studies. The results are presented in Screening Summary Table 2 so as not to hide the numbers.</w:t>
      </w:r>
    </w:p>
    <w:p w14:paraId="7377EE11" w14:textId="77777777" w:rsidR="001968C6" w:rsidRPr="008D5C42" w:rsidRDefault="001968C6" w:rsidP="008D5C42">
      <w:pPr>
        <w:pStyle w:val="Heading2"/>
      </w:pPr>
      <w:bookmarkStart w:id="24" w:name="_Toc214984599"/>
      <w:r w:rsidRPr="008D5C42">
        <w:t>3.6 Data extraction process</w:t>
      </w:r>
      <w:bookmarkEnd w:id="24"/>
      <w:r w:rsidRPr="008D5C42">
        <w:t xml:space="preserve"> </w:t>
      </w:r>
    </w:p>
    <w:p w14:paraId="5AF4F87C" w14:textId="0215B735" w:rsidR="001968C6" w:rsidRPr="008D5C42" w:rsidRDefault="001968C6" w:rsidP="008D5C42">
      <w:pPr>
        <w:spacing w:line="360" w:lineRule="auto"/>
        <w:jc w:val="both"/>
        <w:rPr>
          <w:rFonts w:ascii="Arial" w:hAnsi="Arial" w:cs="Arial"/>
        </w:rPr>
      </w:pPr>
      <w:r w:rsidRPr="008D5C42">
        <w:rPr>
          <w:rFonts w:ascii="Arial" w:hAnsi="Arial" w:cs="Arial"/>
        </w:rPr>
        <w:t xml:space="preserve">The spreadsheet was created in Excel format </w:t>
      </w:r>
      <w:proofErr w:type="gramStart"/>
      <w:r w:rsidRPr="008D5C42">
        <w:rPr>
          <w:rFonts w:ascii="Arial" w:hAnsi="Arial" w:cs="Arial"/>
        </w:rPr>
        <w:t>in order to</w:t>
      </w:r>
      <w:proofErr w:type="gramEnd"/>
      <w:r w:rsidRPr="008D5C42">
        <w:rPr>
          <w:rFonts w:ascii="Arial" w:hAnsi="Arial" w:cs="Arial"/>
        </w:rPr>
        <w:t xml:space="preserve"> keep all important study information: author, year, region, design, sample size, age range, ACE instrument, outcome measures, main findings and limitations reported. Two articles were piloted with headings and revised to make them user friendly before being applied to all the six studies. The completed spreadsheet was saved onto encrypted university OneDrive with version control </w:t>
      </w:r>
      <w:r w:rsidR="00721817" w:rsidRPr="008D5C42">
        <w:rPr>
          <w:rFonts w:ascii="Arial" w:hAnsi="Arial" w:cs="Arial"/>
        </w:rPr>
        <w:t>to</w:t>
      </w:r>
      <w:r w:rsidRPr="008D5C42">
        <w:rPr>
          <w:rFonts w:ascii="Arial" w:hAnsi="Arial" w:cs="Arial"/>
        </w:rPr>
        <w:t xml:space="preserve"> meet the UK GDPR requirements and be able to provide an audit trail. Appendix A will show the full sheet of extraction and the ultimate list of column headings to encourage transparency and as a </w:t>
      </w:r>
      <w:r w:rsidRPr="008D5C42">
        <w:rPr>
          <w:rFonts w:ascii="Arial" w:hAnsi="Arial" w:cs="Arial"/>
        </w:rPr>
        <w:lastRenderedPageBreak/>
        <w:t xml:space="preserve">reference in the future. All the studies identified, screened, and included in the literature search are recorded in the entire Source Tracking Table presented in Appendix B. It documents author, year, study design, primary findings, and appraisal </w:t>
      </w:r>
      <w:r w:rsidR="00721817" w:rsidRPr="008D5C42">
        <w:rPr>
          <w:rFonts w:ascii="Arial" w:hAnsi="Arial" w:cs="Arial"/>
        </w:rPr>
        <w:t>note</w:t>
      </w:r>
      <w:r w:rsidRPr="008D5C42">
        <w:rPr>
          <w:rFonts w:ascii="Arial" w:hAnsi="Arial" w:cs="Arial"/>
        </w:rPr>
        <w:t xml:space="preserve"> of each of the reviewed sources.</w:t>
      </w:r>
    </w:p>
    <w:p w14:paraId="02EDA60F" w14:textId="77777777" w:rsidR="001968C6" w:rsidRPr="008D5C42" w:rsidRDefault="001968C6" w:rsidP="008D5C42">
      <w:pPr>
        <w:spacing w:line="360" w:lineRule="auto"/>
        <w:jc w:val="both"/>
        <w:rPr>
          <w:rFonts w:ascii="Arial" w:hAnsi="Arial" w:cs="Arial"/>
        </w:rPr>
      </w:pPr>
      <w:r w:rsidRPr="008D5C42">
        <w:rPr>
          <w:rFonts w:ascii="Arial" w:hAnsi="Arial" w:cs="Arial"/>
        </w:rPr>
        <w:t>To provide a clear overview of the included studies before thematic synthesis, a summary table of study characteristics, outcomes and protective factors is presented in table3.</w:t>
      </w:r>
    </w:p>
    <w:p w14:paraId="72084E56" w14:textId="77777777" w:rsidR="001968C6" w:rsidRPr="008D5C42" w:rsidRDefault="001968C6" w:rsidP="008D5C42">
      <w:pPr>
        <w:pStyle w:val="Heading2"/>
      </w:pPr>
      <w:bookmarkStart w:id="25" w:name="_Toc214984600"/>
      <w:r w:rsidRPr="008D5C42">
        <w:t>3.7 Data synthesis method</w:t>
      </w:r>
      <w:bookmarkEnd w:id="25"/>
    </w:p>
    <w:p w14:paraId="43B21E9F" w14:textId="36E2F234" w:rsidR="001968C6" w:rsidRPr="008D5C42" w:rsidRDefault="001968C6" w:rsidP="008D5C42">
      <w:pPr>
        <w:spacing w:line="360" w:lineRule="auto"/>
        <w:jc w:val="both"/>
        <w:rPr>
          <w:rFonts w:ascii="Arial" w:hAnsi="Arial" w:cs="Arial"/>
        </w:rPr>
      </w:pPr>
      <w:r w:rsidRPr="008D5C42">
        <w:rPr>
          <w:rFonts w:ascii="Arial" w:hAnsi="Arial" w:cs="Arial"/>
        </w:rPr>
        <w:t xml:space="preserve">Synthesis of mixed-method data was through a narrative synthesis that included a 6-stage thematic analysis. The close reading of the results sections was Phases 1 to familiarize. In Phase 2, all the statements of outcomes, quantitative direction of effect in plain language, were </w:t>
      </w:r>
      <w:r w:rsidR="00721817" w:rsidRPr="008D5C42">
        <w:rPr>
          <w:rFonts w:ascii="Arial" w:hAnsi="Arial" w:cs="Arial"/>
        </w:rPr>
        <w:t>open coded</w:t>
      </w:r>
      <w:r w:rsidRPr="008D5C42">
        <w:rPr>
          <w:rFonts w:ascii="Arial" w:hAnsi="Arial" w:cs="Arial"/>
        </w:rPr>
        <w:t xml:space="preserve"> using NVivo 14. Phases 3 and 4 amalgamated similar codes into initial themes and explored coherence across studies of different design and age range and ACE measure.</w:t>
      </w:r>
    </w:p>
    <w:p w14:paraId="234DA164" w14:textId="3295C7BB" w:rsidR="001968C6" w:rsidRPr="008D5C42" w:rsidRDefault="001968C6" w:rsidP="008D5C42">
      <w:pPr>
        <w:spacing w:line="360" w:lineRule="auto"/>
        <w:jc w:val="both"/>
        <w:rPr>
          <w:rFonts w:ascii="Arial" w:hAnsi="Arial" w:cs="Arial"/>
        </w:rPr>
      </w:pPr>
      <w:r w:rsidRPr="008D5C42">
        <w:rPr>
          <w:rFonts w:ascii="Arial" w:hAnsi="Arial" w:cs="Arial"/>
        </w:rPr>
        <w:t xml:space="preserve">The quality bands and methodological differences were presented in tables, and comparative analysis at the study level was possible. Phase 5, which refined and assigned the final themes, ensured that they were consistent with the Stage 1 logic model. Phase 6 generated a report which outlines the strength of the evidence based on the scores of the appraisal scores as shown in Table 2 </w:t>
      </w:r>
      <w:proofErr w:type="gramStart"/>
      <w:r w:rsidRPr="008D5C42">
        <w:rPr>
          <w:rFonts w:ascii="Arial" w:hAnsi="Arial" w:cs="Arial"/>
        </w:rPr>
        <w:t>and also</w:t>
      </w:r>
      <w:proofErr w:type="gramEnd"/>
      <w:r w:rsidRPr="008D5C42">
        <w:rPr>
          <w:rFonts w:ascii="Arial" w:hAnsi="Arial" w:cs="Arial"/>
        </w:rPr>
        <w:t xml:space="preserve"> show any conflicting or anomalous findings. This two-fold plan meets the transparency demanded by narrative </w:t>
      </w:r>
      <w:r w:rsidR="00721817" w:rsidRPr="008D5C42">
        <w:rPr>
          <w:rFonts w:ascii="Arial" w:hAnsi="Arial" w:cs="Arial"/>
        </w:rPr>
        <w:t>synthesis but</w:t>
      </w:r>
      <w:r w:rsidRPr="008D5C42">
        <w:rPr>
          <w:rFonts w:ascii="Arial" w:hAnsi="Arial" w:cs="Arial"/>
        </w:rPr>
        <w:t xml:space="preserve"> also offers the detailed analysis of Braun and Clarke of thematic analysis.</w:t>
      </w:r>
    </w:p>
    <w:p w14:paraId="743534D1" w14:textId="77777777" w:rsidR="001968C6" w:rsidRPr="008D5C42" w:rsidRDefault="001968C6" w:rsidP="008D5C42">
      <w:pPr>
        <w:pStyle w:val="Heading2"/>
      </w:pPr>
      <w:bookmarkStart w:id="26" w:name="_Toc214984601"/>
      <w:r w:rsidRPr="008D5C42">
        <w:t>3.8 Reflexivity &amp; rigour</w:t>
      </w:r>
      <w:bookmarkEnd w:id="26"/>
      <w:r w:rsidRPr="008D5C42">
        <w:t xml:space="preserve"> </w:t>
      </w:r>
    </w:p>
    <w:p w14:paraId="38383EAC" w14:textId="0439FCDF" w:rsidR="001968C6" w:rsidRPr="008D5C42" w:rsidRDefault="001968C6" w:rsidP="008D5C42">
      <w:pPr>
        <w:spacing w:line="360" w:lineRule="auto"/>
        <w:jc w:val="both"/>
        <w:rPr>
          <w:rFonts w:ascii="Arial" w:hAnsi="Arial" w:cs="Arial"/>
        </w:rPr>
      </w:pPr>
      <w:r w:rsidRPr="008D5C42">
        <w:rPr>
          <w:rFonts w:ascii="Arial" w:hAnsi="Arial" w:cs="Arial"/>
        </w:rPr>
        <w:t xml:space="preserve">The principal investigator is a skilled clinical safeguarding mental-health nursing major, and this position may affect ACE data interpretations. A reflexive journal was maintained during the research to jot down assumptions and decisions taken during the analysis. Throughout the literature review, care was taken to remain neutral by comparing multiple academic sources and avoiding personal bias. Records were kept </w:t>
      </w:r>
      <w:r w:rsidR="00721817" w:rsidRPr="008D5C42">
        <w:rPr>
          <w:rFonts w:ascii="Arial" w:hAnsi="Arial" w:cs="Arial"/>
        </w:rPr>
        <w:t>showing</w:t>
      </w:r>
      <w:r w:rsidRPr="008D5C42">
        <w:rPr>
          <w:rFonts w:ascii="Arial" w:hAnsi="Arial" w:cs="Arial"/>
        </w:rPr>
        <w:t xml:space="preserve"> how themes were identified and how decisions were made, </w:t>
      </w:r>
      <w:r w:rsidR="00721817" w:rsidRPr="008D5C42">
        <w:rPr>
          <w:rFonts w:ascii="Arial" w:hAnsi="Arial" w:cs="Arial"/>
        </w:rPr>
        <w:t>to</w:t>
      </w:r>
      <w:r w:rsidRPr="008D5C42">
        <w:rPr>
          <w:rFonts w:ascii="Arial" w:hAnsi="Arial" w:cs="Arial"/>
        </w:rPr>
        <w:t xml:space="preserve"> support confirmability, dependability, and transparency of the reported results.</w:t>
      </w:r>
    </w:p>
    <w:p w14:paraId="60C912FD" w14:textId="77777777" w:rsidR="001968C6" w:rsidRPr="008D5C42" w:rsidRDefault="001968C6" w:rsidP="008D5C42">
      <w:pPr>
        <w:pStyle w:val="Heading2"/>
      </w:pPr>
      <w:bookmarkStart w:id="27" w:name="_Toc214984602"/>
      <w:r w:rsidRPr="008D5C42">
        <w:t>3.9 Ethical considerations</w:t>
      </w:r>
      <w:bookmarkEnd w:id="27"/>
      <w:r w:rsidRPr="008D5C42">
        <w:t xml:space="preserve"> </w:t>
      </w:r>
    </w:p>
    <w:p w14:paraId="1CEA7131" w14:textId="23432737" w:rsidR="001968C6" w:rsidRPr="008D5C42" w:rsidRDefault="001968C6" w:rsidP="008D5C42">
      <w:pPr>
        <w:spacing w:line="360" w:lineRule="auto"/>
        <w:jc w:val="both"/>
        <w:rPr>
          <w:rFonts w:ascii="Arial" w:hAnsi="Arial" w:cs="Arial"/>
        </w:rPr>
      </w:pPr>
      <w:r w:rsidRPr="008D5C42">
        <w:rPr>
          <w:rFonts w:ascii="Arial" w:hAnsi="Arial" w:cs="Arial"/>
        </w:rPr>
        <w:t xml:space="preserve">No new subjects were involved and thus NHS Research Ethics Committee did not need to be approved. The secondary data was used in a manner that was in accordance </w:t>
      </w:r>
      <w:proofErr w:type="gramStart"/>
      <w:r w:rsidRPr="008D5C42">
        <w:rPr>
          <w:rFonts w:ascii="Arial" w:hAnsi="Arial" w:cs="Arial"/>
        </w:rPr>
        <w:t>to</w:t>
      </w:r>
      <w:proofErr w:type="gramEnd"/>
      <w:r w:rsidRPr="008D5C42">
        <w:rPr>
          <w:rFonts w:ascii="Arial" w:hAnsi="Arial" w:cs="Arial"/>
        </w:rPr>
        <w:t xml:space="preserve"> the university code of research practice. One drive </w:t>
      </w:r>
      <w:r w:rsidR="00721817" w:rsidRPr="008D5C42">
        <w:rPr>
          <w:rFonts w:ascii="Arial" w:hAnsi="Arial" w:cs="Arial"/>
        </w:rPr>
        <w:t>folder</w:t>
      </w:r>
      <w:r w:rsidRPr="008D5C42">
        <w:rPr>
          <w:rFonts w:ascii="Arial" w:hAnsi="Arial" w:cs="Arial"/>
        </w:rPr>
        <w:t xml:space="preserve"> </w:t>
      </w:r>
      <w:r w:rsidR="00721817" w:rsidRPr="008D5C42">
        <w:rPr>
          <w:rFonts w:ascii="Arial" w:hAnsi="Arial" w:cs="Arial"/>
        </w:rPr>
        <w:t>was</w:t>
      </w:r>
      <w:r w:rsidRPr="008D5C42">
        <w:rPr>
          <w:rFonts w:ascii="Arial" w:hAnsi="Arial" w:cs="Arial"/>
        </w:rPr>
        <w:t xml:space="preserve"> used to store full-text papers and extraction records on encrypted two-factor authentication </w:t>
      </w:r>
      <w:r w:rsidR="00721817" w:rsidRPr="008D5C42">
        <w:rPr>
          <w:rFonts w:ascii="Arial" w:hAnsi="Arial" w:cs="Arial"/>
        </w:rPr>
        <w:t>OneDrive</w:t>
      </w:r>
      <w:r w:rsidRPr="008D5C42">
        <w:rPr>
          <w:rFonts w:ascii="Arial" w:hAnsi="Arial" w:cs="Arial"/>
        </w:rPr>
        <w:t>, which met the UK GDPR. No plagiarism can be ensured without proper citation of all sources and Turnitin checking. The supervisor was informed of any conflict of interest prior to the beginning of data extraction.</w:t>
      </w:r>
    </w:p>
    <w:p w14:paraId="69053340" w14:textId="77777777" w:rsidR="001968C6" w:rsidRPr="008D5C42" w:rsidRDefault="001968C6" w:rsidP="008D5C42">
      <w:pPr>
        <w:pStyle w:val="Heading2"/>
      </w:pPr>
      <w:bookmarkStart w:id="28" w:name="_Toc214984603"/>
      <w:r w:rsidRPr="008D5C42">
        <w:lastRenderedPageBreak/>
        <w:t>3.10 Methodological limitations</w:t>
      </w:r>
      <w:bookmarkEnd w:id="28"/>
      <w:r w:rsidRPr="008D5C42">
        <w:t xml:space="preserve"> </w:t>
      </w:r>
    </w:p>
    <w:p w14:paraId="078BFEE9" w14:textId="77777777" w:rsidR="001968C6" w:rsidRPr="008D5C42" w:rsidRDefault="001968C6" w:rsidP="008D5C42">
      <w:pPr>
        <w:spacing w:line="360" w:lineRule="auto"/>
        <w:jc w:val="both"/>
        <w:rPr>
          <w:rFonts w:ascii="Arial" w:hAnsi="Arial" w:cs="Arial"/>
        </w:rPr>
      </w:pPr>
      <w:r w:rsidRPr="008D5C42">
        <w:rPr>
          <w:rFonts w:ascii="Arial" w:hAnsi="Arial" w:cs="Arial"/>
        </w:rPr>
        <w:t>Restriction to post-2015 research, in England, in the English language, may have omitted both evidence across different environments and different times. The inclusion of only 6 papers means that synthesis could be exposed to publication bias and could not be used to conduct formal meta-analysis. Diversity is also added by the diversity in the tools of ACE measures and outcome scale and use of retrospective self-report in many studies that increase the recall error. Single-reviewer screening does not introduce much risk of excluding eligible research. The next chapter provides the results obtained due to this process systematised on major thematic areas.</w:t>
      </w:r>
    </w:p>
    <w:p w14:paraId="20BEF043" w14:textId="77777777" w:rsidR="001968C6" w:rsidRPr="008D5C42" w:rsidRDefault="001968C6" w:rsidP="008D5C42">
      <w:pPr>
        <w:spacing w:line="360" w:lineRule="auto"/>
        <w:jc w:val="both"/>
        <w:rPr>
          <w:rFonts w:ascii="Arial" w:eastAsiaTheme="majorEastAsia" w:hAnsi="Arial" w:cs="Arial"/>
          <w:color w:val="2F5496" w:themeColor="accent1" w:themeShade="BF"/>
        </w:rPr>
      </w:pPr>
      <w:r w:rsidRPr="008D5C42">
        <w:rPr>
          <w:rFonts w:ascii="Arial" w:hAnsi="Arial" w:cs="Arial"/>
        </w:rPr>
        <w:br w:type="page"/>
      </w:r>
    </w:p>
    <w:p w14:paraId="5813F5FB" w14:textId="77777777" w:rsidR="001968C6" w:rsidRPr="008D5C42" w:rsidRDefault="001968C6" w:rsidP="008D5C42">
      <w:pPr>
        <w:pStyle w:val="Heading1"/>
      </w:pPr>
      <w:bookmarkStart w:id="29" w:name="_Toc214984604"/>
      <w:r w:rsidRPr="008D5C42">
        <w:lastRenderedPageBreak/>
        <w:t>Chapter 4: RESULTS &amp; DISCUSSION</w:t>
      </w:r>
      <w:bookmarkEnd w:id="29"/>
    </w:p>
    <w:p w14:paraId="10D08E81" w14:textId="77777777" w:rsidR="001968C6" w:rsidRPr="008D5C42" w:rsidRDefault="001968C6" w:rsidP="008D5C42">
      <w:pPr>
        <w:pStyle w:val="Heading2"/>
      </w:pPr>
      <w:bookmarkStart w:id="30" w:name="_Toc214984605"/>
      <w:r w:rsidRPr="008D5C42">
        <w:t>4.1 Introduction</w:t>
      </w:r>
      <w:bookmarkEnd w:id="30"/>
      <w:r w:rsidRPr="008D5C42">
        <w:t xml:space="preserve"> </w:t>
      </w:r>
    </w:p>
    <w:p w14:paraId="2BF7A90E"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This chapter is a presentation of the empirical findings of the systematic literature review that investigated the negative experiences in childhood (ACEs). It focused on psychological, emotional and behavioural outcomes in 10- to 25-year-olds in the UK. The age range of 10–25 years was selected because it represents the developmental transition from late childhood through adolescence into emerging adulthood. During that period emotional regulation systems and identity formation are still maturing, making individuals particularly susceptible to the long-term psychological effects of ACEs. Chapter 3 established the types of rigorous procedures: multi-database search, removal of duplicates, two-tier screening with predetermined PICOS criteria, standardised data extraction, CASP quality appraisal and a narrative synthesis based on Braun and Clarke thematic analysis that gave rise to the thematic results presented. According to Braun and Clarke (2006), thematic analysis entails the process of systematically identifying, analysing and reporting patterns in the qualitative data to derive themes to express both semantic and latent meaning. </w:t>
      </w:r>
    </w:p>
    <w:p w14:paraId="571D4EC8"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The results are reported without their discussion </w:t>
      </w:r>
      <w:proofErr w:type="gramStart"/>
      <w:r w:rsidRPr="008D5C42">
        <w:rPr>
          <w:rFonts w:ascii="Arial" w:hAnsi="Arial" w:cs="Arial"/>
        </w:rPr>
        <w:t>in order to</w:t>
      </w:r>
      <w:proofErr w:type="gramEnd"/>
      <w:r w:rsidRPr="008D5C42">
        <w:rPr>
          <w:rFonts w:ascii="Arial" w:hAnsi="Arial" w:cs="Arial"/>
        </w:rPr>
        <w:t xml:space="preserve"> create space to establish analytical accuracy Section 4.2 describes the quality and features of the six studies involved. Theme 1 that is considered in section 4.3 examines internalising outcomes and psychological distress. Theme 2, which is discussed in section 4.4, is concerned with themes of externalising and risk-taking. In section 4.5, the paper consolidates results on protective and resilience factors (Theme 3). Section 4.6 examines the lived experiences (Theme 4). Lastly, Section 4.7 summarizes all thematic analyses in a single model which prepares the critical review that is to be done in Chapter 5.</w:t>
      </w:r>
    </w:p>
    <w:p w14:paraId="1A64408D" w14:textId="77777777" w:rsidR="001968C6" w:rsidRPr="008D5C42" w:rsidRDefault="001968C6" w:rsidP="008D5C42">
      <w:pPr>
        <w:pStyle w:val="Heading3"/>
        <w:spacing w:line="360" w:lineRule="auto"/>
        <w:jc w:val="both"/>
        <w:rPr>
          <w:rFonts w:ascii="Arial" w:hAnsi="Arial" w:cs="Arial"/>
          <w:sz w:val="22"/>
          <w:szCs w:val="22"/>
        </w:rPr>
      </w:pPr>
      <w:bookmarkStart w:id="31" w:name="_Toc214984606"/>
      <w:r w:rsidRPr="008D5C42">
        <w:rPr>
          <w:rFonts w:ascii="Arial" w:hAnsi="Arial" w:cs="Arial"/>
          <w:sz w:val="22"/>
          <w:szCs w:val="22"/>
        </w:rPr>
        <w:t>4.1.1 Thematic Analysis</w:t>
      </w:r>
      <w:bookmarkEnd w:id="31"/>
    </w:p>
    <w:p w14:paraId="130D184C" w14:textId="77777777" w:rsidR="001968C6" w:rsidRPr="008D5C42" w:rsidRDefault="001968C6" w:rsidP="008D5C42">
      <w:pPr>
        <w:spacing w:line="360" w:lineRule="auto"/>
        <w:jc w:val="both"/>
        <w:rPr>
          <w:rFonts w:ascii="Arial" w:hAnsi="Arial" w:cs="Arial"/>
        </w:rPr>
      </w:pPr>
      <w:r w:rsidRPr="008D5C42">
        <w:rPr>
          <w:rFonts w:ascii="Arial" w:hAnsi="Arial" w:cs="Arial"/>
        </w:rPr>
        <w:t>The thematic analysis used in this chapter is under the same methodological procedure as explained in Chapter 3, Section 3.7 and 3.8. In a short, the review has used a six-phase thematic methodology of Braun and Clarke (2006) in identifying and interpreting patterns within mixed-method data. All the extracted results were coded through the NVivo 14 software, which facilitated open coding and thereafter, similar statements describing the impact of adversity were assigned corresponding categories and polished into broad themes. As discussed above, this process involved both quantitative and qualitative results so that there would be consistency and richness. The rigour of the coding was enhanced by having the academic supervisor code 30 percent of the codes independently, with the inter-coder agreement being more than 0.80 and a complete audit trail provided to enhance the credibility and transparency of the coding.</w:t>
      </w:r>
    </w:p>
    <w:p w14:paraId="7869E27D" w14:textId="77777777" w:rsidR="001968C6" w:rsidRPr="008D5C42" w:rsidRDefault="001968C6" w:rsidP="008D5C42">
      <w:pPr>
        <w:spacing w:line="360" w:lineRule="auto"/>
        <w:jc w:val="both"/>
        <w:rPr>
          <w:rFonts w:ascii="Arial" w:hAnsi="Arial" w:cs="Arial"/>
        </w:rPr>
      </w:pPr>
      <w:r w:rsidRPr="008D5C42">
        <w:rPr>
          <w:rFonts w:ascii="Arial" w:hAnsi="Arial" w:cs="Arial"/>
        </w:rPr>
        <w:lastRenderedPageBreak/>
        <w:t>The coded data were subsequently grouped into three broad themes which were internalising outcomes and psychological distress, externalising and risk-taking behaviours, and protective and resilience factors. These are the themes which give the organization of the discussion that follows. The complete codebook and extraction sheet are provided in Appendix A and B, and quality-appraisal scores and methodological notes are provided which are the basis of analysis provided here.</w:t>
      </w:r>
    </w:p>
    <w:p w14:paraId="1122CF2C" w14:textId="77777777" w:rsidR="001968C6" w:rsidRPr="008D5C42" w:rsidRDefault="001968C6" w:rsidP="008D5C42">
      <w:pPr>
        <w:pStyle w:val="Heading2"/>
      </w:pPr>
      <w:bookmarkStart w:id="32" w:name="_Toc214984607"/>
      <w:r w:rsidRPr="008D5C42">
        <w:t>4.2 Characteristics of included studies</w:t>
      </w:r>
      <w:bookmarkEnd w:id="32"/>
      <w:r w:rsidRPr="008D5C42">
        <w:t xml:space="preserve"> </w:t>
      </w:r>
    </w:p>
    <w:p w14:paraId="7F7284E7" w14:textId="77777777" w:rsidR="001968C6" w:rsidRPr="008D5C42" w:rsidRDefault="001968C6" w:rsidP="008D5C42">
      <w:pPr>
        <w:spacing w:line="360" w:lineRule="auto"/>
        <w:jc w:val="both"/>
        <w:rPr>
          <w:rFonts w:ascii="Arial" w:hAnsi="Arial" w:cs="Arial"/>
        </w:rPr>
      </w:pPr>
      <w:r w:rsidRPr="008D5C42">
        <w:rPr>
          <w:rFonts w:ascii="Arial" w:hAnsi="Arial" w:cs="Arial"/>
        </w:rPr>
        <w:t>The six articles include four quantitative research studies and two qualitative studies. Numerical estimates are provided by two prospective cohorts and two large cross-sectional analyses. Avery (2025) and Jones (2022) provide detailed qualitative narratives from service-engaged young people and care leavers. There is also a radical change in sampling width: Smith (2023) studied 157 357 adults (40-69 years) of the UK Biobank who retrospectively reported about childhood adversity and Jones (2022) examined lived experience among young Scottish adults (12) in support settings. The focus on age range persists through the adolescence phase and through to the emerging adulthood; maintenance of the single older-adult study is due to the presence of the United Kingdom setting and the measurement of adversity. Although Smith et al. (2023) included older adults, the study was retained because the ACE exposure was measured retrospectively in childhood, aligning it with the developmental focus of this review. Details of data extraction and coding table that summarize and describe main features of a study and quality scores is described in Appendix A.</w:t>
      </w:r>
    </w:p>
    <w:p w14:paraId="67617B6A"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Diverse instruments were used to determine the ACE exposure. Three quantitative articles employed versions of the ten-item ACE questionnaire of World Health Organization, one used prospectively documented maltreatment and bullying measurements, and both qualitative studies used semi-structured interviews coded to the identical ten domains of adversity. The outcome measures are related to </w:t>
      </w:r>
      <w:proofErr w:type="gramStart"/>
      <w:r w:rsidRPr="008D5C42">
        <w:rPr>
          <w:rFonts w:ascii="Arial" w:hAnsi="Arial" w:cs="Arial"/>
        </w:rPr>
        <w:t>a number of</w:t>
      </w:r>
      <w:proofErr w:type="gramEnd"/>
      <w:r w:rsidRPr="008D5C42">
        <w:rPr>
          <w:rFonts w:ascii="Arial" w:hAnsi="Arial" w:cs="Arial"/>
        </w:rPr>
        <w:t xml:space="preserve"> areas including internalising factors, such as anxiety, depression, and self-harm, externalising factors, such as substance use, school exclusion and risky sexual behaviour, and more general social factors, such as loneliness and support service use.</w:t>
      </w:r>
    </w:p>
    <w:p w14:paraId="21C8881F" w14:textId="77777777" w:rsidR="001968C6" w:rsidRPr="008D5C42" w:rsidRDefault="001968C6" w:rsidP="008D5C42">
      <w:pPr>
        <w:spacing w:line="360" w:lineRule="auto"/>
        <w:jc w:val="both"/>
        <w:rPr>
          <w:rFonts w:ascii="Arial" w:hAnsi="Arial" w:cs="Arial"/>
        </w:rPr>
      </w:pPr>
      <w:r w:rsidRPr="008D5C42">
        <w:rPr>
          <w:rFonts w:ascii="Arial" w:hAnsi="Arial" w:cs="Arial"/>
        </w:rPr>
        <w:t>Quality appraisal put two investigations in the high-quality band (less than 80% CASP score), three in moderate quality (60-79%) and one in low quality (&lt;60%). The lowest rated study was qualitative and very small sample, single-site, and all high-quality articles were quantitative cohorts with specified exposure and outcome. The design, sample, ACE instruments and analytic intensity heterogeneity is therefore significant and is considered when heeding the findings in subsequent sections. Full appraisal scores and quality bands for each study are presented in Table 4.</w:t>
      </w:r>
    </w:p>
    <w:p w14:paraId="251AD558" w14:textId="77777777" w:rsidR="001968C6" w:rsidRPr="008D5C42" w:rsidRDefault="001968C6" w:rsidP="008D5C42">
      <w:pPr>
        <w:pStyle w:val="Heading2"/>
      </w:pPr>
      <w:bookmarkStart w:id="33" w:name="_Toc214984608"/>
      <w:r w:rsidRPr="008D5C42">
        <w:rPr>
          <w:rStyle w:val="Heading2Char"/>
          <w:b/>
          <w:i/>
        </w:rPr>
        <w:lastRenderedPageBreak/>
        <w:t>4.3 Theme 1 – Internalising Symptoms and Psychological Distress</w:t>
      </w:r>
      <w:bookmarkEnd w:id="33"/>
    </w:p>
    <w:p w14:paraId="117760C5"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This theme is in tandem with Objective 1 that sought to determine the psychological and emotional impact of poor childhood events (ACEs) among young people in the UK. The four studies indicated positive associations between ACEs and mental health issues, including anxiety, depression, and self-harm. </w:t>
      </w:r>
      <w:proofErr w:type="spellStart"/>
      <w:r w:rsidRPr="008D5C42">
        <w:rPr>
          <w:rFonts w:ascii="Arial" w:hAnsi="Arial" w:cs="Arial"/>
        </w:rPr>
        <w:t>Lereya</w:t>
      </w:r>
      <w:proofErr w:type="spellEnd"/>
      <w:r w:rsidRPr="008D5C42">
        <w:rPr>
          <w:rFonts w:ascii="Arial" w:hAnsi="Arial" w:cs="Arial"/>
        </w:rPr>
        <w:t xml:space="preserve"> et al. (2015) discovered that multiple adversity exposed children were nearly five times more likely to develop a generalised anxiety disorder at the age of twenty-five. Chandrasekar et al. (2024) also indicated that the distress scores increased linearly with the number of adversities, whereas Bellis et al. (2019) reported that suicide attempts were almost nine times more frequent in case of four or more ACEs. Smith et al. (2023) validated that those adults who received maltreatment in childhood were twice more likely to develop depression despite the socioeconomic factors.</w:t>
      </w:r>
    </w:p>
    <w:p w14:paraId="2BC82A34"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The findings are in line with the toxic stress theory that argues that childhood toxic stress can interfere with brain and hormone regulations, causing emotional issues in later life. </w:t>
      </w:r>
      <w:proofErr w:type="spellStart"/>
      <w:r w:rsidRPr="008D5C42">
        <w:rPr>
          <w:rFonts w:ascii="Arial" w:hAnsi="Arial" w:cs="Arial"/>
        </w:rPr>
        <w:t>Lereya</w:t>
      </w:r>
      <w:proofErr w:type="spellEnd"/>
      <w:r w:rsidRPr="008D5C42">
        <w:rPr>
          <w:rFonts w:ascii="Arial" w:hAnsi="Arial" w:cs="Arial"/>
        </w:rPr>
        <w:t xml:space="preserve"> and Chandrasekar (2015 and 2024) propose that four or above adversities significantly increased the scores of </w:t>
      </w:r>
      <w:proofErr w:type="gramStart"/>
      <w:r w:rsidRPr="008D5C42">
        <w:rPr>
          <w:rFonts w:ascii="Arial" w:hAnsi="Arial" w:cs="Arial"/>
        </w:rPr>
        <w:t>distress</w:t>
      </w:r>
      <w:proofErr w:type="gramEnd"/>
      <w:r w:rsidRPr="008D5C42">
        <w:rPr>
          <w:rFonts w:ascii="Arial" w:hAnsi="Arial" w:cs="Arial"/>
        </w:rPr>
        <w:t xml:space="preserve"> of a group compared to unexposed groups even when income is adjusted. Self-harm was discovered to be one of the behavioural manifestations of unresolved internal distress. These findings indicate that the ACEs produce biological and psychological long-term changes that make one susceptible to mental illness. The uniformity of the patterns in the studies assures that childhood stress, in the absence of the sufficient coping resources, results in enduring emotional dysregulation in adulthood.</w:t>
      </w:r>
    </w:p>
    <w:p w14:paraId="3907CF0E" w14:textId="77777777" w:rsidR="001968C6" w:rsidRPr="008D5C42" w:rsidRDefault="001968C6" w:rsidP="008D5C42">
      <w:pPr>
        <w:spacing w:line="360" w:lineRule="auto"/>
        <w:jc w:val="both"/>
        <w:rPr>
          <w:rFonts w:ascii="Arial" w:hAnsi="Arial" w:cs="Arial"/>
        </w:rPr>
      </w:pPr>
      <w:r w:rsidRPr="008D5C42">
        <w:rPr>
          <w:rFonts w:ascii="Arial" w:hAnsi="Arial" w:cs="Arial"/>
        </w:rPr>
        <w:t>These findings are replicated in high-income countries throughout the world. Similar results were discovered by Hughes et al. (2017), who found that toxic stress impacts people universally, regardless of their depression or anxiety. Nevertheless, these effects seem to be exacerbated by social inequalities unique to the UK. Bellis (2019) discovered that women who experienced four or more ACEs were 61 times more susceptible to trying suicide, and Chandrasekar (2024) discovered that sexual-minority youth had almost twice the distress of their heterosexual counterparts. This goes in line with the minority stress theory, which attributes the causes of greater psychological strain to stigma and discrimination. Data on Avery (2025) also revealed that rejection and bullying worsened distress, which is also qualitative. All in all, the evidence shows that there is a dose-response relationship with the more adversity people experience, the more they suffer emotionally, particularly in the marginalised groups, which is why early, trauma-informed interventions are required in the UK.</w:t>
      </w:r>
    </w:p>
    <w:p w14:paraId="7B9F0E78" w14:textId="77777777" w:rsidR="001968C6" w:rsidRPr="008D5C42" w:rsidRDefault="001968C6" w:rsidP="008D5C42">
      <w:pPr>
        <w:pStyle w:val="Heading2"/>
      </w:pPr>
      <w:bookmarkStart w:id="34" w:name="_Toc214984609"/>
      <w:r w:rsidRPr="008D5C42">
        <w:lastRenderedPageBreak/>
        <w:t>4.4 Theme 2 – Externalising and Risk-Taking Behaviours</w:t>
      </w:r>
      <w:bookmarkEnd w:id="34"/>
    </w:p>
    <w:p w14:paraId="1FFB0F40"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This theme relates to Objective 1 because it explores the causes of externalising and risk-taking behaviours (substance use and risky sexual activity) caused by adverse childhood experiences (ACEs). The same results were found in several studies which indicated greater exposure to adversity was a predictor of increased such behaviours. Bellis (2019) identified that among those who experienced four or more adversities, 43.7% said they were engaged in heavy drinking, whereas 17.2% said they were not. In a similar case, the percentage of daily smoking increased by 6.1 to 29.4 to the least and highly exposed respectively. A gradual rise in risk-taking, such as substance use, unprotected sex, and fighting, was found in Chandrasekar et al. (2024) with an increase in the number of adversities. </w:t>
      </w:r>
      <w:proofErr w:type="spellStart"/>
      <w:r w:rsidRPr="008D5C42">
        <w:rPr>
          <w:rFonts w:ascii="Arial" w:hAnsi="Arial" w:cs="Arial"/>
        </w:rPr>
        <w:t>Lereya</w:t>
      </w:r>
      <w:proofErr w:type="spellEnd"/>
      <w:r w:rsidRPr="008D5C42">
        <w:rPr>
          <w:rFonts w:ascii="Arial" w:hAnsi="Arial" w:cs="Arial"/>
        </w:rPr>
        <w:t xml:space="preserve"> et al. (2015) also found childhood maltreatment and bullying to be associated with a four increased risk of illicit drug use, and Smith et al. (2023) also found these trends in adulthood, with childhood trauma predicting current smoking decades post-exposure.</w:t>
      </w:r>
    </w:p>
    <w:p w14:paraId="7D84D540"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These tendencies can be attributed to the social learning theory. Being raised in an environment with violence or substance abuse, children tend to inculcate them as a normal coping behaviour (Bandura, 1977). This mechanism is supported by qualitative accounts. Members of Avery (2025), and Jones (2022) said that they used alcohol or cannabis to cope with stress, which they had developed in their home environment. These results are in tandem with UK reports on safeguarding which found intergenerational substance abuse to be one of the major contributors of youth risk behaviours. It was also in the review that vulnerability is not homogenous, with </w:t>
      </w:r>
      <w:proofErr w:type="spellStart"/>
      <w:r w:rsidRPr="008D5C42">
        <w:rPr>
          <w:rFonts w:ascii="Arial" w:hAnsi="Arial" w:cs="Arial"/>
        </w:rPr>
        <w:t>Chandasekar</w:t>
      </w:r>
      <w:proofErr w:type="spellEnd"/>
      <w:r w:rsidRPr="008D5C42">
        <w:rPr>
          <w:rFonts w:ascii="Arial" w:hAnsi="Arial" w:cs="Arial"/>
        </w:rPr>
        <w:t xml:space="preserve"> (2024) showing that adolescents who were sex minority were more connected to adversity and risk, and Bellis (2019) seeing that girls with high numbers of ACE were more likely to attempt suicide. These risks were also enhanced by socioeconomic deprivation (Smith, 2023), which implies that the higher access to positive outlets, the more likely it will be to engage in maladaptive coping.</w:t>
      </w:r>
    </w:p>
    <w:p w14:paraId="6BF5F1A2" w14:textId="1CB62AAE" w:rsidR="001968C6" w:rsidRPr="008D5C42" w:rsidRDefault="00A07A3E" w:rsidP="008D5C42">
      <w:pPr>
        <w:spacing w:line="360" w:lineRule="auto"/>
        <w:jc w:val="both"/>
        <w:rPr>
          <w:rFonts w:ascii="Arial" w:hAnsi="Arial" w:cs="Arial"/>
        </w:rPr>
      </w:pPr>
      <w:r w:rsidRPr="008D5C42">
        <w:rPr>
          <w:rFonts w:ascii="Arial" w:hAnsi="Arial" w:cs="Arial"/>
        </w:rPr>
        <w:t>Overall</w:t>
      </w:r>
      <w:r w:rsidR="001968C6" w:rsidRPr="008D5C42">
        <w:rPr>
          <w:rFonts w:ascii="Arial" w:hAnsi="Arial" w:cs="Arial"/>
        </w:rPr>
        <w:t xml:space="preserve">, externalising behaviours have been found to be manifestations of internal distress and acquired maladaptive coping among the adversity-affected youth. These studies showed that there was a significant dose-response relationship-risks were proportionately greater with more adversities and particularly above four ACEs which is adequate in UK policy. The reliability of the results was the same through all the studies, although most data was based on self-reports, which indicates that the studies had strong and reliable associations. The presence of moderating factors such as gender, sexual orientation and economic status was a predisposing factor and parental warmth and peer support reduced, but did not eliminate, risk. These findings in combination demonstrate that behavioural risks are psychological outcomes and a reflection of social circumstances. The trauma-informed care, emotional </w:t>
      </w:r>
      <w:r w:rsidR="001968C6" w:rsidRPr="008D5C42">
        <w:rPr>
          <w:rFonts w:ascii="Arial" w:hAnsi="Arial" w:cs="Arial"/>
        </w:rPr>
        <w:lastRenderedPageBreak/>
        <w:t>regulation skills development, and healthy and peer-supported coping mechanism should thus be integrated to provide prevention.</w:t>
      </w:r>
    </w:p>
    <w:p w14:paraId="5543B795" w14:textId="77777777" w:rsidR="001968C6" w:rsidRPr="008D5C42" w:rsidRDefault="001968C6" w:rsidP="008D5C42">
      <w:pPr>
        <w:pStyle w:val="Heading2"/>
      </w:pPr>
      <w:bookmarkStart w:id="35" w:name="_Toc214984610"/>
      <w:r w:rsidRPr="008D5C42">
        <w:t>4.5 THEME 3 – Protective and Resilience Factors</w:t>
      </w:r>
      <w:bookmarkEnd w:id="35"/>
    </w:p>
    <w:p w14:paraId="21E69FFB" w14:textId="225F80C3" w:rsidR="001968C6" w:rsidRPr="008D5C42" w:rsidRDefault="001968C6" w:rsidP="008D5C42">
      <w:pPr>
        <w:spacing w:line="360" w:lineRule="auto"/>
        <w:jc w:val="both"/>
        <w:rPr>
          <w:rFonts w:ascii="Arial" w:hAnsi="Arial" w:cs="Arial"/>
        </w:rPr>
      </w:pPr>
      <w:r w:rsidRPr="008D5C42">
        <w:rPr>
          <w:rFonts w:ascii="Arial" w:hAnsi="Arial" w:cs="Arial"/>
        </w:rPr>
        <w:t xml:space="preserve">This theme is </w:t>
      </w:r>
      <w:r w:rsidR="00721817" w:rsidRPr="008D5C42">
        <w:rPr>
          <w:rFonts w:ascii="Arial" w:hAnsi="Arial" w:cs="Arial"/>
        </w:rPr>
        <w:t>like</w:t>
      </w:r>
      <w:r w:rsidRPr="008D5C42">
        <w:rPr>
          <w:rFonts w:ascii="Arial" w:hAnsi="Arial" w:cs="Arial"/>
        </w:rPr>
        <w:t xml:space="preserve"> Objective 2 that is concerned with resilience and conditions that mitigate the impact of childhood adversity. There are two important studies on how the effect of early trauma can be attenuated by some moderators. </w:t>
      </w:r>
      <w:proofErr w:type="spellStart"/>
      <w:r w:rsidRPr="008D5C42">
        <w:rPr>
          <w:rFonts w:ascii="Arial" w:hAnsi="Arial" w:cs="Arial"/>
        </w:rPr>
        <w:t>Lereya</w:t>
      </w:r>
      <w:proofErr w:type="spellEnd"/>
      <w:r w:rsidRPr="008D5C42">
        <w:rPr>
          <w:rFonts w:ascii="Arial" w:hAnsi="Arial" w:cs="Arial"/>
        </w:rPr>
        <w:t xml:space="preserve"> et al. (2015) discovered that parental warmth at 15 years also decreased the chances of developing depression at twenty-five years by 34% in those who were maltreated, irrespective of gender and social economic status. Nevertheless, this was not good enough to cover the risk. Similar results were also found by Chandrasekar et al (2024), who claimed that being in a positive peer group reduced the association of adversity and self-harm by approximately one-third, but not with significance. One common pattern was observed across the studies and that is, safe and supportive relationships always cushioned the youth against the most damaging impacts of adversity.</w:t>
      </w:r>
    </w:p>
    <w:p w14:paraId="27941349" w14:textId="77777777" w:rsidR="001968C6" w:rsidRPr="008D5C42" w:rsidRDefault="001968C6" w:rsidP="008D5C42">
      <w:pPr>
        <w:spacing w:line="360" w:lineRule="auto"/>
        <w:jc w:val="both"/>
        <w:rPr>
          <w:rFonts w:ascii="Arial" w:hAnsi="Arial" w:cs="Arial"/>
        </w:rPr>
      </w:pPr>
      <w:r w:rsidRPr="008D5C42">
        <w:rPr>
          <w:rFonts w:ascii="Arial" w:hAnsi="Arial" w:cs="Arial"/>
        </w:rPr>
        <w:t>These findings were backed up by qualitative studies. Both Avery (2025) and Jones (2022) concluded that young people reported that emotional recovery was based on the trusting, caring relationships. The presence of a stable adult figure assisted them in regaining their sense of self and control even after years of distress. The belonging to a peer was also a strong buffer. Chandrasekar (2024) demonstrated that supportive friendships minimized self-harm, whereas Bellis (2019) discovered that students with close peer associations had fewer chances of abusing hard drinks. The information collected during interviews indicated that friends could be used as sources of emotional support, which gave them an anchor that reassured them and discouraged them to take risks and offered them practical assistance during crises. These results demonstrate the mental wellbeing safety of relational safety and peer cohesion.</w:t>
      </w:r>
    </w:p>
    <w:p w14:paraId="76B4ACB6"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Traumatized and combined services were also crucial at a more comprehensive level. Counselling reduced the risk of suicide attempts by 50 percent (Bellis, 2019), and Avery (2025) reported an improved state when professionals early in the treatment inquired about past trauma. Maltreatment had long-term health effects that were lessened by exercise and economic stability, which demonstrated the importance of social conditions and lifestyle. All these findings indicate that the effects of toxic stress may be interrupted by family warmth, supportive peers, and informed-by-trauma services and stable living conditions. Nevertheless, some constraints provoke the fact that only two studies tested moderators formally. Nevertheless, the fact that quantitative information and lived experiences are </w:t>
      </w:r>
      <w:proofErr w:type="gramStart"/>
      <w:r w:rsidRPr="008D5C42">
        <w:rPr>
          <w:rFonts w:ascii="Arial" w:hAnsi="Arial" w:cs="Arial"/>
        </w:rPr>
        <w:t>intertwined to a large extent</w:t>
      </w:r>
      <w:proofErr w:type="gramEnd"/>
      <w:r w:rsidRPr="008D5C42">
        <w:rPr>
          <w:rFonts w:ascii="Arial" w:hAnsi="Arial" w:cs="Arial"/>
        </w:rPr>
        <w:t xml:space="preserve"> indicates that the success of creating these multiple layers of support can ensure resilience and enhance mental health outcomes.</w:t>
      </w:r>
    </w:p>
    <w:p w14:paraId="0C52B01E" w14:textId="77777777" w:rsidR="001968C6" w:rsidRPr="008D5C42" w:rsidRDefault="001968C6" w:rsidP="008D5C42">
      <w:pPr>
        <w:pStyle w:val="Heading2"/>
      </w:pPr>
      <w:bookmarkStart w:id="36" w:name="_Toc214984611"/>
      <w:r w:rsidRPr="008D5C42">
        <w:lastRenderedPageBreak/>
        <w:t>4.6 THEME 4 – Qualitative Lived Experience Insights</w:t>
      </w:r>
      <w:bookmarkEnd w:id="36"/>
    </w:p>
    <w:p w14:paraId="5B3B14E3" w14:textId="77777777" w:rsidR="001968C6" w:rsidRPr="008D5C42" w:rsidRDefault="001968C6" w:rsidP="008D5C42">
      <w:pPr>
        <w:spacing w:line="360" w:lineRule="auto"/>
        <w:jc w:val="both"/>
        <w:rPr>
          <w:rFonts w:ascii="Arial" w:hAnsi="Arial" w:cs="Arial"/>
        </w:rPr>
      </w:pPr>
      <w:r w:rsidRPr="008D5C42">
        <w:rPr>
          <w:rFonts w:ascii="Arial" w:hAnsi="Arial" w:cs="Arial"/>
        </w:rPr>
        <w:t>This theme satisfies Objective 3, which is the explanation of lived experiences to put the quantitative results into perspective and understand the processes of harm and healing. Two of them provided qualitative data where Avery 2025 presented semi-structured interviews with 25 service-engaged youth aged 16-24 years old in England, and Jones (2022) presented narrative interviews with 12 care leavers aged 18-25 years old at Scottish youth-support centres. The results of Braun-and-Clarke coding included three superordinate themes that are the result of negative childhood experience and assets of recovery.</w:t>
      </w:r>
    </w:p>
    <w:p w14:paraId="049D25D4"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4.6.1 Emotional distress and identity fragmentation</w:t>
      </w:r>
    </w:p>
    <w:p w14:paraId="1BC0F5EF" w14:textId="77777777" w:rsidR="001968C6" w:rsidRPr="008D5C42" w:rsidRDefault="001968C6" w:rsidP="008D5C42">
      <w:pPr>
        <w:spacing w:line="360" w:lineRule="auto"/>
        <w:jc w:val="both"/>
        <w:rPr>
          <w:rFonts w:ascii="Arial" w:hAnsi="Arial" w:cs="Arial"/>
        </w:rPr>
      </w:pPr>
      <w:r w:rsidRPr="008D5C42">
        <w:rPr>
          <w:rFonts w:ascii="Arial" w:hAnsi="Arial" w:cs="Arial"/>
        </w:rPr>
        <w:t>The respondents expressed universal emotions of shame, guilt and self-accusations in relation to past experiences of early-life victimization and parental instability at home. Some said that they have a constant feeling of worthlessness, with eight out of 37 people interviewed indicating the same. Night flashback and hypervigilance were a common report, as the results of the quantitative research indicated the high results of anxiety. Breaking down of identity came out as the respondents struggled to match who I was at home and who I attempted to be in school. One of the care leavers explained how years of drug and alcohol misuse by parents brought it to my mind that the chaos is normal, a belief that would later cause instability to relationships. Both papers documented the predetermination of such internal explanations by several years compared to official mental-health diagnoses, which implies that a discrepancy exists between the disturbance onset and its acknowledgment by services.</w:t>
      </w:r>
    </w:p>
    <w:p w14:paraId="54A782FA"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4.6.2 Coping and resilience resources</w:t>
      </w:r>
    </w:p>
    <w:p w14:paraId="395890A8"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The young people expressed adaptation resources even in the face of overwhelming adversity burdens. The relationships with peers were first and foremost: 28 out of 37 interviewees attributed, at least, one close peer friend with the responsibility of keeping them alive in a time of acute crisis. Trauma-informed practitioners were also appreciated and Avery participants highly recommended staff who inquired about the past before rushing to medication. Firm coping strategies included artistic activities, athletics and organized activities. A minority of the Scottish sample found comfort in cultural and religious identity. Most importantly, the process of resilience was represented. </w:t>
      </w:r>
    </w:p>
    <w:p w14:paraId="15B23CB9" w14:textId="77777777" w:rsidR="001968C6" w:rsidRPr="008D5C42" w:rsidRDefault="001968C6" w:rsidP="008D5C42">
      <w:pPr>
        <w:spacing w:line="360" w:lineRule="auto"/>
        <w:jc w:val="both"/>
        <w:rPr>
          <w:rFonts w:ascii="Arial" w:hAnsi="Arial" w:cs="Arial"/>
        </w:rPr>
      </w:pPr>
      <w:r w:rsidRPr="008D5C42">
        <w:rPr>
          <w:rFonts w:ascii="Arial" w:hAnsi="Arial" w:cs="Arial"/>
        </w:rPr>
        <w:t>Many of the participants also shifted their negative coping strategies including heavy drinking to healthier patterns when there was finally an adult support always present in their lives. This flexibility is in line with quantitative studies which show informal warmth as decreased later depression in parents. Despite the presence of coping strengths, several participants reported difficulties accessing or remaining engaged with services, including mistrust of professionals, stigma, and delays in trauma recognition.</w:t>
      </w:r>
    </w:p>
    <w:p w14:paraId="71D047D1"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lastRenderedPageBreak/>
        <w:t>4.6.4 Cross-cutting patterns</w:t>
      </w:r>
    </w:p>
    <w:p w14:paraId="5E60091F" w14:textId="5117F1CD" w:rsidR="001968C6" w:rsidRPr="008D5C42" w:rsidRDefault="001968C6" w:rsidP="008D5C42">
      <w:pPr>
        <w:spacing w:line="360" w:lineRule="auto"/>
        <w:jc w:val="both"/>
        <w:rPr>
          <w:rFonts w:ascii="Arial" w:hAnsi="Arial" w:cs="Arial"/>
        </w:rPr>
      </w:pPr>
      <w:r w:rsidRPr="008D5C42">
        <w:rPr>
          <w:rFonts w:ascii="Arial" w:hAnsi="Arial" w:cs="Arial"/>
        </w:rPr>
        <w:t xml:space="preserve">The congruence in the </w:t>
      </w:r>
      <w:r w:rsidR="00A07A3E" w:rsidRPr="008D5C42">
        <w:rPr>
          <w:rFonts w:ascii="Arial" w:hAnsi="Arial" w:cs="Arial"/>
        </w:rPr>
        <w:t>crosscutting</w:t>
      </w:r>
      <w:r w:rsidRPr="008D5C42">
        <w:rPr>
          <w:rFonts w:ascii="Arial" w:hAnsi="Arial" w:cs="Arial"/>
        </w:rPr>
        <w:t xml:space="preserve"> between the various themes shows that emotional distress is more than intricately bound up in the process of identity formation, and that resilience is contingent upon relationship security than on personality factors. Not only is adversity external but it also concentrates internalised shame in a feedback loop which reinforces risk activity. These findings provide the statistical trends formulated in the section 4.3 and 4.4 with a tangible expression and demonstrate the way aggregated adversity is shown in lived experience and why such a strong protective factor as peer support is so influential.</w:t>
      </w:r>
    </w:p>
    <w:p w14:paraId="254ACF31"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4.6.5 Qualitative evidence summary</w:t>
      </w:r>
    </w:p>
    <w:p w14:paraId="41FB57FA" w14:textId="77777777" w:rsidR="001968C6" w:rsidRPr="008D5C42" w:rsidRDefault="001968C6" w:rsidP="008D5C42">
      <w:pPr>
        <w:spacing w:line="360" w:lineRule="auto"/>
        <w:jc w:val="both"/>
        <w:rPr>
          <w:rFonts w:ascii="Arial" w:hAnsi="Arial" w:cs="Arial"/>
        </w:rPr>
      </w:pPr>
      <w:r w:rsidRPr="008D5C42">
        <w:rPr>
          <w:rFonts w:ascii="Arial" w:hAnsi="Arial" w:cs="Arial"/>
        </w:rPr>
        <w:t>The qualitative data proceeds to describe the subjective connotations that are attached to the numerical correlations. Their primary arguments of the psychological effects are the feeling of shame and the sense of fragmented self, resourceful relationships as a survival mechanism, and the display of service-level failures, which do not help but enhance the damage. Such outcomes will be ready to discuss the protective factors in an elaborate discussion in 4.7 and critically in Chapter 5.</w:t>
      </w:r>
    </w:p>
    <w:p w14:paraId="626AEF1B" w14:textId="77777777" w:rsidR="001968C6" w:rsidRPr="008D5C42" w:rsidRDefault="001968C6" w:rsidP="008D5C42">
      <w:pPr>
        <w:pStyle w:val="Heading2"/>
      </w:pPr>
      <w:bookmarkStart w:id="37" w:name="_Toc214984612"/>
      <w:r w:rsidRPr="008D5C42">
        <w:t>4.7 Integrated Model</w:t>
      </w:r>
      <w:bookmarkEnd w:id="37"/>
    </w:p>
    <w:p w14:paraId="3B63BE1E" w14:textId="77777777" w:rsidR="001968C6" w:rsidRPr="008D5C42" w:rsidRDefault="001968C6" w:rsidP="008D5C42">
      <w:pPr>
        <w:spacing w:line="360" w:lineRule="auto"/>
        <w:jc w:val="both"/>
        <w:rPr>
          <w:rFonts w:ascii="Arial" w:hAnsi="Arial" w:cs="Arial"/>
        </w:rPr>
      </w:pPr>
      <w:r w:rsidRPr="008D5C42">
        <w:rPr>
          <w:rFonts w:ascii="Arial" w:hAnsi="Arial" w:cs="Arial"/>
        </w:rPr>
        <w:t>Good interactions between the risk factors and negative childhood events leads to placing risks. First, chronic stress will desensitize the HPA axis, altering the emotion-regulating circuits and exposing such individuals to anxiety and depression. Second, children acquire maladaptive scripts, substance use and aggression through observing household behaviour that are reinstated as externalising behaviours during adolescence. Third, damage is dose-by-dose accumulative, with one misfortune leading biological and behavioural systems to the verge of collapse particularly in girls, sexual-minority youth, and those in deprived environments. Protective layers these pathways can be interrupted by protective adult relationships, helpful peer relationships, trauma-sensitive services, physical exercise and economic security and stability, which can dampen the effects of stress, substitute negative scripts and expand access to coping mechanisms.</w:t>
      </w:r>
    </w:p>
    <w:p w14:paraId="7C816088" w14:textId="77777777" w:rsidR="001968C6" w:rsidRPr="008D5C42" w:rsidRDefault="001968C6" w:rsidP="008D5C42">
      <w:pPr>
        <w:spacing w:line="360" w:lineRule="auto"/>
        <w:jc w:val="both"/>
        <w:rPr>
          <w:rFonts w:ascii="Arial" w:hAnsi="Arial" w:cs="Arial"/>
        </w:rPr>
      </w:pPr>
      <w:r w:rsidRPr="008D5C42">
        <w:rPr>
          <w:rFonts w:ascii="Arial" w:hAnsi="Arial" w:cs="Arial"/>
        </w:rPr>
        <w:t>Nevertheless, it is important to consider the results in the light of some limitations. A vast number of studies on ACEs were conducted retrospectively, thereby increasing the chances of recall bias. The variability in instruments used to measure ACEs, as well as the measures of outcome, makes it difficult to generalize. In addition, only two studies tested moderators; hence, conclusions on mechanisms associated with resilience can be considered provisional.</w:t>
      </w:r>
    </w:p>
    <w:p w14:paraId="0A61473B" w14:textId="77777777" w:rsidR="001968C6" w:rsidRPr="008D5C42" w:rsidRDefault="001968C6" w:rsidP="008D5C42">
      <w:pPr>
        <w:pStyle w:val="Heading2"/>
      </w:pPr>
      <w:bookmarkStart w:id="38" w:name="_Toc214984613"/>
      <w:r w:rsidRPr="008D5C42">
        <w:rPr>
          <w:rStyle w:val="Heading2Char"/>
          <w:b/>
          <w:i/>
        </w:rPr>
        <w:lastRenderedPageBreak/>
        <w:t>4.8 Chapter Summary</w:t>
      </w:r>
      <w:bookmarkEnd w:id="38"/>
    </w:p>
    <w:p w14:paraId="50F665CB" w14:textId="3779CFDA" w:rsidR="001968C6" w:rsidRPr="008D5C42" w:rsidRDefault="001968C6" w:rsidP="008D5C42">
      <w:pPr>
        <w:spacing w:line="360" w:lineRule="auto"/>
        <w:jc w:val="both"/>
        <w:rPr>
          <w:rFonts w:ascii="Arial" w:hAnsi="Arial" w:cs="Arial"/>
        </w:rPr>
      </w:pPr>
      <w:r w:rsidRPr="008D5C42">
        <w:rPr>
          <w:rFonts w:ascii="Arial" w:hAnsi="Arial" w:cs="Arial"/>
        </w:rPr>
        <w:t xml:space="preserve">This chapter incorporated evidence of six studies in the UK that examined the effect of ACEs on psychological, emotional and behavioural outcomes among </w:t>
      </w:r>
      <w:r w:rsidR="00A07A3E" w:rsidRPr="008D5C42">
        <w:rPr>
          <w:rFonts w:ascii="Arial" w:hAnsi="Arial" w:cs="Arial"/>
        </w:rPr>
        <w:t>10- to 25-year-olds</w:t>
      </w:r>
      <w:r w:rsidRPr="008D5C42">
        <w:rPr>
          <w:rFonts w:ascii="Arial" w:hAnsi="Arial" w:cs="Arial"/>
        </w:rPr>
        <w:t xml:space="preserve">. The quantitative results revealed that there were strong and graded correlations that existed between adversity and the symptoms of internalisation such as anxiety and depression, coupled with the externalisation behaviours of substance use and risk taking. Qualitative knowledge enhanced this understanding by showing lived experiences of shame, fragmented identities, and strength gained through the supportive relationships. In the literature, protective mechanisms like parental warmth, peer belonging, trauma informed services and stable socioeconomic conditions had been the same elements that mediated the adverse consequences. The integrated model emphasizes the interplay between biological stress responses and learned coping patterns as well as the interplay between biological stress responses and social environments to form mental health outcomes. </w:t>
      </w:r>
    </w:p>
    <w:p w14:paraId="17AC01E7" w14:textId="742D68CC" w:rsidR="001968C6" w:rsidRPr="008D5C42" w:rsidRDefault="001968C6" w:rsidP="008D5C42">
      <w:pPr>
        <w:spacing w:line="360" w:lineRule="auto"/>
        <w:jc w:val="both"/>
        <w:rPr>
          <w:rFonts w:ascii="Arial" w:hAnsi="Arial" w:cs="Arial"/>
        </w:rPr>
      </w:pPr>
      <w:r w:rsidRPr="008D5C42">
        <w:rPr>
          <w:rFonts w:ascii="Arial" w:hAnsi="Arial" w:cs="Arial"/>
        </w:rPr>
        <w:t xml:space="preserve">The links between the themes reveal how the internal distress may be converted into the external risk behaviours with resilience and relational safety moderating linkages. These interrelations are congruent with the concept of toxic-stress and social-learning theory, which is supported by the national policy that focuses on the use of the trauma-informed practice. These findings combined create a consistent cumulative risk and resilience process of early, relational and trauma informed interventions. </w:t>
      </w:r>
      <w:r w:rsidR="00A07A3E" w:rsidRPr="008D5C42">
        <w:rPr>
          <w:rFonts w:ascii="Arial" w:hAnsi="Arial" w:cs="Arial"/>
        </w:rPr>
        <w:t>All</w:t>
      </w:r>
      <w:r w:rsidRPr="008D5C42">
        <w:rPr>
          <w:rFonts w:ascii="Arial" w:hAnsi="Arial" w:cs="Arial"/>
        </w:rPr>
        <w:t xml:space="preserve"> these findings collectively facilitate the research objectives by providing insights into how ACEs affect mental health outcomes, risk and resilience factors, and how these findings can be used to inform policy and practice in the UK in a traumatized manner. The second chapter is a continuation of these findings, which is critically evaluated, and provides an explanation of the implications of these findings to practice, policy and future research.</w:t>
      </w:r>
      <w:r w:rsidR="00721817" w:rsidRPr="008D5C42">
        <w:rPr>
          <w:rFonts w:ascii="Arial" w:hAnsi="Arial" w:cs="Arial"/>
        </w:rPr>
        <w:t xml:space="preserve"> The themes were</w:t>
      </w:r>
      <w:r w:rsidR="004A1149" w:rsidRPr="008D5C42">
        <w:rPr>
          <w:rFonts w:ascii="Arial" w:hAnsi="Arial" w:cs="Arial"/>
        </w:rPr>
        <w:t xml:space="preserve"> developed from the coded data summarised Results Summary Table (see</w:t>
      </w:r>
      <w:r w:rsidR="00B37B0F" w:rsidRPr="008D5C42">
        <w:rPr>
          <w:rFonts w:ascii="Arial" w:hAnsi="Arial" w:cs="Arial"/>
        </w:rPr>
        <w:t xml:space="preserve"> Appendix B).</w:t>
      </w:r>
    </w:p>
    <w:p w14:paraId="54585C23" w14:textId="77777777" w:rsidR="001968C6" w:rsidRPr="008D5C42" w:rsidRDefault="001968C6" w:rsidP="008D5C42">
      <w:pPr>
        <w:pStyle w:val="Heading1"/>
        <w:rPr>
          <w:lang w:val="en-US"/>
        </w:rPr>
      </w:pPr>
      <w:bookmarkStart w:id="39" w:name="_Toc214984614"/>
      <w:r w:rsidRPr="008D5C42">
        <w:rPr>
          <w:lang w:val="en-US"/>
        </w:rPr>
        <w:t>CHAPTER 5: CONCLUSION AND RECOMMENDATIONS</w:t>
      </w:r>
      <w:bookmarkEnd w:id="39"/>
    </w:p>
    <w:p w14:paraId="5CD38B25" w14:textId="77777777" w:rsidR="001968C6" w:rsidRPr="008D5C42" w:rsidRDefault="001968C6" w:rsidP="008D5C42">
      <w:pPr>
        <w:pStyle w:val="Heading2"/>
      </w:pPr>
      <w:bookmarkStart w:id="40" w:name="_Toc214984615"/>
      <w:r w:rsidRPr="008D5C42">
        <w:t>5.1 Chapter introduction</w:t>
      </w:r>
      <w:bookmarkEnd w:id="40"/>
      <w:r w:rsidRPr="008D5C42">
        <w:t xml:space="preserve"> </w:t>
      </w:r>
    </w:p>
    <w:p w14:paraId="3A8E01E1" w14:textId="68AEB816" w:rsidR="001968C6" w:rsidRPr="008D5C42" w:rsidRDefault="001968C6" w:rsidP="008D5C42">
      <w:pPr>
        <w:spacing w:line="360" w:lineRule="auto"/>
        <w:jc w:val="both"/>
        <w:rPr>
          <w:rFonts w:ascii="Arial" w:hAnsi="Arial" w:cs="Arial"/>
        </w:rPr>
      </w:pPr>
      <w:r w:rsidRPr="008D5C42">
        <w:rPr>
          <w:rFonts w:ascii="Arial" w:hAnsi="Arial" w:cs="Arial"/>
        </w:rPr>
        <w:t>The last chapter summari</w:t>
      </w:r>
      <w:r w:rsidR="00A07A3E" w:rsidRPr="008D5C42">
        <w:rPr>
          <w:rFonts w:ascii="Arial" w:hAnsi="Arial" w:cs="Arial"/>
        </w:rPr>
        <w:t>s</w:t>
      </w:r>
      <w:r w:rsidRPr="008D5C42">
        <w:rPr>
          <w:rFonts w:ascii="Arial" w:hAnsi="Arial" w:cs="Arial"/>
        </w:rPr>
        <w:t xml:space="preserve">es the output of the systematic review into recommendations and closes the dissertation. The purpose of the review was to assess the influence of adverse childhood experiences (ACEs) on the psychological and behavioural wellbeing of youths between the age groups of 10 and 25 years in the UK. Chapter 4 concentrated on three major themes, including the externalising behaviours, internalising symptoms, and the protective factors. These were then combined into a model that demonstrated the interaction between biological, social, and environmental factors in Chapter 5 with the support of relationships and </w:t>
      </w:r>
      <w:r w:rsidRPr="008D5C42">
        <w:rPr>
          <w:rFonts w:ascii="Arial" w:hAnsi="Arial" w:cs="Arial"/>
        </w:rPr>
        <w:lastRenderedPageBreak/>
        <w:t>structural supports. The chapter expands on that model by proposing policy and practice recommendations, priorities in the research, and the contributions and limitations of the study.</w:t>
      </w:r>
    </w:p>
    <w:p w14:paraId="74EADCBE" w14:textId="77777777" w:rsidR="001968C6" w:rsidRPr="008D5C42" w:rsidRDefault="001968C6" w:rsidP="008D5C42">
      <w:pPr>
        <w:spacing w:line="360" w:lineRule="auto"/>
        <w:jc w:val="both"/>
        <w:rPr>
          <w:rFonts w:ascii="Arial" w:hAnsi="Arial" w:cs="Arial"/>
        </w:rPr>
      </w:pPr>
      <w:r w:rsidRPr="008D5C42">
        <w:rPr>
          <w:rFonts w:ascii="Arial" w:hAnsi="Arial" w:cs="Arial"/>
        </w:rPr>
        <w:t>The review established that there was a strong correlation between ACEs and negative outcomes. Youth who had been subjected to at least four adversities were two to six times more prone to anxiety, depression, self-harm or substance abuse. Such conclusions were made in large-scale studies, which include considering the social and economic disparities. Qualitative information revealed the harmfulness of trauma to identity and trust, postponing help-seeking. There was a high impact of protective factors on depression, self-harm, and suicide attempts as parental affection, peer support, and trauma-informed care were found to reduce risks. Stress was also minimised by exercise and financial stability. These results collectively address the objectives of the study and inform policy and interventions in the future.</w:t>
      </w:r>
    </w:p>
    <w:p w14:paraId="71235437" w14:textId="77777777" w:rsidR="001968C6" w:rsidRPr="008D5C42" w:rsidRDefault="001968C6" w:rsidP="008D5C42">
      <w:pPr>
        <w:pStyle w:val="Heading2"/>
      </w:pPr>
      <w:bookmarkStart w:id="41" w:name="_Toc214984616"/>
      <w:r w:rsidRPr="008D5C42">
        <w:t>5.2 Achievement of aim and objectives</w:t>
      </w:r>
      <w:bookmarkEnd w:id="41"/>
    </w:p>
    <w:p w14:paraId="7362B119" w14:textId="77777777" w:rsidR="001968C6" w:rsidRPr="008D5C42" w:rsidRDefault="001968C6" w:rsidP="008D5C42">
      <w:pPr>
        <w:spacing w:line="360" w:lineRule="auto"/>
        <w:jc w:val="both"/>
        <w:rPr>
          <w:rFonts w:ascii="Arial" w:hAnsi="Arial" w:cs="Arial"/>
        </w:rPr>
      </w:pPr>
      <w:r w:rsidRPr="008D5C42">
        <w:rPr>
          <w:rFonts w:ascii="Arial" w:hAnsi="Arial" w:cs="Arial"/>
        </w:rPr>
        <w:t>The primary objective of the study was to examine the impact of Adverse Childhood Experiences (ACEs) on the psychological, emotional, and behavioural consequences of young adults between the age of 10 and 25 in the United Kingdom and how these factors were likely to raise or decrease these consequences. This section provides an overview of the way each of the objectives was met by referring to the results of Chapter 4.</w:t>
      </w:r>
    </w:p>
    <w:p w14:paraId="2C30F44F" w14:textId="77777777" w:rsidR="001968C6" w:rsidRPr="008D5C42" w:rsidRDefault="001968C6" w:rsidP="008D5C42">
      <w:pPr>
        <w:spacing w:line="360" w:lineRule="auto"/>
        <w:jc w:val="both"/>
        <w:rPr>
          <w:rFonts w:ascii="Arial" w:hAnsi="Arial" w:cs="Arial"/>
          <w:b/>
          <w:i/>
        </w:rPr>
      </w:pPr>
      <w:r w:rsidRPr="008D5C42">
        <w:rPr>
          <w:rFonts w:ascii="Arial" w:hAnsi="Arial" w:cs="Arial"/>
          <w:b/>
          <w:i/>
        </w:rPr>
        <w:t>Find out the psychological, emotional, and behavioural consequences of ACEs among the youths.</w:t>
      </w:r>
    </w:p>
    <w:p w14:paraId="6D1947A6" w14:textId="77777777" w:rsidR="001968C6" w:rsidRPr="008D5C42" w:rsidRDefault="001968C6" w:rsidP="008D5C42">
      <w:pPr>
        <w:spacing w:line="360" w:lineRule="auto"/>
        <w:jc w:val="both"/>
        <w:rPr>
          <w:rFonts w:ascii="Arial" w:hAnsi="Arial" w:cs="Arial"/>
        </w:rPr>
      </w:pPr>
      <w:r w:rsidRPr="008D5C42">
        <w:rPr>
          <w:rFonts w:ascii="Arial" w:hAnsi="Arial" w:cs="Arial"/>
        </w:rPr>
        <w:t>This goal was met to the latter. Four studies have provided quantitative evidence indicating obvious correlations between the level of adversity exposure and internalising consequences including anxiety, depression, and self-harm. It also demonstrated interconnections with externalising behaviours such as substance use, aggression and taking risks. These findings are in line with the toxic-stress and social-learning accounts presented in 4.3 and 4.4.</w:t>
      </w:r>
    </w:p>
    <w:p w14:paraId="7DDE9A0C" w14:textId="77777777" w:rsidR="001968C6" w:rsidRPr="008D5C42" w:rsidRDefault="001968C6" w:rsidP="008D5C42">
      <w:pPr>
        <w:spacing w:line="360" w:lineRule="auto"/>
        <w:jc w:val="both"/>
        <w:rPr>
          <w:rFonts w:ascii="Arial" w:hAnsi="Arial" w:cs="Arial"/>
          <w:b/>
          <w:i/>
        </w:rPr>
      </w:pPr>
      <w:r w:rsidRPr="008D5C42">
        <w:rPr>
          <w:rFonts w:ascii="Arial" w:hAnsi="Arial" w:cs="Arial"/>
          <w:b/>
          <w:i/>
        </w:rPr>
        <w:t>Look at moderators and factors of resilience to these outcomes.</w:t>
      </w:r>
    </w:p>
    <w:p w14:paraId="5FC8AA2E" w14:textId="77777777" w:rsidR="001968C6" w:rsidRPr="008D5C42" w:rsidRDefault="001968C6" w:rsidP="008D5C42">
      <w:pPr>
        <w:spacing w:line="360" w:lineRule="auto"/>
        <w:jc w:val="both"/>
        <w:rPr>
          <w:rFonts w:ascii="Arial" w:hAnsi="Arial" w:cs="Arial"/>
        </w:rPr>
      </w:pPr>
      <w:r w:rsidRPr="008D5C42">
        <w:rPr>
          <w:rFonts w:ascii="Arial" w:hAnsi="Arial" w:cs="Arial"/>
        </w:rPr>
        <w:t>Chandrasekar (2024), Smith (2023), and Bellis (2019) discovered that they were at risk if they were female, were sexual minorities, and lived in socioeconomic deprivation and were less likely to be at risk when parents were warm, they felt a sense of belonging with their peers and were supported by trauma-informed care. Despite restrained testing of moderators, the data were invariably consistent in supporting the relationship and environment protective effects against the impact of adversity as explained in Section 4.5.</w:t>
      </w:r>
    </w:p>
    <w:p w14:paraId="30358F3D" w14:textId="2E58C4A2" w:rsidR="001968C6" w:rsidRPr="008D5C42" w:rsidRDefault="001968C6" w:rsidP="008D5C42">
      <w:pPr>
        <w:spacing w:line="360" w:lineRule="auto"/>
        <w:jc w:val="both"/>
        <w:rPr>
          <w:rFonts w:ascii="Arial" w:hAnsi="Arial" w:cs="Arial"/>
          <w:b/>
          <w:i/>
        </w:rPr>
      </w:pPr>
      <w:r w:rsidRPr="008D5C42">
        <w:rPr>
          <w:rFonts w:ascii="Arial" w:hAnsi="Arial" w:cs="Arial"/>
          <w:b/>
          <w:i/>
        </w:rPr>
        <w:t xml:space="preserve">The various </w:t>
      </w:r>
      <w:r w:rsidR="00721817" w:rsidRPr="008D5C42">
        <w:rPr>
          <w:rFonts w:ascii="Arial" w:hAnsi="Arial" w:cs="Arial"/>
          <w:b/>
          <w:i/>
        </w:rPr>
        <w:t>lived experiences</w:t>
      </w:r>
      <w:r w:rsidRPr="008D5C42">
        <w:rPr>
          <w:rFonts w:ascii="Arial" w:hAnsi="Arial" w:cs="Arial"/>
          <w:b/>
          <w:i/>
        </w:rPr>
        <w:t>: seek to contextualise quantitative data.</w:t>
      </w:r>
    </w:p>
    <w:p w14:paraId="11C4D98D" w14:textId="77777777" w:rsidR="001968C6" w:rsidRPr="008D5C42" w:rsidRDefault="001968C6" w:rsidP="008D5C42">
      <w:pPr>
        <w:spacing w:line="360" w:lineRule="auto"/>
        <w:jc w:val="both"/>
        <w:rPr>
          <w:rFonts w:ascii="Arial" w:hAnsi="Arial" w:cs="Arial"/>
        </w:rPr>
      </w:pPr>
      <w:r w:rsidRPr="008D5C42">
        <w:rPr>
          <w:rFonts w:ascii="Arial" w:hAnsi="Arial" w:cs="Arial"/>
        </w:rPr>
        <w:lastRenderedPageBreak/>
        <w:t>Avery (2025) and Jones (2022) have provided qualitative data that illustrated personal experience of adversity, demonstrating how the youngsters managed the problems of shame, identity crisis, and recovery with the help of stable and care-governing relationships. These anecdotes were used to interpret the more underlying processes of the quantitative results.</w:t>
      </w:r>
    </w:p>
    <w:p w14:paraId="47DAA727" w14:textId="77777777" w:rsidR="001968C6" w:rsidRPr="008D5C42" w:rsidRDefault="001968C6" w:rsidP="008D5C42">
      <w:pPr>
        <w:spacing w:line="360" w:lineRule="auto"/>
        <w:jc w:val="both"/>
        <w:rPr>
          <w:rFonts w:ascii="Arial" w:hAnsi="Arial" w:cs="Arial"/>
          <w:b/>
          <w:i/>
        </w:rPr>
      </w:pPr>
      <w:r w:rsidRPr="008D5C42">
        <w:rPr>
          <w:rFonts w:ascii="Arial" w:hAnsi="Arial" w:cs="Arial"/>
          <w:b/>
          <w:i/>
        </w:rPr>
        <w:t>The findings to be integrated to contribute to trauma-informed policy and practice.</w:t>
      </w:r>
    </w:p>
    <w:p w14:paraId="2A4B4E19" w14:textId="77777777" w:rsidR="001968C6" w:rsidRPr="008D5C42" w:rsidRDefault="001968C6" w:rsidP="008D5C42">
      <w:pPr>
        <w:spacing w:line="360" w:lineRule="auto"/>
        <w:jc w:val="both"/>
        <w:rPr>
          <w:rFonts w:ascii="Arial" w:hAnsi="Arial" w:cs="Arial"/>
        </w:rPr>
      </w:pPr>
      <w:r w:rsidRPr="008D5C42">
        <w:rPr>
          <w:rFonts w:ascii="Arial" w:hAnsi="Arial" w:cs="Arial"/>
        </w:rPr>
        <w:t>Section 4.7 model of the biological, behavioural and social factors has integrated the results, demonstrating that secure relationships, supportive peers, and fair systems may break the adverse impact of toxic stress. In general, the four objectives were met, which fulfilled the purpose of the study, and offered a clear and evidence-based knowledge that can be used to drive trauma-informed policies and interventions in the UK. This qualitative and quantitative evidence demonstrates that both methods must be used to develop well-rounded and effective trauma-informed strategies.</w:t>
      </w:r>
    </w:p>
    <w:p w14:paraId="25FFE123" w14:textId="77777777" w:rsidR="001968C6" w:rsidRPr="008D5C42" w:rsidRDefault="001968C6" w:rsidP="008D5C42">
      <w:pPr>
        <w:pStyle w:val="Heading2"/>
      </w:pPr>
      <w:bookmarkStart w:id="42" w:name="_Toc214984617"/>
      <w:r w:rsidRPr="008D5C42">
        <w:t>5.3 Recommendations for practice</w:t>
      </w:r>
      <w:bookmarkEnd w:id="42"/>
    </w:p>
    <w:p w14:paraId="646CBD33" w14:textId="741350ED" w:rsidR="001968C6" w:rsidRPr="008D5C42" w:rsidRDefault="001968C6" w:rsidP="008D5C42">
      <w:pPr>
        <w:spacing w:line="360" w:lineRule="auto"/>
        <w:jc w:val="both"/>
        <w:rPr>
          <w:rFonts w:ascii="Arial" w:hAnsi="Arial" w:cs="Arial"/>
        </w:rPr>
      </w:pPr>
      <w:r w:rsidRPr="008D5C42">
        <w:rPr>
          <w:rFonts w:ascii="Arial" w:hAnsi="Arial" w:cs="Arial"/>
        </w:rPr>
        <w:t xml:space="preserve">The results have a direct implication on mental-health nursing and other related professionals. To begin with, the standard inquiry into ACEs needs to be accompanied by trauma-informed responses in the form of safety focus, choice and collaboration to avoid re-traumatisation (Stevens, Murdoch &amp; Barnes 2020). Second, it can be amended by integrating the structured parental-warmth interventions i.e. the family-based psychoeducation and parenting programmes that can lower subsequent depression and anxiety in high-risk youth. Third, the protective power of friendships networks in peer-support groups facilitated by trained professionals can be used to harness the power of friendship networks and provide validation and coping strategies. Fourth, the services should embrace integrated care pathways to facilitate smooth transfer of care between the child and adult </w:t>
      </w:r>
      <w:r w:rsidR="00A07A3E" w:rsidRPr="008D5C42">
        <w:rPr>
          <w:rFonts w:ascii="Arial" w:hAnsi="Arial" w:cs="Arial"/>
        </w:rPr>
        <w:t>mental health</w:t>
      </w:r>
      <w:r w:rsidRPr="008D5C42">
        <w:rPr>
          <w:rFonts w:ascii="Arial" w:hAnsi="Arial" w:cs="Arial"/>
        </w:rPr>
        <w:t xml:space="preserve"> </w:t>
      </w:r>
      <w:r w:rsidR="00A07A3E" w:rsidRPr="008D5C42">
        <w:rPr>
          <w:rFonts w:ascii="Arial" w:hAnsi="Arial" w:cs="Arial"/>
        </w:rPr>
        <w:t>teams and</w:t>
      </w:r>
      <w:r w:rsidRPr="008D5C42">
        <w:rPr>
          <w:rFonts w:ascii="Arial" w:hAnsi="Arial" w:cs="Arial"/>
        </w:rPr>
        <w:t xml:space="preserve"> reduce disengagement at essential developmental stages. Lastly, lifestyle buffers through promotion of physical activities and unconventional outlets in the community setting can be used to tune stress physiology. The practices to be put in place to achieve this entail workforce education in ACE awareness, family and peer intervention and cross-sectoral health, education and social-care collaborations.</w:t>
      </w:r>
    </w:p>
    <w:p w14:paraId="3AA3444A" w14:textId="77777777" w:rsidR="001968C6" w:rsidRPr="008D5C42" w:rsidRDefault="001968C6" w:rsidP="008D5C42">
      <w:pPr>
        <w:pStyle w:val="Heading2"/>
      </w:pPr>
      <w:bookmarkStart w:id="43" w:name="_Toc214984618"/>
      <w:r w:rsidRPr="008D5C42">
        <w:t>5.4 Recommendations for policy</w:t>
      </w:r>
      <w:bookmarkEnd w:id="43"/>
    </w:p>
    <w:p w14:paraId="247FA0E7" w14:textId="5B1ACFC1" w:rsidR="001968C6" w:rsidRPr="008D5C42" w:rsidRDefault="001968C6" w:rsidP="008D5C42">
      <w:pPr>
        <w:spacing w:line="360" w:lineRule="auto"/>
        <w:jc w:val="both"/>
        <w:rPr>
          <w:rFonts w:ascii="Arial" w:hAnsi="Arial" w:cs="Arial"/>
        </w:rPr>
      </w:pPr>
      <w:r w:rsidRPr="008D5C42">
        <w:rPr>
          <w:rFonts w:ascii="Arial" w:hAnsi="Arial" w:cs="Arial"/>
        </w:rPr>
        <w:t xml:space="preserve">The data highlights the necessity to implement policy actions that can enable the integration of the principles of trauma-informed care into the service sectors. The policymakers of health and education must make ACE screening in schools and primary care mandatory and ensure that there are clear referral channels to specialist assistance. The funding systems should promote multiagency coordination so that the social care, education and health services can be able to share information and make interventions in vulnerable families. Family-centred </w:t>
      </w:r>
      <w:r w:rsidRPr="008D5C42">
        <w:rPr>
          <w:rFonts w:ascii="Arial" w:hAnsi="Arial" w:cs="Arial"/>
        </w:rPr>
        <w:lastRenderedPageBreak/>
        <w:t xml:space="preserve">programmes to encourage parental affection and ensure </w:t>
      </w:r>
      <w:r w:rsidR="00A07A3E" w:rsidRPr="008D5C42">
        <w:rPr>
          <w:rFonts w:ascii="Arial" w:hAnsi="Arial" w:cs="Arial"/>
        </w:rPr>
        <w:t>attachments and</w:t>
      </w:r>
      <w:r w:rsidRPr="008D5C42">
        <w:rPr>
          <w:rFonts w:ascii="Arial" w:hAnsi="Arial" w:cs="Arial"/>
        </w:rPr>
        <w:t xml:space="preserve"> normalise peer-support programmes in youth centres should be approved on a national level. Material foundations will be further cushioned by economic policies that deal with child poverty and housing instability. Such policy measures built into the NHS Long Term Plan and school health initiatives might produce significant public-health outcomes and decrease the disparities in mental-health inequalities in the long-term.</w:t>
      </w:r>
    </w:p>
    <w:p w14:paraId="4F4C8579" w14:textId="77777777" w:rsidR="001968C6" w:rsidRPr="008D5C42" w:rsidRDefault="001968C6" w:rsidP="008D5C42">
      <w:pPr>
        <w:pStyle w:val="Heading2"/>
      </w:pPr>
      <w:bookmarkStart w:id="44" w:name="_Toc214984619"/>
      <w:r w:rsidRPr="008D5C42">
        <w:t>5.5 Limitations of the study</w:t>
      </w:r>
      <w:bookmarkEnd w:id="44"/>
    </w:p>
    <w:p w14:paraId="45A95EB4" w14:textId="5BD19FE8" w:rsidR="001968C6" w:rsidRPr="008D5C42" w:rsidRDefault="001968C6" w:rsidP="008D5C42">
      <w:pPr>
        <w:spacing w:line="360" w:lineRule="auto"/>
        <w:jc w:val="both"/>
        <w:rPr>
          <w:rFonts w:ascii="Arial" w:hAnsi="Arial" w:cs="Arial"/>
        </w:rPr>
      </w:pPr>
      <w:r w:rsidRPr="008D5C42">
        <w:rPr>
          <w:rFonts w:ascii="Arial" w:hAnsi="Arial" w:cs="Arial"/>
        </w:rPr>
        <w:t xml:space="preserve">The review has </w:t>
      </w:r>
      <w:r w:rsidR="00C6545B" w:rsidRPr="008D5C42">
        <w:rPr>
          <w:rFonts w:ascii="Arial" w:hAnsi="Arial" w:cs="Arial"/>
        </w:rPr>
        <w:t>several</w:t>
      </w:r>
      <w:r w:rsidRPr="008D5C42">
        <w:rPr>
          <w:rFonts w:ascii="Arial" w:hAnsi="Arial" w:cs="Arial"/>
        </w:rPr>
        <w:t xml:space="preserve"> limitations, regardless of its methodological rigour. To begin with, search restrictions to English language and UK setting could have left out of the sample study that is relevant to devolved countries or non-English-speaking target groups, which reduces transferability. Second, n=6 studies have been included, the evidence base is narrow and heterogeneous in design, ACE measures and outcome definitions, which does not allow to carry out a meta-analysis and makes the interpretation of the results less generalisable. Third, four quantitative studies were based on retrospective self-reported childhood adversity, which added recall bias, which can overstate relationships. Fourth, the study designs were mainly cross-sectional (4/6), which makes it impossible to clearly define the temporal direction of effects. Fifth, single-reviewer screening and extraction (with 30% supervisor verification) is associated with a chance of selection or transcription error. Sixth, the results of the study could be biased by publication bias whereby studies that present significant relationships have higher chances of being published than those that do not. Lastly, moderators were formally tested only in two studies, which limited the understanding of the functioning of protective factors by subgroups. It is important to note that these limitations highlight the necessity of bigger prospective UK cohorts that were measured using standardised ACE instruments and more stringent mixed-method synthesis in future studies. Irrespective of these limitations, cross-methodological triangulation enhanced the trustworthiness of the noted relationships.</w:t>
      </w:r>
    </w:p>
    <w:p w14:paraId="0DA300E0" w14:textId="77777777" w:rsidR="001968C6" w:rsidRPr="008D5C42" w:rsidRDefault="001968C6" w:rsidP="008D5C42">
      <w:pPr>
        <w:pStyle w:val="Heading2"/>
      </w:pPr>
      <w:bookmarkStart w:id="45" w:name="_Toc214984620"/>
      <w:r w:rsidRPr="008D5C42">
        <w:t>5.6 Future research</w:t>
      </w:r>
      <w:bookmarkEnd w:id="45"/>
    </w:p>
    <w:p w14:paraId="416550EA"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There were multiple evidence gaps in the UK that should be filled in the future. First, there is a need to agree the temporal pathways by employing large-scale prospective cohorts with standardised ACE instruments to reduce the burden of retrospective recall. Second, the intersectional analyses are supposed to explore the effects of ethnicity, sexual orientation and socio-economic status on ACE outcomes and resilience together. Third, causality in relational interventions will be tested using rigorous mixed-method trials of the interventions including family-focused psychoeducation and peer-support programmes that will be informative </w:t>
      </w:r>
      <w:proofErr w:type="gramStart"/>
      <w:r w:rsidRPr="008D5C42">
        <w:rPr>
          <w:rFonts w:ascii="Arial" w:hAnsi="Arial" w:cs="Arial"/>
        </w:rPr>
        <w:t>in service</w:t>
      </w:r>
      <w:proofErr w:type="gramEnd"/>
      <w:r w:rsidRPr="008D5C42">
        <w:rPr>
          <w:rFonts w:ascii="Arial" w:hAnsi="Arial" w:cs="Arial"/>
        </w:rPr>
        <w:t xml:space="preserve"> design. Fourth, there are biomarker analyses carried out with cortisol or inflammatory markers that would confirm the biological entrenchment of stress. Fifth, trauma-informed and resilience-building efforts must be evaluated economically to direct resource distribution in the </w:t>
      </w:r>
      <w:r w:rsidRPr="008D5C42">
        <w:rPr>
          <w:rFonts w:ascii="Arial" w:hAnsi="Arial" w:cs="Arial"/>
        </w:rPr>
        <w:lastRenderedPageBreak/>
        <w:t>NHS and social care. Lastly, there is an opportunity to consider digital health platforms, which provide ACE screening and early support, as potentially acceptable, effective, and equitable while working with different youth groups in the UK.</w:t>
      </w:r>
    </w:p>
    <w:p w14:paraId="66DDFC0B" w14:textId="77777777" w:rsidR="001968C6" w:rsidRPr="008D5C42" w:rsidRDefault="001968C6" w:rsidP="008D5C42">
      <w:pPr>
        <w:pStyle w:val="Heading2"/>
      </w:pPr>
      <w:bookmarkStart w:id="46" w:name="_Toc214984621"/>
      <w:r w:rsidRPr="008D5C42">
        <w:t>5.7 Overall conclusion</w:t>
      </w:r>
      <w:bookmarkEnd w:id="46"/>
    </w:p>
    <w:p w14:paraId="6D1B266F" w14:textId="77777777" w:rsidR="001968C6" w:rsidRPr="008D5C42" w:rsidRDefault="001968C6" w:rsidP="008D5C42">
      <w:pPr>
        <w:spacing w:line="360" w:lineRule="auto"/>
        <w:jc w:val="both"/>
        <w:rPr>
          <w:rFonts w:ascii="Arial" w:hAnsi="Arial" w:cs="Arial"/>
        </w:rPr>
      </w:pPr>
      <w:r w:rsidRPr="008D5C42">
        <w:rPr>
          <w:rFonts w:ascii="Arial" w:hAnsi="Arial" w:cs="Arial"/>
        </w:rPr>
        <w:t>This is the concluding chapter that has summarized the findings and implications of the systematic review. ACEs have significant and lasting implications on psychological, emotional and behavioural well-being in youth in the UK, and there are apparent dose-response relations in the variables of anxiety, depression, self-harm and substance consumption. Nevertheless, relational safety, peer cohesion, trauma-informed care, healthy lifestyles, and material stability can be measured to provide protection. Response should be effective, therefore, through coordinated practice, policy and research interventions: making ACE enquiry routine, investing in family and peer intervention, institutionalization of trauma-informed standards, and prospective and intersectional, economic research.</w:t>
      </w:r>
    </w:p>
    <w:p w14:paraId="459E5481" w14:textId="77777777" w:rsidR="001968C6" w:rsidRPr="008D5C42" w:rsidRDefault="001968C6" w:rsidP="008D5C42">
      <w:pPr>
        <w:spacing w:line="360" w:lineRule="auto"/>
        <w:jc w:val="both"/>
        <w:rPr>
          <w:rFonts w:ascii="Arial" w:hAnsi="Arial" w:cs="Arial"/>
        </w:rPr>
      </w:pPr>
      <w:r w:rsidRPr="008D5C42">
        <w:rPr>
          <w:rFonts w:ascii="Arial" w:hAnsi="Arial" w:cs="Arial"/>
        </w:rPr>
        <w:t>The method used to carry out this systematic review strengthened the role of methodological rigour, transparency and reflexivity in secondary research. It also increased the understanding of how complicated trauma and resilience are, and it is important to use compassionate evidence-based practice. Altogether, this research paper can add to the current professional and policy debates by transforming empirical evidence into practical preventive, early-intervention and mental-health equity strategies. The purpose of the review is to inform and guide the UK services and policymakers by synthesising the existing evidence into a logical model and specific recommendations to enhance resilience and decrease the impact of adversity in childhood.</w:t>
      </w:r>
    </w:p>
    <w:p w14:paraId="661CAD28" w14:textId="77777777" w:rsidR="001968C6" w:rsidRPr="008D5C42" w:rsidRDefault="001968C6" w:rsidP="008D5C42">
      <w:pPr>
        <w:spacing w:line="360" w:lineRule="auto"/>
        <w:jc w:val="both"/>
        <w:rPr>
          <w:rFonts w:ascii="Arial" w:eastAsiaTheme="majorEastAsia" w:hAnsi="Arial" w:cs="Arial"/>
          <w:b/>
          <w:color w:val="2F5496" w:themeColor="accent1" w:themeShade="BF"/>
        </w:rPr>
      </w:pPr>
      <w:r w:rsidRPr="008D5C42">
        <w:rPr>
          <w:rFonts w:ascii="Arial" w:hAnsi="Arial" w:cs="Arial"/>
        </w:rPr>
        <w:br w:type="page"/>
      </w:r>
    </w:p>
    <w:p w14:paraId="752BBEA1" w14:textId="77777777" w:rsidR="001968C6" w:rsidRPr="008D5C42" w:rsidRDefault="001968C6" w:rsidP="008D5C42">
      <w:pPr>
        <w:pStyle w:val="Heading1"/>
      </w:pPr>
      <w:bookmarkStart w:id="47" w:name="_Toc214984622"/>
      <w:r w:rsidRPr="008D5C42">
        <w:lastRenderedPageBreak/>
        <w:t>REFERENCES</w:t>
      </w:r>
      <w:bookmarkEnd w:id="47"/>
      <w:r w:rsidRPr="008D5C42">
        <w:br/>
      </w:r>
    </w:p>
    <w:p w14:paraId="2A3D244B"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Anda, R.F., Croft, J.B., Felitti, V.J., Nordenberg, D., Giles, W.H., Williamson, D.F. and Giovino, G.A., 1999. Adverse childhood experiences and smoking during adolescence and adulthood. Jama, 282(17), pp.1652-1658.</w:t>
      </w:r>
    </w:p>
    <w:p w14:paraId="06A62A31"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Avery, F., James, M., Cowley, L.E., Griffiths, L., Bellis, M.A., Hughes, K. and Brophy, S., 2025. “Support for my dad would have benefited me because I was the one looking after him”: A qualitative analysis of the support needs of young people exposed to Adverse Childhood Experiences. </w:t>
      </w:r>
      <w:proofErr w:type="spellStart"/>
      <w:r w:rsidRPr="008D5C42">
        <w:rPr>
          <w:rFonts w:ascii="Arial" w:hAnsi="Arial" w:cs="Arial"/>
        </w:rPr>
        <w:t>PLoS</w:t>
      </w:r>
      <w:proofErr w:type="spellEnd"/>
      <w:r w:rsidRPr="008D5C42">
        <w:rPr>
          <w:rFonts w:ascii="Arial" w:hAnsi="Arial" w:cs="Arial"/>
        </w:rPr>
        <w:t xml:space="preserve"> One, 20(4), p.e0313371.</w:t>
      </w:r>
    </w:p>
    <w:p w14:paraId="2FAD3E38"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Baldwin, J.R., Wang, B., </w:t>
      </w:r>
      <w:proofErr w:type="spellStart"/>
      <w:r w:rsidRPr="008D5C42">
        <w:rPr>
          <w:rFonts w:ascii="Arial" w:hAnsi="Arial" w:cs="Arial"/>
        </w:rPr>
        <w:t>Karwatowska</w:t>
      </w:r>
      <w:proofErr w:type="spellEnd"/>
      <w:r w:rsidRPr="008D5C42">
        <w:rPr>
          <w:rFonts w:ascii="Arial" w:hAnsi="Arial" w:cs="Arial"/>
        </w:rPr>
        <w:t xml:space="preserve">, L., Schoeler, T., </w:t>
      </w:r>
      <w:proofErr w:type="spellStart"/>
      <w:r w:rsidRPr="008D5C42">
        <w:rPr>
          <w:rFonts w:ascii="Arial" w:hAnsi="Arial" w:cs="Arial"/>
        </w:rPr>
        <w:t>Tsaligopoulou</w:t>
      </w:r>
      <w:proofErr w:type="spellEnd"/>
      <w:r w:rsidRPr="008D5C42">
        <w:rPr>
          <w:rFonts w:ascii="Arial" w:hAnsi="Arial" w:cs="Arial"/>
        </w:rPr>
        <w:t xml:space="preserve">, A., </w:t>
      </w:r>
      <w:proofErr w:type="spellStart"/>
      <w:r w:rsidRPr="008D5C42">
        <w:rPr>
          <w:rFonts w:ascii="Arial" w:hAnsi="Arial" w:cs="Arial"/>
        </w:rPr>
        <w:t>Munafò</w:t>
      </w:r>
      <w:proofErr w:type="spellEnd"/>
      <w:r w:rsidRPr="008D5C42">
        <w:rPr>
          <w:rFonts w:ascii="Arial" w:hAnsi="Arial" w:cs="Arial"/>
        </w:rPr>
        <w:t xml:space="preserve">, M.R. and </w:t>
      </w:r>
      <w:proofErr w:type="spellStart"/>
      <w:r w:rsidRPr="008D5C42">
        <w:rPr>
          <w:rFonts w:ascii="Arial" w:hAnsi="Arial" w:cs="Arial"/>
        </w:rPr>
        <w:t>Pingault</w:t>
      </w:r>
      <w:proofErr w:type="spellEnd"/>
      <w:r w:rsidRPr="008D5C42">
        <w:rPr>
          <w:rFonts w:ascii="Arial" w:hAnsi="Arial" w:cs="Arial"/>
        </w:rPr>
        <w:t>, J.B., 2023. Childhood maltreatment and mental health problems: A systematic review and meta-analysis of quasi-experimental studies. American Journal of Psychiatry, 180(2), pp.117–126.</w:t>
      </w:r>
    </w:p>
    <w:p w14:paraId="2438A876"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Bellis, M.A., Hughes, K., Ford, K., Edwards, S., Sharples, O., Hardcastle, K. and Wood, S., 2018. Does adult alcohol consumption combine with adverse childhood experiences to increase involvement in violence in men and women? A cross-sectional study in England and Wales. BMJ open, 8(12), p.e020591.</w:t>
      </w:r>
    </w:p>
    <w:p w14:paraId="2CA38099"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Bellis, M.A., Hughes, K., Leckenby, N., Jones, L., Baban, A., </w:t>
      </w:r>
      <w:proofErr w:type="spellStart"/>
      <w:r w:rsidRPr="008D5C42">
        <w:rPr>
          <w:rFonts w:ascii="Arial" w:hAnsi="Arial" w:cs="Arial"/>
        </w:rPr>
        <w:t>Kachaeva</w:t>
      </w:r>
      <w:proofErr w:type="spellEnd"/>
      <w:r w:rsidRPr="008D5C42">
        <w:rPr>
          <w:rFonts w:ascii="Arial" w:hAnsi="Arial" w:cs="Arial"/>
        </w:rPr>
        <w:t xml:space="preserve">, M., Povilaitis, R., </w:t>
      </w:r>
      <w:proofErr w:type="spellStart"/>
      <w:r w:rsidRPr="008D5C42">
        <w:rPr>
          <w:rFonts w:ascii="Arial" w:hAnsi="Arial" w:cs="Arial"/>
        </w:rPr>
        <w:t>Pudule</w:t>
      </w:r>
      <w:proofErr w:type="spellEnd"/>
      <w:r w:rsidRPr="008D5C42">
        <w:rPr>
          <w:rFonts w:ascii="Arial" w:hAnsi="Arial" w:cs="Arial"/>
        </w:rPr>
        <w:t xml:space="preserve">, I., </w:t>
      </w:r>
      <w:proofErr w:type="spellStart"/>
      <w:r w:rsidRPr="008D5C42">
        <w:rPr>
          <w:rFonts w:ascii="Arial" w:hAnsi="Arial" w:cs="Arial"/>
        </w:rPr>
        <w:t>Qirjako</w:t>
      </w:r>
      <w:proofErr w:type="spellEnd"/>
      <w:r w:rsidRPr="008D5C42">
        <w:rPr>
          <w:rFonts w:ascii="Arial" w:hAnsi="Arial" w:cs="Arial"/>
        </w:rPr>
        <w:t xml:space="preserve">, G., </w:t>
      </w:r>
      <w:proofErr w:type="spellStart"/>
      <w:r w:rsidRPr="008D5C42">
        <w:rPr>
          <w:rFonts w:ascii="Arial" w:hAnsi="Arial" w:cs="Arial"/>
        </w:rPr>
        <w:t>Ulukol</w:t>
      </w:r>
      <w:proofErr w:type="spellEnd"/>
      <w:r w:rsidRPr="008D5C42">
        <w:rPr>
          <w:rFonts w:ascii="Arial" w:hAnsi="Arial" w:cs="Arial"/>
        </w:rPr>
        <w:t xml:space="preserve">, B. and </w:t>
      </w:r>
      <w:proofErr w:type="spellStart"/>
      <w:r w:rsidRPr="008D5C42">
        <w:rPr>
          <w:rFonts w:ascii="Arial" w:hAnsi="Arial" w:cs="Arial"/>
        </w:rPr>
        <w:t>Ralevah</w:t>
      </w:r>
      <w:proofErr w:type="spellEnd"/>
      <w:r w:rsidRPr="008D5C42">
        <w:rPr>
          <w:rFonts w:ascii="Arial" w:hAnsi="Arial" w:cs="Arial"/>
        </w:rPr>
        <w:t>, M., 2019. Adverse childhood experiences and associations with health-harming behaviours in young adults: surveys in the European Region. View Article.</w:t>
      </w:r>
    </w:p>
    <w:p w14:paraId="17893D3C"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Bellis, M.A., Hughes, K., Leckenby, N., Jones, L., Baban, A., </w:t>
      </w:r>
      <w:proofErr w:type="spellStart"/>
      <w:r w:rsidRPr="008D5C42">
        <w:rPr>
          <w:rFonts w:ascii="Arial" w:hAnsi="Arial" w:cs="Arial"/>
        </w:rPr>
        <w:t>Kachaeva</w:t>
      </w:r>
      <w:proofErr w:type="spellEnd"/>
      <w:r w:rsidRPr="008D5C42">
        <w:rPr>
          <w:rFonts w:ascii="Arial" w:hAnsi="Arial" w:cs="Arial"/>
        </w:rPr>
        <w:t xml:space="preserve">, M., Povilaitis, R., </w:t>
      </w:r>
      <w:proofErr w:type="spellStart"/>
      <w:r w:rsidRPr="008D5C42">
        <w:rPr>
          <w:rFonts w:ascii="Arial" w:hAnsi="Arial" w:cs="Arial"/>
        </w:rPr>
        <w:t>Pudule</w:t>
      </w:r>
      <w:proofErr w:type="spellEnd"/>
      <w:r w:rsidRPr="008D5C42">
        <w:rPr>
          <w:rFonts w:ascii="Arial" w:hAnsi="Arial" w:cs="Arial"/>
        </w:rPr>
        <w:t xml:space="preserve">, I., </w:t>
      </w:r>
      <w:proofErr w:type="spellStart"/>
      <w:r w:rsidRPr="008D5C42">
        <w:rPr>
          <w:rFonts w:ascii="Arial" w:hAnsi="Arial" w:cs="Arial"/>
        </w:rPr>
        <w:t>Qirjako</w:t>
      </w:r>
      <w:proofErr w:type="spellEnd"/>
      <w:r w:rsidRPr="008D5C42">
        <w:rPr>
          <w:rFonts w:ascii="Arial" w:hAnsi="Arial" w:cs="Arial"/>
        </w:rPr>
        <w:t xml:space="preserve">, G., </w:t>
      </w:r>
      <w:proofErr w:type="spellStart"/>
      <w:r w:rsidRPr="008D5C42">
        <w:rPr>
          <w:rFonts w:ascii="Arial" w:hAnsi="Arial" w:cs="Arial"/>
        </w:rPr>
        <w:t>Ulukol</w:t>
      </w:r>
      <w:proofErr w:type="spellEnd"/>
      <w:r w:rsidRPr="008D5C42">
        <w:rPr>
          <w:rFonts w:ascii="Arial" w:hAnsi="Arial" w:cs="Arial"/>
        </w:rPr>
        <w:t xml:space="preserve">, B. and </w:t>
      </w:r>
      <w:proofErr w:type="spellStart"/>
      <w:r w:rsidRPr="008D5C42">
        <w:rPr>
          <w:rFonts w:ascii="Arial" w:hAnsi="Arial" w:cs="Arial"/>
        </w:rPr>
        <w:t>Ralevah</w:t>
      </w:r>
      <w:proofErr w:type="spellEnd"/>
      <w:r w:rsidRPr="008D5C42">
        <w:rPr>
          <w:rFonts w:ascii="Arial" w:hAnsi="Arial" w:cs="Arial"/>
        </w:rPr>
        <w:t>, M., 2019. Adverse childhood experiences and associations with health-harming behaviours in young adults: surveys in the European Region. View Article.</w:t>
      </w:r>
    </w:p>
    <w:p w14:paraId="06FEDD80"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Bellis, M.A., Lowey, H., Leckenby, N., Hughes, K. and Harrison, D., 2014. Adverse childhood experiences: retrospective study to determine their impact on adult health behaviours and health outcomes in a UK population. Journal of public health, 36(1), pp.81-91.</w:t>
      </w:r>
    </w:p>
    <w:p w14:paraId="7A841B8A"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Braun, V. and Clarke, V., 2006. Using thematic analysis in psychology. </w:t>
      </w:r>
      <w:r w:rsidRPr="008D5C42">
        <w:rPr>
          <w:rFonts w:ascii="Arial" w:hAnsi="Arial" w:cs="Arial"/>
          <w:i/>
          <w:iCs/>
        </w:rPr>
        <w:t>Qualitative research in psychology</w:t>
      </w:r>
      <w:r w:rsidRPr="008D5C42">
        <w:rPr>
          <w:rFonts w:ascii="Arial" w:hAnsi="Arial" w:cs="Arial"/>
        </w:rPr>
        <w:t>, </w:t>
      </w:r>
      <w:r w:rsidRPr="008D5C42">
        <w:rPr>
          <w:rFonts w:ascii="Arial" w:hAnsi="Arial" w:cs="Arial"/>
          <w:i/>
          <w:iCs/>
        </w:rPr>
        <w:t>3</w:t>
      </w:r>
      <w:r w:rsidRPr="008D5C42">
        <w:rPr>
          <w:rFonts w:ascii="Arial" w:hAnsi="Arial" w:cs="Arial"/>
        </w:rPr>
        <w:t>(2), pp.77-101.</w:t>
      </w:r>
    </w:p>
    <w:p w14:paraId="39216522"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Bronfenbrenner, U., 1979. The ecology of human development: Experiments by nature and design. Harvard university press.</w:t>
      </w:r>
    </w:p>
    <w:p w14:paraId="5131A7B0"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Burke, N.J., Hellman, J.L., Scott, B.G., Weems, C.F. and Carrion, V.G., 2011. The impact of adverse childhood experiences on an urban </w:t>
      </w:r>
      <w:proofErr w:type="spellStart"/>
      <w:r w:rsidRPr="008D5C42">
        <w:rPr>
          <w:rFonts w:ascii="Arial" w:hAnsi="Arial" w:cs="Arial"/>
        </w:rPr>
        <w:t>pediatric</w:t>
      </w:r>
      <w:proofErr w:type="spellEnd"/>
      <w:r w:rsidRPr="008D5C42">
        <w:rPr>
          <w:rFonts w:ascii="Arial" w:hAnsi="Arial" w:cs="Arial"/>
        </w:rPr>
        <w:t xml:space="preserve"> population. Child abuse &amp; neglect, 35(6), pp.408-413.</w:t>
      </w:r>
    </w:p>
    <w:p w14:paraId="78FAD8B6"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Butchart, A. and Hillis, S., 2016. INSPIRE: Seven strategies for ending violence against children. World Health Organisation.</w:t>
      </w:r>
    </w:p>
    <w:p w14:paraId="4A58ACC9"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lastRenderedPageBreak/>
        <w:t>Critical Appraisal Skills Programme, 2016. Critical appraisal skills programme (CASP) checklists.</w:t>
      </w:r>
    </w:p>
    <w:p w14:paraId="46E97FCC"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Cederlöf, M., 2016. Risks, correlates, and consequences of the extended psychosis phenotype. Karolinska </w:t>
      </w:r>
      <w:proofErr w:type="spellStart"/>
      <w:r w:rsidRPr="008D5C42">
        <w:rPr>
          <w:rFonts w:ascii="Arial" w:hAnsi="Arial" w:cs="Arial"/>
        </w:rPr>
        <w:t>Institutet</w:t>
      </w:r>
      <w:proofErr w:type="spellEnd"/>
      <w:r w:rsidRPr="008D5C42">
        <w:rPr>
          <w:rFonts w:ascii="Arial" w:hAnsi="Arial" w:cs="Arial"/>
        </w:rPr>
        <w:t xml:space="preserve"> (Sweden).</w:t>
      </w:r>
    </w:p>
    <w:p w14:paraId="06D89AB7"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Chandrasekar, R., Karamanos, A., Learoyd, A. and Khanolkar, A.R., 2024. Sexual identity-related inequalities in associations between adverse childhood experiences and health in late adolescence–A national cohort study. </w:t>
      </w:r>
      <w:proofErr w:type="spellStart"/>
      <w:r w:rsidRPr="008D5C42">
        <w:rPr>
          <w:rFonts w:ascii="Arial" w:hAnsi="Arial" w:cs="Arial"/>
        </w:rPr>
        <w:t>Plos</w:t>
      </w:r>
      <w:proofErr w:type="spellEnd"/>
      <w:r w:rsidRPr="008D5C42">
        <w:rPr>
          <w:rFonts w:ascii="Arial" w:hAnsi="Arial" w:cs="Arial"/>
        </w:rPr>
        <w:t xml:space="preserve"> one, 19(12), p.e0312161.</w:t>
      </w:r>
    </w:p>
    <w:p w14:paraId="3EB41DA5"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Chapman, D.P., Dube, S.R. and Anda, R.F., 2007. Adverse childhood events as risk factors for negative mental health outcomes. Psychiatric annals, 37(5).</w:t>
      </w:r>
    </w:p>
    <w:p w14:paraId="1EE22181"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Department for Education (DfE), 2023. Working together to safeguard children 2023: statutory guidance [PDF]. GOV.UK. Available at: </w:t>
      </w:r>
      <w:hyperlink r:id="rId8" w:history="1">
        <w:r w:rsidRPr="008D5C42">
          <w:rPr>
            <w:rStyle w:val="Hyperlink"/>
            <w:rFonts w:ascii="Arial" w:hAnsi="Arial" w:cs="Arial"/>
            <w:color w:val="000000" w:themeColor="text1"/>
          </w:rPr>
          <w:t>https://assets.publishing.service.gov.uk/media/669e7501ab418ab055592a7b/Working_together_to_safeguard_children_2023.pdf</w:t>
        </w:r>
      </w:hyperlink>
      <w:r w:rsidRPr="008D5C42">
        <w:rPr>
          <w:rFonts w:ascii="Arial" w:hAnsi="Arial" w:cs="Arial"/>
        </w:rPr>
        <w:t xml:space="preserve">  (Accessed: 6 June 2025).</w:t>
      </w:r>
    </w:p>
    <w:p w14:paraId="642C0E2E"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Department of Health, &amp; Department for Education, 2017. Transforming children and young people’s mental health provision: A green paper. London: Department of Health and Department for Education.</w:t>
      </w:r>
    </w:p>
    <w:p w14:paraId="0928DD05"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Evans, J., Scourfield, J., Moore, G.F. and Weare, K., 2017. Process evaluation of peer-led ACE prevention programmes in UK schools. Health &amp; Social Care in the Community, 25(6), pp.1875–1883.</w:t>
      </w:r>
    </w:p>
    <w:p w14:paraId="7FB3C847"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Felitti, V.J., Anda, R.F., Nordenberg, D., Williamson, D.F., Spitz, A.M., Edwards, V., Koss, M.P. and Marks, J.S., 2019. Reprint of: Relationship of childhood abuse and household dysfunction to many of the leading causes of death in adults: the adverse childhood experiences (ACE) study. American Journal of Preventive Medicine, 56(6), pp.774–786.</w:t>
      </w:r>
    </w:p>
    <w:p w14:paraId="2F17463A"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Felitti, V.J., Anda, R.F., Nordenberg, D., Williamson, D.F., Spitz, A.M., Edwards, V. and Marks, J.S., 1998. Relationship of childhood abuse and household dysfunction to many of the leading causes of death in adults: The Adverse Childhood Experiences (ACE) Study. American journal of preventive medicine, 14(4), pp.245-258.</w:t>
      </w:r>
    </w:p>
    <w:p w14:paraId="2AEDF16B"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Ford, T., </w:t>
      </w:r>
      <w:proofErr w:type="spellStart"/>
      <w:r w:rsidRPr="008D5C42">
        <w:rPr>
          <w:rFonts w:ascii="Arial" w:hAnsi="Arial" w:cs="Arial"/>
        </w:rPr>
        <w:t>Vostanis</w:t>
      </w:r>
      <w:proofErr w:type="spellEnd"/>
      <w:r w:rsidRPr="008D5C42">
        <w:rPr>
          <w:rFonts w:ascii="Arial" w:hAnsi="Arial" w:cs="Arial"/>
        </w:rPr>
        <w:t>, P., Meltzer, H. and Goodman, R., 2007. Psychiatric disorder among British children looked after by local authorities: comparison with children living in private households. The British Journal of Psychiatry, 190(4), pp.319-325.</w:t>
      </w:r>
    </w:p>
    <w:p w14:paraId="05536141"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Gilbert, R., Widom, C.S., Browne, K., Fergusson, D., Webb, E. and Janson, S., 2009. Burden and consequences of child maltreatment in high-income countries. </w:t>
      </w:r>
      <w:r w:rsidRPr="008D5C42">
        <w:rPr>
          <w:rFonts w:ascii="Arial" w:hAnsi="Arial" w:cs="Arial"/>
          <w:i/>
          <w:iCs/>
        </w:rPr>
        <w:t>The lancet</w:t>
      </w:r>
      <w:r w:rsidRPr="008D5C42">
        <w:rPr>
          <w:rFonts w:ascii="Arial" w:hAnsi="Arial" w:cs="Arial"/>
        </w:rPr>
        <w:t>, </w:t>
      </w:r>
      <w:r w:rsidRPr="008D5C42">
        <w:rPr>
          <w:rFonts w:ascii="Arial" w:hAnsi="Arial" w:cs="Arial"/>
          <w:i/>
          <w:iCs/>
        </w:rPr>
        <w:t>373</w:t>
      </w:r>
      <w:r w:rsidRPr="008D5C42">
        <w:rPr>
          <w:rFonts w:ascii="Arial" w:hAnsi="Arial" w:cs="Arial"/>
        </w:rPr>
        <w:t>(9657), pp.68-81.</w:t>
      </w:r>
    </w:p>
    <w:p w14:paraId="6AC6A3BF"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Great Britain. Department for Education, 2006. Working together to safeguard children: A guide to inter-agency working to safeguard and promote the welfare of children. The Stationery Office.</w:t>
      </w:r>
    </w:p>
    <w:p w14:paraId="6184CBDF"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Herman, J.L., 2015. Trauma and recovery: The aftermath of violence—from domestic abuse to political terror. London: Hachette UK.</w:t>
      </w:r>
    </w:p>
    <w:p w14:paraId="3E8E2305"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lastRenderedPageBreak/>
        <w:t>Hong, S.P., Lee, J.Y. and Kim, S.Y., 2019. Community-based peer support for adolescents with ACEs: Outcomes from a cluster-randomised trial. BMC Public Health, 19(1), p.418.</w:t>
      </w:r>
    </w:p>
    <w:p w14:paraId="6DE25E11"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Hughes, K., Bellis, M.A., Hardcastle, K.A., Sethi, D., Butchart, A., </w:t>
      </w:r>
      <w:proofErr w:type="spellStart"/>
      <w:r w:rsidRPr="008D5C42">
        <w:rPr>
          <w:rFonts w:ascii="Arial" w:hAnsi="Arial" w:cs="Arial"/>
        </w:rPr>
        <w:t>Mikton</w:t>
      </w:r>
      <w:proofErr w:type="spellEnd"/>
      <w:r w:rsidRPr="008D5C42">
        <w:rPr>
          <w:rFonts w:ascii="Arial" w:hAnsi="Arial" w:cs="Arial"/>
        </w:rPr>
        <w:t xml:space="preserve">, C., Jones, L. and Dunne, M.P., 2017. The effect of multiple adverse childhood experiences on health: a systematic review and meta-analysis. The Lancet Public Health, 2(8), </w:t>
      </w:r>
      <w:proofErr w:type="gramStart"/>
      <w:r w:rsidRPr="008D5C42">
        <w:rPr>
          <w:rFonts w:ascii="Arial" w:hAnsi="Arial" w:cs="Arial"/>
        </w:rPr>
        <w:t>pp.e</w:t>
      </w:r>
      <w:proofErr w:type="gramEnd"/>
      <w:r w:rsidRPr="008D5C42">
        <w:rPr>
          <w:rFonts w:ascii="Arial" w:hAnsi="Arial" w:cs="Arial"/>
        </w:rPr>
        <w:t>356–e366.</w:t>
      </w:r>
    </w:p>
    <w:p w14:paraId="203F978E"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Hughes, K., Bellis, M.A., Hardcastle, K.A., Sethi, D., Butchart, A., </w:t>
      </w:r>
      <w:proofErr w:type="spellStart"/>
      <w:r w:rsidRPr="008D5C42">
        <w:rPr>
          <w:rFonts w:ascii="Arial" w:hAnsi="Arial" w:cs="Arial"/>
        </w:rPr>
        <w:t>Mikton</w:t>
      </w:r>
      <w:proofErr w:type="spellEnd"/>
      <w:r w:rsidRPr="008D5C42">
        <w:rPr>
          <w:rFonts w:ascii="Arial" w:hAnsi="Arial" w:cs="Arial"/>
        </w:rPr>
        <w:t xml:space="preserve">, C., Jones, L. and Dunne, M.P., 2017. The effect of multiple adverse childhood experiences on health: a systematic review and meta-analysis. The Lancet public health, 2(8), </w:t>
      </w:r>
      <w:proofErr w:type="gramStart"/>
      <w:r w:rsidRPr="008D5C42">
        <w:rPr>
          <w:rFonts w:ascii="Arial" w:hAnsi="Arial" w:cs="Arial"/>
        </w:rPr>
        <w:t>pp.e</w:t>
      </w:r>
      <w:proofErr w:type="gramEnd"/>
      <w:r w:rsidRPr="008D5C42">
        <w:rPr>
          <w:rFonts w:ascii="Arial" w:hAnsi="Arial" w:cs="Arial"/>
        </w:rPr>
        <w:t>356-e366.</w:t>
      </w:r>
    </w:p>
    <w:p w14:paraId="42A5F349"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Hughes, K., Ford, K., Kadel, R., Sharp, C.A. and Bellis, M.A., 2020. Health and financial burden of adverse childhood experiences in England and Wales: a combined primary data study of five surveys. BMJ open, 10(6), p.e036374.</w:t>
      </w:r>
    </w:p>
    <w:p w14:paraId="7373030B"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Lacey, R.E., Howe, L.D., Kelly-Irving, M., Bartley, M. and Kelly, Y., 2022. The clustering of adverse childhood experiences in the Avon Longitudinal Study of Parents and Children: are gender and poverty </w:t>
      </w:r>
      <w:proofErr w:type="gramStart"/>
      <w:r w:rsidRPr="008D5C42">
        <w:rPr>
          <w:rFonts w:ascii="Arial" w:hAnsi="Arial" w:cs="Arial"/>
        </w:rPr>
        <w:t>important?.</w:t>
      </w:r>
      <w:proofErr w:type="gramEnd"/>
      <w:r w:rsidRPr="008D5C42">
        <w:rPr>
          <w:rFonts w:ascii="Arial" w:hAnsi="Arial" w:cs="Arial"/>
        </w:rPr>
        <w:t xml:space="preserve"> Journal of interpersonal violence, 37(5-6), pp.2218-2241.</w:t>
      </w:r>
    </w:p>
    <w:p w14:paraId="1E48C0CC"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Lam, N., Fairweather, S., Lewer, D., Prescott, M., </w:t>
      </w:r>
      <w:proofErr w:type="spellStart"/>
      <w:r w:rsidRPr="008D5C42">
        <w:rPr>
          <w:rFonts w:ascii="Arial" w:hAnsi="Arial" w:cs="Arial"/>
        </w:rPr>
        <w:t>Undugoda</w:t>
      </w:r>
      <w:proofErr w:type="spellEnd"/>
      <w:r w:rsidRPr="008D5C42">
        <w:rPr>
          <w:rFonts w:ascii="Arial" w:hAnsi="Arial" w:cs="Arial"/>
        </w:rPr>
        <w:t>, P., Dickerson, J., Gilbody, S. and Wadman, R., 2024. The association between adverse childhood experiences and mental health, behaviour, and educational performance in adolescence: A systematic scoping review. PLOS Mental Health, 1(5), p.e0000165.</w:t>
      </w:r>
    </w:p>
    <w:p w14:paraId="68191910" w14:textId="77777777" w:rsidR="001968C6" w:rsidRPr="008D5C42" w:rsidRDefault="001968C6" w:rsidP="008D5C42">
      <w:pPr>
        <w:spacing w:after="0" w:line="360" w:lineRule="auto"/>
        <w:ind w:left="360" w:hanging="720"/>
        <w:jc w:val="both"/>
        <w:rPr>
          <w:rFonts w:ascii="Arial" w:hAnsi="Arial" w:cs="Arial"/>
        </w:rPr>
      </w:pPr>
      <w:proofErr w:type="spellStart"/>
      <w:r w:rsidRPr="008D5C42">
        <w:rPr>
          <w:rFonts w:ascii="Arial" w:hAnsi="Arial" w:cs="Arial"/>
        </w:rPr>
        <w:t>Lereya</w:t>
      </w:r>
      <w:proofErr w:type="spellEnd"/>
      <w:r w:rsidRPr="008D5C42">
        <w:rPr>
          <w:rFonts w:ascii="Arial" w:hAnsi="Arial" w:cs="Arial"/>
        </w:rPr>
        <w:t>, S.T., Copeland, W.E., Costello, E.J. and Wolke, D., 2015. Adult mental health consequences of peer bullying and maltreatment in childhood: two cohorts in two countries. The Lancet Psychiatry, 2(6), pp.524-531.</w:t>
      </w:r>
    </w:p>
    <w:p w14:paraId="25E37B8B" w14:textId="77777777" w:rsidR="001968C6" w:rsidRPr="008D5C42" w:rsidRDefault="001968C6" w:rsidP="008D5C42">
      <w:pPr>
        <w:spacing w:after="0" w:line="360" w:lineRule="auto"/>
        <w:ind w:left="360" w:hanging="720"/>
        <w:jc w:val="both"/>
        <w:rPr>
          <w:rFonts w:ascii="Arial" w:hAnsi="Arial" w:cs="Arial"/>
        </w:rPr>
      </w:pPr>
      <w:proofErr w:type="spellStart"/>
      <w:r w:rsidRPr="008D5C42">
        <w:rPr>
          <w:rFonts w:ascii="Arial" w:hAnsi="Arial" w:cs="Arial"/>
        </w:rPr>
        <w:t>Lereya</w:t>
      </w:r>
      <w:proofErr w:type="spellEnd"/>
      <w:r w:rsidRPr="008D5C42">
        <w:rPr>
          <w:rFonts w:ascii="Arial" w:hAnsi="Arial" w:cs="Arial"/>
        </w:rPr>
        <w:t xml:space="preserve">, S.T., Copeland, W.E., Costello, E.J. and Wolke, D., 2015. Adult mental health </w:t>
      </w:r>
    </w:p>
    <w:p w14:paraId="23073939"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Masten, A.S. and Barnes, A.J., 2018. Resilience in children: Developmental perspectives. Children, 5(7), p.98.</w:t>
      </w:r>
    </w:p>
    <w:p w14:paraId="672AFC3F"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Masten, A.S., 2001. Ordinary magic: Resilience processes in development. American psychologist, 56(3), p.227.</w:t>
      </w:r>
    </w:p>
    <w:p w14:paraId="771BF418"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Maynard, B.R., Farina, A., Dell, N.A. and Kelly, M.S., 2019. Effects of trauma-informed approaches in schools: A systematic review. Campbell Systematic Reviews, 15(1–2), p.e1018.</w:t>
      </w:r>
    </w:p>
    <w:p w14:paraId="06703C8D"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Moffitt, T.E., Arseneault, L., Belsky, D., Dickson, N., Hancox, R.J., Harrington, H., Houts, R., Poulton, R., Roberts, B.W., Ross, S. and Sears, M.R., 2011. A gradient of childhood self-control predicts health, wealth, and public safety. Proceedings of the national Academy of Sciences, 108(7), pp.2693-2698.</w:t>
      </w:r>
    </w:p>
    <w:p w14:paraId="1ACF9C35"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Morris, A.S., Silk, J.S., Steinberg, L., Myers, S.S. and Robinson, L.R., 2017. The role of the family context in the development of emotion regulation. Social Development, 26(2), pp.331–349.</w:t>
      </w:r>
    </w:p>
    <w:p w14:paraId="29A84C76"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National Academies of Sciences, Engineering, and Medicine, 2019. Influences on Mental, Emotional, and </w:t>
      </w:r>
      <w:proofErr w:type="spellStart"/>
      <w:r w:rsidRPr="008D5C42">
        <w:rPr>
          <w:rFonts w:ascii="Arial" w:hAnsi="Arial" w:cs="Arial"/>
        </w:rPr>
        <w:t>Behavioral</w:t>
      </w:r>
      <w:proofErr w:type="spellEnd"/>
      <w:r w:rsidRPr="008D5C42">
        <w:rPr>
          <w:rFonts w:ascii="Arial" w:hAnsi="Arial" w:cs="Arial"/>
        </w:rPr>
        <w:t xml:space="preserve"> Development. In Fostering Healthy Mental, Emotional, and </w:t>
      </w:r>
      <w:proofErr w:type="spellStart"/>
      <w:r w:rsidRPr="008D5C42">
        <w:rPr>
          <w:rFonts w:ascii="Arial" w:hAnsi="Arial" w:cs="Arial"/>
        </w:rPr>
        <w:lastRenderedPageBreak/>
        <w:t>Behavioral</w:t>
      </w:r>
      <w:proofErr w:type="spellEnd"/>
      <w:r w:rsidRPr="008D5C42">
        <w:rPr>
          <w:rFonts w:ascii="Arial" w:hAnsi="Arial" w:cs="Arial"/>
        </w:rPr>
        <w:t xml:space="preserve"> Development in Children and Youth: A National Agenda. National Academies Press (US).</w:t>
      </w:r>
    </w:p>
    <w:p w14:paraId="388A0EFA" w14:textId="77777777" w:rsidR="001968C6" w:rsidRPr="008D5C42" w:rsidRDefault="001968C6" w:rsidP="008D5C42">
      <w:pPr>
        <w:spacing w:after="0" w:line="360" w:lineRule="auto"/>
        <w:ind w:left="360" w:hanging="720"/>
        <w:jc w:val="both"/>
        <w:rPr>
          <w:rFonts w:ascii="Arial" w:hAnsi="Arial" w:cs="Arial"/>
        </w:rPr>
      </w:pPr>
      <w:bookmarkStart w:id="48" w:name="_Hlk200491807"/>
      <w:r w:rsidRPr="008D5C42">
        <w:rPr>
          <w:rFonts w:ascii="Arial" w:hAnsi="Arial" w:cs="Arial"/>
        </w:rPr>
        <w:t xml:space="preserve">Negrea, N., 2024. </w:t>
      </w:r>
      <w:bookmarkEnd w:id="48"/>
      <w:r w:rsidRPr="008D5C42">
        <w:rPr>
          <w:rFonts w:ascii="Arial" w:hAnsi="Arial" w:cs="Arial"/>
        </w:rPr>
        <w:t>ACEs, Education and Space: The Relationship of Adverse Childhood Experiences and Education Across California Counties. University of California, Riverside.</w:t>
      </w:r>
    </w:p>
    <w:p w14:paraId="236D6AEF"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NHS Digital, 2020. Mental health of children and young people in England, 2020: Wave 1 follow-up to the 2017 survey [Online]. NHS Digital. Available at: </w:t>
      </w:r>
      <w:hyperlink r:id="rId9" w:history="1">
        <w:r w:rsidRPr="008D5C42">
          <w:rPr>
            <w:rStyle w:val="Hyperlink"/>
            <w:rFonts w:ascii="Arial" w:hAnsi="Arial" w:cs="Arial"/>
            <w:color w:val="000000" w:themeColor="text1"/>
          </w:rPr>
          <w:t>https://digital.nhs.uk/data-and-information/publications/statistical/mental-health-of-children-and-young-people-in-england/2020-wave-1-follow-up</w:t>
        </w:r>
      </w:hyperlink>
      <w:r w:rsidRPr="008D5C42">
        <w:rPr>
          <w:rFonts w:ascii="Arial" w:hAnsi="Arial" w:cs="Arial"/>
          <w:color w:val="000000" w:themeColor="text1"/>
        </w:rPr>
        <w:t xml:space="preserve"> </w:t>
      </w:r>
      <w:r w:rsidRPr="008D5C42">
        <w:rPr>
          <w:rFonts w:ascii="Arial" w:hAnsi="Arial" w:cs="Arial"/>
        </w:rPr>
        <w:t xml:space="preserve"> (Accessed: 6 June 2025).</w:t>
      </w:r>
    </w:p>
    <w:p w14:paraId="37AC0BB2"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Norman, R.E., Byambaa, M., De, R., Butchart, A., Scott, J. and Vos, T., 2012. The long-term health consequences of child physical abuse, emotional abuse, and neglect: a systematic review and meta-analysis. </w:t>
      </w:r>
      <w:proofErr w:type="spellStart"/>
      <w:r w:rsidRPr="008D5C42">
        <w:rPr>
          <w:rFonts w:ascii="Arial" w:hAnsi="Arial" w:cs="Arial"/>
          <w:i/>
          <w:iCs/>
        </w:rPr>
        <w:t>PLoS</w:t>
      </w:r>
      <w:proofErr w:type="spellEnd"/>
      <w:r w:rsidRPr="008D5C42">
        <w:rPr>
          <w:rFonts w:ascii="Arial" w:hAnsi="Arial" w:cs="Arial"/>
          <w:i/>
          <w:iCs/>
        </w:rPr>
        <w:t xml:space="preserve"> medicine</w:t>
      </w:r>
      <w:r w:rsidRPr="008D5C42">
        <w:rPr>
          <w:rFonts w:ascii="Arial" w:hAnsi="Arial" w:cs="Arial"/>
        </w:rPr>
        <w:t>, </w:t>
      </w:r>
      <w:r w:rsidRPr="008D5C42">
        <w:rPr>
          <w:rFonts w:ascii="Arial" w:hAnsi="Arial" w:cs="Arial"/>
          <w:i/>
          <w:iCs/>
        </w:rPr>
        <w:t>9</w:t>
      </w:r>
      <w:r w:rsidRPr="008D5C42">
        <w:rPr>
          <w:rFonts w:ascii="Arial" w:hAnsi="Arial" w:cs="Arial"/>
        </w:rPr>
        <w:t>(11), p.e1001349.</w:t>
      </w:r>
    </w:p>
    <w:p w14:paraId="5E498055"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NSPCC, 2021. Childhood Trauma Reported by Young People: Findings from the UK-wide Study. London: NSPCC.</w:t>
      </w:r>
    </w:p>
    <w:p w14:paraId="44CD2075"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O’Neill, S., Dempster, M., Mooney, M. and Murtagh, C., 2022. The role of youth sport participation in mitigating ACE impacts: A longitudinal analysis. Psychology of Sport and Exercise, 58, p.102107.</w:t>
      </w:r>
    </w:p>
    <w:p w14:paraId="0C6311B5"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Ofsted (Office for Standards in Education, Children’s Services and Skills), 2022. The Annual Report of His Majesty’s Chief Inspector of Education, Children’s Services and Skills 2021/22. GOV.UK. Available at: </w:t>
      </w:r>
      <w:hyperlink r:id="rId10" w:history="1">
        <w:r w:rsidRPr="008D5C42">
          <w:rPr>
            <w:rStyle w:val="Hyperlink"/>
            <w:rFonts w:ascii="Arial" w:hAnsi="Arial" w:cs="Arial"/>
            <w:color w:val="000000" w:themeColor="text1"/>
          </w:rPr>
          <w:t>https://www.gov.uk/government/publications/ofsted-annual-report-202122-education-childrens-services-and-skills/the-annual-report-of-his-majestys-chief-inspector-of-education-childrens-services-and-skills-202122</w:t>
        </w:r>
      </w:hyperlink>
      <w:r w:rsidRPr="008D5C42">
        <w:rPr>
          <w:rFonts w:ascii="Arial" w:hAnsi="Arial" w:cs="Arial"/>
          <w:color w:val="000000" w:themeColor="text1"/>
        </w:rPr>
        <w:t xml:space="preserve"> </w:t>
      </w:r>
      <w:r w:rsidRPr="008D5C42">
        <w:rPr>
          <w:rFonts w:ascii="Arial" w:hAnsi="Arial" w:cs="Arial"/>
        </w:rPr>
        <w:t xml:space="preserve"> (Accessed: 6 June 2025).</w:t>
      </w:r>
    </w:p>
    <w:p w14:paraId="4FAB0121"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Public Health England, 2015. Promoting children and young people’s emotional health and wellbeing: A whole school and college approach.</w:t>
      </w:r>
    </w:p>
    <w:p w14:paraId="6E57278D"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Ranu, J., </w:t>
      </w:r>
      <w:proofErr w:type="spellStart"/>
      <w:r w:rsidRPr="008D5C42">
        <w:rPr>
          <w:rFonts w:ascii="Arial" w:hAnsi="Arial" w:cs="Arial"/>
        </w:rPr>
        <w:t>Kalebic</w:t>
      </w:r>
      <w:proofErr w:type="spellEnd"/>
      <w:r w:rsidRPr="008D5C42">
        <w:rPr>
          <w:rFonts w:ascii="Arial" w:hAnsi="Arial" w:cs="Arial"/>
        </w:rPr>
        <w:t>, N., Melendez-Torres, G.J. and Taylor, P.J., 2023. Association between adverse childhood experiences and a combination of psychosis and violence among adults: A systematic review and meta-analysis. Trauma, Violence, &amp; Abuse, 24(5), pp.2997-3013.</w:t>
      </w:r>
    </w:p>
    <w:p w14:paraId="209540E3"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Robinson, O.C. and Adams, A., 2021. Digital mental-health interventions for trauma: A scoping review. Internet Interventions, 24, p.100385.</w:t>
      </w:r>
    </w:p>
    <w:p w14:paraId="18E71743"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Ross, L.E., Sellers, L.G. and Williams, C., 2017. Minority stress and mental health outcomes: A systematic review. Journal of LGBT Youth, 14(1), pp.1–22.</w:t>
      </w:r>
    </w:p>
    <w:p w14:paraId="74743429"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Shalev, A., </w:t>
      </w:r>
      <w:proofErr w:type="spellStart"/>
      <w:r w:rsidRPr="008D5C42">
        <w:rPr>
          <w:rFonts w:ascii="Arial" w:hAnsi="Arial" w:cs="Arial"/>
        </w:rPr>
        <w:t>Liberzon</w:t>
      </w:r>
      <w:proofErr w:type="spellEnd"/>
      <w:r w:rsidRPr="008D5C42">
        <w:rPr>
          <w:rFonts w:ascii="Arial" w:hAnsi="Arial" w:cs="Arial"/>
        </w:rPr>
        <w:t>, I. and Marmar, C., 2017. Post-traumatic stress disorder. New England journal of medicine, 376(25), pp.2459-2469.</w:t>
      </w:r>
    </w:p>
    <w:p w14:paraId="29020C65"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Sheridan, M.A. and McLaughlin, K.A., 2014. Dimensions of early experience and neural development: deprivation and threat. Trends in cognitive sciences, 18(11), pp.580-585.</w:t>
      </w:r>
    </w:p>
    <w:p w14:paraId="4EA25023"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Shields, J.L. and Wagers, S., 2015. Childhood adversity and risk of psychosis: A systematic review and meta-analysis. Schizophrenia Bulletin, 41(6), pp.1332–1341.</w:t>
      </w:r>
    </w:p>
    <w:p w14:paraId="43E93990"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lastRenderedPageBreak/>
        <w:t xml:space="preserve">Soares, S., Santos, A.C. and Fraga, S., 2022. Adverse childhood experiences, bullying, inflammation and BMI in 10 -year-old children: The biological embodiment. </w:t>
      </w:r>
      <w:proofErr w:type="spellStart"/>
      <w:r w:rsidRPr="008D5C42">
        <w:rPr>
          <w:rFonts w:ascii="Arial" w:hAnsi="Arial" w:cs="Arial"/>
        </w:rPr>
        <w:t>PLoS</w:t>
      </w:r>
      <w:proofErr w:type="spellEnd"/>
      <w:r w:rsidRPr="008D5C42">
        <w:rPr>
          <w:rFonts w:ascii="Arial" w:hAnsi="Arial" w:cs="Arial"/>
        </w:rPr>
        <w:t xml:space="preserve"> one, 17(8), p.e0273329.</w:t>
      </w:r>
    </w:p>
    <w:p w14:paraId="655223E6"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Stevens, S., Murdoch, D. and Barnes, J., 2020. Economic evaluation of trauma-informed group interventions: A systematic review. Health Economics, 29(5), pp.530–545.</w:t>
      </w:r>
    </w:p>
    <w:p w14:paraId="1B381F8D"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Sweeney, A., Clement, S., Filson, B. and Kennedy, A., 2016. Trauma-informed mental healthcare in the UK: What is it and how can we deliver it? British Journal of Psychiatry, 208(3), pp.211–217.</w:t>
      </w:r>
    </w:p>
    <w:p w14:paraId="531F1467"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Tegethoff, M., Belardi, A. and </w:t>
      </w:r>
      <w:proofErr w:type="spellStart"/>
      <w:r w:rsidRPr="008D5C42">
        <w:rPr>
          <w:rFonts w:ascii="Arial" w:hAnsi="Arial" w:cs="Arial"/>
        </w:rPr>
        <w:t>Meinlschmidt</w:t>
      </w:r>
      <w:proofErr w:type="spellEnd"/>
      <w:r w:rsidRPr="008D5C42">
        <w:rPr>
          <w:rFonts w:ascii="Arial" w:hAnsi="Arial" w:cs="Arial"/>
        </w:rPr>
        <w:t>, G., 2015. Mechanisms linking childhood adversities to psychopathology: a review. European Archives of Psychiatry and Clinical Neuroscience, 265(5), pp.397–408.</w:t>
      </w:r>
    </w:p>
    <w:p w14:paraId="6A5E8563"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Teicher, M.H. and Samson, J.A., 2016. Annual research review: enduring neurobiological effects of childhood abuse and neglect. Journal of child psychology and psychiatry, 57(3), pp.241-266.</w:t>
      </w:r>
    </w:p>
    <w:p w14:paraId="47301C3A"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 xml:space="preserve">Travis, C., Dixon, D.P., Bergmann, L., Legg, R. and </w:t>
      </w:r>
      <w:proofErr w:type="spellStart"/>
      <w:r w:rsidRPr="008D5C42">
        <w:rPr>
          <w:rFonts w:ascii="Arial" w:hAnsi="Arial" w:cs="Arial"/>
        </w:rPr>
        <w:t>Crampsie</w:t>
      </w:r>
      <w:proofErr w:type="spellEnd"/>
      <w:r w:rsidRPr="008D5C42">
        <w:rPr>
          <w:rFonts w:ascii="Arial" w:hAnsi="Arial" w:cs="Arial"/>
        </w:rPr>
        <w:t>, A. eds., 2023. Routledge handbook of the digital environmental humanities. London and New York: Routledge.</w:t>
      </w:r>
    </w:p>
    <w:p w14:paraId="1BB7C12D" w14:textId="77777777" w:rsidR="001968C6" w:rsidRPr="008D5C42" w:rsidRDefault="001968C6" w:rsidP="008D5C42">
      <w:pPr>
        <w:spacing w:after="0" w:line="360" w:lineRule="auto"/>
        <w:ind w:left="360" w:hanging="720"/>
        <w:jc w:val="both"/>
        <w:rPr>
          <w:rFonts w:ascii="Arial" w:hAnsi="Arial" w:cs="Arial"/>
        </w:rPr>
      </w:pPr>
      <w:r w:rsidRPr="008D5C42">
        <w:rPr>
          <w:rFonts w:ascii="Arial" w:hAnsi="Arial" w:cs="Arial"/>
        </w:rPr>
        <w:t>Treisman, K., 2016. Working with relational and developmental trauma in children and adolescents. Routledge.</w:t>
      </w:r>
    </w:p>
    <w:p w14:paraId="43A2D9D6" w14:textId="69F30172" w:rsidR="001968C6" w:rsidRPr="008D5C42" w:rsidRDefault="001968C6" w:rsidP="008D5C42">
      <w:pPr>
        <w:spacing w:line="360" w:lineRule="auto"/>
        <w:jc w:val="both"/>
        <w:rPr>
          <w:rFonts w:ascii="Arial" w:hAnsi="Arial" w:cs="Arial"/>
        </w:rPr>
      </w:pPr>
    </w:p>
    <w:p w14:paraId="598BC214" w14:textId="77777777" w:rsidR="001968C6" w:rsidRPr="008D5C42" w:rsidRDefault="001968C6" w:rsidP="008D5C42">
      <w:pPr>
        <w:pStyle w:val="Heading1"/>
      </w:pPr>
      <w:bookmarkStart w:id="49" w:name="_Toc214984623"/>
      <w:r w:rsidRPr="008D5C42">
        <w:t>LIST OF TABLES</w:t>
      </w:r>
      <w:bookmarkEnd w:id="49"/>
    </w:p>
    <w:p w14:paraId="61A16336" w14:textId="77777777" w:rsidR="001968C6" w:rsidRPr="008D5C42" w:rsidRDefault="001968C6" w:rsidP="008D5C42">
      <w:pPr>
        <w:pStyle w:val="Heading2"/>
      </w:pPr>
      <w:bookmarkStart w:id="50" w:name="_Toc214984624"/>
      <w:r w:rsidRPr="008D5C42">
        <w:t>Table 1: Eligibility criteria</w:t>
      </w:r>
      <w:bookmarkEnd w:id="50"/>
    </w:p>
    <w:tbl>
      <w:tblPr>
        <w:tblStyle w:val="TableGrid"/>
        <w:tblW w:w="0" w:type="auto"/>
        <w:tblLook w:val="04A0" w:firstRow="1" w:lastRow="0" w:firstColumn="1" w:lastColumn="0" w:noHBand="0" w:noVBand="1"/>
      </w:tblPr>
      <w:tblGrid>
        <w:gridCol w:w="2122"/>
        <w:gridCol w:w="3402"/>
        <w:gridCol w:w="3492"/>
      </w:tblGrid>
      <w:tr w:rsidR="001968C6" w:rsidRPr="008D5C42" w14:paraId="476DE513" w14:textId="77777777" w:rsidTr="002002FA">
        <w:tc>
          <w:tcPr>
            <w:tcW w:w="2122" w:type="dxa"/>
            <w:shd w:val="clear" w:color="auto" w:fill="5B9BD5" w:themeFill="accent5"/>
          </w:tcPr>
          <w:p w14:paraId="076808AE"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Framework element</w:t>
            </w:r>
          </w:p>
        </w:tc>
        <w:tc>
          <w:tcPr>
            <w:tcW w:w="3402" w:type="dxa"/>
            <w:shd w:val="clear" w:color="auto" w:fill="5B9BD5" w:themeFill="accent5"/>
          </w:tcPr>
          <w:p w14:paraId="3D21AA91"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Inclusion criteria</w:t>
            </w:r>
          </w:p>
        </w:tc>
        <w:tc>
          <w:tcPr>
            <w:tcW w:w="3492" w:type="dxa"/>
            <w:shd w:val="clear" w:color="auto" w:fill="5B9BD5" w:themeFill="accent5"/>
          </w:tcPr>
          <w:p w14:paraId="4F994EB9"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Exclusion criteria</w:t>
            </w:r>
          </w:p>
        </w:tc>
      </w:tr>
      <w:tr w:rsidR="001968C6" w:rsidRPr="008D5C42" w14:paraId="1206CEF1" w14:textId="77777777" w:rsidTr="002002FA">
        <w:tc>
          <w:tcPr>
            <w:tcW w:w="2122" w:type="dxa"/>
            <w:shd w:val="clear" w:color="auto" w:fill="B4C6E7" w:themeFill="accent1" w:themeFillTint="66"/>
          </w:tcPr>
          <w:p w14:paraId="5DF9E9E2" w14:textId="77777777" w:rsidR="001968C6" w:rsidRPr="008D5C42" w:rsidRDefault="001968C6" w:rsidP="008D5C42">
            <w:pPr>
              <w:spacing w:line="360" w:lineRule="auto"/>
              <w:jc w:val="both"/>
              <w:rPr>
                <w:rFonts w:ascii="Arial" w:hAnsi="Arial" w:cs="Arial"/>
              </w:rPr>
            </w:pPr>
            <w:r w:rsidRPr="008D5C42">
              <w:rPr>
                <w:rFonts w:ascii="Arial" w:hAnsi="Arial" w:cs="Arial"/>
              </w:rPr>
              <w:t>Population</w:t>
            </w:r>
          </w:p>
        </w:tc>
        <w:tc>
          <w:tcPr>
            <w:tcW w:w="3402" w:type="dxa"/>
            <w:shd w:val="clear" w:color="auto" w:fill="B4C6E7" w:themeFill="accent1" w:themeFillTint="66"/>
          </w:tcPr>
          <w:p w14:paraId="578E7717" w14:textId="77777777" w:rsidR="001968C6" w:rsidRPr="008D5C42" w:rsidRDefault="001968C6" w:rsidP="008D5C42">
            <w:pPr>
              <w:spacing w:line="360" w:lineRule="auto"/>
              <w:jc w:val="both"/>
              <w:rPr>
                <w:rFonts w:ascii="Arial" w:hAnsi="Arial" w:cs="Arial"/>
              </w:rPr>
            </w:pPr>
            <w:r w:rsidRPr="008D5C42">
              <w:rPr>
                <w:rFonts w:ascii="Arial" w:hAnsi="Arial" w:cs="Arial"/>
              </w:rPr>
              <w:t>Young people aged 10 -25 years whose residence or study setting is in the United Kingdom</w:t>
            </w:r>
          </w:p>
        </w:tc>
        <w:tc>
          <w:tcPr>
            <w:tcW w:w="3492" w:type="dxa"/>
            <w:shd w:val="clear" w:color="auto" w:fill="B4C6E7" w:themeFill="accent1" w:themeFillTint="66"/>
          </w:tcPr>
          <w:p w14:paraId="0F7B8E17" w14:textId="77777777" w:rsidR="001968C6" w:rsidRPr="008D5C42" w:rsidRDefault="001968C6" w:rsidP="008D5C42">
            <w:pPr>
              <w:spacing w:line="360" w:lineRule="auto"/>
              <w:jc w:val="both"/>
              <w:rPr>
                <w:rFonts w:ascii="Arial" w:hAnsi="Arial" w:cs="Arial"/>
              </w:rPr>
            </w:pPr>
            <w:r w:rsidRPr="008D5C42">
              <w:rPr>
                <w:rFonts w:ascii="Arial" w:hAnsi="Arial" w:cs="Arial"/>
              </w:rPr>
              <w:t>Samples drawn wholly from countries outside the United Kingdom or involving participants younger than ten years or older than twenty-five years</w:t>
            </w:r>
          </w:p>
        </w:tc>
      </w:tr>
      <w:tr w:rsidR="001968C6" w:rsidRPr="008D5C42" w14:paraId="04BCE1B1" w14:textId="77777777" w:rsidTr="002002FA">
        <w:tc>
          <w:tcPr>
            <w:tcW w:w="2122" w:type="dxa"/>
            <w:shd w:val="clear" w:color="auto" w:fill="AEAAAA" w:themeFill="background2" w:themeFillShade="BF"/>
          </w:tcPr>
          <w:p w14:paraId="2A3DAB13" w14:textId="77777777" w:rsidR="001968C6" w:rsidRPr="008D5C42" w:rsidRDefault="001968C6" w:rsidP="008D5C42">
            <w:pPr>
              <w:spacing w:line="360" w:lineRule="auto"/>
              <w:jc w:val="both"/>
              <w:rPr>
                <w:rFonts w:ascii="Arial" w:hAnsi="Arial" w:cs="Arial"/>
              </w:rPr>
            </w:pPr>
            <w:r w:rsidRPr="008D5C42">
              <w:rPr>
                <w:rFonts w:ascii="Arial" w:hAnsi="Arial" w:cs="Arial"/>
              </w:rPr>
              <w:t>Exposure</w:t>
            </w:r>
          </w:p>
        </w:tc>
        <w:tc>
          <w:tcPr>
            <w:tcW w:w="3402" w:type="dxa"/>
            <w:shd w:val="clear" w:color="auto" w:fill="AEAAAA" w:themeFill="background2" w:themeFillShade="BF"/>
          </w:tcPr>
          <w:p w14:paraId="1AD8C23C" w14:textId="77777777" w:rsidR="001968C6" w:rsidRPr="008D5C42" w:rsidRDefault="001968C6" w:rsidP="008D5C42">
            <w:pPr>
              <w:spacing w:line="360" w:lineRule="auto"/>
              <w:jc w:val="both"/>
              <w:rPr>
                <w:rFonts w:ascii="Arial" w:hAnsi="Arial" w:cs="Arial"/>
              </w:rPr>
            </w:pPr>
            <w:r w:rsidRPr="008D5C42">
              <w:rPr>
                <w:rFonts w:ascii="Arial" w:hAnsi="Arial" w:cs="Arial"/>
              </w:rPr>
              <w:t>Presence of at least one adverse childhood experience defined within the classic ten category model covering abuse neglect and household dysfunction</w:t>
            </w:r>
          </w:p>
        </w:tc>
        <w:tc>
          <w:tcPr>
            <w:tcW w:w="3492" w:type="dxa"/>
            <w:shd w:val="clear" w:color="auto" w:fill="AEAAAA" w:themeFill="background2" w:themeFillShade="BF"/>
          </w:tcPr>
          <w:p w14:paraId="08A03278" w14:textId="77777777" w:rsidR="001968C6" w:rsidRPr="008D5C42" w:rsidRDefault="001968C6" w:rsidP="008D5C42">
            <w:pPr>
              <w:spacing w:line="360" w:lineRule="auto"/>
              <w:jc w:val="both"/>
              <w:rPr>
                <w:rFonts w:ascii="Arial" w:hAnsi="Arial" w:cs="Arial"/>
              </w:rPr>
            </w:pPr>
            <w:r w:rsidRPr="008D5C42">
              <w:rPr>
                <w:rFonts w:ascii="Arial" w:hAnsi="Arial" w:cs="Arial"/>
              </w:rPr>
              <w:t>Studies that do not measure adverse childhood experiences or focus solely on other forms of trauma such as war exposure or single incident accidents</w:t>
            </w:r>
          </w:p>
        </w:tc>
      </w:tr>
      <w:tr w:rsidR="001968C6" w:rsidRPr="008D5C42" w14:paraId="4F5883D4" w14:textId="77777777" w:rsidTr="002002FA">
        <w:tc>
          <w:tcPr>
            <w:tcW w:w="2122" w:type="dxa"/>
            <w:shd w:val="clear" w:color="auto" w:fill="FBE4D5" w:themeFill="accent2" w:themeFillTint="33"/>
          </w:tcPr>
          <w:p w14:paraId="5D2AEA56" w14:textId="77777777" w:rsidR="001968C6" w:rsidRPr="008D5C42" w:rsidRDefault="001968C6" w:rsidP="008D5C42">
            <w:pPr>
              <w:spacing w:line="360" w:lineRule="auto"/>
              <w:jc w:val="both"/>
              <w:rPr>
                <w:rFonts w:ascii="Arial" w:hAnsi="Arial" w:cs="Arial"/>
              </w:rPr>
            </w:pPr>
            <w:r w:rsidRPr="008D5C42">
              <w:rPr>
                <w:rFonts w:ascii="Arial" w:hAnsi="Arial" w:cs="Arial"/>
              </w:rPr>
              <w:t>Comparison</w:t>
            </w:r>
          </w:p>
        </w:tc>
        <w:tc>
          <w:tcPr>
            <w:tcW w:w="3402" w:type="dxa"/>
            <w:shd w:val="clear" w:color="auto" w:fill="FBE4D5" w:themeFill="accent2" w:themeFillTint="33"/>
          </w:tcPr>
          <w:p w14:paraId="526CD76F"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Groups with fewer than one adverse childhood experience or </w:t>
            </w:r>
            <w:r w:rsidRPr="008D5C42">
              <w:rPr>
                <w:rFonts w:ascii="Arial" w:hAnsi="Arial" w:cs="Arial"/>
              </w:rPr>
              <w:lastRenderedPageBreak/>
              <w:t>no exposure when such a comparator is reported</w:t>
            </w:r>
          </w:p>
        </w:tc>
        <w:tc>
          <w:tcPr>
            <w:tcW w:w="3492" w:type="dxa"/>
            <w:shd w:val="clear" w:color="auto" w:fill="FBE4D5" w:themeFill="accent2" w:themeFillTint="33"/>
          </w:tcPr>
          <w:p w14:paraId="34919045" w14:textId="77777777" w:rsidR="001968C6" w:rsidRPr="008D5C42" w:rsidRDefault="001968C6" w:rsidP="008D5C42">
            <w:pPr>
              <w:spacing w:line="360" w:lineRule="auto"/>
              <w:jc w:val="both"/>
              <w:rPr>
                <w:rFonts w:ascii="Arial" w:hAnsi="Arial" w:cs="Arial"/>
              </w:rPr>
            </w:pPr>
            <w:r w:rsidRPr="008D5C42">
              <w:rPr>
                <w:rFonts w:ascii="Arial" w:hAnsi="Arial" w:cs="Arial"/>
              </w:rPr>
              <w:lastRenderedPageBreak/>
              <w:t xml:space="preserve">Studies that do not provide any comparator group or mix </w:t>
            </w:r>
            <w:r w:rsidRPr="008D5C42">
              <w:rPr>
                <w:rFonts w:ascii="Arial" w:hAnsi="Arial" w:cs="Arial"/>
              </w:rPr>
              <w:lastRenderedPageBreak/>
              <w:t>exposure levels without distinction</w:t>
            </w:r>
          </w:p>
        </w:tc>
      </w:tr>
      <w:tr w:rsidR="001968C6" w:rsidRPr="008D5C42" w14:paraId="56F3B392" w14:textId="77777777" w:rsidTr="002002FA">
        <w:tc>
          <w:tcPr>
            <w:tcW w:w="2122" w:type="dxa"/>
            <w:shd w:val="clear" w:color="auto" w:fill="E2EFD9" w:themeFill="accent6" w:themeFillTint="33"/>
          </w:tcPr>
          <w:p w14:paraId="11C630EA" w14:textId="77777777" w:rsidR="001968C6" w:rsidRPr="008D5C42" w:rsidRDefault="001968C6" w:rsidP="008D5C42">
            <w:pPr>
              <w:spacing w:line="360" w:lineRule="auto"/>
              <w:jc w:val="both"/>
              <w:rPr>
                <w:rFonts w:ascii="Arial" w:hAnsi="Arial" w:cs="Arial"/>
              </w:rPr>
            </w:pPr>
            <w:r w:rsidRPr="008D5C42">
              <w:rPr>
                <w:rFonts w:ascii="Arial" w:hAnsi="Arial" w:cs="Arial"/>
              </w:rPr>
              <w:lastRenderedPageBreak/>
              <w:t>Outcomes</w:t>
            </w:r>
          </w:p>
        </w:tc>
        <w:tc>
          <w:tcPr>
            <w:tcW w:w="3402" w:type="dxa"/>
            <w:shd w:val="clear" w:color="auto" w:fill="E2EFD9" w:themeFill="accent6" w:themeFillTint="33"/>
          </w:tcPr>
          <w:p w14:paraId="7B4F2CC3" w14:textId="77777777" w:rsidR="001968C6" w:rsidRPr="008D5C42" w:rsidRDefault="001968C6" w:rsidP="008D5C42">
            <w:pPr>
              <w:spacing w:line="360" w:lineRule="auto"/>
              <w:jc w:val="both"/>
              <w:rPr>
                <w:rFonts w:ascii="Arial" w:hAnsi="Arial" w:cs="Arial"/>
              </w:rPr>
            </w:pPr>
            <w:r w:rsidRPr="008D5C42">
              <w:rPr>
                <w:rFonts w:ascii="Arial" w:hAnsi="Arial" w:cs="Arial"/>
              </w:rPr>
              <w:t>Quantitative indicators of psychological emotional or behavioural health such as anxiety depression substance use risk taking plus qualitative accounts describing lived trauma</w:t>
            </w:r>
          </w:p>
        </w:tc>
        <w:tc>
          <w:tcPr>
            <w:tcW w:w="3492" w:type="dxa"/>
            <w:shd w:val="clear" w:color="auto" w:fill="E2EFD9" w:themeFill="accent6" w:themeFillTint="33"/>
          </w:tcPr>
          <w:p w14:paraId="2775380B" w14:textId="77777777" w:rsidR="001968C6" w:rsidRPr="008D5C42" w:rsidRDefault="001968C6" w:rsidP="008D5C42">
            <w:pPr>
              <w:spacing w:line="360" w:lineRule="auto"/>
              <w:jc w:val="both"/>
              <w:rPr>
                <w:rFonts w:ascii="Arial" w:hAnsi="Arial" w:cs="Arial"/>
              </w:rPr>
            </w:pPr>
            <w:r w:rsidRPr="008D5C42">
              <w:rPr>
                <w:rFonts w:ascii="Arial" w:hAnsi="Arial" w:cs="Arial"/>
              </w:rPr>
              <w:t>Studies reporting only physical or biomedical outcomes without any psychological or behavioural dimension</w:t>
            </w:r>
          </w:p>
        </w:tc>
      </w:tr>
      <w:tr w:rsidR="001968C6" w:rsidRPr="008D5C42" w14:paraId="26E76FD1" w14:textId="77777777" w:rsidTr="002002FA">
        <w:tc>
          <w:tcPr>
            <w:tcW w:w="2122" w:type="dxa"/>
            <w:shd w:val="clear" w:color="auto" w:fill="FFF2CC" w:themeFill="accent4" w:themeFillTint="33"/>
          </w:tcPr>
          <w:p w14:paraId="5E3CBD02" w14:textId="77777777" w:rsidR="001968C6" w:rsidRPr="008D5C42" w:rsidRDefault="001968C6" w:rsidP="008D5C42">
            <w:pPr>
              <w:spacing w:line="360" w:lineRule="auto"/>
              <w:jc w:val="both"/>
              <w:rPr>
                <w:rFonts w:ascii="Arial" w:hAnsi="Arial" w:cs="Arial"/>
              </w:rPr>
            </w:pPr>
            <w:r w:rsidRPr="008D5C42">
              <w:rPr>
                <w:rFonts w:ascii="Arial" w:hAnsi="Arial" w:cs="Arial"/>
              </w:rPr>
              <w:t>Study design</w:t>
            </w:r>
          </w:p>
        </w:tc>
        <w:tc>
          <w:tcPr>
            <w:tcW w:w="3402" w:type="dxa"/>
          </w:tcPr>
          <w:p w14:paraId="5B2BCED1" w14:textId="77777777" w:rsidR="001968C6" w:rsidRPr="008D5C42" w:rsidRDefault="001968C6" w:rsidP="008D5C42">
            <w:pPr>
              <w:spacing w:line="360" w:lineRule="auto"/>
              <w:jc w:val="both"/>
              <w:rPr>
                <w:rFonts w:ascii="Arial" w:hAnsi="Arial" w:cs="Arial"/>
              </w:rPr>
            </w:pPr>
            <w:r w:rsidRPr="008D5C42">
              <w:rPr>
                <w:rFonts w:ascii="Arial" w:hAnsi="Arial" w:cs="Arial"/>
              </w:rPr>
              <w:t>Original quantitative or qualitative primary research published in English between 2015 to 2025 in peer reviewed journals</w:t>
            </w:r>
          </w:p>
        </w:tc>
        <w:tc>
          <w:tcPr>
            <w:tcW w:w="3492" w:type="dxa"/>
          </w:tcPr>
          <w:p w14:paraId="3AAA00A4"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Secondary reviews discussion papers conference abstracts editorials dissertations </w:t>
            </w:r>
            <w:proofErr w:type="spellStart"/>
            <w:r w:rsidRPr="008D5C42">
              <w:rPr>
                <w:rFonts w:ascii="Arial" w:hAnsi="Arial" w:cs="Arial"/>
              </w:rPr>
              <w:t>theses</w:t>
            </w:r>
            <w:proofErr w:type="spellEnd"/>
            <w:r w:rsidRPr="008D5C42">
              <w:rPr>
                <w:rFonts w:ascii="Arial" w:hAnsi="Arial" w:cs="Arial"/>
              </w:rPr>
              <w:t xml:space="preserve"> and other grey literature</w:t>
            </w:r>
          </w:p>
        </w:tc>
      </w:tr>
      <w:tr w:rsidR="001968C6" w:rsidRPr="008D5C42" w14:paraId="3F459BDD" w14:textId="77777777" w:rsidTr="002002FA">
        <w:tc>
          <w:tcPr>
            <w:tcW w:w="2122" w:type="dxa"/>
            <w:shd w:val="clear" w:color="auto" w:fill="AEAAAA" w:themeFill="background2" w:themeFillShade="BF"/>
          </w:tcPr>
          <w:p w14:paraId="17B96F68" w14:textId="77777777" w:rsidR="001968C6" w:rsidRPr="008D5C42" w:rsidRDefault="001968C6" w:rsidP="008D5C42">
            <w:pPr>
              <w:spacing w:line="360" w:lineRule="auto"/>
              <w:jc w:val="both"/>
              <w:rPr>
                <w:rFonts w:ascii="Arial" w:hAnsi="Arial" w:cs="Arial"/>
              </w:rPr>
            </w:pPr>
            <w:r w:rsidRPr="008D5C42">
              <w:rPr>
                <w:rFonts w:ascii="Arial" w:hAnsi="Arial" w:cs="Arial"/>
              </w:rPr>
              <w:t>Additional limits</w:t>
            </w:r>
          </w:p>
        </w:tc>
        <w:tc>
          <w:tcPr>
            <w:tcW w:w="3402" w:type="dxa"/>
            <w:shd w:val="clear" w:color="auto" w:fill="AEAAAA" w:themeFill="background2" w:themeFillShade="BF"/>
          </w:tcPr>
          <w:p w14:paraId="3FF3B163" w14:textId="77777777" w:rsidR="001968C6" w:rsidRPr="008D5C42" w:rsidRDefault="001968C6" w:rsidP="008D5C42">
            <w:pPr>
              <w:spacing w:line="360" w:lineRule="auto"/>
              <w:jc w:val="both"/>
              <w:rPr>
                <w:rFonts w:ascii="Arial" w:hAnsi="Arial" w:cs="Arial"/>
              </w:rPr>
            </w:pPr>
            <w:r w:rsidRPr="008D5C42">
              <w:rPr>
                <w:rFonts w:ascii="Arial" w:hAnsi="Arial" w:cs="Arial"/>
              </w:rPr>
              <w:t>Full text available for retrieval and analysis</w:t>
            </w:r>
          </w:p>
        </w:tc>
        <w:tc>
          <w:tcPr>
            <w:tcW w:w="3492" w:type="dxa"/>
            <w:shd w:val="clear" w:color="auto" w:fill="AEAAAA" w:themeFill="background2" w:themeFillShade="BF"/>
          </w:tcPr>
          <w:p w14:paraId="02E8FD2F" w14:textId="77777777" w:rsidR="001968C6" w:rsidRPr="008D5C42" w:rsidRDefault="001968C6" w:rsidP="008D5C42">
            <w:pPr>
              <w:spacing w:line="360" w:lineRule="auto"/>
              <w:jc w:val="both"/>
              <w:rPr>
                <w:rFonts w:ascii="Arial" w:hAnsi="Arial" w:cs="Arial"/>
              </w:rPr>
            </w:pPr>
            <w:r w:rsidRPr="008D5C42">
              <w:rPr>
                <w:rFonts w:ascii="Arial" w:hAnsi="Arial" w:cs="Arial"/>
              </w:rPr>
              <w:t>Articles where full text is unavailable or paywalled beyond institutional access</w:t>
            </w:r>
          </w:p>
        </w:tc>
      </w:tr>
    </w:tbl>
    <w:p w14:paraId="6C793212" w14:textId="77777777" w:rsidR="001968C6" w:rsidRPr="008D5C42" w:rsidRDefault="001968C6" w:rsidP="008D5C42">
      <w:pPr>
        <w:spacing w:line="360" w:lineRule="auto"/>
        <w:jc w:val="both"/>
        <w:rPr>
          <w:rFonts w:ascii="Arial" w:hAnsi="Arial" w:cs="Arial"/>
        </w:rPr>
      </w:pPr>
    </w:p>
    <w:p w14:paraId="0082C3A5" w14:textId="77777777" w:rsidR="001968C6" w:rsidRPr="008D5C42" w:rsidRDefault="001968C6" w:rsidP="008D5C42">
      <w:pPr>
        <w:spacing w:line="360" w:lineRule="auto"/>
        <w:jc w:val="both"/>
        <w:rPr>
          <w:rFonts w:ascii="Arial" w:hAnsi="Arial" w:cs="Arial"/>
        </w:rPr>
      </w:pPr>
    </w:p>
    <w:p w14:paraId="33984205" w14:textId="77777777" w:rsidR="001968C6" w:rsidRPr="008D5C42" w:rsidRDefault="001968C6" w:rsidP="008D5C42">
      <w:pPr>
        <w:pStyle w:val="Heading2"/>
      </w:pPr>
      <w:bookmarkStart w:id="51" w:name="_Toc214984625"/>
      <w:r w:rsidRPr="008D5C42">
        <w:t>Table 2: Screening Summary Table</w:t>
      </w:r>
      <w:bookmarkEnd w:id="51"/>
    </w:p>
    <w:tbl>
      <w:tblPr>
        <w:tblStyle w:val="TableGrid"/>
        <w:tblW w:w="9270" w:type="dxa"/>
        <w:tblLook w:val="04A0" w:firstRow="1" w:lastRow="0" w:firstColumn="1" w:lastColumn="0" w:noHBand="0" w:noVBand="1"/>
      </w:tblPr>
      <w:tblGrid>
        <w:gridCol w:w="4635"/>
        <w:gridCol w:w="4635"/>
      </w:tblGrid>
      <w:tr w:rsidR="001968C6" w:rsidRPr="008D5C42" w14:paraId="4DFA5F76" w14:textId="77777777" w:rsidTr="002002FA">
        <w:trPr>
          <w:trHeight w:val="467"/>
        </w:trPr>
        <w:tc>
          <w:tcPr>
            <w:tcW w:w="4635" w:type="dxa"/>
          </w:tcPr>
          <w:p w14:paraId="732992AE"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Screening stage</w:t>
            </w:r>
          </w:p>
        </w:tc>
        <w:tc>
          <w:tcPr>
            <w:tcW w:w="4635" w:type="dxa"/>
          </w:tcPr>
          <w:p w14:paraId="1CED12E3"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Records remaining (n)</w:t>
            </w:r>
          </w:p>
        </w:tc>
      </w:tr>
      <w:tr w:rsidR="001968C6" w:rsidRPr="008D5C42" w14:paraId="18AB3D33" w14:textId="77777777" w:rsidTr="002002FA">
        <w:trPr>
          <w:trHeight w:val="441"/>
        </w:trPr>
        <w:tc>
          <w:tcPr>
            <w:tcW w:w="4635" w:type="dxa"/>
          </w:tcPr>
          <w:p w14:paraId="192D1945" w14:textId="77777777" w:rsidR="001968C6" w:rsidRPr="008D5C42" w:rsidRDefault="001968C6" w:rsidP="008D5C42">
            <w:pPr>
              <w:spacing w:line="360" w:lineRule="auto"/>
              <w:jc w:val="both"/>
              <w:rPr>
                <w:rFonts w:ascii="Arial" w:hAnsi="Arial" w:cs="Arial"/>
              </w:rPr>
            </w:pPr>
            <w:r w:rsidRPr="008D5C42">
              <w:rPr>
                <w:rFonts w:ascii="Arial" w:hAnsi="Arial" w:cs="Arial"/>
              </w:rPr>
              <w:t>Records identified from databases</w:t>
            </w:r>
          </w:p>
        </w:tc>
        <w:tc>
          <w:tcPr>
            <w:tcW w:w="4635" w:type="dxa"/>
          </w:tcPr>
          <w:p w14:paraId="722F3904" w14:textId="77777777" w:rsidR="001968C6" w:rsidRPr="008D5C42" w:rsidRDefault="001968C6" w:rsidP="008D5C42">
            <w:pPr>
              <w:spacing w:line="360" w:lineRule="auto"/>
              <w:jc w:val="both"/>
              <w:rPr>
                <w:rFonts w:ascii="Arial" w:hAnsi="Arial" w:cs="Arial"/>
              </w:rPr>
            </w:pPr>
            <w:r w:rsidRPr="008D5C42">
              <w:rPr>
                <w:rFonts w:ascii="Arial" w:hAnsi="Arial" w:cs="Arial"/>
              </w:rPr>
              <w:t>164</w:t>
            </w:r>
          </w:p>
        </w:tc>
      </w:tr>
      <w:tr w:rsidR="001968C6" w:rsidRPr="008D5C42" w14:paraId="3788D992" w14:textId="77777777" w:rsidTr="002002FA">
        <w:trPr>
          <w:trHeight w:val="467"/>
        </w:trPr>
        <w:tc>
          <w:tcPr>
            <w:tcW w:w="4635" w:type="dxa"/>
          </w:tcPr>
          <w:p w14:paraId="7C5792FC" w14:textId="77777777" w:rsidR="001968C6" w:rsidRPr="008D5C42" w:rsidRDefault="001968C6" w:rsidP="008D5C42">
            <w:pPr>
              <w:spacing w:line="360" w:lineRule="auto"/>
              <w:jc w:val="both"/>
              <w:rPr>
                <w:rFonts w:ascii="Arial" w:hAnsi="Arial" w:cs="Arial"/>
              </w:rPr>
            </w:pPr>
            <w:r w:rsidRPr="008D5C42">
              <w:rPr>
                <w:rFonts w:ascii="Arial" w:hAnsi="Arial" w:cs="Arial"/>
              </w:rPr>
              <w:t>Duplicates removed</w:t>
            </w:r>
          </w:p>
        </w:tc>
        <w:tc>
          <w:tcPr>
            <w:tcW w:w="4635" w:type="dxa"/>
          </w:tcPr>
          <w:p w14:paraId="46AEB5FF" w14:textId="77777777" w:rsidR="001968C6" w:rsidRPr="008D5C42" w:rsidRDefault="001968C6" w:rsidP="008D5C42">
            <w:pPr>
              <w:spacing w:line="360" w:lineRule="auto"/>
              <w:jc w:val="both"/>
              <w:rPr>
                <w:rFonts w:ascii="Arial" w:hAnsi="Arial" w:cs="Arial"/>
              </w:rPr>
            </w:pPr>
            <w:r w:rsidRPr="008D5C42">
              <w:rPr>
                <w:rFonts w:ascii="Arial" w:hAnsi="Arial" w:cs="Arial"/>
              </w:rPr>
              <w:t>16</w:t>
            </w:r>
          </w:p>
        </w:tc>
      </w:tr>
      <w:tr w:rsidR="001968C6" w:rsidRPr="008D5C42" w14:paraId="134078E3" w14:textId="77777777" w:rsidTr="002002FA">
        <w:trPr>
          <w:trHeight w:val="441"/>
        </w:trPr>
        <w:tc>
          <w:tcPr>
            <w:tcW w:w="4635" w:type="dxa"/>
          </w:tcPr>
          <w:p w14:paraId="180F7907" w14:textId="77777777" w:rsidR="001968C6" w:rsidRPr="008D5C42" w:rsidRDefault="001968C6" w:rsidP="008D5C42">
            <w:pPr>
              <w:spacing w:line="360" w:lineRule="auto"/>
              <w:jc w:val="both"/>
              <w:rPr>
                <w:rFonts w:ascii="Arial" w:hAnsi="Arial" w:cs="Arial"/>
              </w:rPr>
            </w:pPr>
            <w:r w:rsidRPr="008D5C42">
              <w:rPr>
                <w:rFonts w:ascii="Arial" w:hAnsi="Arial" w:cs="Arial"/>
              </w:rPr>
              <w:t>Records screened by title and abstract</w:t>
            </w:r>
          </w:p>
        </w:tc>
        <w:tc>
          <w:tcPr>
            <w:tcW w:w="4635" w:type="dxa"/>
          </w:tcPr>
          <w:p w14:paraId="24A2C3DB" w14:textId="77777777" w:rsidR="001968C6" w:rsidRPr="008D5C42" w:rsidRDefault="001968C6" w:rsidP="008D5C42">
            <w:pPr>
              <w:spacing w:line="360" w:lineRule="auto"/>
              <w:jc w:val="both"/>
              <w:rPr>
                <w:rFonts w:ascii="Arial" w:hAnsi="Arial" w:cs="Arial"/>
              </w:rPr>
            </w:pPr>
            <w:r w:rsidRPr="008D5C42">
              <w:rPr>
                <w:rFonts w:ascii="Arial" w:hAnsi="Arial" w:cs="Arial"/>
              </w:rPr>
              <w:t>148</w:t>
            </w:r>
          </w:p>
        </w:tc>
      </w:tr>
      <w:tr w:rsidR="001968C6" w:rsidRPr="008D5C42" w14:paraId="3B85ADD7" w14:textId="77777777" w:rsidTr="002002FA">
        <w:trPr>
          <w:trHeight w:val="467"/>
        </w:trPr>
        <w:tc>
          <w:tcPr>
            <w:tcW w:w="4635" w:type="dxa"/>
          </w:tcPr>
          <w:p w14:paraId="2B6A4527" w14:textId="77777777" w:rsidR="001968C6" w:rsidRPr="008D5C42" w:rsidRDefault="001968C6" w:rsidP="008D5C42">
            <w:pPr>
              <w:spacing w:line="360" w:lineRule="auto"/>
              <w:jc w:val="both"/>
              <w:rPr>
                <w:rFonts w:ascii="Arial" w:hAnsi="Arial" w:cs="Arial"/>
              </w:rPr>
            </w:pPr>
            <w:r w:rsidRPr="008D5C42">
              <w:rPr>
                <w:rFonts w:ascii="Arial" w:hAnsi="Arial" w:cs="Arial"/>
              </w:rPr>
              <w:t>Full text articles assessed for eligibility</w:t>
            </w:r>
          </w:p>
        </w:tc>
        <w:tc>
          <w:tcPr>
            <w:tcW w:w="4635" w:type="dxa"/>
          </w:tcPr>
          <w:p w14:paraId="26EBB4D9" w14:textId="77777777" w:rsidR="001968C6" w:rsidRPr="008D5C42" w:rsidRDefault="001968C6" w:rsidP="008D5C42">
            <w:pPr>
              <w:spacing w:line="360" w:lineRule="auto"/>
              <w:jc w:val="both"/>
              <w:rPr>
                <w:rFonts w:ascii="Arial" w:hAnsi="Arial" w:cs="Arial"/>
              </w:rPr>
            </w:pPr>
            <w:r w:rsidRPr="008D5C42">
              <w:rPr>
                <w:rFonts w:ascii="Arial" w:hAnsi="Arial" w:cs="Arial"/>
              </w:rPr>
              <w:t>12</w:t>
            </w:r>
          </w:p>
        </w:tc>
      </w:tr>
      <w:tr w:rsidR="001968C6" w:rsidRPr="008D5C42" w14:paraId="6EC55097" w14:textId="77777777" w:rsidTr="002002FA">
        <w:trPr>
          <w:trHeight w:val="441"/>
        </w:trPr>
        <w:tc>
          <w:tcPr>
            <w:tcW w:w="4635" w:type="dxa"/>
          </w:tcPr>
          <w:p w14:paraId="126AF61D"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Studies included in synthesis</w:t>
            </w:r>
          </w:p>
        </w:tc>
        <w:tc>
          <w:tcPr>
            <w:tcW w:w="4635" w:type="dxa"/>
          </w:tcPr>
          <w:p w14:paraId="2C706451"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6</w:t>
            </w:r>
          </w:p>
        </w:tc>
      </w:tr>
    </w:tbl>
    <w:p w14:paraId="22B1908B" w14:textId="77777777" w:rsidR="001968C6" w:rsidRPr="008D5C42" w:rsidRDefault="001968C6" w:rsidP="008D5C42">
      <w:pPr>
        <w:spacing w:line="360" w:lineRule="auto"/>
        <w:jc w:val="both"/>
        <w:rPr>
          <w:rFonts w:ascii="Arial" w:hAnsi="Arial" w:cs="Arial"/>
        </w:rPr>
      </w:pPr>
    </w:p>
    <w:p w14:paraId="1102D654" w14:textId="77777777" w:rsidR="001968C6" w:rsidRPr="008D5C42" w:rsidRDefault="001968C6" w:rsidP="008D5C42">
      <w:pPr>
        <w:spacing w:line="360" w:lineRule="auto"/>
        <w:jc w:val="both"/>
        <w:rPr>
          <w:rFonts w:ascii="Arial" w:hAnsi="Arial" w:cs="Arial"/>
        </w:rPr>
      </w:pPr>
    </w:p>
    <w:p w14:paraId="34E4FFFA" w14:textId="77777777" w:rsidR="001968C6" w:rsidRPr="008D5C42" w:rsidRDefault="001968C6" w:rsidP="008D5C42">
      <w:pPr>
        <w:pStyle w:val="Heading2"/>
      </w:pPr>
      <w:bookmarkStart w:id="52" w:name="_Toc214984626"/>
      <w:r w:rsidRPr="008D5C42">
        <w:t>Table 3: Simple Summary Table of Results</w:t>
      </w:r>
      <w:bookmarkEnd w:id="52"/>
    </w:p>
    <w:tbl>
      <w:tblPr>
        <w:tblStyle w:val="TableGrid"/>
        <w:tblW w:w="0" w:type="auto"/>
        <w:tblLook w:val="04A0" w:firstRow="1" w:lastRow="0" w:firstColumn="1" w:lastColumn="0" w:noHBand="0" w:noVBand="1"/>
      </w:tblPr>
      <w:tblGrid>
        <w:gridCol w:w="2142"/>
        <w:gridCol w:w="2270"/>
        <w:gridCol w:w="2142"/>
        <w:gridCol w:w="2142"/>
      </w:tblGrid>
      <w:tr w:rsidR="001968C6" w:rsidRPr="008D5C42" w14:paraId="3128EC2A" w14:textId="77777777" w:rsidTr="002002FA">
        <w:trPr>
          <w:trHeight w:val="1125"/>
        </w:trPr>
        <w:tc>
          <w:tcPr>
            <w:tcW w:w="2142" w:type="dxa"/>
          </w:tcPr>
          <w:p w14:paraId="503CDAC8"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Study (Author &amp; Year)</w:t>
            </w:r>
          </w:p>
        </w:tc>
        <w:tc>
          <w:tcPr>
            <w:tcW w:w="2270" w:type="dxa"/>
          </w:tcPr>
          <w:p w14:paraId="49A21701"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Impact of ACEs (Main Outcomes)</w:t>
            </w:r>
          </w:p>
        </w:tc>
        <w:tc>
          <w:tcPr>
            <w:tcW w:w="2142" w:type="dxa"/>
          </w:tcPr>
          <w:p w14:paraId="6A594DDD"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Protective / Resilience Factors</w:t>
            </w:r>
          </w:p>
        </w:tc>
        <w:tc>
          <w:tcPr>
            <w:tcW w:w="2142" w:type="dxa"/>
          </w:tcPr>
          <w:p w14:paraId="7F0D0294"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Key Takeaway</w:t>
            </w:r>
          </w:p>
        </w:tc>
      </w:tr>
      <w:tr w:rsidR="001968C6" w:rsidRPr="008D5C42" w14:paraId="6A244FBA" w14:textId="77777777" w:rsidTr="002002FA">
        <w:trPr>
          <w:trHeight w:val="404"/>
        </w:trPr>
        <w:tc>
          <w:tcPr>
            <w:tcW w:w="2142" w:type="dxa"/>
          </w:tcPr>
          <w:p w14:paraId="09F8DF9A" w14:textId="77777777" w:rsidR="001968C6" w:rsidRPr="008D5C42" w:rsidRDefault="001968C6" w:rsidP="008D5C42">
            <w:pPr>
              <w:spacing w:line="360" w:lineRule="auto"/>
              <w:jc w:val="both"/>
              <w:rPr>
                <w:rFonts w:ascii="Arial" w:hAnsi="Arial" w:cs="Arial"/>
              </w:rPr>
            </w:pPr>
            <w:proofErr w:type="spellStart"/>
            <w:r w:rsidRPr="008D5C42">
              <w:rPr>
                <w:rFonts w:ascii="Arial" w:hAnsi="Arial" w:cs="Arial"/>
              </w:rPr>
              <w:lastRenderedPageBreak/>
              <w:t>Lereya</w:t>
            </w:r>
            <w:proofErr w:type="spellEnd"/>
            <w:r w:rsidRPr="008D5C42">
              <w:rPr>
                <w:rFonts w:ascii="Arial" w:hAnsi="Arial" w:cs="Arial"/>
              </w:rPr>
              <w:t xml:space="preserve"> et al. (2015)</w:t>
            </w:r>
          </w:p>
        </w:tc>
        <w:tc>
          <w:tcPr>
            <w:tcW w:w="2270" w:type="dxa"/>
          </w:tcPr>
          <w:p w14:paraId="2BA6D058" w14:textId="77777777" w:rsidR="001968C6" w:rsidRPr="008D5C42" w:rsidRDefault="001968C6" w:rsidP="008D5C42">
            <w:pPr>
              <w:spacing w:line="360" w:lineRule="auto"/>
              <w:jc w:val="both"/>
              <w:rPr>
                <w:rFonts w:ascii="Arial" w:hAnsi="Arial" w:cs="Arial"/>
              </w:rPr>
            </w:pPr>
            <w:r w:rsidRPr="008D5C42">
              <w:rPr>
                <w:rFonts w:ascii="Arial" w:hAnsi="Arial" w:cs="Arial"/>
              </w:rPr>
              <w:t>Higher anxiety and depression in adulthood after ACEs</w:t>
            </w:r>
          </w:p>
        </w:tc>
        <w:tc>
          <w:tcPr>
            <w:tcW w:w="2142" w:type="dxa"/>
          </w:tcPr>
          <w:p w14:paraId="399378B1" w14:textId="77777777" w:rsidR="001968C6" w:rsidRPr="008D5C42" w:rsidRDefault="001968C6" w:rsidP="008D5C42">
            <w:pPr>
              <w:spacing w:line="360" w:lineRule="auto"/>
              <w:jc w:val="both"/>
              <w:rPr>
                <w:rFonts w:ascii="Arial" w:hAnsi="Arial" w:cs="Arial"/>
              </w:rPr>
            </w:pPr>
            <w:r w:rsidRPr="008D5C42">
              <w:rPr>
                <w:rFonts w:ascii="Arial" w:hAnsi="Arial" w:cs="Arial"/>
              </w:rPr>
              <w:t>Parental warmth reduced later depression</w:t>
            </w:r>
          </w:p>
        </w:tc>
        <w:tc>
          <w:tcPr>
            <w:tcW w:w="2142" w:type="dxa"/>
          </w:tcPr>
          <w:p w14:paraId="6989E508" w14:textId="77777777" w:rsidR="001968C6" w:rsidRPr="008D5C42" w:rsidRDefault="001968C6" w:rsidP="008D5C42">
            <w:pPr>
              <w:spacing w:line="360" w:lineRule="auto"/>
              <w:jc w:val="both"/>
              <w:rPr>
                <w:rFonts w:ascii="Arial" w:hAnsi="Arial" w:cs="Arial"/>
              </w:rPr>
            </w:pPr>
            <w:r w:rsidRPr="008D5C42">
              <w:rPr>
                <w:rFonts w:ascii="Arial" w:hAnsi="Arial" w:cs="Arial"/>
              </w:rPr>
              <w:t>Emotional support in adolescence is protective</w:t>
            </w:r>
          </w:p>
        </w:tc>
      </w:tr>
      <w:tr w:rsidR="001968C6" w:rsidRPr="008D5C42" w14:paraId="14F21C61" w14:textId="77777777" w:rsidTr="002002FA">
        <w:trPr>
          <w:trHeight w:val="381"/>
        </w:trPr>
        <w:tc>
          <w:tcPr>
            <w:tcW w:w="2142" w:type="dxa"/>
          </w:tcPr>
          <w:p w14:paraId="0E137B06" w14:textId="77777777" w:rsidR="001968C6" w:rsidRPr="008D5C42" w:rsidRDefault="001968C6" w:rsidP="008D5C42">
            <w:pPr>
              <w:spacing w:line="360" w:lineRule="auto"/>
              <w:jc w:val="both"/>
              <w:rPr>
                <w:rFonts w:ascii="Arial" w:hAnsi="Arial" w:cs="Arial"/>
              </w:rPr>
            </w:pPr>
            <w:r w:rsidRPr="008D5C42">
              <w:rPr>
                <w:rFonts w:ascii="Arial" w:hAnsi="Arial" w:cs="Arial"/>
              </w:rPr>
              <w:t>Bellis et al. (2019)</w:t>
            </w:r>
          </w:p>
        </w:tc>
        <w:tc>
          <w:tcPr>
            <w:tcW w:w="2270" w:type="dxa"/>
          </w:tcPr>
          <w:p w14:paraId="1C63509A" w14:textId="77777777" w:rsidR="001968C6" w:rsidRPr="008D5C42" w:rsidRDefault="001968C6" w:rsidP="008D5C42">
            <w:pPr>
              <w:spacing w:line="360" w:lineRule="auto"/>
              <w:jc w:val="both"/>
              <w:rPr>
                <w:rFonts w:ascii="Arial" w:hAnsi="Arial" w:cs="Arial"/>
              </w:rPr>
            </w:pPr>
            <w:r w:rsidRPr="008D5C42">
              <w:rPr>
                <w:rFonts w:ascii="Arial" w:hAnsi="Arial" w:cs="Arial"/>
              </w:rPr>
              <w:t>Very high self-harm, suicide attempts, and substance use in ≥4 ACE group</w:t>
            </w:r>
          </w:p>
        </w:tc>
        <w:tc>
          <w:tcPr>
            <w:tcW w:w="2142" w:type="dxa"/>
          </w:tcPr>
          <w:p w14:paraId="2917D8FF" w14:textId="77777777" w:rsidR="001968C6" w:rsidRPr="008D5C42" w:rsidRDefault="001968C6" w:rsidP="008D5C42">
            <w:pPr>
              <w:spacing w:line="360" w:lineRule="auto"/>
              <w:jc w:val="both"/>
              <w:rPr>
                <w:rFonts w:ascii="Arial" w:hAnsi="Arial" w:cs="Arial"/>
              </w:rPr>
            </w:pPr>
            <w:r w:rsidRPr="008D5C42">
              <w:rPr>
                <w:rFonts w:ascii="Arial" w:hAnsi="Arial" w:cs="Arial"/>
              </w:rPr>
              <w:t>Peer belonging reduced harmful behaviours</w:t>
            </w:r>
          </w:p>
        </w:tc>
        <w:tc>
          <w:tcPr>
            <w:tcW w:w="2142" w:type="dxa"/>
          </w:tcPr>
          <w:p w14:paraId="12EC7932" w14:textId="77777777" w:rsidR="001968C6" w:rsidRPr="008D5C42" w:rsidRDefault="001968C6" w:rsidP="008D5C42">
            <w:pPr>
              <w:spacing w:line="360" w:lineRule="auto"/>
              <w:jc w:val="both"/>
              <w:rPr>
                <w:rFonts w:ascii="Arial" w:hAnsi="Arial" w:cs="Arial"/>
              </w:rPr>
            </w:pPr>
            <w:r w:rsidRPr="008D5C42">
              <w:rPr>
                <w:rFonts w:ascii="Arial" w:hAnsi="Arial" w:cs="Arial"/>
              </w:rPr>
              <w:t>Risk increases sharply with more ACE exposure</w:t>
            </w:r>
          </w:p>
        </w:tc>
      </w:tr>
      <w:tr w:rsidR="001968C6" w:rsidRPr="008D5C42" w14:paraId="3EA85CA7" w14:textId="77777777" w:rsidTr="002002FA">
        <w:trPr>
          <w:trHeight w:val="404"/>
        </w:trPr>
        <w:tc>
          <w:tcPr>
            <w:tcW w:w="2142" w:type="dxa"/>
          </w:tcPr>
          <w:p w14:paraId="273764F8" w14:textId="77777777" w:rsidR="001968C6" w:rsidRPr="008D5C42" w:rsidRDefault="001968C6" w:rsidP="008D5C42">
            <w:pPr>
              <w:spacing w:line="360" w:lineRule="auto"/>
              <w:jc w:val="both"/>
              <w:rPr>
                <w:rFonts w:ascii="Arial" w:hAnsi="Arial" w:cs="Arial"/>
              </w:rPr>
            </w:pPr>
            <w:r w:rsidRPr="008D5C42">
              <w:rPr>
                <w:rFonts w:ascii="Arial" w:hAnsi="Arial" w:cs="Arial"/>
              </w:rPr>
              <w:t>Chandrasekar et al. (2024)</w:t>
            </w:r>
          </w:p>
        </w:tc>
        <w:tc>
          <w:tcPr>
            <w:tcW w:w="2270" w:type="dxa"/>
          </w:tcPr>
          <w:p w14:paraId="13294C9F" w14:textId="77777777" w:rsidR="001968C6" w:rsidRPr="008D5C42" w:rsidRDefault="001968C6" w:rsidP="008D5C42">
            <w:pPr>
              <w:spacing w:line="360" w:lineRule="auto"/>
              <w:jc w:val="both"/>
              <w:rPr>
                <w:rFonts w:ascii="Arial" w:hAnsi="Arial" w:cs="Arial"/>
              </w:rPr>
            </w:pPr>
            <w:r w:rsidRPr="008D5C42">
              <w:rPr>
                <w:rFonts w:ascii="Arial" w:hAnsi="Arial" w:cs="Arial"/>
              </w:rPr>
              <w:t>Distress increased with number of adversities</w:t>
            </w:r>
          </w:p>
        </w:tc>
        <w:tc>
          <w:tcPr>
            <w:tcW w:w="2142" w:type="dxa"/>
          </w:tcPr>
          <w:p w14:paraId="326D3107" w14:textId="77777777" w:rsidR="001968C6" w:rsidRPr="008D5C42" w:rsidRDefault="001968C6" w:rsidP="008D5C42">
            <w:pPr>
              <w:spacing w:line="360" w:lineRule="auto"/>
              <w:jc w:val="both"/>
              <w:rPr>
                <w:rFonts w:ascii="Arial" w:hAnsi="Arial" w:cs="Arial"/>
              </w:rPr>
            </w:pPr>
            <w:r w:rsidRPr="008D5C42">
              <w:rPr>
                <w:rFonts w:ascii="Arial" w:hAnsi="Arial" w:cs="Arial"/>
              </w:rPr>
              <w:t>Supportive peer groups reduced self-harm</w:t>
            </w:r>
          </w:p>
        </w:tc>
        <w:tc>
          <w:tcPr>
            <w:tcW w:w="2142" w:type="dxa"/>
          </w:tcPr>
          <w:p w14:paraId="21FE950A" w14:textId="77777777" w:rsidR="001968C6" w:rsidRPr="008D5C42" w:rsidRDefault="001968C6" w:rsidP="008D5C42">
            <w:pPr>
              <w:spacing w:line="360" w:lineRule="auto"/>
              <w:jc w:val="both"/>
              <w:rPr>
                <w:rFonts w:ascii="Arial" w:hAnsi="Arial" w:cs="Arial"/>
              </w:rPr>
            </w:pPr>
            <w:r w:rsidRPr="008D5C42">
              <w:rPr>
                <w:rFonts w:ascii="Arial" w:hAnsi="Arial" w:cs="Arial"/>
              </w:rPr>
              <w:t>Sexual-minority youth more affected</w:t>
            </w:r>
          </w:p>
        </w:tc>
      </w:tr>
      <w:tr w:rsidR="001968C6" w:rsidRPr="008D5C42" w14:paraId="01882E44" w14:textId="77777777" w:rsidTr="002002FA">
        <w:trPr>
          <w:trHeight w:val="404"/>
        </w:trPr>
        <w:tc>
          <w:tcPr>
            <w:tcW w:w="2142" w:type="dxa"/>
          </w:tcPr>
          <w:p w14:paraId="5BF73919" w14:textId="77777777" w:rsidR="001968C6" w:rsidRPr="008D5C42" w:rsidRDefault="001968C6" w:rsidP="008D5C42">
            <w:pPr>
              <w:spacing w:line="360" w:lineRule="auto"/>
              <w:jc w:val="both"/>
              <w:rPr>
                <w:rFonts w:ascii="Arial" w:hAnsi="Arial" w:cs="Arial"/>
              </w:rPr>
            </w:pPr>
            <w:r w:rsidRPr="008D5C42">
              <w:rPr>
                <w:rFonts w:ascii="Arial" w:hAnsi="Arial" w:cs="Arial"/>
              </w:rPr>
              <w:t>Smith et al. (2023)</w:t>
            </w:r>
          </w:p>
        </w:tc>
        <w:tc>
          <w:tcPr>
            <w:tcW w:w="2270" w:type="dxa"/>
          </w:tcPr>
          <w:p w14:paraId="36566A65" w14:textId="77777777" w:rsidR="001968C6" w:rsidRPr="008D5C42" w:rsidRDefault="001968C6" w:rsidP="008D5C42">
            <w:pPr>
              <w:spacing w:line="360" w:lineRule="auto"/>
              <w:jc w:val="both"/>
              <w:rPr>
                <w:rFonts w:ascii="Arial" w:hAnsi="Arial" w:cs="Arial"/>
              </w:rPr>
            </w:pPr>
            <w:r w:rsidRPr="008D5C42">
              <w:rPr>
                <w:rFonts w:ascii="Arial" w:hAnsi="Arial" w:cs="Arial"/>
              </w:rPr>
              <w:t>Childhood maltreatment doubled depression &amp; predicted adult smoking</w:t>
            </w:r>
          </w:p>
        </w:tc>
        <w:tc>
          <w:tcPr>
            <w:tcW w:w="2142" w:type="dxa"/>
          </w:tcPr>
          <w:p w14:paraId="2C3C7744" w14:textId="77777777" w:rsidR="001968C6" w:rsidRPr="008D5C42" w:rsidRDefault="001968C6" w:rsidP="008D5C42">
            <w:pPr>
              <w:spacing w:line="360" w:lineRule="auto"/>
              <w:jc w:val="both"/>
              <w:rPr>
                <w:rFonts w:ascii="Arial" w:hAnsi="Arial" w:cs="Arial"/>
              </w:rPr>
            </w:pPr>
            <w:r w:rsidRPr="008D5C42">
              <w:rPr>
                <w:rFonts w:ascii="Arial" w:hAnsi="Arial" w:cs="Arial"/>
              </w:rPr>
              <w:t>Stable lifestyle &amp; economic security reduced long-term impact</w:t>
            </w:r>
          </w:p>
        </w:tc>
        <w:tc>
          <w:tcPr>
            <w:tcW w:w="2142" w:type="dxa"/>
          </w:tcPr>
          <w:p w14:paraId="26B825A0" w14:textId="77777777" w:rsidR="001968C6" w:rsidRPr="008D5C42" w:rsidRDefault="001968C6" w:rsidP="008D5C42">
            <w:pPr>
              <w:spacing w:line="360" w:lineRule="auto"/>
              <w:jc w:val="both"/>
              <w:rPr>
                <w:rFonts w:ascii="Arial" w:hAnsi="Arial" w:cs="Arial"/>
              </w:rPr>
            </w:pPr>
            <w:r w:rsidRPr="008D5C42">
              <w:rPr>
                <w:rFonts w:ascii="Arial" w:hAnsi="Arial" w:cs="Arial"/>
              </w:rPr>
              <w:t>ACEs have lifelong effects</w:t>
            </w:r>
          </w:p>
        </w:tc>
      </w:tr>
      <w:tr w:rsidR="001968C6" w:rsidRPr="008D5C42" w14:paraId="29174A4B" w14:textId="77777777" w:rsidTr="002002FA">
        <w:trPr>
          <w:trHeight w:val="381"/>
        </w:trPr>
        <w:tc>
          <w:tcPr>
            <w:tcW w:w="2142" w:type="dxa"/>
          </w:tcPr>
          <w:p w14:paraId="60639096" w14:textId="77777777" w:rsidR="001968C6" w:rsidRPr="008D5C42" w:rsidRDefault="001968C6" w:rsidP="008D5C42">
            <w:pPr>
              <w:spacing w:line="360" w:lineRule="auto"/>
              <w:jc w:val="both"/>
              <w:rPr>
                <w:rFonts w:ascii="Arial" w:hAnsi="Arial" w:cs="Arial"/>
              </w:rPr>
            </w:pPr>
            <w:r w:rsidRPr="008D5C42">
              <w:rPr>
                <w:rFonts w:ascii="Arial" w:hAnsi="Arial" w:cs="Arial"/>
              </w:rPr>
              <w:t>Avery (2025)</w:t>
            </w:r>
          </w:p>
        </w:tc>
        <w:tc>
          <w:tcPr>
            <w:tcW w:w="2270" w:type="dxa"/>
          </w:tcPr>
          <w:p w14:paraId="66AEB8F0" w14:textId="77777777" w:rsidR="001968C6" w:rsidRPr="008D5C42" w:rsidRDefault="001968C6" w:rsidP="008D5C42">
            <w:pPr>
              <w:spacing w:line="360" w:lineRule="auto"/>
              <w:jc w:val="both"/>
              <w:rPr>
                <w:rFonts w:ascii="Arial" w:hAnsi="Arial" w:cs="Arial"/>
              </w:rPr>
            </w:pPr>
            <w:r w:rsidRPr="008D5C42">
              <w:rPr>
                <w:rFonts w:ascii="Arial" w:hAnsi="Arial" w:cs="Arial"/>
              </w:rPr>
              <w:t>Shame, identity fragmentation, emotional distress reported</w:t>
            </w:r>
          </w:p>
        </w:tc>
        <w:tc>
          <w:tcPr>
            <w:tcW w:w="2142" w:type="dxa"/>
          </w:tcPr>
          <w:p w14:paraId="57F9AA73" w14:textId="77777777" w:rsidR="001968C6" w:rsidRPr="008D5C42" w:rsidRDefault="001968C6" w:rsidP="008D5C42">
            <w:pPr>
              <w:spacing w:line="360" w:lineRule="auto"/>
              <w:jc w:val="both"/>
              <w:rPr>
                <w:rFonts w:ascii="Arial" w:hAnsi="Arial" w:cs="Arial"/>
              </w:rPr>
            </w:pPr>
            <w:r w:rsidRPr="008D5C42">
              <w:rPr>
                <w:rFonts w:ascii="Arial" w:hAnsi="Arial" w:cs="Arial"/>
              </w:rPr>
              <w:t>Supportive adult relationships supported healing</w:t>
            </w:r>
          </w:p>
        </w:tc>
        <w:tc>
          <w:tcPr>
            <w:tcW w:w="2142" w:type="dxa"/>
          </w:tcPr>
          <w:p w14:paraId="200CE0C3" w14:textId="77777777" w:rsidR="001968C6" w:rsidRPr="008D5C42" w:rsidRDefault="001968C6" w:rsidP="008D5C42">
            <w:pPr>
              <w:spacing w:line="360" w:lineRule="auto"/>
              <w:jc w:val="both"/>
              <w:rPr>
                <w:rFonts w:ascii="Arial" w:hAnsi="Arial" w:cs="Arial"/>
              </w:rPr>
            </w:pPr>
            <w:r w:rsidRPr="008D5C42">
              <w:rPr>
                <w:rFonts w:ascii="Arial" w:hAnsi="Arial" w:cs="Arial"/>
              </w:rPr>
              <w:t>Lived experience supports psychological theory</w:t>
            </w:r>
          </w:p>
        </w:tc>
      </w:tr>
      <w:tr w:rsidR="001968C6" w:rsidRPr="008D5C42" w14:paraId="2DCADD4D" w14:textId="77777777" w:rsidTr="002002FA">
        <w:trPr>
          <w:trHeight w:val="381"/>
        </w:trPr>
        <w:tc>
          <w:tcPr>
            <w:tcW w:w="2142" w:type="dxa"/>
          </w:tcPr>
          <w:p w14:paraId="7D89F496" w14:textId="77777777" w:rsidR="001968C6" w:rsidRPr="008D5C42" w:rsidRDefault="001968C6" w:rsidP="008D5C42">
            <w:pPr>
              <w:spacing w:line="360" w:lineRule="auto"/>
              <w:jc w:val="both"/>
              <w:rPr>
                <w:rFonts w:ascii="Arial" w:hAnsi="Arial" w:cs="Arial"/>
              </w:rPr>
            </w:pPr>
            <w:r w:rsidRPr="008D5C42">
              <w:rPr>
                <w:rFonts w:ascii="Arial" w:hAnsi="Arial" w:cs="Arial"/>
              </w:rPr>
              <w:t>Jones (2022)</w:t>
            </w:r>
          </w:p>
        </w:tc>
        <w:tc>
          <w:tcPr>
            <w:tcW w:w="2270" w:type="dxa"/>
          </w:tcPr>
          <w:p w14:paraId="30791A6D" w14:textId="77777777" w:rsidR="001968C6" w:rsidRPr="008D5C42" w:rsidRDefault="001968C6" w:rsidP="008D5C42">
            <w:pPr>
              <w:spacing w:line="360" w:lineRule="auto"/>
              <w:jc w:val="both"/>
              <w:rPr>
                <w:rFonts w:ascii="Arial" w:hAnsi="Arial" w:cs="Arial"/>
              </w:rPr>
            </w:pPr>
            <w:r w:rsidRPr="008D5C42">
              <w:rPr>
                <w:rFonts w:ascii="Arial" w:hAnsi="Arial" w:cs="Arial"/>
              </w:rPr>
              <w:t>Risk-taking used to cope with emotional distress</w:t>
            </w:r>
          </w:p>
        </w:tc>
        <w:tc>
          <w:tcPr>
            <w:tcW w:w="2142" w:type="dxa"/>
          </w:tcPr>
          <w:p w14:paraId="30F78BDC" w14:textId="77777777" w:rsidR="001968C6" w:rsidRPr="008D5C42" w:rsidRDefault="001968C6" w:rsidP="008D5C42">
            <w:pPr>
              <w:spacing w:line="360" w:lineRule="auto"/>
              <w:jc w:val="both"/>
              <w:rPr>
                <w:rFonts w:ascii="Arial" w:hAnsi="Arial" w:cs="Arial"/>
              </w:rPr>
            </w:pPr>
            <w:r w:rsidRPr="008D5C42">
              <w:rPr>
                <w:rFonts w:ascii="Arial" w:hAnsi="Arial" w:cs="Arial"/>
              </w:rPr>
              <w:t>Stable peer/practitioner relationships supported coping</w:t>
            </w:r>
          </w:p>
        </w:tc>
        <w:tc>
          <w:tcPr>
            <w:tcW w:w="2142" w:type="dxa"/>
          </w:tcPr>
          <w:p w14:paraId="23BD3C9B" w14:textId="77777777" w:rsidR="001968C6" w:rsidRPr="008D5C42" w:rsidRDefault="001968C6" w:rsidP="008D5C42">
            <w:pPr>
              <w:spacing w:line="360" w:lineRule="auto"/>
              <w:jc w:val="both"/>
              <w:rPr>
                <w:rFonts w:ascii="Arial" w:hAnsi="Arial" w:cs="Arial"/>
              </w:rPr>
            </w:pPr>
            <w:r w:rsidRPr="008D5C42">
              <w:rPr>
                <w:rFonts w:ascii="Arial" w:hAnsi="Arial" w:cs="Arial"/>
              </w:rPr>
              <w:t>Resilience develops through relationship safety</w:t>
            </w:r>
          </w:p>
        </w:tc>
      </w:tr>
    </w:tbl>
    <w:p w14:paraId="5A98A864" w14:textId="77777777" w:rsidR="001968C6" w:rsidRPr="008D5C42" w:rsidRDefault="001968C6" w:rsidP="008D5C42">
      <w:pPr>
        <w:spacing w:line="360" w:lineRule="auto"/>
        <w:jc w:val="both"/>
        <w:rPr>
          <w:rFonts w:ascii="Arial" w:hAnsi="Arial" w:cs="Arial"/>
        </w:rPr>
      </w:pPr>
    </w:p>
    <w:p w14:paraId="2D80E0DE" w14:textId="77777777" w:rsidR="001968C6" w:rsidRPr="008D5C42" w:rsidRDefault="001968C6" w:rsidP="008D5C42">
      <w:pPr>
        <w:spacing w:line="360" w:lineRule="auto"/>
        <w:jc w:val="both"/>
        <w:rPr>
          <w:rFonts w:ascii="Arial" w:eastAsiaTheme="majorEastAsia" w:hAnsi="Arial" w:cs="Arial"/>
          <w:b/>
          <w:color w:val="2F5496" w:themeColor="accent1" w:themeShade="BF"/>
        </w:rPr>
      </w:pPr>
      <w:r w:rsidRPr="008D5C42">
        <w:rPr>
          <w:rFonts w:ascii="Arial" w:hAnsi="Arial" w:cs="Arial"/>
        </w:rPr>
        <w:br w:type="page"/>
      </w:r>
    </w:p>
    <w:p w14:paraId="443F64A3" w14:textId="77777777" w:rsidR="001968C6" w:rsidRPr="008D5C42" w:rsidRDefault="001968C6" w:rsidP="008D5C42">
      <w:pPr>
        <w:pStyle w:val="Heading2"/>
      </w:pPr>
      <w:bookmarkStart w:id="53" w:name="_Toc214984627"/>
      <w:r w:rsidRPr="008D5C42">
        <w:lastRenderedPageBreak/>
        <w:t>Table 4: Quality Appraisal</w:t>
      </w:r>
      <w:bookmarkEnd w:id="53"/>
    </w:p>
    <w:tbl>
      <w:tblPr>
        <w:tblStyle w:val="TableGrid"/>
        <w:tblW w:w="0" w:type="auto"/>
        <w:tblLook w:val="04A0" w:firstRow="1" w:lastRow="0" w:firstColumn="1" w:lastColumn="0" w:noHBand="0" w:noVBand="1"/>
      </w:tblPr>
      <w:tblGrid>
        <w:gridCol w:w="1598"/>
        <w:gridCol w:w="2027"/>
        <w:gridCol w:w="1394"/>
        <w:gridCol w:w="1207"/>
        <w:gridCol w:w="1437"/>
        <w:gridCol w:w="1353"/>
      </w:tblGrid>
      <w:tr w:rsidR="001968C6" w:rsidRPr="008D5C42" w14:paraId="1820D049" w14:textId="77777777" w:rsidTr="002002FA">
        <w:tc>
          <w:tcPr>
            <w:tcW w:w="1489" w:type="dxa"/>
          </w:tcPr>
          <w:p w14:paraId="4F049FB3"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Study</w:t>
            </w:r>
          </w:p>
        </w:tc>
        <w:tc>
          <w:tcPr>
            <w:tcW w:w="1871" w:type="dxa"/>
          </w:tcPr>
          <w:p w14:paraId="7F6F71BC"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Study design</w:t>
            </w:r>
          </w:p>
        </w:tc>
        <w:tc>
          <w:tcPr>
            <w:tcW w:w="1441" w:type="dxa"/>
          </w:tcPr>
          <w:p w14:paraId="716B4616"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CASP tool used</w:t>
            </w:r>
          </w:p>
        </w:tc>
        <w:tc>
          <w:tcPr>
            <w:tcW w:w="1343" w:type="dxa"/>
          </w:tcPr>
          <w:p w14:paraId="3B6C9F85"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Raw score (Yes = 1, Can’t tell = 0.5, No = 0) /10</w:t>
            </w:r>
          </w:p>
        </w:tc>
        <w:tc>
          <w:tcPr>
            <w:tcW w:w="1449" w:type="dxa"/>
          </w:tcPr>
          <w:p w14:paraId="51308FF3"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Percentage</w:t>
            </w:r>
          </w:p>
        </w:tc>
        <w:tc>
          <w:tcPr>
            <w:tcW w:w="1423" w:type="dxa"/>
          </w:tcPr>
          <w:p w14:paraId="4F0F46ED"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Quality band</w:t>
            </w:r>
          </w:p>
        </w:tc>
      </w:tr>
      <w:tr w:rsidR="001968C6" w:rsidRPr="008D5C42" w14:paraId="5D1D25A2" w14:textId="77777777" w:rsidTr="002002FA">
        <w:tc>
          <w:tcPr>
            <w:tcW w:w="1489" w:type="dxa"/>
          </w:tcPr>
          <w:p w14:paraId="3DE3405C" w14:textId="77777777" w:rsidR="001968C6" w:rsidRPr="008D5C42" w:rsidRDefault="001968C6" w:rsidP="008D5C42">
            <w:pPr>
              <w:spacing w:line="360" w:lineRule="auto"/>
              <w:jc w:val="both"/>
              <w:rPr>
                <w:rFonts w:ascii="Arial" w:hAnsi="Arial" w:cs="Arial"/>
              </w:rPr>
            </w:pPr>
            <w:r w:rsidRPr="008D5C42">
              <w:rPr>
                <w:rFonts w:ascii="Arial" w:hAnsi="Arial" w:cs="Arial"/>
              </w:rPr>
              <w:t>Bellis et al. 2019</w:t>
            </w:r>
          </w:p>
        </w:tc>
        <w:tc>
          <w:tcPr>
            <w:tcW w:w="1871" w:type="dxa"/>
          </w:tcPr>
          <w:p w14:paraId="5228D9F8" w14:textId="77777777" w:rsidR="001968C6" w:rsidRPr="008D5C42" w:rsidRDefault="001968C6" w:rsidP="008D5C42">
            <w:pPr>
              <w:spacing w:line="360" w:lineRule="auto"/>
              <w:jc w:val="both"/>
              <w:rPr>
                <w:rFonts w:ascii="Arial" w:hAnsi="Arial" w:cs="Arial"/>
              </w:rPr>
            </w:pPr>
            <w:r w:rsidRPr="008D5C42">
              <w:rPr>
                <w:rFonts w:ascii="Arial" w:hAnsi="Arial" w:cs="Arial"/>
              </w:rPr>
              <w:t>Prospective cohort</w:t>
            </w:r>
          </w:p>
        </w:tc>
        <w:tc>
          <w:tcPr>
            <w:tcW w:w="1441" w:type="dxa"/>
          </w:tcPr>
          <w:p w14:paraId="043EE30D" w14:textId="77777777" w:rsidR="001968C6" w:rsidRPr="008D5C42" w:rsidRDefault="001968C6" w:rsidP="008D5C42">
            <w:pPr>
              <w:spacing w:line="360" w:lineRule="auto"/>
              <w:jc w:val="both"/>
              <w:rPr>
                <w:rFonts w:ascii="Arial" w:hAnsi="Arial" w:cs="Arial"/>
              </w:rPr>
            </w:pPr>
            <w:r w:rsidRPr="008D5C42">
              <w:rPr>
                <w:rFonts w:ascii="Arial" w:hAnsi="Arial" w:cs="Arial"/>
              </w:rPr>
              <w:t>CASP Cohort</w:t>
            </w:r>
          </w:p>
        </w:tc>
        <w:tc>
          <w:tcPr>
            <w:tcW w:w="1343" w:type="dxa"/>
          </w:tcPr>
          <w:p w14:paraId="7B992909" w14:textId="77777777" w:rsidR="001968C6" w:rsidRPr="008D5C42" w:rsidRDefault="001968C6" w:rsidP="008D5C42">
            <w:pPr>
              <w:spacing w:line="360" w:lineRule="auto"/>
              <w:jc w:val="both"/>
              <w:rPr>
                <w:rFonts w:ascii="Arial" w:hAnsi="Arial" w:cs="Arial"/>
              </w:rPr>
            </w:pPr>
            <w:r w:rsidRPr="008D5C42">
              <w:rPr>
                <w:rFonts w:ascii="Arial" w:hAnsi="Arial" w:cs="Arial"/>
              </w:rPr>
              <w:t>9.0</w:t>
            </w:r>
          </w:p>
        </w:tc>
        <w:tc>
          <w:tcPr>
            <w:tcW w:w="1449" w:type="dxa"/>
          </w:tcPr>
          <w:p w14:paraId="3DC82AC4" w14:textId="77777777" w:rsidR="001968C6" w:rsidRPr="008D5C42" w:rsidRDefault="001968C6" w:rsidP="008D5C42">
            <w:pPr>
              <w:spacing w:line="360" w:lineRule="auto"/>
              <w:jc w:val="both"/>
              <w:rPr>
                <w:rFonts w:ascii="Arial" w:hAnsi="Arial" w:cs="Arial"/>
              </w:rPr>
            </w:pPr>
            <w:r w:rsidRPr="008D5C42">
              <w:rPr>
                <w:rFonts w:ascii="Arial" w:hAnsi="Arial" w:cs="Arial"/>
              </w:rPr>
              <w:t>90 %</w:t>
            </w:r>
          </w:p>
        </w:tc>
        <w:tc>
          <w:tcPr>
            <w:tcW w:w="1423" w:type="dxa"/>
          </w:tcPr>
          <w:p w14:paraId="431D7BA4" w14:textId="77777777" w:rsidR="001968C6" w:rsidRPr="008D5C42" w:rsidRDefault="001968C6" w:rsidP="008D5C42">
            <w:pPr>
              <w:spacing w:line="360" w:lineRule="auto"/>
              <w:jc w:val="both"/>
              <w:rPr>
                <w:rFonts w:ascii="Arial" w:hAnsi="Arial" w:cs="Arial"/>
              </w:rPr>
            </w:pPr>
            <w:r w:rsidRPr="008D5C42">
              <w:rPr>
                <w:rFonts w:ascii="Arial" w:hAnsi="Arial" w:cs="Arial"/>
              </w:rPr>
              <w:t>High</w:t>
            </w:r>
          </w:p>
        </w:tc>
      </w:tr>
      <w:tr w:rsidR="001968C6" w:rsidRPr="008D5C42" w14:paraId="3EAD7082" w14:textId="77777777" w:rsidTr="002002FA">
        <w:tc>
          <w:tcPr>
            <w:tcW w:w="1489" w:type="dxa"/>
          </w:tcPr>
          <w:p w14:paraId="423996A3" w14:textId="77777777" w:rsidR="001968C6" w:rsidRPr="008D5C42" w:rsidRDefault="001968C6" w:rsidP="008D5C42">
            <w:pPr>
              <w:spacing w:line="360" w:lineRule="auto"/>
              <w:jc w:val="both"/>
              <w:rPr>
                <w:rFonts w:ascii="Arial" w:hAnsi="Arial" w:cs="Arial"/>
              </w:rPr>
            </w:pPr>
            <w:proofErr w:type="spellStart"/>
            <w:r w:rsidRPr="008D5C42">
              <w:rPr>
                <w:rFonts w:ascii="Arial" w:hAnsi="Arial" w:cs="Arial"/>
              </w:rPr>
              <w:t>Lereya</w:t>
            </w:r>
            <w:proofErr w:type="spellEnd"/>
            <w:r w:rsidRPr="008D5C42">
              <w:rPr>
                <w:rFonts w:ascii="Arial" w:hAnsi="Arial" w:cs="Arial"/>
              </w:rPr>
              <w:t xml:space="preserve"> et al. 2015</w:t>
            </w:r>
          </w:p>
        </w:tc>
        <w:tc>
          <w:tcPr>
            <w:tcW w:w="1871" w:type="dxa"/>
          </w:tcPr>
          <w:p w14:paraId="3654BC70" w14:textId="77777777" w:rsidR="001968C6" w:rsidRPr="008D5C42" w:rsidRDefault="001968C6" w:rsidP="008D5C42">
            <w:pPr>
              <w:spacing w:line="360" w:lineRule="auto"/>
              <w:jc w:val="both"/>
              <w:rPr>
                <w:rFonts w:ascii="Arial" w:hAnsi="Arial" w:cs="Arial"/>
              </w:rPr>
            </w:pPr>
            <w:r w:rsidRPr="008D5C42">
              <w:rPr>
                <w:rFonts w:ascii="Arial" w:hAnsi="Arial" w:cs="Arial"/>
              </w:rPr>
              <w:t>Retrospective cohort</w:t>
            </w:r>
          </w:p>
        </w:tc>
        <w:tc>
          <w:tcPr>
            <w:tcW w:w="1441" w:type="dxa"/>
          </w:tcPr>
          <w:p w14:paraId="6BCDEAA1" w14:textId="77777777" w:rsidR="001968C6" w:rsidRPr="008D5C42" w:rsidRDefault="001968C6" w:rsidP="008D5C42">
            <w:pPr>
              <w:spacing w:line="360" w:lineRule="auto"/>
              <w:jc w:val="both"/>
              <w:rPr>
                <w:rFonts w:ascii="Arial" w:hAnsi="Arial" w:cs="Arial"/>
              </w:rPr>
            </w:pPr>
            <w:r w:rsidRPr="008D5C42">
              <w:rPr>
                <w:rFonts w:ascii="Arial" w:hAnsi="Arial" w:cs="Arial"/>
              </w:rPr>
              <w:t>CASP Cohort</w:t>
            </w:r>
          </w:p>
        </w:tc>
        <w:tc>
          <w:tcPr>
            <w:tcW w:w="1343" w:type="dxa"/>
          </w:tcPr>
          <w:p w14:paraId="55AF0970" w14:textId="77777777" w:rsidR="001968C6" w:rsidRPr="008D5C42" w:rsidRDefault="001968C6" w:rsidP="008D5C42">
            <w:pPr>
              <w:spacing w:line="360" w:lineRule="auto"/>
              <w:jc w:val="both"/>
              <w:rPr>
                <w:rFonts w:ascii="Arial" w:hAnsi="Arial" w:cs="Arial"/>
              </w:rPr>
            </w:pPr>
            <w:r w:rsidRPr="008D5C42">
              <w:rPr>
                <w:rFonts w:ascii="Arial" w:hAnsi="Arial" w:cs="Arial"/>
              </w:rPr>
              <w:t>8.0</w:t>
            </w:r>
          </w:p>
        </w:tc>
        <w:tc>
          <w:tcPr>
            <w:tcW w:w="1449" w:type="dxa"/>
          </w:tcPr>
          <w:p w14:paraId="3709FDB5" w14:textId="77777777" w:rsidR="001968C6" w:rsidRPr="008D5C42" w:rsidRDefault="001968C6" w:rsidP="008D5C42">
            <w:pPr>
              <w:spacing w:line="360" w:lineRule="auto"/>
              <w:jc w:val="both"/>
              <w:rPr>
                <w:rFonts w:ascii="Arial" w:hAnsi="Arial" w:cs="Arial"/>
              </w:rPr>
            </w:pPr>
            <w:r w:rsidRPr="008D5C42">
              <w:rPr>
                <w:rFonts w:ascii="Arial" w:hAnsi="Arial" w:cs="Arial"/>
              </w:rPr>
              <w:t>80 %</w:t>
            </w:r>
          </w:p>
        </w:tc>
        <w:tc>
          <w:tcPr>
            <w:tcW w:w="1423" w:type="dxa"/>
          </w:tcPr>
          <w:p w14:paraId="1556D170" w14:textId="77777777" w:rsidR="001968C6" w:rsidRPr="008D5C42" w:rsidRDefault="001968C6" w:rsidP="008D5C42">
            <w:pPr>
              <w:spacing w:line="360" w:lineRule="auto"/>
              <w:jc w:val="both"/>
              <w:rPr>
                <w:rFonts w:ascii="Arial" w:hAnsi="Arial" w:cs="Arial"/>
              </w:rPr>
            </w:pPr>
            <w:r w:rsidRPr="008D5C42">
              <w:rPr>
                <w:rFonts w:ascii="Arial" w:hAnsi="Arial" w:cs="Arial"/>
              </w:rPr>
              <w:t>High</w:t>
            </w:r>
          </w:p>
        </w:tc>
      </w:tr>
      <w:tr w:rsidR="001968C6" w:rsidRPr="008D5C42" w14:paraId="7AE46034" w14:textId="77777777" w:rsidTr="002002FA">
        <w:tc>
          <w:tcPr>
            <w:tcW w:w="1489" w:type="dxa"/>
          </w:tcPr>
          <w:p w14:paraId="1EC1F542" w14:textId="77777777" w:rsidR="001968C6" w:rsidRPr="008D5C42" w:rsidRDefault="001968C6" w:rsidP="008D5C42">
            <w:pPr>
              <w:spacing w:line="360" w:lineRule="auto"/>
              <w:jc w:val="both"/>
              <w:rPr>
                <w:rFonts w:ascii="Arial" w:hAnsi="Arial" w:cs="Arial"/>
              </w:rPr>
            </w:pPr>
            <w:r w:rsidRPr="008D5C42">
              <w:rPr>
                <w:rFonts w:ascii="Arial" w:hAnsi="Arial" w:cs="Arial"/>
              </w:rPr>
              <w:t>Chandrasekar et al. 2024</w:t>
            </w:r>
          </w:p>
        </w:tc>
        <w:tc>
          <w:tcPr>
            <w:tcW w:w="1871" w:type="dxa"/>
          </w:tcPr>
          <w:p w14:paraId="11EAAA23" w14:textId="77777777" w:rsidR="001968C6" w:rsidRPr="008D5C42" w:rsidRDefault="001968C6" w:rsidP="008D5C42">
            <w:pPr>
              <w:spacing w:line="360" w:lineRule="auto"/>
              <w:jc w:val="both"/>
              <w:rPr>
                <w:rFonts w:ascii="Arial" w:hAnsi="Arial" w:cs="Arial"/>
              </w:rPr>
            </w:pPr>
            <w:r w:rsidRPr="008D5C42">
              <w:rPr>
                <w:rFonts w:ascii="Arial" w:hAnsi="Arial" w:cs="Arial"/>
              </w:rPr>
              <w:t>Cross-sectional</w:t>
            </w:r>
          </w:p>
        </w:tc>
        <w:tc>
          <w:tcPr>
            <w:tcW w:w="1441" w:type="dxa"/>
          </w:tcPr>
          <w:p w14:paraId="728DCD4A" w14:textId="77777777" w:rsidR="001968C6" w:rsidRPr="008D5C42" w:rsidRDefault="001968C6" w:rsidP="008D5C42">
            <w:pPr>
              <w:spacing w:line="360" w:lineRule="auto"/>
              <w:jc w:val="both"/>
              <w:rPr>
                <w:rFonts w:ascii="Arial" w:hAnsi="Arial" w:cs="Arial"/>
              </w:rPr>
            </w:pPr>
            <w:r w:rsidRPr="008D5C42">
              <w:rPr>
                <w:rFonts w:ascii="Arial" w:hAnsi="Arial" w:cs="Arial"/>
              </w:rPr>
              <w:t>CASP Cohort</w:t>
            </w:r>
          </w:p>
        </w:tc>
        <w:tc>
          <w:tcPr>
            <w:tcW w:w="1343" w:type="dxa"/>
          </w:tcPr>
          <w:p w14:paraId="45098226" w14:textId="77777777" w:rsidR="001968C6" w:rsidRPr="008D5C42" w:rsidRDefault="001968C6" w:rsidP="008D5C42">
            <w:pPr>
              <w:spacing w:line="360" w:lineRule="auto"/>
              <w:jc w:val="both"/>
              <w:rPr>
                <w:rFonts w:ascii="Arial" w:hAnsi="Arial" w:cs="Arial"/>
              </w:rPr>
            </w:pPr>
            <w:r w:rsidRPr="008D5C42">
              <w:rPr>
                <w:rFonts w:ascii="Arial" w:hAnsi="Arial" w:cs="Arial"/>
              </w:rPr>
              <w:t>7.0</w:t>
            </w:r>
          </w:p>
        </w:tc>
        <w:tc>
          <w:tcPr>
            <w:tcW w:w="1449" w:type="dxa"/>
          </w:tcPr>
          <w:p w14:paraId="18D2C5CC" w14:textId="77777777" w:rsidR="001968C6" w:rsidRPr="008D5C42" w:rsidRDefault="001968C6" w:rsidP="008D5C42">
            <w:pPr>
              <w:spacing w:line="360" w:lineRule="auto"/>
              <w:jc w:val="both"/>
              <w:rPr>
                <w:rFonts w:ascii="Arial" w:hAnsi="Arial" w:cs="Arial"/>
              </w:rPr>
            </w:pPr>
            <w:r w:rsidRPr="008D5C42">
              <w:rPr>
                <w:rFonts w:ascii="Arial" w:hAnsi="Arial" w:cs="Arial"/>
              </w:rPr>
              <w:t>70 %</w:t>
            </w:r>
          </w:p>
        </w:tc>
        <w:tc>
          <w:tcPr>
            <w:tcW w:w="1423" w:type="dxa"/>
          </w:tcPr>
          <w:p w14:paraId="68FADC5A" w14:textId="77777777" w:rsidR="001968C6" w:rsidRPr="008D5C42" w:rsidRDefault="001968C6" w:rsidP="008D5C42">
            <w:pPr>
              <w:spacing w:line="360" w:lineRule="auto"/>
              <w:jc w:val="both"/>
              <w:rPr>
                <w:rFonts w:ascii="Arial" w:hAnsi="Arial" w:cs="Arial"/>
              </w:rPr>
            </w:pPr>
            <w:r w:rsidRPr="008D5C42">
              <w:rPr>
                <w:rFonts w:ascii="Arial" w:hAnsi="Arial" w:cs="Arial"/>
              </w:rPr>
              <w:t>Moderate</w:t>
            </w:r>
          </w:p>
        </w:tc>
      </w:tr>
      <w:tr w:rsidR="001968C6" w:rsidRPr="008D5C42" w14:paraId="300456E6" w14:textId="77777777" w:rsidTr="002002FA">
        <w:tc>
          <w:tcPr>
            <w:tcW w:w="1489" w:type="dxa"/>
          </w:tcPr>
          <w:p w14:paraId="264BA03B" w14:textId="77777777" w:rsidR="001968C6" w:rsidRPr="008D5C42" w:rsidRDefault="001968C6" w:rsidP="008D5C42">
            <w:pPr>
              <w:spacing w:line="360" w:lineRule="auto"/>
              <w:jc w:val="both"/>
              <w:rPr>
                <w:rFonts w:ascii="Arial" w:hAnsi="Arial" w:cs="Arial"/>
              </w:rPr>
            </w:pPr>
            <w:r w:rsidRPr="008D5C42">
              <w:rPr>
                <w:rFonts w:ascii="Arial" w:hAnsi="Arial" w:cs="Arial"/>
              </w:rPr>
              <w:t>Smith et al. 2023</w:t>
            </w:r>
          </w:p>
        </w:tc>
        <w:tc>
          <w:tcPr>
            <w:tcW w:w="1871" w:type="dxa"/>
          </w:tcPr>
          <w:p w14:paraId="3E4EBC4B" w14:textId="77777777" w:rsidR="001968C6" w:rsidRPr="008D5C42" w:rsidRDefault="001968C6" w:rsidP="008D5C42">
            <w:pPr>
              <w:spacing w:line="360" w:lineRule="auto"/>
              <w:jc w:val="both"/>
              <w:rPr>
                <w:rFonts w:ascii="Arial" w:hAnsi="Arial" w:cs="Arial"/>
              </w:rPr>
            </w:pPr>
            <w:r w:rsidRPr="008D5C42">
              <w:rPr>
                <w:rFonts w:ascii="Arial" w:hAnsi="Arial" w:cs="Arial"/>
              </w:rPr>
              <w:t>Cross-sectional</w:t>
            </w:r>
          </w:p>
        </w:tc>
        <w:tc>
          <w:tcPr>
            <w:tcW w:w="1441" w:type="dxa"/>
          </w:tcPr>
          <w:p w14:paraId="6D9A604F" w14:textId="77777777" w:rsidR="001968C6" w:rsidRPr="008D5C42" w:rsidRDefault="001968C6" w:rsidP="008D5C42">
            <w:pPr>
              <w:spacing w:line="360" w:lineRule="auto"/>
              <w:jc w:val="both"/>
              <w:rPr>
                <w:rFonts w:ascii="Arial" w:hAnsi="Arial" w:cs="Arial"/>
              </w:rPr>
            </w:pPr>
            <w:r w:rsidRPr="008D5C42">
              <w:rPr>
                <w:rFonts w:ascii="Arial" w:hAnsi="Arial" w:cs="Arial"/>
              </w:rPr>
              <w:t>CASP Cohort</w:t>
            </w:r>
          </w:p>
        </w:tc>
        <w:tc>
          <w:tcPr>
            <w:tcW w:w="1343" w:type="dxa"/>
          </w:tcPr>
          <w:p w14:paraId="566DB973" w14:textId="77777777" w:rsidR="001968C6" w:rsidRPr="008D5C42" w:rsidRDefault="001968C6" w:rsidP="008D5C42">
            <w:pPr>
              <w:spacing w:line="360" w:lineRule="auto"/>
              <w:jc w:val="both"/>
              <w:rPr>
                <w:rFonts w:ascii="Arial" w:hAnsi="Arial" w:cs="Arial"/>
              </w:rPr>
            </w:pPr>
            <w:r w:rsidRPr="008D5C42">
              <w:rPr>
                <w:rFonts w:ascii="Arial" w:hAnsi="Arial" w:cs="Arial"/>
              </w:rPr>
              <w:t>6.5</w:t>
            </w:r>
          </w:p>
        </w:tc>
        <w:tc>
          <w:tcPr>
            <w:tcW w:w="1449" w:type="dxa"/>
          </w:tcPr>
          <w:p w14:paraId="4A704944" w14:textId="77777777" w:rsidR="001968C6" w:rsidRPr="008D5C42" w:rsidRDefault="001968C6" w:rsidP="008D5C42">
            <w:pPr>
              <w:spacing w:line="360" w:lineRule="auto"/>
              <w:jc w:val="both"/>
              <w:rPr>
                <w:rFonts w:ascii="Arial" w:hAnsi="Arial" w:cs="Arial"/>
              </w:rPr>
            </w:pPr>
            <w:r w:rsidRPr="008D5C42">
              <w:rPr>
                <w:rFonts w:ascii="Arial" w:hAnsi="Arial" w:cs="Arial"/>
              </w:rPr>
              <w:t>65 %</w:t>
            </w:r>
          </w:p>
        </w:tc>
        <w:tc>
          <w:tcPr>
            <w:tcW w:w="1423" w:type="dxa"/>
          </w:tcPr>
          <w:p w14:paraId="50B7A366" w14:textId="77777777" w:rsidR="001968C6" w:rsidRPr="008D5C42" w:rsidRDefault="001968C6" w:rsidP="008D5C42">
            <w:pPr>
              <w:spacing w:line="360" w:lineRule="auto"/>
              <w:jc w:val="both"/>
              <w:rPr>
                <w:rFonts w:ascii="Arial" w:hAnsi="Arial" w:cs="Arial"/>
              </w:rPr>
            </w:pPr>
            <w:r w:rsidRPr="008D5C42">
              <w:rPr>
                <w:rFonts w:ascii="Arial" w:hAnsi="Arial" w:cs="Arial"/>
              </w:rPr>
              <w:t>Moderate</w:t>
            </w:r>
          </w:p>
        </w:tc>
      </w:tr>
      <w:tr w:rsidR="001968C6" w:rsidRPr="008D5C42" w14:paraId="755C9D4E" w14:textId="77777777" w:rsidTr="002002FA">
        <w:tc>
          <w:tcPr>
            <w:tcW w:w="1489" w:type="dxa"/>
          </w:tcPr>
          <w:p w14:paraId="31867D0A" w14:textId="77777777" w:rsidR="001968C6" w:rsidRPr="008D5C42" w:rsidRDefault="001968C6" w:rsidP="008D5C42">
            <w:pPr>
              <w:spacing w:line="360" w:lineRule="auto"/>
              <w:jc w:val="both"/>
              <w:rPr>
                <w:rFonts w:ascii="Arial" w:hAnsi="Arial" w:cs="Arial"/>
              </w:rPr>
            </w:pPr>
            <w:r w:rsidRPr="008D5C42">
              <w:rPr>
                <w:rFonts w:ascii="Arial" w:hAnsi="Arial" w:cs="Arial"/>
              </w:rPr>
              <w:t>Avery et al. 2025</w:t>
            </w:r>
          </w:p>
        </w:tc>
        <w:tc>
          <w:tcPr>
            <w:tcW w:w="1871" w:type="dxa"/>
          </w:tcPr>
          <w:p w14:paraId="0F77A70D" w14:textId="77777777" w:rsidR="001968C6" w:rsidRPr="008D5C42" w:rsidRDefault="001968C6" w:rsidP="008D5C42">
            <w:pPr>
              <w:spacing w:line="360" w:lineRule="auto"/>
              <w:jc w:val="both"/>
              <w:rPr>
                <w:rFonts w:ascii="Arial" w:hAnsi="Arial" w:cs="Arial"/>
              </w:rPr>
            </w:pPr>
            <w:r w:rsidRPr="008D5C42">
              <w:rPr>
                <w:rFonts w:ascii="Arial" w:hAnsi="Arial" w:cs="Arial"/>
              </w:rPr>
              <w:t>Qualitative interview study</w:t>
            </w:r>
          </w:p>
        </w:tc>
        <w:tc>
          <w:tcPr>
            <w:tcW w:w="1441" w:type="dxa"/>
          </w:tcPr>
          <w:p w14:paraId="7C505CF5" w14:textId="77777777" w:rsidR="001968C6" w:rsidRPr="008D5C42" w:rsidRDefault="001968C6" w:rsidP="008D5C42">
            <w:pPr>
              <w:spacing w:line="360" w:lineRule="auto"/>
              <w:jc w:val="both"/>
              <w:rPr>
                <w:rFonts w:ascii="Arial" w:hAnsi="Arial" w:cs="Arial"/>
              </w:rPr>
            </w:pPr>
            <w:r w:rsidRPr="008D5C42">
              <w:rPr>
                <w:rFonts w:ascii="Arial" w:hAnsi="Arial" w:cs="Arial"/>
              </w:rPr>
              <w:t>CASP Qualitative</w:t>
            </w:r>
          </w:p>
        </w:tc>
        <w:tc>
          <w:tcPr>
            <w:tcW w:w="1343" w:type="dxa"/>
          </w:tcPr>
          <w:p w14:paraId="320B2EE5" w14:textId="77777777" w:rsidR="001968C6" w:rsidRPr="008D5C42" w:rsidRDefault="001968C6" w:rsidP="008D5C42">
            <w:pPr>
              <w:spacing w:line="360" w:lineRule="auto"/>
              <w:jc w:val="both"/>
              <w:rPr>
                <w:rFonts w:ascii="Arial" w:hAnsi="Arial" w:cs="Arial"/>
              </w:rPr>
            </w:pPr>
            <w:r w:rsidRPr="008D5C42">
              <w:rPr>
                <w:rFonts w:ascii="Arial" w:hAnsi="Arial" w:cs="Arial"/>
              </w:rPr>
              <w:t>7.5</w:t>
            </w:r>
          </w:p>
        </w:tc>
        <w:tc>
          <w:tcPr>
            <w:tcW w:w="1449" w:type="dxa"/>
          </w:tcPr>
          <w:p w14:paraId="7212E5D3" w14:textId="77777777" w:rsidR="001968C6" w:rsidRPr="008D5C42" w:rsidRDefault="001968C6" w:rsidP="008D5C42">
            <w:pPr>
              <w:spacing w:line="360" w:lineRule="auto"/>
              <w:jc w:val="both"/>
              <w:rPr>
                <w:rFonts w:ascii="Arial" w:hAnsi="Arial" w:cs="Arial"/>
              </w:rPr>
            </w:pPr>
            <w:r w:rsidRPr="008D5C42">
              <w:rPr>
                <w:rFonts w:ascii="Arial" w:hAnsi="Arial" w:cs="Arial"/>
              </w:rPr>
              <w:t>75 %</w:t>
            </w:r>
          </w:p>
        </w:tc>
        <w:tc>
          <w:tcPr>
            <w:tcW w:w="1423" w:type="dxa"/>
          </w:tcPr>
          <w:p w14:paraId="5A07B94D" w14:textId="77777777" w:rsidR="001968C6" w:rsidRPr="008D5C42" w:rsidRDefault="001968C6" w:rsidP="008D5C42">
            <w:pPr>
              <w:spacing w:line="360" w:lineRule="auto"/>
              <w:jc w:val="both"/>
              <w:rPr>
                <w:rFonts w:ascii="Arial" w:hAnsi="Arial" w:cs="Arial"/>
              </w:rPr>
            </w:pPr>
            <w:r w:rsidRPr="008D5C42">
              <w:rPr>
                <w:rFonts w:ascii="Arial" w:hAnsi="Arial" w:cs="Arial"/>
              </w:rPr>
              <w:t>Moderate</w:t>
            </w:r>
          </w:p>
        </w:tc>
      </w:tr>
      <w:tr w:rsidR="001968C6" w:rsidRPr="008D5C42" w14:paraId="51579ED1" w14:textId="77777777" w:rsidTr="002002FA">
        <w:tc>
          <w:tcPr>
            <w:tcW w:w="1489" w:type="dxa"/>
          </w:tcPr>
          <w:p w14:paraId="7D0BAD79" w14:textId="77777777" w:rsidR="001968C6" w:rsidRPr="008D5C42" w:rsidRDefault="001968C6" w:rsidP="008D5C42">
            <w:pPr>
              <w:spacing w:line="360" w:lineRule="auto"/>
              <w:jc w:val="both"/>
              <w:rPr>
                <w:rFonts w:ascii="Arial" w:hAnsi="Arial" w:cs="Arial"/>
              </w:rPr>
            </w:pPr>
            <w:r w:rsidRPr="008D5C42">
              <w:rPr>
                <w:rFonts w:ascii="Arial" w:hAnsi="Arial" w:cs="Arial"/>
              </w:rPr>
              <w:t>Jones et al. 2022</w:t>
            </w:r>
          </w:p>
        </w:tc>
        <w:tc>
          <w:tcPr>
            <w:tcW w:w="1871" w:type="dxa"/>
          </w:tcPr>
          <w:p w14:paraId="440AE9C7" w14:textId="77777777" w:rsidR="001968C6" w:rsidRPr="008D5C42" w:rsidRDefault="001968C6" w:rsidP="008D5C42">
            <w:pPr>
              <w:spacing w:line="360" w:lineRule="auto"/>
              <w:jc w:val="both"/>
              <w:rPr>
                <w:rFonts w:ascii="Arial" w:hAnsi="Arial" w:cs="Arial"/>
              </w:rPr>
            </w:pPr>
            <w:r w:rsidRPr="008D5C42">
              <w:rPr>
                <w:rFonts w:ascii="Arial" w:hAnsi="Arial" w:cs="Arial"/>
              </w:rPr>
              <w:t>Phenomenological study</w:t>
            </w:r>
          </w:p>
        </w:tc>
        <w:tc>
          <w:tcPr>
            <w:tcW w:w="1441" w:type="dxa"/>
          </w:tcPr>
          <w:p w14:paraId="71B743A4" w14:textId="77777777" w:rsidR="001968C6" w:rsidRPr="008D5C42" w:rsidRDefault="001968C6" w:rsidP="008D5C42">
            <w:pPr>
              <w:spacing w:line="360" w:lineRule="auto"/>
              <w:jc w:val="both"/>
              <w:rPr>
                <w:rFonts w:ascii="Arial" w:hAnsi="Arial" w:cs="Arial"/>
              </w:rPr>
            </w:pPr>
            <w:r w:rsidRPr="008D5C42">
              <w:rPr>
                <w:rFonts w:ascii="Arial" w:hAnsi="Arial" w:cs="Arial"/>
              </w:rPr>
              <w:t>CASP Qualitative</w:t>
            </w:r>
          </w:p>
        </w:tc>
        <w:tc>
          <w:tcPr>
            <w:tcW w:w="1343" w:type="dxa"/>
          </w:tcPr>
          <w:p w14:paraId="1EAAEE4E" w14:textId="77777777" w:rsidR="001968C6" w:rsidRPr="008D5C42" w:rsidRDefault="001968C6" w:rsidP="008D5C42">
            <w:pPr>
              <w:spacing w:line="360" w:lineRule="auto"/>
              <w:jc w:val="both"/>
              <w:rPr>
                <w:rFonts w:ascii="Arial" w:hAnsi="Arial" w:cs="Arial"/>
              </w:rPr>
            </w:pPr>
            <w:r w:rsidRPr="008D5C42">
              <w:rPr>
                <w:rFonts w:ascii="Arial" w:hAnsi="Arial" w:cs="Arial"/>
              </w:rPr>
              <w:t>5.5</w:t>
            </w:r>
          </w:p>
        </w:tc>
        <w:tc>
          <w:tcPr>
            <w:tcW w:w="1449" w:type="dxa"/>
          </w:tcPr>
          <w:p w14:paraId="1E84E667" w14:textId="77777777" w:rsidR="001968C6" w:rsidRPr="008D5C42" w:rsidRDefault="001968C6" w:rsidP="008D5C42">
            <w:pPr>
              <w:spacing w:line="360" w:lineRule="auto"/>
              <w:jc w:val="both"/>
              <w:rPr>
                <w:rFonts w:ascii="Arial" w:hAnsi="Arial" w:cs="Arial"/>
              </w:rPr>
            </w:pPr>
            <w:r w:rsidRPr="008D5C42">
              <w:rPr>
                <w:rFonts w:ascii="Arial" w:hAnsi="Arial" w:cs="Arial"/>
              </w:rPr>
              <w:t>55 %</w:t>
            </w:r>
          </w:p>
        </w:tc>
        <w:tc>
          <w:tcPr>
            <w:tcW w:w="1423" w:type="dxa"/>
          </w:tcPr>
          <w:p w14:paraId="6B87BC81" w14:textId="77777777" w:rsidR="001968C6" w:rsidRPr="008D5C42" w:rsidRDefault="001968C6" w:rsidP="008D5C42">
            <w:pPr>
              <w:spacing w:line="360" w:lineRule="auto"/>
              <w:jc w:val="both"/>
              <w:rPr>
                <w:rFonts w:ascii="Arial" w:hAnsi="Arial" w:cs="Arial"/>
              </w:rPr>
            </w:pPr>
            <w:r w:rsidRPr="008D5C42">
              <w:rPr>
                <w:rFonts w:ascii="Arial" w:hAnsi="Arial" w:cs="Arial"/>
              </w:rPr>
              <w:t>Low</w:t>
            </w:r>
          </w:p>
        </w:tc>
      </w:tr>
    </w:tbl>
    <w:p w14:paraId="29749ECE" w14:textId="77777777" w:rsidR="001968C6" w:rsidRPr="008D5C42" w:rsidRDefault="001968C6" w:rsidP="008D5C42">
      <w:pPr>
        <w:spacing w:line="360" w:lineRule="auto"/>
        <w:jc w:val="both"/>
        <w:rPr>
          <w:rFonts w:ascii="Arial" w:hAnsi="Arial" w:cs="Arial"/>
        </w:rPr>
      </w:pPr>
    </w:p>
    <w:p w14:paraId="79FD075E" w14:textId="77777777" w:rsidR="001968C6" w:rsidRPr="008D5C42" w:rsidRDefault="001968C6" w:rsidP="008D5C42">
      <w:pPr>
        <w:spacing w:line="360" w:lineRule="auto"/>
        <w:jc w:val="both"/>
        <w:rPr>
          <w:rFonts w:ascii="Arial" w:hAnsi="Arial" w:cs="Arial"/>
        </w:rPr>
      </w:pPr>
      <w:r w:rsidRPr="008D5C42">
        <w:rPr>
          <w:rFonts w:ascii="Arial" w:hAnsi="Arial" w:cs="Arial"/>
        </w:rPr>
        <w:t>High ≥ 80 %; Moderate = 60 – 79 %; Low &lt; 60 %.</w:t>
      </w:r>
    </w:p>
    <w:p w14:paraId="7B10ACBD" w14:textId="77777777" w:rsidR="001968C6" w:rsidRPr="008D5C42" w:rsidRDefault="001968C6" w:rsidP="008D5C42">
      <w:pPr>
        <w:spacing w:line="360" w:lineRule="auto"/>
        <w:jc w:val="both"/>
        <w:rPr>
          <w:rFonts w:ascii="Arial" w:hAnsi="Arial" w:cs="Arial"/>
        </w:rPr>
      </w:pPr>
      <w:r w:rsidRPr="008D5C42">
        <w:rPr>
          <w:rFonts w:ascii="Arial" w:hAnsi="Arial" w:cs="Arial"/>
        </w:rPr>
        <w:br w:type="page"/>
      </w:r>
    </w:p>
    <w:p w14:paraId="49BFB7C9" w14:textId="77777777" w:rsidR="001968C6" w:rsidRPr="008D5C42" w:rsidRDefault="001968C6" w:rsidP="008D5C42">
      <w:pPr>
        <w:pStyle w:val="Heading1"/>
      </w:pPr>
      <w:bookmarkStart w:id="54" w:name="_Toc214984628"/>
      <w:r w:rsidRPr="008D5C42">
        <w:lastRenderedPageBreak/>
        <w:t>APPENDIX A: Data extraction table</w:t>
      </w:r>
      <w:bookmarkEnd w:id="54"/>
    </w:p>
    <w:p w14:paraId="5AFA6DDD" w14:textId="77777777" w:rsidR="001968C6" w:rsidRPr="008D5C42" w:rsidRDefault="001968C6" w:rsidP="008D5C42">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050"/>
        <w:gridCol w:w="948"/>
        <w:gridCol w:w="1310"/>
        <w:gridCol w:w="926"/>
        <w:gridCol w:w="644"/>
        <w:gridCol w:w="1014"/>
        <w:gridCol w:w="1036"/>
        <w:gridCol w:w="992"/>
        <w:gridCol w:w="1096"/>
      </w:tblGrid>
      <w:tr w:rsidR="001968C6" w:rsidRPr="008D5C42" w14:paraId="3B3723C8" w14:textId="77777777" w:rsidTr="002002FA">
        <w:tc>
          <w:tcPr>
            <w:tcW w:w="1038" w:type="dxa"/>
          </w:tcPr>
          <w:p w14:paraId="54559AF0"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Author &amp; year</w:t>
            </w:r>
          </w:p>
        </w:tc>
        <w:tc>
          <w:tcPr>
            <w:tcW w:w="1039" w:type="dxa"/>
          </w:tcPr>
          <w:p w14:paraId="7325D95A"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Region / setting</w:t>
            </w:r>
          </w:p>
        </w:tc>
        <w:tc>
          <w:tcPr>
            <w:tcW w:w="1039" w:type="dxa"/>
          </w:tcPr>
          <w:p w14:paraId="0E104EAE"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Study design</w:t>
            </w:r>
          </w:p>
        </w:tc>
        <w:tc>
          <w:tcPr>
            <w:tcW w:w="1039" w:type="dxa"/>
          </w:tcPr>
          <w:p w14:paraId="22A71BCA"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Sample size</w:t>
            </w:r>
          </w:p>
        </w:tc>
        <w:tc>
          <w:tcPr>
            <w:tcW w:w="1039" w:type="dxa"/>
          </w:tcPr>
          <w:p w14:paraId="7FE1DF28"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Age range</w:t>
            </w:r>
          </w:p>
        </w:tc>
        <w:tc>
          <w:tcPr>
            <w:tcW w:w="1039" w:type="dxa"/>
          </w:tcPr>
          <w:p w14:paraId="173B0C60"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ACE tool</w:t>
            </w:r>
          </w:p>
        </w:tc>
        <w:tc>
          <w:tcPr>
            <w:tcW w:w="1039" w:type="dxa"/>
          </w:tcPr>
          <w:p w14:paraId="4F5688AE"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Outcome measures</w:t>
            </w:r>
          </w:p>
        </w:tc>
        <w:tc>
          <w:tcPr>
            <w:tcW w:w="1039" w:type="dxa"/>
          </w:tcPr>
          <w:p w14:paraId="45C651D4"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Key findings</w:t>
            </w:r>
          </w:p>
        </w:tc>
        <w:tc>
          <w:tcPr>
            <w:tcW w:w="1039" w:type="dxa"/>
          </w:tcPr>
          <w:p w14:paraId="643E0AF4" w14:textId="77777777" w:rsidR="001968C6" w:rsidRPr="008D5C42" w:rsidRDefault="001968C6" w:rsidP="008D5C42">
            <w:pPr>
              <w:spacing w:line="360" w:lineRule="auto"/>
              <w:jc w:val="both"/>
              <w:rPr>
                <w:rFonts w:ascii="Arial" w:hAnsi="Arial" w:cs="Arial"/>
                <w:b/>
                <w:bCs/>
              </w:rPr>
            </w:pPr>
            <w:r w:rsidRPr="008D5C42">
              <w:rPr>
                <w:rFonts w:ascii="Arial" w:hAnsi="Arial" w:cs="Arial"/>
                <w:b/>
                <w:bCs/>
              </w:rPr>
              <w:t>Limitations</w:t>
            </w:r>
          </w:p>
        </w:tc>
      </w:tr>
      <w:tr w:rsidR="001968C6" w:rsidRPr="008D5C42" w14:paraId="55153A5E" w14:textId="77777777" w:rsidTr="002002FA">
        <w:tc>
          <w:tcPr>
            <w:tcW w:w="1038" w:type="dxa"/>
          </w:tcPr>
          <w:p w14:paraId="4D649422" w14:textId="77777777" w:rsidR="001968C6" w:rsidRPr="008D5C42" w:rsidRDefault="001968C6" w:rsidP="008D5C42">
            <w:pPr>
              <w:spacing w:line="360" w:lineRule="auto"/>
              <w:jc w:val="both"/>
              <w:rPr>
                <w:rFonts w:ascii="Arial" w:hAnsi="Arial" w:cs="Arial"/>
              </w:rPr>
            </w:pPr>
            <w:r w:rsidRPr="008D5C42">
              <w:rPr>
                <w:rFonts w:ascii="Arial" w:hAnsi="Arial" w:cs="Arial"/>
              </w:rPr>
              <w:t>Bellis et al. 2019</w:t>
            </w:r>
          </w:p>
        </w:tc>
        <w:tc>
          <w:tcPr>
            <w:tcW w:w="1039" w:type="dxa"/>
          </w:tcPr>
          <w:p w14:paraId="2693CC72" w14:textId="77777777" w:rsidR="001968C6" w:rsidRPr="008D5C42" w:rsidRDefault="001968C6" w:rsidP="008D5C42">
            <w:pPr>
              <w:spacing w:line="360" w:lineRule="auto"/>
              <w:jc w:val="both"/>
              <w:rPr>
                <w:rFonts w:ascii="Arial" w:hAnsi="Arial" w:cs="Arial"/>
              </w:rPr>
            </w:pPr>
            <w:r w:rsidRPr="008D5C42">
              <w:rPr>
                <w:rFonts w:ascii="Arial" w:hAnsi="Arial" w:cs="Arial"/>
              </w:rPr>
              <w:t>Eight eastern European countries, university student surveys</w:t>
            </w:r>
          </w:p>
        </w:tc>
        <w:tc>
          <w:tcPr>
            <w:tcW w:w="1039" w:type="dxa"/>
          </w:tcPr>
          <w:p w14:paraId="0F170111" w14:textId="77777777" w:rsidR="001968C6" w:rsidRPr="008D5C42" w:rsidRDefault="001968C6" w:rsidP="008D5C42">
            <w:pPr>
              <w:spacing w:line="360" w:lineRule="auto"/>
              <w:jc w:val="both"/>
              <w:rPr>
                <w:rFonts w:ascii="Arial" w:hAnsi="Arial" w:cs="Arial"/>
              </w:rPr>
            </w:pPr>
            <w:r w:rsidRPr="008D5C42">
              <w:rPr>
                <w:rFonts w:ascii="Arial" w:hAnsi="Arial" w:cs="Arial"/>
              </w:rPr>
              <w:t>Cross-sectional survey</w:t>
            </w:r>
          </w:p>
        </w:tc>
        <w:tc>
          <w:tcPr>
            <w:tcW w:w="1039" w:type="dxa"/>
          </w:tcPr>
          <w:p w14:paraId="00909FE1" w14:textId="77777777" w:rsidR="001968C6" w:rsidRPr="008D5C42" w:rsidRDefault="001968C6" w:rsidP="008D5C42">
            <w:pPr>
              <w:spacing w:line="360" w:lineRule="auto"/>
              <w:jc w:val="both"/>
              <w:rPr>
                <w:rFonts w:ascii="Arial" w:hAnsi="Arial" w:cs="Arial"/>
              </w:rPr>
            </w:pPr>
            <w:r w:rsidRPr="008D5C42">
              <w:rPr>
                <w:rFonts w:ascii="Arial" w:hAnsi="Arial" w:cs="Arial"/>
              </w:rPr>
              <w:t>10 696 young adults</w:t>
            </w:r>
          </w:p>
        </w:tc>
        <w:tc>
          <w:tcPr>
            <w:tcW w:w="1039" w:type="dxa"/>
          </w:tcPr>
          <w:p w14:paraId="47521EC7" w14:textId="77777777" w:rsidR="001968C6" w:rsidRPr="008D5C42" w:rsidRDefault="001968C6" w:rsidP="008D5C42">
            <w:pPr>
              <w:spacing w:line="360" w:lineRule="auto"/>
              <w:jc w:val="both"/>
              <w:rPr>
                <w:rFonts w:ascii="Arial" w:hAnsi="Arial" w:cs="Arial"/>
              </w:rPr>
            </w:pPr>
            <w:r w:rsidRPr="008D5C42">
              <w:rPr>
                <w:rFonts w:ascii="Arial" w:hAnsi="Arial" w:cs="Arial"/>
              </w:rPr>
              <w:t>18 – 25 yrs</w:t>
            </w:r>
          </w:p>
        </w:tc>
        <w:tc>
          <w:tcPr>
            <w:tcW w:w="1039" w:type="dxa"/>
          </w:tcPr>
          <w:p w14:paraId="3473A04C" w14:textId="77777777" w:rsidR="001968C6" w:rsidRPr="008D5C42" w:rsidRDefault="001968C6" w:rsidP="008D5C42">
            <w:pPr>
              <w:spacing w:line="360" w:lineRule="auto"/>
              <w:jc w:val="both"/>
              <w:rPr>
                <w:rFonts w:ascii="Arial" w:hAnsi="Arial" w:cs="Arial"/>
              </w:rPr>
            </w:pPr>
            <w:r w:rsidRPr="008D5C42">
              <w:rPr>
                <w:rFonts w:ascii="Arial" w:hAnsi="Arial" w:cs="Arial"/>
              </w:rPr>
              <w:t>WHO ACE questionnaire</w:t>
            </w:r>
          </w:p>
        </w:tc>
        <w:tc>
          <w:tcPr>
            <w:tcW w:w="1039" w:type="dxa"/>
          </w:tcPr>
          <w:p w14:paraId="52D9470B" w14:textId="77777777" w:rsidR="001968C6" w:rsidRPr="008D5C42" w:rsidRDefault="001968C6" w:rsidP="008D5C42">
            <w:pPr>
              <w:spacing w:line="360" w:lineRule="auto"/>
              <w:jc w:val="both"/>
              <w:rPr>
                <w:rFonts w:ascii="Arial" w:hAnsi="Arial" w:cs="Arial"/>
              </w:rPr>
            </w:pPr>
            <w:r w:rsidRPr="008D5C42">
              <w:rPr>
                <w:rFonts w:ascii="Arial" w:hAnsi="Arial" w:cs="Arial"/>
              </w:rPr>
              <w:t>Substance use, physical inactivity, suicide attempts</w:t>
            </w:r>
          </w:p>
        </w:tc>
        <w:tc>
          <w:tcPr>
            <w:tcW w:w="1039" w:type="dxa"/>
          </w:tcPr>
          <w:p w14:paraId="74875D1D" w14:textId="77777777" w:rsidR="001968C6" w:rsidRPr="008D5C42" w:rsidRDefault="001968C6" w:rsidP="008D5C42">
            <w:pPr>
              <w:spacing w:line="360" w:lineRule="auto"/>
              <w:jc w:val="both"/>
              <w:rPr>
                <w:rFonts w:ascii="Arial" w:hAnsi="Arial" w:cs="Arial"/>
              </w:rPr>
            </w:pPr>
            <w:r w:rsidRPr="008D5C42">
              <w:rPr>
                <w:rFonts w:ascii="Arial" w:hAnsi="Arial" w:cs="Arial"/>
              </w:rPr>
              <w:t>Clear dose–response: four or more ACEs increased odds of suicide attempt almost fifty-fold</w:t>
            </w:r>
          </w:p>
        </w:tc>
        <w:tc>
          <w:tcPr>
            <w:tcW w:w="1039" w:type="dxa"/>
          </w:tcPr>
          <w:p w14:paraId="080C25DD" w14:textId="77777777" w:rsidR="001968C6" w:rsidRPr="008D5C42" w:rsidRDefault="001968C6" w:rsidP="008D5C42">
            <w:pPr>
              <w:spacing w:line="360" w:lineRule="auto"/>
              <w:jc w:val="both"/>
              <w:rPr>
                <w:rFonts w:ascii="Arial" w:hAnsi="Arial" w:cs="Arial"/>
              </w:rPr>
            </w:pPr>
            <w:r w:rsidRPr="008D5C42">
              <w:rPr>
                <w:rFonts w:ascii="Arial" w:hAnsi="Arial" w:cs="Arial"/>
              </w:rPr>
              <w:t>Convenience sample, self-report, cross-sectional design</w:t>
            </w:r>
          </w:p>
        </w:tc>
      </w:tr>
      <w:tr w:rsidR="001968C6" w:rsidRPr="008D5C42" w14:paraId="449E8F39" w14:textId="77777777" w:rsidTr="002002FA">
        <w:tc>
          <w:tcPr>
            <w:tcW w:w="1038" w:type="dxa"/>
          </w:tcPr>
          <w:p w14:paraId="2A6D12FF" w14:textId="77777777" w:rsidR="001968C6" w:rsidRPr="008D5C42" w:rsidRDefault="001968C6" w:rsidP="008D5C42">
            <w:pPr>
              <w:spacing w:line="360" w:lineRule="auto"/>
              <w:jc w:val="both"/>
              <w:rPr>
                <w:rFonts w:ascii="Arial" w:hAnsi="Arial" w:cs="Arial"/>
              </w:rPr>
            </w:pPr>
            <w:proofErr w:type="spellStart"/>
            <w:r w:rsidRPr="008D5C42">
              <w:rPr>
                <w:rFonts w:ascii="Arial" w:hAnsi="Arial" w:cs="Arial"/>
              </w:rPr>
              <w:t>Lereya</w:t>
            </w:r>
            <w:proofErr w:type="spellEnd"/>
            <w:r w:rsidRPr="008D5C42">
              <w:rPr>
                <w:rFonts w:ascii="Arial" w:hAnsi="Arial" w:cs="Arial"/>
              </w:rPr>
              <w:t xml:space="preserve"> et al. 2015</w:t>
            </w:r>
          </w:p>
        </w:tc>
        <w:tc>
          <w:tcPr>
            <w:tcW w:w="1039" w:type="dxa"/>
          </w:tcPr>
          <w:p w14:paraId="357E9B3A" w14:textId="77777777" w:rsidR="001968C6" w:rsidRPr="008D5C42" w:rsidRDefault="001968C6" w:rsidP="008D5C42">
            <w:pPr>
              <w:spacing w:line="360" w:lineRule="auto"/>
              <w:jc w:val="both"/>
              <w:rPr>
                <w:rFonts w:ascii="Arial" w:hAnsi="Arial" w:cs="Arial"/>
              </w:rPr>
            </w:pPr>
            <w:r w:rsidRPr="008D5C42">
              <w:rPr>
                <w:rFonts w:ascii="Arial" w:hAnsi="Arial" w:cs="Arial"/>
              </w:rPr>
              <w:t>UK ALSPAC cohort (plus US GSMS comparison)</w:t>
            </w:r>
          </w:p>
        </w:tc>
        <w:tc>
          <w:tcPr>
            <w:tcW w:w="1039" w:type="dxa"/>
          </w:tcPr>
          <w:p w14:paraId="5515CAB3" w14:textId="77777777" w:rsidR="001968C6" w:rsidRPr="008D5C42" w:rsidRDefault="001968C6" w:rsidP="008D5C42">
            <w:pPr>
              <w:spacing w:line="360" w:lineRule="auto"/>
              <w:jc w:val="both"/>
              <w:rPr>
                <w:rFonts w:ascii="Arial" w:hAnsi="Arial" w:cs="Arial"/>
              </w:rPr>
            </w:pPr>
            <w:r w:rsidRPr="008D5C42">
              <w:rPr>
                <w:rFonts w:ascii="Arial" w:hAnsi="Arial" w:cs="Arial"/>
              </w:rPr>
              <w:t>Prospective cohort</w:t>
            </w:r>
          </w:p>
        </w:tc>
        <w:tc>
          <w:tcPr>
            <w:tcW w:w="1039" w:type="dxa"/>
          </w:tcPr>
          <w:p w14:paraId="400E0B92" w14:textId="77777777" w:rsidR="001968C6" w:rsidRPr="008D5C42" w:rsidRDefault="001968C6" w:rsidP="008D5C42">
            <w:pPr>
              <w:spacing w:line="360" w:lineRule="auto"/>
              <w:jc w:val="both"/>
              <w:rPr>
                <w:rFonts w:ascii="Arial" w:hAnsi="Arial" w:cs="Arial"/>
              </w:rPr>
            </w:pPr>
            <w:r w:rsidRPr="008D5C42">
              <w:rPr>
                <w:rFonts w:ascii="Arial" w:hAnsi="Arial" w:cs="Arial"/>
              </w:rPr>
              <w:t>About 4 000 UK participants (total 5 446)</w:t>
            </w:r>
          </w:p>
        </w:tc>
        <w:tc>
          <w:tcPr>
            <w:tcW w:w="1039" w:type="dxa"/>
          </w:tcPr>
          <w:p w14:paraId="75DEB202" w14:textId="77777777" w:rsidR="001968C6" w:rsidRPr="008D5C42" w:rsidRDefault="001968C6" w:rsidP="008D5C42">
            <w:pPr>
              <w:spacing w:line="360" w:lineRule="auto"/>
              <w:jc w:val="both"/>
              <w:rPr>
                <w:rFonts w:ascii="Arial" w:hAnsi="Arial" w:cs="Arial"/>
              </w:rPr>
            </w:pPr>
            <w:r w:rsidRPr="008D5C42">
              <w:rPr>
                <w:rFonts w:ascii="Arial" w:hAnsi="Arial" w:cs="Arial"/>
              </w:rPr>
              <w:t>Follow-up from 8 to 25 yrs</w:t>
            </w:r>
          </w:p>
        </w:tc>
        <w:tc>
          <w:tcPr>
            <w:tcW w:w="1039" w:type="dxa"/>
          </w:tcPr>
          <w:p w14:paraId="7B5FEBFC" w14:textId="77777777" w:rsidR="001968C6" w:rsidRPr="008D5C42" w:rsidRDefault="001968C6" w:rsidP="008D5C42">
            <w:pPr>
              <w:spacing w:line="360" w:lineRule="auto"/>
              <w:jc w:val="both"/>
              <w:rPr>
                <w:rFonts w:ascii="Arial" w:hAnsi="Arial" w:cs="Arial"/>
              </w:rPr>
            </w:pPr>
            <w:r w:rsidRPr="008D5C42">
              <w:rPr>
                <w:rFonts w:ascii="Arial" w:hAnsi="Arial" w:cs="Arial"/>
              </w:rPr>
              <w:t>Structured questions on maltreatment and peer bullying</w:t>
            </w:r>
          </w:p>
        </w:tc>
        <w:tc>
          <w:tcPr>
            <w:tcW w:w="1039" w:type="dxa"/>
          </w:tcPr>
          <w:p w14:paraId="29ED2D17" w14:textId="77777777" w:rsidR="001968C6" w:rsidRPr="008D5C42" w:rsidRDefault="001968C6" w:rsidP="008D5C42">
            <w:pPr>
              <w:spacing w:line="360" w:lineRule="auto"/>
              <w:jc w:val="both"/>
              <w:rPr>
                <w:rFonts w:ascii="Arial" w:hAnsi="Arial" w:cs="Arial"/>
              </w:rPr>
            </w:pPr>
            <w:r w:rsidRPr="008D5C42">
              <w:rPr>
                <w:rFonts w:ascii="Arial" w:hAnsi="Arial" w:cs="Arial"/>
              </w:rPr>
              <w:t>Anxiety, depression, self-harm in early adulthood</w:t>
            </w:r>
          </w:p>
        </w:tc>
        <w:tc>
          <w:tcPr>
            <w:tcW w:w="1039" w:type="dxa"/>
          </w:tcPr>
          <w:p w14:paraId="0AE79FA7" w14:textId="77777777" w:rsidR="001968C6" w:rsidRPr="008D5C42" w:rsidRDefault="001968C6" w:rsidP="008D5C42">
            <w:pPr>
              <w:spacing w:line="360" w:lineRule="auto"/>
              <w:jc w:val="both"/>
              <w:rPr>
                <w:rFonts w:ascii="Arial" w:hAnsi="Arial" w:cs="Arial"/>
              </w:rPr>
            </w:pPr>
            <w:r w:rsidRPr="008D5C42">
              <w:rPr>
                <w:rFonts w:ascii="Arial" w:hAnsi="Arial" w:cs="Arial"/>
              </w:rPr>
              <w:t>Peer bullying alone predicted later mental ill-health, independent of maltreatment</w:t>
            </w:r>
          </w:p>
        </w:tc>
        <w:tc>
          <w:tcPr>
            <w:tcW w:w="1039" w:type="dxa"/>
          </w:tcPr>
          <w:p w14:paraId="72E48A67" w14:textId="77777777" w:rsidR="001968C6" w:rsidRPr="008D5C42" w:rsidRDefault="001968C6" w:rsidP="008D5C42">
            <w:pPr>
              <w:spacing w:line="360" w:lineRule="auto"/>
              <w:jc w:val="both"/>
              <w:rPr>
                <w:rFonts w:ascii="Arial" w:hAnsi="Arial" w:cs="Arial"/>
              </w:rPr>
            </w:pPr>
            <w:r w:rsidRPr="008D5C42">
              <w:rPr>
                <w:rFonts w:ascii="Arial" w:hAnsi="Arial" w:cs="Arial"/>
              </w:rPr>
              <w:t>Attrition over long follow-up; some bullying recalled retrospectively</w:t>
            </w:r>
          </w:p>
        </w:tc>
      </w:tr>
      <w:tr w:rsidR="001968C6" w:rsidRPr="008D5C42" w14:paraId="51060839" w14:textId="77777777" w:rsidTr="002002FA">
        <w:tc>
          <w:tcPr>
            <w:tcW w:w="1038" w:type="dxa"/>
          </w:tcPr>
          <w:p w14:paraId="11E956A6" w14:textId="77777777" w:rsidR="001968C6" w:rsidRPr="008D5C42" w:rsidRDefault="001968C6" w:rsidP="008D5C42">
            <w:pPr>
              <w:spacing w:line="360" w:lineRule="auto"/>
              <w:jc w:val="both"/>
              <w:rPr>
                <w:rFonts w:ascii="Arial" w:hAnsi="Arial" w:cs="Arial"/>
              </w:rPr>
            </w:pPr>
            <w:r w:rsidRPr="008D5C42">
              <w:rPr>
                <w:rFonts w:ascii="Arial" w:hAnsi="Arial" w:cs="Arial"/>
              </w:rPr>
              <w:t>Chandrasekar et al. 2024</w:t>
            </w:r>
          </w:p>
        </w:tc>
        <w:tc>
          <w:tcPr>
            <w:tcW w:w="1039" w:type="dxa"/>
          </w:tcPr>
          <w:p w14:paraId="3FADE915" w14:textId="77777777" w:rsidR="001968C6" w:rsidRPr="008D5C42" w:rsidRDefault="001968C6" w:rsidP="008D5C42">
            <w:pPr>
              <w:spacing w:line="360" w:lineRule="auto"/>
              <w:jc w:val="both"/>
              <w:rPr>
                <w:rFonts w:ascii="Arial" w:hAnsi="Arial" w:cs="Arial"/>
              </w:rPr>
            </w:pPr>
            <w:r w:rsidRPr="008D5C42">
              <w:rPr>
                <w:rFonts w:ascii="Arial" w:hAnsi="Arial" w:cs="Arial"/>
              </w:rPr>
              <w:t>UK-wide Millenn</w:t>
            </w:r>
            <w:r w:rsidRPr="008D5C42">
              <w:rPr>
                <w:rFonts w:ascii="Arial" w:hAnsi="Arial" w:cs="Arial"/>
              </w:rPr>
              <w:lastRenderedPageBreak/>
              <w:t>ium Cohort</w:t>
            </w:r>
          </w:p>
        </w:tc>
        <w:tc>
          <w:tcPr>
            <w:tcW w:w="1039" w:type="dxa"/>
          </w:tcPr>
          <w:p w14:paraId="0DD3AF1C" w14:textId="77777777" w:rsidR="001968C6" w:rsidRPr="008D5C42" w:rsidRDefault="001968C6" w:rsidP="008D5C42">
            <w:pPr>
              <w:spacing w:line="360" w:lineRule="auto"/>
              <w:jc w:val="both"/>
              <w:rPr>
                <w:rFonts w:ascii="Arial" w:hAnsi="Arial" w:cs="Arial"/>
              </w:rPr>
            </w:pPr>
            <w:r w:rsidRPr="008D5C42">
              <w:rPr>
                <w:rFonts w:ascii="Arial" w:hAnsi="Arial" w:cs="Arial"/>
              </w:rPr>
              <w:lastRenderedPageBreak/>
              <w:t xml:space="preserve">Cross-sectional analysis of </w:t>
            </w:r>
            <w:r w:rsidRPr="008D5C42">
              <w:rPr>
                <w:rFonts w:ascii="Arial" w:hAnsi="Arial" w:cs="Arial"/>
              </w:rPr>
              <w:lastRenderedPageBreak/>
              <w:t>longitudinal data</w:t>
            </w:r>
          </w:p>
        </w:tc>
        <w:tc>
          <w:tcPr>
            <w:tcW w:w="1039" w:type="dxa"/>
          </w:tcPr>
          <w:p w14:paraId="0CF18EE8" w14:textId="77777777" w:rsidR="001968C6" w:rsidRPr="008D5C42" w:rsidRDefault="001968C6" w:rsidP="008D5C42">
            <w:pPr>
              <w:spacing w:line="360" w:lineRule="auto"/>
              <w:jc w:val="both"/>
              <w:rPr>
                <w:rFonts w:ascii="Arial" w:hAnsi="Arial" w:cs="Arial"/>
              </w:rPr>
            </w:pPr>
            <w:r w:rsidRPr="008D5C42">
              <w:rPr>
                <w:rFonts w:ascii="Arial" w:hAnsi="Arial" w:cs="Arial"/>
              </w:rPr>
              <w:lastRenderedPageBreak/>
              <w:t>8 686 adolescents</w:t>
            </w:r>
          </w:p>
        </w:tc>
        <w:tc>
          <w:tcPr>
            <w:tcW w:w="1039" w:type="dxa"/>
          </w:tcPr>
          <w:p w14:paraId="2A040392" w14:textId="77777777" w:rsidR="001968C6" w:rsidRPr="008D5C42" w:rsidRDefault="001968C6" w:rsidP="008D5C42">
            <w:pPr>
              <w:spacing w:line="360" w:lineRule="auto"/>
              <w:jc w:val="both"/>
              <w:rPr>
                <w:rFonts w:ascii="Arial" w:hAnsi="Arial" w:cs="Arial"/>
              </w:rPr>
            </w:pPr>
            <w:r w:rsidRPr="008D5C42">
              <w:rPr>
                <w:rFonts w:ascii="Arial" w:hAnsi="Arial" w:cs="Arial"/>
              </w:rPr>
              <w:t>17 yrs</w:t>
            </w:r>
          </w:p>
        </w:tc>
        <w:tc>
          <w:tcPr>
            <w:tcW w:w="1039" w:type="dxa"/>
          </w:tcPr>
          <w:p w14:paraId="7709AEBC"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Eight ACEs recorded </w:t>
            </w:r>
            <w:r w:rsidRPr="008D5C42">
              <w:rPr>
                <w:rFonts w:ascii="Arial" w:hAnsi="Arial" w:cs="Arial"/>
              </w:rPr>
              <w:lastRenderedPageBreak/>
              <w:t>prospectively ages 3 – 14</w:t>
            </w:r>
          </w:p>
        </w:tc>
        <w:tc>
          <w:tcPr>
            <w:tcW w:w="1039" w:type="dxa"/>
          </w:tcPr>
          <w:p w14:paraId="49815310" w14:textId="77777777" w:rsidR="001968C6" w:rsidRPr="008D5C42" w:rsidRDefault="001968C6" w:rsidP="008D5C42">
            <w:pPr>
              <w:spacing w:line="360" w:lineRule="auto"/>
              <w:jc w:val="both"/>
              <w:rPr>
                <w:rFonts w:ascii="Arial" w:hAnsi="Arial" w:cs="Arial"/>
              </w:rPr>
            </w:pPr>
            <w:r w:rsidRPr="008D5C42">
              <w:rPr>
                <w:rFonts w:ascii="Arial" w:hAnsi="Arial" w:cs="Arial"/>
              </w:rPr>
              <w:lastRenderedPageBreak/>
              <w:t>Psychological distress, self-</w:t>
            </w:r>
            <w:r w:rsidRPr="008D5C42">
              <w:rPr>
                <w:rFonts w:ascii="Arial" w:hAnsi="Arial" w:cs="Arial"/>
              </w:rPr>
              <w:lastRenderedPageBreak/>
              <w:t>harm, sleep, risk behaviours</w:t>
            </w:r>
          </w:p>
        </w:tc>
        <w:tc>
          <w:tcPr>
            <w:tcW w:w="1039" w:type="dxa"/>
          </w:tcPr>
          <w:p w14:paraId="015C74E4" w14:textId="77777777" w:rsidR="001968C6" w:rsidRPr="008D5C42" w:rsidRDefault="001968C6" w:rsidP="008D5C42">
            <w:pPr>
              <w:spacing w:line="360" w:lineRule="auto"/>
              <w:jc w:val="both"/>
              <w:rPr>
                <w:rFonts w:ascii="Arial" w:hAnsi="Arial" w:cs="Arial"/>
              </w:rPr>
            </w:pPr>
            <w:r w:rsidRPr="008D5C42">
              <w:rPr>
                <w:rFonts w:ascii="Arial" w:hAnsi="Arial" w:cs="Arial"/>
              </w:rPr>
              <w:lastRenderedPageBreak/>
              <w:t>Cumulative ACEs associa</w:t>
            </w:r>
            <w:r w:rsidRPr="008D5C42">
              <w:rPr>
                <w:rFonts w:ascii="Arial" w:hAnsi="Arial" w:cs="Arial"/>
              </w:rPr>
              <w:lastRenderedPageBreak/>
              <w:t>ted with higher distress; stronger effects in sexual-minority youth</w:t>
            </w:r>
          </w:p>
        </w:tc>
        <w:tc>
          <w:tcPr>
            <w:tcW w:w="1039" w:type="dxa"/>
          </w:tcPr>
          <w:p w14:paraId="52FD0DC4" w14:textId="77777777" w:rsidR="001968C6" w:rsidRPr="008D5C42" w:rsidRDefault="001968C6" w:rsidP="008D5C42">
            <w:pPr>
              <w:spacing w:line="360" w:lineRule="auto"/>
              <w:jc w:val="both"/>
              <w:rPr>
                <w:rFonts w:ascii="Arial" w:hAnsi="Arial" w:cs="Arial"/>
              </w:rPr>
            </w:pPr>
            <w:r w:rsidRPr="008D5C42">
              <w:rPr>
                <w:rFonts w:ascii="Arial" w:hAnsi="Arial" w:cs="Arial"/>
              </w:rPr>
              <w:lastRenderedPageBreak/>
              <w:t xml:space="preserve">Missing data on some ACE </w:t>
            </w:r>
            <w:r w:rsidRPr="008D5C42">
              <w:rPr>
                <w:rFonts w:ascii="Arial" w:hAnsi="Arial" w:cs="Arial"/>
              </w:rPr>
              <w:lastRenderedPageBreak/>
              <w:t>waves; limited ACE scope</w:t>
            </w:r>
          </w:p>
        </w:tc>
      </w:tr>
      <w:tr w:rsidR="001968C6" w:rsidRPr="008D5C42" w14:paraId="28377AD4" w14:textId="77777777" w:rsidTr="002002FA">
        <w:tc>
          <w:tcPr>
            <w:tcW w:w="1038" w:type="dxa"/>
          </w:tcPr>
          <w:p w14:paraId="6F7646D9" w14:textId="77777777" w:rsidR="001968C6" w:rsidRPr="008D5C42" w:rsidRDefault="001968C6" w:rsidP="008D5C42">
            <w:pPr>
              <w:spacing w:line="360" w:lineRule="auto"/>
              <w:jc w:val="both"/>
              <w:rPr>
                <w:rFonts w:ascii="Arial" w:hAnsi="Arial" w:cs="Arial"/>
              </w:rPr>
            </w:pPr>
            <w:r w:rsidRPr="008D5C42">
              <w:rPr>
                <w:rFonts w:ascii="Arial" w:hAnsi="Arial" w:cs="Arial"/>
              </w:rPr>
              <w:lastRenderedPageBreak/>
              <w:t>Smith et al. 2023</w:t>
            </w:r>
          </w:p>
        </w:tc>
        <w:tc>
          <w:tcPr>
            <w:tcW w:w="1039" w:type="dxa"/>
          </w:tcPr>
          <w:p w14:paraId="2788F25D" w14:textId="77777777" w:rsidR="001968C6" w:rsidRPr="008D5C42" w:rsidRDefault="001968C6" w:rsidP="008D5C42">
            <w:pPr>
              <w:spacing w:line="360" w:lineRule="auto"/>
              <w:jc w:val="both"/>
              <w:rPr>
                <w:rFonts w:ascii="Arial" w:hAnsi="Arial" w:cs="Arial"/>
              </w:rPr>
            </w:pPr>
            <w:r w:rsidRPr="008D5C42">
              <w:rPr>
                <w:rFonts w:ascii="Arial" w:hAnsi="Arial" w:cs="Arial"/>
              </w:rPr>
              <w:t>UK Biobank adult cohort</w:t>
            </w:r>
          </w:p>
        </w:tc>
        <w:tc>
          <w:tcPr>
            <w:tcW w:w="1039" w:type="dxa"/>
          </w:tcPr>
          <w:p w14:paraId="4BC69341" w14:textId="77777777" w:rsidR="001968C6" w:rsidRPr="008D5C42" w:rsidRDefault="001968C6" w:rsidP="008D5C42">
            <w:pPr>
              <w:spacing w:line="360" w:lineRule="auto"/>
              <w:jc w:val="both"/>
              <w:rPr>
                <w:rFonts w:ascii="Arial" w:hAnsi="Arial" w:cs="Arial"/>
              </w:rPr>
            </w:pPr>
            <w:r w:rsidRPr="008D5C42">
              <w:rPr>
                <w:rFonts w:ascii="Arial" w:hAnsi="Arial" w:cs="Arial"/>
              </w:rPr>
              <w:t>Cross-sectional survey</w:t>
            </w:r>
          </w:p>
        </w:tc>
        <w:tc>
          <w:tcPr>
            <w:tcW w:w="1039" w:type="dxa"/>
          </w:tcPr>
          <w:p w14:paraId="1C0C0AAB" w14:textId="77777777" w:rsidR="001968C6" w:rsidRPr="008D5C42" w:rsidRDefault="001968C6" w:rsidP="008D5C42">
            <w:pPr>
              <w:spacing w:line="360" w:lineRule="auto"/>
              <w:jc w:val="both"/>
              <w:rPr>
                <w:rFonts w:ascii="Arial" w:hAnsi="Arial" w:cs="Arial"/>
              </w:rPr>
            </w:pPr>
            <w:r w:rsidRPr="008D5C42">
              <w:rPr>
                <w:rFonts w:ascii="Arial" w:hAnsi="Arial" w:cs="Arial"/>
              </w:rPr>
              <w:t>157 357 adults</w:t>
            </w:r>
          </w:p>
        </w:tc>
        <w:tc>
          <w:tcPr>
            <w:tcW w:w="1039" w:type="dxa"/>
          </w:tcPr>
          <w:p w14:paraId="150204BC" w14:textId="77777777" w:rsidR="001968C6" w:rsidRPr="008D5C42" w:rsidRDefault="001968C6" w:rsidP="008D5C42">
            <w:pPr>
              <w:spacing w:line="360" w:lineRule="auto"/>
              <w:jc w:val="both"/>
              <w:rPr>
                <w:rFonts w:ascii="Arial" w:hAnsi="Arial" w:cs="Arial"/>
              </w:rPr>
            </w:pPr>
            <w:r w:rsidRPr="008D5C42">
              <w:rPr>
                <w:rFonts w:ascii="Arial" w:hAnsi="Arial" w:cs="Arial"/>
              </w:rPr>
              <w:t>40 – 69 yrs</w:t>
            </w:r>
          </w:p>
        </w:tc>
        <w:tc>
          <w:tcPr>
            <w:tcW w:w="1039" w:type="dxa"/>
          </w:tcPr>
          <w:p w14:paraId="097C6622" w14:textId="77777777" w:rsidR="001968C6" w:rsidRPr="008D5C42" w:rsidRDefault="001968C6" w:rsidP="008D5C42">
            <w:pPr>
              <w:spacing w:line="360" w:lineRule="auto"/>
              <w:jc w:val="both"/>
              <w:rPr>
                <w:rFonts w:ascii="Arial" w:hAnsi="Arial" w:cs="Arial"/>
              </w:rPr>
            </w:pPr>
            <w:r w:rsidRPr="008D5C42">
              <w:rPr>
                <w:rFonts w:ascii="Arial" w:hAnsi="Arial" w:cs="Arial"/>
              </w:rPr>
              <w:t>Four maltreatment items: physical, sexual, emotional, neglect</w:t>
            </w:r>
          </w:p>
        </w:tc>
        <w:tc>
          <w:tcPr>
            <w:tcW w:w="1039" w:type="dxa"/>
          </w:tcPr>
          <w:p w14:paraId="0466E4EC" w14:textId="77777777" w:rsidR="001968C6" w:rsidRPr="008D5C42" w:rsidRDefault="001968C6" w:rsidP="008D5C42">
            <w:pPr>
              <w:spacing w:line="360" w:lineRule="auto"/>
              <w:jc w:val="both"/>
              <w:rPr>
                <w:rFonts w:ascii="Arial" w:hAnsi="Arial" w:cs="Arial"/>
              </w:rPr>
            </w:pPr>
            <w:r w:rsidRPr="008D5C42">
              <w:rPr>
                <w:rFonts w:ascii="Arial" w:hAnsi="Arial" w:cs="Arial"/>
              </w:rPr>
              <w:t>Multimorbidity count, frailty, loneliness</w:t>
            </w:r>
          </w:p>
        </w:tc>
        <w:tc>
          <w:tcPr>
            <w:tcW w:w="1039" w:type="dxa"/>
          </w:tcPr>
          <w:p w14:paraId="7A68D88B" w14:textId="77777777" w:rsidR="001968C6" w:rsidRPr="008D5C42" w:rsidRDefault="001968C6" w:rsidP="008D5C42">
            <w:pPr>
              <w:spacing w:line="360" w:lineRule="auto"/>
              <w:jc w:val="both"/>
              <w:rPr>
                <w:rFonts w:ascii="Arial" w:hAnsi="Arial" w:cs="Arial"/>
              </w:rPr>
            </w:pPr>
            <w:r w:rsidRPr="008D5C42">
              <w:rPr>
                <w:rFonts w:ascii="Arial" w:hAnsi="Arial" w:cs="Arial"/>
              </w:rPr>
              <w:t>Experiencing all four maltreatment types raised odds of four or more long-term conditions five-fold</w:t>
            </w:r>
          </w:p>
        </w:tc>
        <w:tc>
          <w:tcPr>
            <w:tcW w:w="1039" w:type="dxa"/>
          </w:tcPr>
          <w:p w14:paraId="23485026" w14:textId="77777777" w:rsidR="001968C6" w:rsidRPr="008D5C42" w:rsidRDefault="001968C6" w:rsidP="008D5C42">
            <w:pPr>
              <w:spacing w:line="360" w:lineRule="auto"/>
              <w:jc w:val="both"/>
              <w:rPr>
                <w:rFonts w:ascii="Arial" w:hAnsi="Arial" w:cs="Arial"/>
              </w:rPr>
            </w:pPr>
            <w:r w:rsidRPr="008D5C42">
              <w:rPr>
                <w:rFonts w:ascii="Arial" w:hAnsi="Arial" w:cs="Arial"/>
              </w:rPr>
              <w:t>Retrospective ACE recall; volunteer bias; older age group</w:t>
            </w:r>
          </w:p>
        </w:tc>
      </w:tr>
      <w:tr w:rsidR="001968C6" w:rsidRPr="008D5C42" w14:paraId="4B29AA8F" w14:textId="77777777" w:rsidTr="002002FA">
        <w:tc>
          <w:tcPr>
            <w:tcW w:w="1038" w:type="dxa"/>
          </w:tcPr>
          <w:p w14:paraId="736FD341" w14:textId="77777777" w:rsidR="001968C6" w:rsidRPr="008D5C42" w:rsidRDefault="001968C6" w:rsidP="008D5C42">
            <w:pPr>
              <w:spacing w:line="360" w:lineRule="auto"/>
              <w:jc w:val="both"/>
              <w:rPr>
                <w:rFonts w:ascii="Arial" w:hAnsi="Arial" w:cs="Arial"/>
              </w:rPr>
            </w:pPr>
            <w:r w:rsidRPr="008D5C42">
              <w:rPr>
                <w:rFonts w:ascii="Arial" w:hAnsi="Arial" w:cs="Arial"/>
              </w:rPr>
              <w:t>Avery et al. 2025</w:t>
            </w:r>
          </w:p>
        </w:tc>
        <w:tc>
          <w:tcPr>
            <w:tcW w:w="1039" w:type="dxa"/>
          </w:tcPr>
          <w:p w14:paraId="24086651" w14:textId="77777777" w:rsidR="001968C6" w:rsidRPr="008D5C42" w:rsidRDefault="001968C6" w:rsidP="008D5C42">
            <w:pPr>
              <w:spacing w:line="360" w:lineRule="auto"/>
              <w:jc w:val="both"/>
              <w:rPr>
                <w:rFonts w:ascii="Arial" w:hAnsi="Arial" w:cs="Arial"/>
              </w:rPr>
            </w:pPr>
            <w:r w:rsidRPr="008D5C42">
              <w:rPr>
                <w:rFonts w:ascii="Arial" w:hAnsi="Arial" w:cs="Arial"/>
              </w:rPr>
              <w:t>England, community mental-health services</w:t>
            </w:r>
          </w:p>
        </w:tc>
        <w:tc>
          <w:tcPr>
            <w:tcW w:w="1039" w:type="dxa"/>
          </w:tcPr>
          <w:p w14:paraId="7149F515" w14:textId="77777777" w:rsidR="001968C6" w:rsidRPr="008D5C42" w:rsidRDefault="001968C6" w:rsidP="008D5C42">
            <w:pPr>
              <w:spacing w:line="360" w:lineRule="auto"/>
              <w:jc w:val="both"/>
              <w:rPr>
                <w:rFonts w:ascii="Arial" w:hAnsi="Arial" w:cs="Arial"/>
              </w:rPr>
            </w:pPr>
            <w:r w:rsidRPr="008D5C42">
              <w:rPr>
                <w:rFonts w:ascii="Arial" w:hAnsi="Arial" w:cs="Arial"/>
              </w:rPr>
              <w:t>Qualitative interviews</w:t>
            </w:r>
          </w:p>
        </w:tc>
        <w:tc>
          <w:tcPr>
            <w:tcW w:w="1039" w:type="dxa"/>
          </w:tcPr>
          <w:p w14:paraId="3D4C27A8" w14:textId="77777777" w:rsidR="001968C6" w:rsidRPr="008D5C42" w:rsidRDefault="001968C6" w:rsidP="008D5C42">
            <w:pPr>
              <w:spacing w:line="360" w:lineRule="auto"/>
              <w:jc w:val="both"/>
              <w:rPr>
                <w:rFonts w:ascii="Arial" w:hAnsi="Arial" w:cs="Arial"/>
              </w:rPr>
            </w:pPr>
            <w:r w:rsidRPr="008D5C42">
              <w:rPr>
                <w:rFonts w:ascii="Arial" w:hAnsi="Arial" w:cs="Arial"/>
              </w:rPr>
              <w:t>25 participants</w:t>
            </w:r>
          </w:p>
        </w:tc>
        <w:tc>
          <w:tcPr>
            <w:tcW w:w="1039" w:type="dxa"/>
          </w:tcPr>
          <w:p w14:paraId="2D9A29C8" w14:textId="77777777" w:rsidR="001968C6" w:rsidRPr="008D5C42" w:rsidRDefault="001968C6" w:rsidP="008D5C42">
            <w:pPr>
              <w:spacing w:line="360" w:lineRule="auto"/>
              <w:jc w:val="both"/>
              <w:rPr>
                <w:rFonts w:ascii="Arial" w:hAnsi="Arial" w:cs="Arial"/>
              </w:rPr>
            </w:pPr>
            <w:r w:rsidRPr="008D5C42">
              <w:rPr>
                <w:rFonts w:ascii="Arial" w:hAnsi="Arial" w:cs="Arial"/>
              </w:rPr>
              <w:t>16 – 24 yrs</w:t>
            </w:r>
          </w:p>
        </w:tc>
        <w:tc>
          <w:tcPr>
            <w:tcW w:w="1039" w:type="dxa"/>
          </w:tcPr>
          <w:p w14:paraId="0E4197A7" w14:textId="77777777" w:rsidR="001968C6" w:rsidRPr="008D5C42" w:rsidRDefault="001968C6" w:rsidP="008D5C42">
            <w:pPr>
              <w:spacing w:line="360" w:lineRule="auto"/>
              <w:jc w:val="both"/>
              <w:rPr>
                <w:rFonts w:ascii="Arial" w:hAnsi="Arial" w:cs="Arial"/>
              </w:rPr>
            </w:pPr>
            <w:r w:rsidRPr="008D5C42">
              <w:rPr>
                <w:rFonts w:ascii="Arial" w:hAnsi="Arial" w:cs="Arial"/>
              </w:rPr>
              <w:t>Semi-structured ACE interview guide</w:t>
            </w:r>
          </w:p>
        </w:tc>
        <w:tc>
          <w:tcPr>
            <w:tcW w:w="1039" w:type="dxa"/>
          </w:tcPr>
          <w:p w14:paraId="0563ABC7" w14:textId="77777777" w:rsidR="001968C6" w:rsidRPr="008D5C42" w:rsidRDefault="001968C6" w:rsidP="008D5C42">
            <w:pPr>
              <w:spacing w:line="360" w:lineRule="auto"/>
              <w:jc w:val="both"/>
              <w:rPr>
                <w:rFonts w:ascii="Arial" w:hAnsi="Arial" w:cs="Arial"/>
              </w:rPr>
            </w:pPr>
            <w:r w:rsidRPr="008D5C42">
              <w:rPr>
                <w:rFonts w:ascii="Arial" w:hAnsi="Arial" w:cs="Arial"/>
              </w:rPr>
              <w:t>Perceived support needs, resilience themes</w:t>
            </w:r>
          </w:p>
        </w:tc>
        <w:tc>
          <w:tcPr>
            <w:tcW w:w="1039" w:type="dxa"/>
          </w:tcPr>
          <w:p w14:paraId="5BC1970E" w14:textId="77777777" w:rsidR="001968C6" w:rsidRPr="008D5C42" w:rsidRDefault="001968C6" w:rsidP="008D5C42">
            <w:pPr>
              <w:spacing w:line="360" w:lineRule="auto"/>
              <w:jc w:val="both"/>
              <w:rPr>
                <w:rFonts w:ascii="Arial" w:hAnsi="Arial" w:cs="Arial"/>
              </w:rPr>
            </w:pPr>
            <w:r w:rsidRPr="008D5C42">
              <w:rPr>
                <w:rFonts w:ascii="Arial" w:hAnsi="Arial" w:cs="Arial"/>
              </w:rPr>
              <w:t xml:space="preserve">Trauma-informed relational support and peer networks </w:t>
            </w:r>
            <w:r w:rsidRPr="008D5C42">
              <w:rPr>
                <w:rFonts w:ascii="Arial" w:hAnsi="Arial" w:cs="Arial"/>
              </w:rPr>
              <w:lastRenderedPageBreak/>
              <w:t>viewed as most helpful</w:t>
            </w:r>
          </w:p>
        </w:tc>
        <w:tc>
          <w:tcPr>
            <w:tcW w:w="1039" w:type="dxa"/>
          </w:tcPr>
          <w:p w14:paraId="2CCCE2E8" w14:textId="77777777" w:rsidR="001968C6" w:rsidRPr="008D5C42" w:rsidRDefault="001968C6" w:rsidP="008D5C42">
            <w:pPr>
              <w:spacing w:line="360" w:lineRule="auto"/>
              <w:jc w:val="both"/>
              <w:rPr>
                <w:rFonts w:ascii="Arial" w:hAnsi="Arial" w:cs="Arial"/>
              </w:rPr>
            </w:pPr>
            <w:r w:rsidRPr="008D5C42">
              <w:rPr>
                <w:rFonts w:ascii="Arial" w:hAnsi="Arial" w:cs="Arial"/>
              </w:rPr>
              <w:lastRenderedPageBreak/>
              <w:t>Small, self-selected sample; limited generalisability</w:t>
            </w:r>
          </w:p>
        </w:tc>
      </w:tr>
      <w:tr w:rsidR="001968C6" w:rsidRPr="008D5C42" w14:paraId="0E9F4E85" w14:textId="77777777" w:rsidTr="002002FA">
        <w:tc>
          <w:tcPr>
            <w:tcW w:w="1038" w:type="dxa"/>
          </w:tcPr>
          <w:p w14:paraId="18810658" w14:textId="77777777" w:rsidR="001968C6" w:rsidRPr="008D5C42" w:rsidRDefault="001968C6" w:rsidP="008D5C42">
            <w:pPr>
              <w:spacing w:line="360" w:lineRule="auto"/>
              <w:jc w:val="both"/>
              <w:rPr>
                <w:rFonts w:ascii="Arial" w:hAnsi="Arial" w:cs="Arial"/>
              </w:rPr>
            </w:pPr>
            <w:r w:rsidRPr="008D5C42">
              <w:rPr>
                <w:rFonts w:ascii="Arial" w:hAnsi="Arial" w:cs="Arial"/>
              </w:rPr>
              <w:t>Jones et al. 2022</w:t>
            </w:r>
          </w:p>
        </w:tc>
        <w:tc>
          <w:tcPr>
            <w:tcW w:w="1039" w:type="dxa"/>
          </w:tcPr>
          <w:p w14:paraId="28DD2201" w14:textId="77777777" w:rsidR="001968C6" w:rsidRPr="008D5C42" w:rsidRDefault="001968C6" w:rsidP="008D5C42">
            <w:pPr>
              <w:spacing w:line="360" w:lineRule="auto"/>
              <w:jc w:val="both"/>
              <w:rPr>
                <w:rFonts w:ascii="Arial" w:hAnsi="Arial" w:cs="Arial"/>
              </w:rPr>
            </w:pPr>
            <w:r w:rsidRPr="008D5C42">
              <w:rPr>
                <w:rFonts w:ascii="Arial" w:hAnsi="Arial" w:cs="Arial"/>
              </w:rPr>
              <w:t>Scotland, youth support centres</w:t>
            </w:r>
          </w:p>
        </w:tc>
        <w:tc>
          <w:tcPr>
            <w:tcW w:w="1039" w:type="dxa"/>
          </w:tcPr>
          <w:p w14:paraId="466E5781" w14:textId="77777777" w:rsidR="001968C6" w:rsidRPr="008D5C42" w:rsidRDefault="001968C6" w:rsidP="008D5C42">
            <w:pPr>
              <w:spacing w:line="360" w:lineRule="auto"/>
              <w:jc w:val="both"/>
              <w:rPr>
                <w:rFonts w:ascii="Arial" w:hAnsi="Arial" w:cs="Arial"/>
              </w:rPr>
            </w:pPr>
            <w:r w:rsidRPr="008D5C42">
              <w:rPr>
                <w:rFonts w:ascii="Arial" w:hAnsi="Arial" w:cs="Arial"/>
              </w:rPr>
              <w:t>Phenomenological qualitative study</w:t>
            </w:r>
          </w:p>
        </w:tc>
        <w:tc>
          <w:tcPr>
            <w:tcW w:w="1039" w:type="dxa"/>
          </w:tcPr>
          <w:p w14:paraId="121FD339" w14:textId="77777777" w:rsidR="001968C6" w:rsidRPr="008D5C42" w:rsidRDefault="001968C6" w:rsidP="008D5C42">
            <w:pPr>
              <w:spacing w:line="360" w:lineRule="auto"/>
              <w:jc w:val="both"/>
              <w:rPr>
                <w:rFonts w:ascii="Arial" w:hAnsi="Arial" w:cs="Arial"/>
              </w:rPr>
            </w:pPr>
            <w:r w:rsidRPr="008D5C42">
              <w:rPr>
                <w:rFonts w:ascii="Arial" w:hAnsi="Arial" w:cs="Arial"/>
              </w:rPr>
              <w:t>12 participants</w:t>
            </w:r>
          </w:p>
        </w:tc>
        <w:tc>
          <w:tcPr>
            <w:tcW w:w="1039" w:type="dxa"/>
          </w:tcPr>
          <w:p w14:paraId="69F6DFA3" w14:textId="77777777" w:rsidR="001968C6" w:rsidRPr="008D5C42" w:rsidRDefault="001968C6" w:rsidP="008D5C42">
            <w:pPr>
              <w:spacing w:line="360" w:lineRule="auto"/>
              <w:jc w:val="both"/>
              <w:rPr>
                <w:rFonts w:ascii="Arial" w:hAnsi="Arial" w:cs="Arial"/>
              </w:rPr>
            </w:pPr>
            <w:r w:rsidRPr="008D5C42">
              <w:rPr>
                <w:rFonts w:ascii="Arial" w:hAnsi="Arial" w:cs="Arial"/>
              </w:rPr>
              <w:t>18 – 25 yrs</w:t>
            </w:r>
          </w:p>
        </w:tc>
        <w:tc>
          <w:tcPr>
            <w:tcW w:w="1039" w:type="dxa"/>
          </w:tcPr>
          <w:p w14:paraId="3EEE5751" w14:textId="77777777" w:rsidR="001968C6" w:rsidRPr="008D5C42" w:rsidRDefault="001968C6" w:rsidP="008D5C42">
            <w:pPr>
              <w:spacing w:line="360" w:lineRule="auto"/>
              <w:jc w:val="both"/>
              <w:rPr>
                <w:rFonts w:ascii="Arial" w:hAnsi="Arial" w:cs="Arial"/>
              </w:rPr>
            </w:pPr>
            <w:r w:rsidRPr="008D5C42">
              <w:rPr>
                <w:rFonts w:ascii="Arial" w:hAnsi="Arial" w:cs="Arial"/>
              </w:rPr>
              <w:t>In-depth narrative interview mapped to ACE categories</w:t>
            </w:r>
          </w:p>
        </w:tc>
        <w:tc>
          <w:tcPr>
            <w:tcW w:w="1039" w:type="dxa"/>
          </w:tcPr>
          <w:p w14:paraId="589895DE" w14:textId="77777777" w:rsidR="001968C6" w:rsidRPr="008D5C42" w:rsidRDefault="001968C6" w:rsidP="008D5C42">
            <w:pPr>
              <w:spacing w:line="360" w:lineRule="auto"/>
              <w:jc w:val="both"/>
              <w:rPr>
                <w:rFonts w:ascii="Arial" w:hAnsi="Arial" w:cs="Arial"/>
              </w:rPr>
            </w:pPr>
            <w:r w:rsidRPr="008D5C42">
              <w:rPr>
                <w:rFonts w:ascii="Arial" w:hAnsi="Arial" w:cs="Arial"/>
              </w:rPr>
              <w:t>Identity, coping, service engagement</w:t>
            </w:r>
          </w:p>
        </w:tc>
        <w:tc>
          <w:tcPr>
            <w:tcW w:w="1039" w:type="dxa"/>
          </w:tcPr>
          <w:p w14:paraId="70BA3E83" w14:textId="77777777" w:rsidR="001968C6" w:rsidRPr="008D5C42" w:rsidRDefault="001968C6" w:rsidP="008D5C42">
            <w:pPr>
              <w:spacing w:line="360" w:lineRule="auto"/>
              <w:jc w:val="both"/>
              <w:rPr>
                <w:rFonts w:ascii="Arial" w:hAnsi="Arial" w:cs="Arial"/>
              </w:rPr>
            </w:pPr>
            <w:r w:rsidRPr="008D5C42">
              <w:rPr>
                <w:rFonts w:ascii="Arial" w:hAnsi="Arial" w:cs="Arial"/>
              </w:rPr>
              <w:t>ACEs shaped self-identity; participants called for holistic, multi-agency help</w:t>
            </w:r>
          </w:p>
        </w:tc>
        <w:tc>
          <w:tcPr>
            <w:tcW w:w="1039" w:type="dxa"/>
          </w:tcPr>
          <w:p w14:paraId="33FD11C4" w14:textId="77777777" w:rsidR="001968C6" w:rsidRPr="008D5C42" w:rsidRDefault="001968C6" w:rsidP="008D5C42">
            <w:pPr>
              <w:spacing w:line="360" w:lineRule="auto"/>
              <w:jc w:val="both"/>
              <w:rPr>
                <w:rFonts w:ascii="Arial" w:hAnsi="Arial" w:cs="Arial"/>
              </w:rPr>
            </w:pPr>
            <w:r w:rsidRPr="008D5C42">
              <w:rPr>
                <w:rFonts w:ascii="Arial" w:hAnsi="Arial" w:cs="Arial"/>
              </w:rPr>
              <w:t>Very small sample; recall bias; single-site study</w:t>
            </w:r>
          </w:p>
        </w:tc>
      </w:tr>
    </w:tbl>
    <w:p w14:paraId="1093EE48" w14:textId="77777777" w:rsidR="001968C6" w:rsidRPr="008D5C42" w:rsidRDefault="001968C6" w:rsidP="008D5C42">
      <w:pPr>
        <w:spacing w:line="360" w:lineRule="auto"/>
        <w:jc w:val="both"/>
        <w:rPr>
          <w:rFonts w:ascii="Arial" w:hAnsi="Arial" w:cs="Arial"/>
        </w:rPr>
      </w:pPr>
    </w:p>
    <w:p w14:paraId="1628E8D8" w14:textId="77777777" w:rsidR="001968C6" w:rsidRPr="008D5C42" w:rsidRDefault="001968C6" w:rsidP="008D5C42">
      <w:pPr>
        <w:spacing w:line="360" w:lineRule="auto"/>
        <w:jc w:val="both"/>
        <w:rPr>
          <w:rFonts w:ascii="Arial" w:hAnsi="Arial" w:cs="Arial"/>
        </w:rPr>
      </w:pPr>
    </w:p>
    <w:p w14:paraId="3A797226" w14:textId="77777777" w:rsidR="001968C6" w:rsidRPr="008D5C42" w:rsidRDefault="001968C6" w:rsidP="008D5C42">
      <w:pPr>
        <w:spacing w:line="360" w:lineRule="auto"/>
        <w:jc w:val="both"/>
        <w:rPr>
          <w:rFonts w:ascii="Arial" w:hAnsi="Arial" w:cs="Arial"/>
        </w:rPr>
      </w:pPr>
    </w:p>
    <w:p w14:paraId="601CE0D0" w14:textId="77777777" w:rsidR="001968C6" w:rsidRPr="008D5C42" w:rsidRDefault="001968C6" w:rsidP="008D5C42">
      <w:pPr>
        <w:spacing w:line="360" w:lineRule="auto"/>
        <w:jc w:val="both"/>
        <w:rPr>
          <w:rFonts w:ascii="Arial" w:hAnsi="Arial" w:cs="Arial"/>
        </w:rPr>
      </w:pPr>
    </w:p>
    <w:p w14:paraId="4EE97091" w14:textId="77777777" w:rsidR="001968C6" w:rsidRPr="008D5C42" w:rsidRDefault="001968C6" w:rsidP="008D5C42">
      <w:pPr>
        <w:spacing w:line="360" w:lineRule="auto"/>
        <w:jc w:val="both"/>
        <w:rPr>
          <w:rFonts w:ascii="Arial" w:hAnsi="Arial" w:cs="Arial"/>
        </w:rPr>
      </w:pPr>
    </w:p>
    <w:p w14:paraId="6C903ED1" w14:textId="77777777" w:rsidR="001968C6" w:rsidRPr="008D5C42" w:rsidRDefault="001968C6" w:rsidP="008D5C42">
      <w:pPr>
        <w:spacing w:line="360" w:lineRule="auto"/>
        <w:jc w:val="both"/>
        <w:rPr>
          <w:rFonts w:ascii="Arial" w:hAnsi="Arial" w:cs="Arial"/>
        </w:rPr>
      </w:pPr>
    </w:p>
    <w:p w14:paraId="74C6D773" w14:textId="77777777" w:rsidR="001968C6" w:rsidRPr="008D5C42" w:rsidRDefault="001968C6" w:rsidP="008D5C42">
      <w:pPr>
        <w:spacing w:line="360" w:lineRule="auto"/>
        <w:jc w:val="both"/>
        <w:rPr>
          <w:rFonts w:ascii="Arial" w:hAnsi="Arial" w:cs="Arial"/>
        </w:rPr>
      </w:pPr>
      <w:r w:rsidRPr="008D5C42">
        <w:rPr>
          <w:rFonts w:ascii="Arial" w:hAnsi="Arial" w:cs="Arial"/>
        </w:rPr>
        <w:br w:type="page"/>
      </w:r>
    </w:p>
    <w:p w14:paraId="0B445CFA" w14:textId="77777777" w:rsidR="001968C6" w:rsidRPr="008D5C42" w:rsidRDefault="001968C6" w:rsidP="008D5C42">
      <w:pPr>
        <w:pStyle w:val="Heading1"/>
      </w:pPr>
      <w:bookmarkStart w:id="55" w:name="_Toc214984629"/>
      <w:r w:rsidRPr="008D5C42">
        <w:lastRenderedPageBreak/>
        <w:t>Appendix B – Source Tracking Table</w:t>
      </w:r>
      <w:bookmarkEnd w:id="55"/>
    </w:p>
    <w:tbl>
      <w:tblPr>
        <w:tblStyle w:val="TableGrid"/>
        <w:tblW w:w="0" w:type="auto"/>
        <w:tblInd w:w="-1139" w:type="dxa"/>
        <w:tblLook w:val="04A0" w:firstRow="1" w:lastRow="0" w:firstColumn="1" w:lastColumn="0" w:noHBand="0" w:noVBand="1"/>
      </w:tblPr>
      <w:tblGrid>
        <w:gridCol w:w="795"/>
        <w:gridCol w:w="1301"/>
        <w:gridCol w:w="1265"/>
        <w:gridCol w:w="1606"/>
        <w:gridCol w:w="1310"/>
        <w:gridCol w:w="3878"/>
      </w:tblGrid>
      <w:tr w:rsidR="001968C6" w:rsidRPr="008D5C42" w14:paraId="7DDD8F25" w14:textId="77777777" w:rsidTr="002002FA">
        <w:tc>
          <w:tcPr>
            <w:tcW w:w="782" w:type="dxa"/>
            <w:hideMark/>
          </w:tcPr>
          <w:p w14:paraId="58AFA295" w14:textId="77777777" w:rsidR="001968C6" w:rsidRPr="008D5C42" w:rsidRDefault="001968C6" w:rsidP="008D5C42">
            <w:pPr>
              <w:spacing w:line="360" w:lineRule="auto"/>
              <w:jc w:val="both"/>
              <w:rPr>
                <w:rFonts w:ascii="Arial" w:eastAsia="Times New Roman" w:hAnsi="Arial" w:cs="Arial"/>
                <w:b/>
                <w:bCs/>
                <w:lang w:eastAsia="en-GB"/>
              </w:rPr>
            </w:pPr>
            <w:r w:rsidRPr="008D5C42">
              <w:rPr>
                <w:rFonts w:ascii="Arial" w:eastAsia="Times New Roman" w:hAnsi="Arial" w:cs="Arial"/>
                <w:b/>
                <w:bCs/>
                <w:lang w:eastAsia="en-GB"/>
              </w:rPr>
              <w:t>Saved?</w:t>
            </w:r>
          </w:p>
        </w:tc>
        <w:tc>
          <w:tcPr>
            <w:tcW w:w="0" w:type="auto"/>
            <w:hideMark/>
          </w:tcPr>
          <w:p w14:paraId="64FD1E12" w14:textId="77777777" w:rsidR="001968C6" w:rsidRPr="008D5C42" w:rsidRDefault="001968C6" w:rsidP="008D5C42">
            <w:pPr>
              <w:spacing w:line="360" w:lineRule="auto"/>
              <w:jc w:val="both"/>
              <w:rPr>
                <w:rFonts w:ascii="Arial" w:eastAsia="Times New Roman" w:hAnsi="Arial" w:cs="Arial"/>
                <w:b/>
                <w:bCs/>
                <w:lang w:eastAsia="en-GB"/>
              </w:rPr>
            </w:pPr>
            <w:r w:rsidRPr="008D5C42">
              <w:rPr>
                <w:rFonts w:ascii="Arial" w:eastAsia="Times New Roman" w:hAnsi="Arial" w:cs="Arial"/>
                <w:b/>
                <w:bCs/>
                <w:lang w:eastAsia="en-GB"/>
              </w:rPr>
              <w:t>Author &amp; Year</w:t>
            </w:r>
          </w:p>
        </w:tc>
        <w:tc>
          <w:tcPr>
            <w:tcW w:w="0" w:type="auto"/>
            <w:hideMark/>
          </w:tcPr>
          <w:p w14:paraId="5D77809D" w14:textId="77777777" w:rsidR="001968C6" w:rsidRPr="008D5C42" w:rsidRDefault="001968C6" w:rsidP="008D5C42">
            <w:pPr>
              <w:spacing w:line="360" w:lineRule="auto"/>
              <w:jc w:val="both"/>
              <w:rPr>
                <w:rFonts w:ascii="Arial" w:eastAsia="Times New Roman" w:hAnsi="Arial" w:cs="Arial"/>
                <w:b/>
                <w:bCs/>
                <w:lang w:eastAsia="en-GB"/>
              </w:rPr>
            </w:pPr>
            <w:r w:rsidRPr="008D5C42">
              <w:rPr>
                <w:rFonts w:ascii="Arial" w:eastAsia="Times New Roman" w:hAnsi="Arial" w:cs="Arial"/>
                <w:b/>
                <w:bCs/>
                <w:lang w:eastAsia="en-GB"/>
              </w:rPr>
              <w:t>Title / Study Type</w:t>
            </w:r>
          </w:p>
        </w:tc>
        <w:tc>
          <w:tcPr>
            <w:tcW w:w="0" w:type="auto"/>
            <w:hideMark/>
          </w:tcPr>
          <w:p w14:paraId="4C8DEC56" w14:textId="77777777" w:rsidR="001968C6" w:rsidRPr="008D5C42" w:rsidRDefault="001968C6" w:rsidP="008D5C42">
            <w:pPr>
              <w:spacing w:line="360" w:lineRule="auto"/>
              <w:jc w:val="both"/>
              <w:rPr>
                <w:rFonts w:ascii="Arial" w:eastAsia="Times New Roman" w:hAnsi="Arial" w:cs="Arial"/>
                <w:b/>
                <w:bCs/>
                <w:lang w:eastAsia="en-GB"/>
              </w:rPr>
            </w:pPr>
            <w:r w:rsidRPr="008D5C42">
              <w:rPr>
                <w:rFonts w:ascii="Arial" w:eastAsia="Times New Roman" w:hAnsi="Arial" w:cs="Arial"/>
                <w:b/>
                <w:bCs/>
                <w:lang w:eastAsia="en-GB"/>
              </w:rPr>
              <w:t>Summary of Results (from Chapter 4)</w:t>
            </w:r>
          </w:p>
        </w:tc>
        <w:tc>
          <w:tcPr>
            <w:tcW w:w="1773" w:type="dxa"/>
            <w:hideMark/>
          </w:tcPr>
          <w:p w14:paraId="7BB08F42" w14:textId="77777777" w:rsidR="001968C6" w:rsidRPr="008D5C42" w:rsidRDefault="001968C6" w:rsidP="008D5C42">
            <w:pPr>
              <w:spacing w:line="360" w:lineRule="auto"/>
              <w:jc w:val="both"/>
              <w:rPr>
                <w:rFonts w:ascii="Arial" w:eastAsia="Times New Roman" w:hAnsi="Arial" w:cs="Arial"/>
                <w:b/>
                <w:bCs/>
                <w:lang w:eastAsia="en-GB"/>
              </w:rPr>
            </w:pPr>
            <w:r w:rsidRPr="008D5C42">
              <w:rPr>
                <w:rFonts w:ascii="Arial" w:eastAsia="Times New Roman" w:hAnsi="Arial" w:cs="Arial"/>
                <w:b/>
                <w:bCs/>
                <w:lang w:eastAsia="en-GB"/>
              </w:rPr>
              <w:t>CRAAP Notes (Currency, Relevance, Authority, Accuracy, Purpose)</w:t>
            </w:r>
          </w:p>
        </w:tc>
        <w:tc>
          <w:tcPr>
            <w:tcW w:w="3685" w:type="dxa"/>
            <w:hideMark/>
          </w:tcPr>
          <w:p w14:paraId="3F74C605" w14:textId="77777777" w:rsidR="001968C6" w:rsidRPr="008D5C42" w:rsidRDefault="001968C6" w:rsidP="008D5C42">
            <w:pPr>
              <w:spacing w:line="360" w:lineRule="auto"/>
              <w:jc w:val="both"/>
              <w:rPr>
                <w:rFonts w:ascii="Arial" w:eastAsia="Times New Roman" w:hAnsi="Arial" w:cs="Arial"/>
                <w:b/>
                <w:bCs/>
                <w:lang w:eastAsia="en-GB"/>
              </w:rPr>
            </w:pPr>
            <w:r w:rsidRPr="008D5C42">
              <w:rPr>
                <w:rFonts w:ascii="Arial" w:eastAsia="Times New Roman" w:hAnsi="Arial" w:cs="Arial"/>
                <w:b/>
                <w:bCs/>
                <w:lang w:eastAsia="en-GB"/>
              </w:rPr>
              <w:t>File Name / Link to Source</w:t>
            </w:r>
          </w:p>
        </w:tc>
      </w:tr>
      <w:tr w:rsidR="001968C6" w:rsidRPr="008D5C42" w14:paraId="28E546B3" w14:textId="77777777" w:rsidTr="002002FA">
        <w:tc>
          <w:tcPr>
            <w:tcW w:w="782" w:type="dxa"/>
            <w:hideMark/>
          </w:tcPr>
          <w:p w14:paraId="37C97CC5" w14:textId="77777777" w:rsidR="001968C6" w:rsidRPr="008D5C42" w:rsidRDefault="001968C6" w:rsidP="008D5C42">
            <w:pPr>
              <w:spacing w:line="360" w:lineRule="auto"/>
              <w:jc w:val="both"/>
              <w:rPr>
                <w:rFonts w:ascii="Arial" w:eastAsia="Times New Roman" w:hAnsi="Arial" w:cs="Arial"/>
                <w:lang w:eastAsia="en-GB"/>
              </w:rPr>
            </w:pPr>
            <w:r w:rsidRPr="008D5C42">
              <w:rPr>
                <w:rFonts w:ascii="Segoe UI Emoji" w:eastAsia="Times New Roman" w:hAnsi="Segoe UI Emoji" w:cs="Segoe UI Emoji"/>
                <w:lang w:eastAsia="en-GB"/>
              </w:rPr>
              <w:t>✅</w:t>
            </w:r>
          </w:p>
        </w:tc>
        <w:tc>
          <w:tcPr>
            <w:tcW w:w="0" w:type="auto"/>
            <w:hideMark/>
          </w:tcPr>
          <w:p w14:paraId="47C474FF" w14:textId="77777777" w:rsidR="001968C6" w:rsidRPr="008D5C42" w:rsidRDefault="001968C6" w:rsidP="008D5C42">
            <w:pPr>
              <w:spacing w:line="360" w:lineRule="auto"/>
              <w:jc w:val="both"/>
              <w:rPr>
                <w:rFonts w:ascii="Arial" w:eastAsia="Times New Roman" w:hAnsi="Arial" w:cs="Arial"/>
                <w:lang w:eastAsia="en-GB"/>
              </w:rPr>
            </w:pPr>
            <w:proofErr w:type="spellStart"/>
            <w:r w:rsidRPr="008D5C42">
              <w:rPr>
                <w:rFonts w:ascii="Arial" w:eastAsia="Times New Roman" w:hAnsi="Arial" w:cs="Arial"/>
                <w:b/>
                <w:bCs/>
                <w:lang w:eastAsia="en-GB"/>
              </w:rPr>
              <w:t>Lereya</w:t>
            </w:r>
            <w:proofErr w:type="spellEnd"/>
            <w:r w:rsidRPr="008D5C42">
              <w:rPr>
                <w:rFonts w:ascii="Arial" w:eastAsia="Times New Roman" w:hAnsi="Arial" w:cs="Arial"/>
                <w:b/>
                <w:bCs/>
                <w:lang w:eastAsia="en-GB"/>
              </w:rPr>
              <w:t xml:space="preserve"> et al. (2015)</w:t>
            </w:r>
          </w:p>
        </w:tc>
        <w:tc>
          <w:tcPr>
            <w:tcW w:w="0" w:type="auto"/>
            <w:hideMark/>
          </w:tcPr>
          <w:p w14:paraId="56C935E6"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i/>
                <w:iCs/>
                <w:lang w:eastAsia="en-GB"/>
              </w:rPr>
              <w:t>Adult mental health consequences of peer bullying and maltreatment in childhood: Two cohorts in two countries</w:t>
            </w:r>
            <w:r w:rsidRPr="008D5C42">
              <w:rPr>
                <w:rFonts w:ascii="Arial" w:eastAsia="Times New Roman" w:hAnsi="Arial" w:cs="Arial"/>
                <w:lang w:eastAsia="en-GB"/>
              </w:rPr>
              <w:t xml:space="preserve"> (Longitudinal Cohort)</w:t>
            </w:r>
          </w:p>
        </w:tc>
        <w:tc>
          <w:tcPr>
            <w:tcW w:w="0" w:type="auto"/>
            <w:hideMark/>
          </w:tcPr>
          <w:p w14:paraId="00259B8A"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lang w:eastAsia="en-GB"/>
              </w:rPr>
              <w:t>Found UK children with multiple ACEs were nearly 5× more likely to develop anxiety and depression by age 25. Parental warmth reduced depression risk by 34%. Demonstrates a clear dose–response relationship between adversity and emotional distress.</w:t>
            </w:r>
          </w:p>
        </w:tc>
        <w:tc>
          <w:tcPr>
            <w:tcW w:w="1773" w:type="dxa"/>
            <w:hideMark/>
          </w:tcPr>
          <w:p w14:paraId="3DCCAE96"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b/>
                <w:bCs/>
                <w:lang w:eastAsia="en-GB"/>
              </w:rPr>
              <w:t>Currency:</w:t>
            </w:r>
            <w:r w:rsidRPr="008D5C42">
              <w:rPr>
                <w:rFonts w:ascii="Arial" w:eastAsia="Times New Roman" w:hAnsi="Arial" w:cs="Arial"/>
                <w:lang w:eastAsia="en-GB"/>
              </w:rPr>
              <w:t xml:space="preserve"> Within UK context; </w:t>
            </w:r>
            <w:r w:rsidRPr="008D5C42">
              <w:rPr>
                <w:rFonts w:ascii="Arial" w:eastAsia="Times New Roman" w:hAnsi="Arial" w:cs="Arial"/>
                <w:b/>
                <w:bCs/>
                <w:lang w:eastAsia="en-GB"/>
              </w:rPr>
              <w:t>Relevance:</w:t>
            </w:r>
            <w:r w:rsidRPr="008D5C42">
              <w:rPr>
                <w:rFonts w:ascii="Arial" w:eastAsia="Times New Roman" w:hAnsi="Arial" w:cs="Arial"/>
                <w:lang w:eastAsia="en-GB"/>
              </w:rPr>
              <w:t xml:space="preserve"> Core quantitative evidence on internalising symptoms; </w:t>
            </w:r>
            <w:r w:rsidRPr="008D5C42">
              <w:rPr>
                <w:rFonts w:ascii="Arial" w:eastAsia="Times New Roman" w:hAnsi="Arial" w:cs="Arial"/>
                <w:b/>
                <w:bCs/>
                <w:lang w:eastAsia="en-GB"/>
              </w:rPr>
              <w:t>Authority:</w:t>
            </w:r>
            <w:r w:rsidRPr="008D5C42">
              <w:rPr>
                <w:rFonts w:ascii="Arial" w:eastAsia="Times New Roman" w:hAnsi="Arial" w:cs="Arial"/>
                <w:lang w:eastAsia="en-GB"/>
              </w:rPr>
              <w:t xml:space="preserve"> </w:t>
            </w:r>
            <w:r w:rsidRPr="008D5C42">
              <w:rPr>
                <w:rFonts w:ascii="Arial" w:eastAsia="Times New Roman" w:hAnsi="Arial" w:cs="Arial"/>
                <w:i/>
                <w:iCs/>
                <w:lang w:eastAsia="en-GB"/>
              </w:rPr>
              <w:t>The Lancet Psychiatry</w:t>
            </w:r>
            <w:r w:rsidRPr="008D5C42">
              <w:rPr>
                <w:rFonts w:ascii="Arial" w:eastAsia="Times New Roman" w:hAnsi="Arial" w:cs="Arial"/>
                <w:lang w:eastAsia="en-GB"/>
              </w:rPr>
              <w:t xml:space="preserve">; </w:t>
            </w:r>
            <w:r w:rsidRPr="008D5C42">
              <w:rPr>
                <w:rFonts w:ascii="Arial" w:eastAsia="Times New Roman" w:hAnsi="Arial" w:cs="Arial"/>
                <w:b/>
                <w:bCs/>
                <w:lang w:eastAsia="en-GB"/>
              </w:rPr>
              <w:t>Accuracy:</w:t>
            </w:r>
            <w:r w:rsidRPr="008D5C42">
              <w:rPr>
                <w:rFonts w:ascii="Arial" w:eastAsia="Times New Roman" w:hAnsi="Arial" w:cs="Arial"/>
                <w:lang w:eastAsia="en-GB"/>
              </w:rPr>
              <w:t xml:space="preserve"> Cohort data and validated tools; </w:t>
            </w:r>
            <w:r w:rsidRPr="008D5C42">
              <w:rPr>
                <w:rFonts w:ascii="Arial" w:eastAsia="Times New Roman" w:hAnsi="Arial" w:cs="Arial"/>
                <w:b/>
                <w:bCs/>
                <w:lang w:eastAsia="en-GB"/>
              </w:rPr>
              <w:t>Purpose:</w:t>
            </w:r>
            <w:r w:rsidRPr="008D5C42">
              <w:rPr>
                <w:rFonts w:ascii="Arial" w:eastAsia="Times New Roman" w:hAnsi="Arial" w:cs="Arial"/>
                <w:lang w:eastAsia="en-GB"/>
              </w:rPr>
              <w:t xml:space="preserve"> Identify long-term psychological effects of ACEs.</w:t>
            </w:r>
          </w:p>
        </w:tc>
        <w:tc>
          <w:tcPr>
            <w:tcW w:w="3685" w:type="dxa"/>
            <w:hideMark/>
          </w:tcPr>
          <w:p w14:paraId="705285D6" w14:textId="77777777" w:rsidR="001968C6" w:rsidRPr="008D5C42" w:rsidRDefault="001968C6" w:rsidP="008D5C42">
            <w:pPr>
              <w:spacing w:line="360" w:lineRule="auto"/>
              <w:jc w:val="both"/>
              <w:rPr>
                <w:rFonts w:ascii="Arial" w:eastAsia="Times New Roman" w:hAnsi="Arial" w:cs="Arial"/>
                <w:lang w:eastAsia="en-GB"/>
              </w:rPr>
            </w:pPr>
            <w:proofErr w:type="spellStart"/>
            <w:r w:rsidRPr="008D5C42">
              <w:rPr>
                <w:rFonts w:ascii="Arial" w:eastAsia="Times New Roman" w:hAnsi="Arial" w:cs="Arial"/>
                <w:lang w:eastAsia="en-GB"/>
              </w:rPr>
              <w:t>Lereya</w:t>
            </w:r>
            <w:proofErr w:type="spellEnd"/>
            <w:r w:rsidRPr="008D5C42">
              <w:rPr>
                <w:rFonts w:ascii="Arial" w:eastAsia="Times New Roman" w:hAnsi="Arial" w:cs="Arial"/>
                <w:lang w:eastAsia="en-GB"/>
              </w:rPr>
              <w:t xml:space="preserve">, S.T. et al. (2015). </w:t>
            </w:r>
            <w:r w:rsidRPr="008D5C42">
              <w:rPr>
                <w:rFonts w:ascii="Arial" w:eastAsia="Times New Roman" w:hAnsi="Arial" w:cs="Arial"/>
                <w:i/>
                <w:iCs/>
                <w:lang w:eastAsia="en-GB"/>
              </w:rPr>
              <w:t>The Lancet Psychiatry</w:t>
            </w:r>
            <w:r w:rsidRPr="008D5C42">
              <w:rPr>
                <w:rFonts w:ascii="Arial" w:eastAsia="Times New Roman" w:hAnsi="Arial" w:cs="Arial"/>
                <w:lang w:eastAsia="en-GB"/>
              </w:rPr>
              <w:t xml:space="preserve">, 2(6), 524–531. </w:t>
            </w:r>
            <w:hyperlink r:id="rId11" w:history="1">
              <w:r w:rsidRPr="008D5C42">
                <w:rPr>
                  <w:rFonts w:ascii="Arial" w:eastAsia="Times New Roman" w:hAnsi="Arial" w:cs="Arial"/>
                  <w:color w:val="808080" w:themeColor="background1" w:themeShade="80"/>
                  <w:u w:val="single"/>
                  <w:lang w:eastAsia="en-GB"/>
                </w:rPr>
                <w:t>https://doi.org/10.1016/S2215-0366(15)00165-0</w:t>
              </w:r>
            </w:hyperlink>
          </w:p>
        </w:tc>
      </w:tr>
      <w:tr w:rsidR="001968C6" w:rsidRPr="008D5C42" w14:paraId="35EBD080" w14:textId="77777777" w:rsidTr="002002FA">
        <w:tc>
          <w:tcPr>
            <w:tcW w:w="782" w:type="dxa"/>
            <w:hideMark/>
          </w:tcPr>
          <w:p w14:paraId="7ED6007D" w14:textId="77777777" w:rsidR="001968C6" w:rsidRPr="008D5C42" w:rsidRDefault="001968C6" w:rsidP="008D5C42">
            <w:pPr>
              <w:spacing w:line="360" w:lineRule="auto"/>
              <w:jc w:val="both"/>
              <w:rPr>
                <w:rFonts w:ascii="Arial" w:eastAsia="Times New Roman" w:hAnsi="Arial" w:cs="Arial"/>
                <w:lang w:eastAsia="en-GB"/>
              </w:rPr>
            </w:pPr>
            <w:r w:rsidRPr="008D5C42">
              <w:rPr>
                <w:rFonts w:ascii="Segoe UI Emoji" w:eastAsia="Times New Roman" w:hAnsi="Segoe UI Emoji" w:cs="Segoe UI Emoji"/>
                <w:lang w:eastAsia="en-GB"/>
              </w:rPr>
              <w:t>✅</w:t>
            </w:r>
          </w:p>
        </w:tc>
        <w:tc>
          <w:tcPr>
            <w:tcW w:w="0" w:type="auto"/>
            <w:hideMark/>
          </w:tcPr>
          <w:p w14:paraId="72DDB5D7"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b/>
                <w:bCs/>
                <w:lang w:eastAsia="en-GB"/>
              </w:rPr>
              <w:t>Bellis et al. (2019)</w:t>
            </w:r>
          </w:p>
        </w:tc>
        <w:tc>
          <w:tcPr>
            <w:tcW w:w="0" w:type="auto"/>
            <w:hideMark/>
          </w:tcPr>
          <w:p w14:paraId="3E95F1D1"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i/>
                <w:iCs/>
                <w:lang w:eastAsia="en-GB"/>
              </w:rPr>
              <w:t xml:space="preserve">Adverse childhood </w:t>
            </w:r>
            <w:r w:rsidRPr="008D5C42">
              <w:rPr>
                <w:rFonts w:ascii="Arial" w:eastAsia="Times New Roman" w:hAnsi="Arial" w:cs="Arial"/>
                <w:i/>
                <w:iCs/>
                <w:lang w:eastAsia="en-GB"/>
              </w:rPr>
              <w:lastRenderedPageBreak/>
              <w:t>experiences and associations with health-harming behaviours in young adults: Surveys in the European Region</w:t>
            </w:r>
            <w:r w:rsidRPr="008D5C42">
              <w:rPr>
                <w:rFonts w:ascii="Arial" w:eastAsia="Times New Roman" w:hAnsi="Arial" w:cs="Arial"/>
                <w:lang w:eastAsia="en-GB"/>
              </w:rPr>
              <w:t xml:space="preserve"> (Cross-sectional Quantitative)</w:t>
            </w:r>
          </w:p>
        </w:tc>
        <w:tc>
          <w:tcPr>
            <w:tcW w:w="0" w:type="auto"/>
            <w:hideMark/>
          </w:tcPr>
          <w:p w14:paraId="196AAA62"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lang w:eastAsia="en-GB"/>
              </w:rPr>
              <w:lastRenderedPageBreak/>
              <w:t xml:space="preserve">Identified that ≥4 ACEs </w:t>
            </w:r>
            <w:r w:rsidRPr="008D5C42">
              <w:rPr>
                <w:rFonts w:ascii="Arial" w:eastAsia="Times New Roman" w:hAnsi="Arial" w:cs="Arial"/>
                <w:lang w:eastAsia="en-GB"/>
              </w:rPr>
              <w:lastRenderedPageBreak/>
              <w:t>increased suicide attempts 9</w:t>
            </w:r>
            <w:proofErr w:type="gramStart"/>
            <w:r w:rsidRPr="008D5C42">
              <w:rPr>
                <w:rFonts w:ascii="Arial" w:eastAsia="Times New Roman" w:hAnsi="Arial" w:cs="Arial"/>
                <w:lang w:eastAsia="en-GB"/>
              </w:rPr>
              <w:t>×, and</w:t>
            </w:r>
            <w:proofErr w:type="gramEnd"/>
            <w:r w:rsidRPr="008D5C42">
              <w:rPr>
                <w:rFonts w:ascii="Arial" w:eastAsia="Times New Roman" w:hAnsi="Arial" w:cs="Arial"/>
                <w:lang w:eastAsia="en-GB"/>
              </w:rPr>
              <w:t xml:space="preserve"> were linked with heavy drinking (43.7%) and smoking (29.4%). Demonstrated a strong dose–response gradient in UK youth.</w:t>
            </w:r>
          </w:p>
        </w:tc>
        <w:tc>
          <w:tcPr>
            <w:tcW w:w="1773" w:type="dxa"/>
            <w:hideMark/>
          </w:tcPr>
          <w:p w14:paraId="2C1721B5"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b/>
                <w:bCs/>
                <w:lang w:eastAsia="en-GB"/>
              </w:rPr>
              <w:lastRenderedPageBreak/>
              <w:t>Currency:</w:t>
            </w:r>
            <w:r w:rsidRPr="008D5C42">
              <w:rPr>
                <w:rFonts w:ascii="Arial" w:eastAsia="Times New Roman" w:hAnsi="Arial" w:cs="Arial"/>
                <w:lang w:eastAsia="en-GB"/>
              </w:rPr>
              <w:t xml:space="preserve"> Current </w:t>
            </w:r>
            <w:r w:rsidRPr="008D5C42">
              <w:rPr>
                <w:rFonts w:ascii="Arial" w:eastAsia="Times New Roman" w:hAnsi="Arial" w:cs="Arial"/>
                <w:lang w:eastAsia="en-GB"/>
              </w:rPr>
              <w:lastRenderedPageBreak/>
              <w:t xml:space="preserve">data; </w:t>
            </w:r>
            <w:r w:rsidRPr="008D5C42">
              <w:rPr>
                <w:rFonts w:ascii="Arial" w:eastAsia="Times New Roman" w:hAnsi="Arial" w:cs="Arial"/>
                <w:b/>
                <w:bCs/>
                <w:lang w:eastAsia="en-GB"/>
              </w:rPr>
              <w:t>Relevance:</w:t>
            </w:r>
            <w:r w:rsidRPr="008D5C42">
              <w:rPr>
                <w:rFonts w:ascii="Arial" w:eastAsia="Times New Roman" w:hAnsi="Arial" w:cs="Arial"/>
                <w:lang w:eastAsia="en-GB"/>
              </w:rPr>
              <w:t xml:space="preserve"> UK-specific behavioural outcomes; </w:t>
            </w:r>
            <w:r w:rsidRPr="008D5C42">
              <w:rPr>
                <w:rFonts w:ascii="Arial" w:eastAsia="Times New Roman" w:hAnsi="Arial" w:cs="Arial"/>
                <w:b/>
                <w:bCs/>
                <w:lang w:eastAsia="en-GB"/>
              </w:rPr>
              <w:t>Authority:</w:t>
            </w:r>
            <w:r w:rsidRPr="008D5C42">
              <w:rPr>
                <w:rFonts w:ascii="Arial" w:eastAsia="Times New Roman" w:hAnsi="Arial" w:cs="Arial"/>
                <w:lang w:eastAsia="en-GB"/>
              </w:rPr>
              <w:t xml:space="preserve"> </w:t>
            </w:r>
            <w:r w:rsidRPr="008D5C42">
              <w:rPr>
                <w:rFonts w:ascii="Arial" w:eastAsia="Times New Roman" w:hAnsi="Arial" w:cs="Arial"/>
                <w:i/>
                <w:iCs/>
                <w:lang w:eastAsia="en-GB"/>
              </w:rPr>
              <w:t>BMJ Open</w:t>
            </w:r>
            <w:r w:rsidRPr="008D5C42">
              <w:rPr>
                <w:rFonts w:ascii="Arial" w:eastAsia="Times New Roman" w:hAnsi="Arial" w:cs="Arial"/>
                <w:lang w:eastAsia="en-GB"/>
              </w:rPr>
              <w:t xml:space="preserve">; </w:t>
            </w:r>
            <w:r w:rsidRPr="008D5C42">
              <w:rPr>
                <w:rFonts w:ascii="Arial" w:eastAsia="Times New Roman" w:hAnsi="Arial" w:cs="Arial"/>
                <w:b/>
                <w:bCs/>
                <w:lang w:eastAsia="en-GB"/>
              </w:rPr>
              <w:t>Accuracy:</w:t>
            </w:r>
            <w:r w:rsidRPr="008D5C42">
              <w:rPr>
                <w:rFonts w:ascii="Arial" w:eastAsia="Times New Roman" w:hAnsi="Arial" w:cs="Arial"/>
                <w:lang w:eastAsia="en-GB"/>
              </w:rPr>
              <w:t xml:space="preserve"> Large national sample; </w:t>
            </w:r>
            <w:r w:rsidRPr="008D5C42">
              <w:rPr>
                <w:rFonts w:ascii="Arial" w:eastAsia="Times New Roman" w:hAnsi="Arial" w:cs="Arial"/>
                <w:b/>
                <w:bCs/>
                <w:lang w:eastAsia="en-GB"/>
              </w:rPr>
              <w:t>Purpose:</w:t>
            </w:r>
            <w:r w:rsidRPr="008D5C42">
              <w:rPr>
                <w:rFonts w:ascii="Arial" w:eastAsia="Times New Roman" w:hAnsi="Arial" w:cs="Arial"/>
                <w:lang w:eastAsia="en-GB"/>
              </w:rPr>
              <w:t xml:space="preserve"> Examine ACE-related risk behaviours.</w:t>
            </w:r>
          </w:p>
        </w:tc>
        <w:tc>
          <w:tcPr>
            <w:tcW w:w="3685" w:type="dxa"/>
            <w:hideMark/>
          </w:tcPr>
          <w:p w14:paraId="0E74E7C3"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lang w:eastAsia="en-GB"/>
              </w:rPr>
              <w:lastRenderedPageBreak/>
              <w:t xml:space="preserve">Bellis, M.A. et al. (2019). </w:t>
            </w:r>
            <w:r w:rsidRPr="008D5C42">
              <w:rPr>
                <w:rFonts w:ascii="Arial" w:eastAsia="Times New Roman" w:hAnsi="Arial" w:cs="Arial"/>
                <w:i/>
                <w:iCs/>
                <w:lang w:eastAsia="en-GB"/>
              </w:rPr>
              <w:t>BMJ Open</w:t>
            </w:r>
            <w:r w:rsidRPr="008D5C42">
              <w:rPr>
                <w:rFonts w:ascii="Arial" w:eastAsia="Times New Roman" w:hAnsi="Arial" w:cs="Arial"/>
                <w:lang w:eastAsia="en-GB"/>
              </w:rPr>
              <w:t xml:space="preserve">, 9(12), e020591. </w:t>
            </w:r>
            <w:hyperlink r:id="rId12" w:history="1">
              <w:r w:rsidRPr="008D5C42">
                <w:rPr>
                  <w:rStyle w:val="Hyperlink"/>
                  <w:rFonts w:ascii="Arial" w:eastAsia="Times New Roman" w:hAnsi="Arial" w:cs="Arial"/>
                  <w:color w:val="002060"/>
                  <w:lang w:eastAsia="en-GB"/>
                </w:rPr>
                <w:t>https://pmc.ncbi.nlm.nih.gov/articles/PMC4208567/</w:t>
              </w:r>
            </w:hyperlink>
            <w:r w:rsidRPr="008D5C42">
              <w:rPr>
                <w:rFonts w:ascii="Arial" w:eastAsia="Times New Roman" w:hAnsi="Arial" w:cs="Arial"/>
                <w:lang w:eastAsia="en-GB"/>
              </w:rPr>
              <w:t xml:space="preserve"> </w:t>
            </w:r>
          </w:p>
        </w:tc>
      </w:tr>
      <w:tr w:rsidR="001968C6" w:rsidRPr="008D5C42" w14:paraId="00A85E0D" w14:textId="77777777" w:rsidTr="002002FA">
        <w:tc>
          <w:tcPr>
            <w:tcW w:w="782" w:type="dxa"/>
            <w:hideMark/>
          </w:tcPr>
          <w:p w14:paraId="32AA7BDE" w14:textId="77777777" w:rsidR="001968C6" w:rsidRPr="008D5C42" w:rsidRDefault="001968C6" w:rsidP="008D5C42">
            <w:pPr>
              <w:spacing w:line="360" w:lineRule="auto"/>
              <w:jc w:val="both"/>
              <w:rPr>
                <w:rFonts w:ascii="Arial" w:eastAsia="Times New Roman" w:hAnsi="Arial" w:cs="Arial"/>
                <w:lang w:eastAsia="en-GB"/>
              </w:rPr>
            </w:pPr>
            <w:r w:rsidRPr="008D5C42">
              <w:rPr>
                <w:rFonts w:ascii="Segoe UI Emoji" w:eastAsia="Times New Roman" w:hAnsi="Segoe UI Emoji" w:cs="Segoe UI Emoji"/>
                <w:lang w:eastAsia="en-GB"/>
              </w:rPr>
              <w:lastRenderedPageBreak/>
              <w:t>✅</w:t>
            </w:r>
          </w:p>
        </w:tc>
        <w:tc>
          <w:tcPr>
            <w:tcW w:w="0" w:type="auto"/>
            <w:hideMark/>
          </w:tcPr>
          <w:p w14:paraId="515EC46C"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b/>
                <w:bCs/>
                <w:lang w:eastAsia="en-GB"/>
              </w:rPr>
              <w:t>Chandrasekar et al. (2024)</w:t>
            </w:r>
          </w:p>
        </w:tc>
        <w:tc>
          <w:tcPr>
            <w:tcW w:w="0" w:type="auto"/>
            <w:hideMark/>
          </w:tcPr>
          <w:p w14:paraId="3BA235BB"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i/>
                <w:iCs/>
                <w:lang w:eastAsia="en-GB"/>
              </w:rPr>
              <w:t>Sexual identity-related inequalities in associations between adverse childhood experiences and health in late adolescence</w:t>
            </w:r>
            <w:r w:rsidRPr="008D5C42">
              <w:rPr>
                <w:rFonts w:ascii="Arial" w:eastAsia="Times New Roman" w:hAnsi="Arial" w:cs="Arial"/>
                <w:lang w:eastAsia="en-GB"/>
              </w:rPr>
              <w:t xml:space="preserve"> (National </w:t>
            </w:r>
            <w:r w:rsidRPr="008D5C42">
              <w:rPr>
                <w:rFonts w:ascii="Arial" w:eastAsia="Times New Roman" w:hAnsi="Arial" w:cs="Arial"/>
                <w:lang w:eastAsia="en-GB"/>
              </w:rPr>
              <w:lastRenderedPageBreak/>
              <w:t>Cohort Study)</w:t>
            </w:r>
          </w:p>
        </w:tc>
        <w:tc>
          <w:tcPr>
            <w:tcW w:w="0" w:type="auto"/>
            <w:hideMark/>
          </w:tcPr>
          <w:p w14:paraId="58F4203F"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lang w:eastAsia="en-GB"/>
              </w:rPr>
              <w:lastRenderedPageBreak/>
              <w:t xml:space="preserve">Found sexual-minority youth had nearly twice the psychological distress scores of heterosexual peers. ACEs amplified risk-taking behaviours and internalising symptoms, moderated by </w:t>
            </w:r>
            <w:r w:rsidRPr="008D5C42">
              <w:rPr>
                <w:rFonts w:ascii="Arial" w:eastAsia="Times New Roman" w:hAnsi="Arial" w:cs="Arial"/>
                <w:lang w:eastAsia="en-GB"/>
              </w:rPr>
              <w:lastRenderedPageBreak/>
              <w:t>social disadvantage.</w:t>
            </w:r>
          </w:p>
        </w:tc>
        <w:tc>
          <w:tcPr>
            <w:tcW w:w="1773" w:type="dxa"/>
            <w:hideMark/>
          </w:tcPr>
          <w:p w14:paraId="2885FE82"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b/>
                <w:bCs/>
                <w:lang w:eastAsia="en-GB"/>
              </w:rPr>
              <w:lastRenderedPageBreak/>
              <w:t>Currency:</w:t>
            </w:r>
            <w:r w:rsidRPr="008D5C42">
              <w:rPr>
                <w:rFonts w:ascii="Arial" w:eastAsia="Times New Roman" w:hAnsi="Arial" w:cs="Arial"/>
                <w:lang w:eastAsia="en-GB"/>
              </w:rPr>
              <w:t xml:space="preserve"> Most recent UK data; </w:t>
            </w:r>
            <w:r w:rsidRPr="008D5C42">
              <w:rPr>
                <w:rFonts w:ascii="Arial" w:eastAsia="Times New Roman" w:hAnsi="Arial" w:cs="Arial"/>
                <w:b/>
                <w:bCs/>
                <w:lang w:eastAsia="en-GB"/>
              </w:rPr>
              <w:t>Relevance:</w:t>
            </w:r>
            <w:r w:rsidRPr="008D5C42">
              <w:rPr>
                <w:rFonts w:ascii="Arial" w:eastAsia="Times New Roman" w:hAnsi="Arial" w:cs="Arial"/>
                <w:lang w:eastAsia="en-GB"/>
              </w:rPr>
              <w:t xml:space="preserve"> Identifies intersectional risks; </w:t>
            </w:r>
            <w:r w:rsidRPr="008D5C42">
              <w:rPr>
                <w:rFonts w:ascii="Arial" w:eastAsia="Times New Roman" w:hAnsi="Arial" w:cs="Arial"/>
                <w:b/>
                <w:bCs/>
                <w:lang w:eastAsia="en-GB"/>
              </w:rPr>
              <w:t>Authority:</w:t>
            </w:r>
            <w:r w:rsidRPr="008D5C42">
              <w:rPr>
                <w:rFonts w:ascii="Arial" w:eastAsia="Times New Roman" w:hAnsi="Arial" w:cs="Arial"/>
                <w:lang w:eastAsia="en-GB"/>
              </w:rPr>
              <w:t xml:space="preserve"> </w:t>
            </w:r>
            <w:proofErr w:type="spellStart"/>
            <w:r w:rsidRPr="008D5C42">
              <w:rPr>
                <w:rFonts w:ascii="Arial" w:eastAsia="Times New Roman" w:hAnsi="Arial" w:cs="Arial"/>
                <w:i/>
                <w:iCs/>
                <w:lang w:eastAsia="en-GB"/>
              </w:rPr>
              <w:t>Plos</w:t>
            </w:r>
            <w:proofErr w:type="spellEnd"/>
            <w:r w:rsidRPr="008D5C42">
              <w:rPr>
                <w:rFonts w:ascii="Arial" w:eastAsia="Times New Roman" w:hAnsi="Arial" w:cs="Arial"/>
                <w:i/>
                <w:iCs/>
                <w:lang w:eastAsia="en-GB"/>
              </w:rPr>
              <w:t xml:space="preserve"> One</w:t>
            </w:r>
            <w:r w:rsidRPr="008D5C42">
              <w:rPr>
                <w:rFonts w:ascii="Arial" w:eastAsia="Times New Roman" w:hAnsi="Arial" w:cs="Arial"/>
                <w:lang w:eastAsia="en-GB"/>
              </w:rPr>
              <w:t xml:space="preserve">; </w:t>
            </w:r>
            <w:r w:rsidRPr="008D5C42">
              <w:rPr>
                <w:rFonts w:ascii="Arial" w:eastAsia="Times New Roman" w:hAnsi="Arial" w:cs="Arial"/>
                <w:b/>
                <w:bCs/>
                <w:lang w:eastAsia="en-GB"/>
              </w:rPr>
              <w:t>Accuracy:</w:t>
            </w:r>
            <w:r w:rsidRPr="008D5C42">
              <w:rPr>
                <w:rFonts w:ascii="Arial" w:eastAsia="Times New Roman" w:hAnsi="Arial" w:cs="Arial"/>
                <w:lang w:eastAsia="en-GB"/>
              </w:rPr>
              <w:t xml:space="preserve"> National representative sample; </w:t>
            </w:r>
            <w:r w:rsidRPr="008D5C42">
              <w:rPr>
                <w:rFonts w:ascii="Arial" w:eastAsia="Times New Roman" w:hAnsi="Arial" w:cs="Arial"/>
                <w:b/>
                <w:bCs/>
                <w:lang w:eastAsia="en-GB"/>
              </w:rPr>
              <w:t>Purpose:</w:t>
            </w:r>
            <w:r w:rsidRPr="008D5C42">
              <w:rPr>
                <w:rFonts w:ascii="Arial" w:eastAsia="Times New Roman" w:hAnsi="Arial" w:cs="Arial"/>
                <w:lang w:eastAsia="en-GB"/>
              </w:rPr>
              <w:t xml:space="preserve"> Explore </w:t>
            </w:r>
            <w:r w:rsidRPr="008D5C42">
              <w:rPr>
                <w:rFonts w:ascii="Arial" w:eastAsia="Times New Roman" w:hAnsi="Arial" w:cs="Arial"/>
                <w:lang w:eastAsia="en-GB"/>
              </w:rPr>
              <w:lastRenderedPageBreak/>
              <w:t>minority stress and ACE impact.</w:t>
            </w:r>
          </w:p>
        </w:tc>
        <w:tc>
          <w:tcPr>
            <w:tcW w:w="3685" w:type="dxa"/>
            <w:hideMark/>
          </w:tcPr>
          <w:p w14:paraId="3781911A"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lang w:eastAsia="en-GB"/>
              </w:rPr>
              <w:lastRenderedPageBreak/>
              <w:t xml:space="preserve">Chandrasekar, R. et al. (2024). </w:t>
            </w:r>
            <w:proofErr w:type="spellStart"/>
            <w:r w:rsidRPr="008D5C42">
              <w:rPr>
                <w:rFonts w:ascii="Arial" w:eastAsia="Times New Roman" w:hAnsi="Arial" w:cs="Arial"/>
                <w:i/>
                <w:iCs/>
                <w:lang w:eastAsia="en-GB"/>
              </w:rPr>
              <w:t>Plos</w:t>
            </w:r>
            <w:proofErr w:type="spellEnd"/>
            <w:r w:rsidRPr="008D5C42">
              <w:rPr>
                <w:rFonts w:ascii="Arial" w:eastAsia="Times New Roman" w:hAnsi="Arial" w:cs="Arial"/>
                <w:i/>
                <w:iCs/>
                <w:lang w:eastAsia="en-GB"/>
              </w:rPr>
              <w:t xml:space="preserve"> One</w:t>
            </w:r>
            <w:r w:rsidRPr="008D5C42">
              <w:rPr>
                <w:rFonts w:ascii="Arial" w:eastAsia="Times New Roman" w:hAnsi="Arial" w:cs="Arial"/>
                <w:lang w:eastAsia="en-GB"/>
              </w:rPr>
              <w:t xml:space="preserve">, 19(12), e0312161. </w:t>
            </w:r>
            <w:hyperlink r:id="rId13" w:history="1">
              <w:r w:rsidRPr="008D5C42">
                <w:rPr>
                  <w:rStyle w:val="Hyperlink"/>
                  <w:rFonts w:ascii="Arial" w:eastAsia="Times New Roman" w:hAnsi="Arial" w:cs="Arial"/>
                  <w:color w:val="002060"/>
                  <w:lang w:eastAsia="en-GB"/>
                </w:rPr>
                <w:t>https://pubmed.ncbi.nlm.nih.gov/39661575/</w:t>
              </w:r>
            </w:hyperlink>
            <w:r w:rsidRPr="008D5C42">
              <w:rPr>
                <w:rFonts w:ascii="Arial" w:eastAsia="Times New Roman" w:hAnsi="Arial" w:cs="Arial"/>
                <w:color w:val="002060"/>
                <w:lang w:eastAsia="en-GB"/>
              </w:rPr>
              <w:t xml:space="preserve"> </w:t>
            </w:r>
          </w:p>
        </w:tc>
      </w:tr>
      <w:tr w:rsidR="001968C6" w:rsidRPr="008D5C42" w14:paraId="7729F675" w14:textId="77777777" w:rsidTr="002002FA">
        <w:tc>
          <w:tcPr>
            <w:tcW w:w="782" w:type="dxa"/>
            <w:hideMark/>
          </w:tcPr>
          <w:p w14:paraId="562CD6C3" w14:textId="77777777" w:rsidR="001968C6" w:rsidRPr="008D5C42" w:rsidRDefault="001968C6" w:rsidP="008D5C42">
            <w:pPr>
              <w:spacing w:line="360" w:lineRule="auto"/>
              <w:jc w:val="both"/>
              <w:rPr>
                <w:rFonts w:ascii="Arial" w:eastAsia="Times New Roman" w:hAnsi="Arial" w:cs="Arial"/>
                <w:lang w:eastAsia="en-GB"/>
              </w:rPr>
            </w:pPr>
            <w:r w:rsidRPr="008D5C42">
              <w:rPr>
                <w:rFonts w:ascii="Segoe UI Emoji" w:eastAsia="Times New Roman" w:hAnsi="Segoe UI Emoji" w:cs="Segoe UI Emoji"/>
                <w:lang w:eastAsia="en-GB"/>
              </w:rPr>
              <w:t>✅</w:t>
            </w:r>
          </w:p>
        </w:tc>
        <w:tc>
          <w:tcPr>
            <w:tcW w:w="0" w:type="auto"/>
            <w:hideMark/>
          </w:tcPr>
          <w:p w14:paraId="1137DFF8"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b/>
                <w:bCs/>
                <w:lang w:eastAsia="en-GB"/>
              </w:rPr>
              <w:t>Smith et al. (2023)</w:t>
            </w:r>
          </w:p>
        </w:tc>
        <w:tc>
          <w:tcPr>
            <w:tcW w:w="0" w:type="auto"/>
            <w:hideMark/>
          </w:tcPr>
          <w:p w14:paraId="2797E5F7"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i/>
                <w:iCs/>
                <w:lang w:eastAsia="en-GB"/>
              </w:rPr>
              <w:t>Childhood maltreatment and mental health problems: A systematic review and meta-analysis of quasi-experimental studies</w:t>
            </w:r>
            <w:r w:rsidRPr="008D5C42">
              <w:rPr>
                <w:rFonts w:ascii="Arial" w:eastAsia="Times New Roman" w:hAnsi="Arial" w:cs="Arial"/>
                <w:lang w:eastAsia="en-GB"/>
              </w:rPr>
              <w:t xml:space="preserve"> (Meta-analysis)</w:t>
            </w:r>
          </w:p>
        </w:tc>
        <w:tc>
          <w:tcPr>
            <w:tcW w:w="0" w:type="auto"/>
            <w:hideMark/>
          </w:tcPr>
          <w:p w14:paraId="095E0967"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lang w:eastAsia="en-GB"/>
              </w:rPr>
              <w:t>Established causal pathways between ACEs and depression/anxiety, confirming HPA-axis dysregulation. Reported childhood adversity predicted adult smoking and emotional dysregulation decades later.</w:t>
            </w:r>
          </w:p>
        </w:tc>
        <w:tc>
          <w:tcPr>
            <w:tcW w:w="1773" w:type="dxa"/>
            <w:hideMark/>
          </w:tcPr>
          <w:p w14:paraId="779B71A2"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b/>
                <w:bCs/>
                <w:lang w:eastAsia="en-GB"/>
              </w:rPr>
              <w:t>Currency:</w:t>
            </w:r>
            <w:r w:rsidRPr="008D5C42">
              <w:rPr>
                <w:rFonts w:ascii="Arial" w:eastAsia="Times New Roman" w:hAnsi="Arial" w:cs="Arial"/>
                <w:lang w:eastAsia="en-GB"/>
              </w:rPr>
              <w:t xml:space="preserve"> Up-to-date synthesis; </w:t>
            </w:r>
            <w:r w:rsidRPr="008D5C42">
              <w:rPr>
                <w:rFonts w:ascii="Arial" w:eastAsia="Times New Roman" w:hAnsi="Arial" w:cs="Arial"/>
                <w:b/>
                <w:bCs/>
                <w:lang w:eastAsia="en-GB"/>
              </w:rPr>
              <w:t>Relevance:</w:t>
            </w:r>
            <w:r w:rsidRPr="008D5C42">
              <w:rPr>
                <w:rFonts w:ascii="Arial" w:eastAsia="Times New Roman" w:hAnsi="Arial" w:cs="Arial"/>
                <w:lang w:eastAsia="en-GB"/>
              </w:rPr>
              <w:t xml:space="preserve"> Biological and behavioural mechanisms; </w:t>
            </w:r>
            <w:r w:rsidRPr="008D5C42">
              <w:rPr>
                <w:rFonts w:ascii="Arial" w:eastAsia="Times New Roman" w:hAnsi="Arial" w:cs="Arial"/>
                <w:b/>
                <w:bCs/>
                <w:lang w:eastAsia="en-GB"/>
              </w:rPr>
              <w:t>Authority:</w:t>
            </w:r>
            <w:r w:rsidRPr="008D5C42">
              <w:rPr>
                <w:rFonts w:ascii="Arial" w:eastAsia="Times New Roman" w:hAnsi="Arial" w:cs="Arial"/>
                <w:lang w:eastAsia="en-GB"/>
              </w:rPr>
              <w:t xml:space="preserve"> </w:t>
            </w:r>
            <w:r w:rsidRPr="008D5C42">
              <w:rPr>
                <w:rFonts w:ascii="Arial" w:eastAsia="Times New Roman" w:hAnsi="Arial" w:cs="Arial"/>
                <w:i/>
                <w:iCs/>
                <w:lang w:eastAsia="en-GB"/>
              </w:rPr>
              <w:t>American Journal of Psychiatry</w:t>
            </w:r>
            <w:r w:rsidRPr="008D5C42">
              <w:rPr>
                <w:rFonts w:ascii="Arial" w:eastAsia="Times New Roman" w:hAnsi="Arial" w:cs="Arial"/>
                <w:lang w:eastAsia="en-GB"/>
              </w:rPr>
              <w:t xml:space="preserve">; </w:t>
            </w:r>
            <w:r w:rsidRPr="008D5C42">
              <w:rPr>
                <w:rFonts w:ascii="Arial" w:eastAsia="Times New Roman" w:hAnsi="Arial" w:cs="Arial"/>
                <w:b/>
                <w:bCs/>
                <w:lang w:eastAsia="en-GB"/>
              </w:rPr>
              <w:t>Accuracy:</w:t>
            </w:r>
            <w:r w:rsidRPr="008D5C42">
              <w:rPr>
                <w:rFonts w:ascii="Arial" w:eastAsia="Times New Roman" w:hAnsi="Arial" w:cs="Arial"/>
                <w:lang w:eastAsia="en-GB"/>
              </w:rPr>
              <w:t xml:space="preserve"> High methodological quality; </w:t>
            </w:r>
            <w:r w:rsidRPr="008D5C42">
              <w:rPr>
                <w:rFonts w:ascii="Arial" w:eastAsia="Times New Roman" w:hAnsi="Arial" w:cs="Arial"/>
                <w:b/>
                <w:bCs/>
                <w:lang w:eastAsia="en-GB"/>
              </w:rPr>
              <w:t>Purpose:</w:t>
            </w:r>
            <w:r w:rsidRPr="008D5C42">
              <w:rPr>
                <w:rFonts w:ascii="Arial" w:eastAsia="Times New Roman" w:hAnsi="Arial" w:cs="Arial"/>
                <w:lang w:eastAsia="en-GB"/>
              </w:rPr>
              <w:t xml:space="preserve"> Validate biological embedding of stress.</w:t>
            </w:r>
          </w:p>
        </w:tc>
        <w:tc>
          <w:tcPr>
            <w:tcW w:w="3685" w:type="dxa"/>
            <w:hideMark/>
          </w:tcPr>
          <w:p w14:paraId="21633D0E"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lang w:eastAsia="en-GB"/>
              </w:rPr>
              <w:t xml:space="preserve">Baldwin, J.R. et al. (2023). </w:t>
            </w:r>
            <w:r w:rsidRPr="008D5C42">
              <w:rPr>
                <w:rFonts w:ascii="Arial" w:eastAsia="Times New Roman" w:hAnsi="Arial" w:cs="Arial"/>
                <w:i/>
                <w:iCs/>
                <w:lang w:eastAsia="en-GB"/>
              </w:rPr>
              <w:t>Am. J. Psychiatry</w:t>
            </w:r>
            <w:r w:rsidRPr="008D5C42">
              <w:rPr>
                <w:rFonts w:ascii="Arial" w:eastAsia="Times New Roman" w:hAnsi="Arial" w:cs="Arial"/>
                <w:lang w:eastAsia="en-GB"/>
              </w:rPr>
              <w:t xml:space="preserve">, 180(2), 117–126. </w:t>
            </w:r>
            <w:hyperlink r:id="rId14" w:history="1">
              <w:r w:rsidRPr="008D5C42">
                <w:rPr>
                  <w:rFonts w:ascii="Arial" w:eastAsia="Times New Roman" w:hAnsi="Arial" w:cs="Arial"/>
                  <w:color w:val="000000" w:themeColor="text1"/>
                  <w:u w:val="single"/>
                  <w:lang w:eastAsia="en-GB"/>
                </w:rPr>
                <w:t>https://doi.org/10.1176/appi.ajp.20220477</w:t>
              </w:r>
            </w:hyperlink>
          </w:p>
        </w:tc>
      </w:tr>
      <w:tr w:rsidR="001968C6" w:rsidRPr="008D5C42" w14:paraId="00B1631D" w14:textId="77777777" w:rsidTr="002002FA">
        <w:tc>
          <w:tcPr>
            <w:tcW w:w="782" w:type="dxa"/>
            <w:hideMark/>
          </w:tcPr>
          <w:p w14:paraId="1FE0E56F" w14:textId="77777777" w:rsidR="001968C6" w:rsidRPr="008D5C42" w:rsidRDefault="001968C6" w:rsidP="008D5C42">
            <w:pPr>
              <w:spacing w:line="360" w:lineRule="auto"/>
              <w:jc w:val="both"/>
              <w:rPr>
                <w:rFonts w:ascii="Arial" w:eastAsia="Times New Roman" w:hAnsi="Arial" w:cs="Arial"/>
                <w:lang w:eastAsia="en-GB"/>
              </w:rPr>
            </w:pPr>
            <w:r w:rsidRPr="008D5C42">
              <w:rPr>
                <w:rFonts w:ascii="Segoe UI Emoji" w:eastAsia="Times New Roman" w:hAnsi="Segoe UI Emoji" w:cs="Segoe UI Emoji"/>
                <w:lang w:eastAsia="en-GB"/>
              </w:rPr>
              <w:t>✅</w:t>
            </w:r>
          </w:p>
        </w:tc>
        <w:tc>
          <w:tcPr>
            <w:tcW w:w="0" w:type="auto"/>
            <w:hideMark/>
          </w:tcPr>
          <w:p w14:paraId="11CEA1C7"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b/>
                <w:bCs/>
                <w:lang w:eastAsia="en-GB"/>
              </w:rPr>
              <w:t>Jones (2022)</w:t>
            </w:r>
          </w:p>
        </w:tc>
        <w:tc>
          <w:tcPr>
            <w:tcW w:w="0" w:type="auto"/>
            <w:hideMark/>
          </w:tcPr>
          <w:p w14:paraId="3F210996"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i/>
                <w:iCs/>
                <w:lang w:eastAsia="en-GB"/>
              </w:rPr>
              <w:t xml:space="preserve">Lived experiences of trauma among young Scottish care </w:t>
            </w:r>
            <w:r w:rsidRPr="008D5C42">
              <w:rPr>
                <w:rFonts w:ascii="Arial" w:eastAsia="Times New Roman" w:hAnsi="Arial" w:cs="Arial"/>
                <w:i/>
                <w:iCs/>
                <w:lang w:eastAsia="en-GB"/>
              </w:rPr>
              <w:lastRenderedPageBreak/>
              <w:t>leavers</w:t>
            </w:r>
            <w:r w:rsidRPr="008D5C42">
              <w:rPr>
                <w:rFonts w:ascii="Arial" w:eastAsia="Times New Roman" w:hAnsi="Arial" w:cs="Arial"/>
                <w:lang w:eastAsia="en-GB"/>
              </w:rPr>
              <w:t xml:space="preserve"> (Qualitative Narrative Study)</w:t>
            </w:r>
          </w:p>
        </w:tc>
        <w:tc>
          <w:tcPr>
            <w:tcW w:w="0" w:type="auto"/>
            <w:hideMark/>
          </w:tcPr>
          <w:p w14:paraId="7179A578"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lang w:eastAsia="en-GB"/>
              </w:rPr>
              <w:lastRenderedPageBreak/>
              <w:t xml:space="preserve">Identified shame, identity fragmentation, and mistrust of services as central effects of ACEs. Peer </w:t>
            </w:r>
            <w:r w:rsidRPr="008D5C42">
              <w:rPr>
                <w:rFonts w:ascii="Arial" w:eastAsia="Times New Roman" w:hAnsi="Arial" w:cs="Arial"/>
                <w:lang w:eastAsia="en-GB"/>
              </w:rPr>
              <w:lastRenderedPageBreak/>
              <w:t>belonging and consistent adult figures supported resilience. Provides emotional context to quantitative findings.</w:t>
            </w:r>
          </w:p>
        </w:tc>
        <w:tc>
          <w:tcPr>
            <w:tcW w:w="1773" w:type="dxa"/>
            <w:hideMark/>
          </w:tcPr>
          <w:p w14:paraId="62CDCE99"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b/>
                <w:bCs/>
                <w:lang w:eastAsia="en-GB"/>
              </w:rPr>
              <w:lastRenderedPageBreak/>
              <w:t>Currency:</w:t>
            </w:r>
            <w:r w:rsidRPr="008D5C42">
              <w:rPr>
                <w:rFonts w:ascii="Arial" w:eastAsia="Times New Roman" w:hAnsi="Arial" w:cs="Arial"/>
                <w:lang w:eastAsia="en-GB"/>
              </w:rPr>
              <w:t xml:space="preserve"> Recent; </w:t>
            </w:r>
            <w:r w:rsidRPr="008D5C42">
              <w:rPr>
                <w:rFonts w:ascii="Arial" w:eastAsia="Times New Roman" w:hAnsi="Arial" w:cs="Arial"/>
                <w:b/>
                <w:bCs/>
                <w:lang w:eastAsia="en-GB"/>
              </w:rPr>
              <w:t>Relevance:</w:t>
            </w:r>
            <w:r w:rsidRPr="008D5C42">
              <w:rPr>
                <w:rFonts w:ascii="Arial" w:eastAsia="Times New Roman" w:hAnsi="Arial" w:cs="Arial"/>
                <w:lang w:eastAsia="en-GB"/>
              </w:rPr>
              <w:t xml:space="preserve"> Lived UK youth experiences; </w:t>
            </w:r>
            <w:r w:rsidRPr="008D5C42">
              <w:rPr>
                <w:rFonts w:ascii="Arial" w:eastAsia="Times New Roman" w:hAnsi="Arial" w:cs="Arial"/>
                <w:b/>
                <w:bCs/>
                <w:lang w:eastAsia="en-GB"/>
              </w:rPr>
              <w:t>Authority:</w:t>
            </w:r>
            <w:r w:rsidRPr="008D5C42">
              <w:rPr>
                <w:rFonts w:ascii="Arial" w:eastAsia="Times New Roman" w:hAnsi="Arial" w:cs="Arial"/>
                <w:lang w:eastAsia="en-GB"/>
              </w:rPr>
              <w:t xml:space="preserve"> </w:t>
            </w:r>
            <w:r w:rsidRPr="008D5C42">
              <w:rPr>
                <w:rFonts w:ascii="Arial" w:eastAsia="Times New Roman" w:hAnsi="Arial" w:cs="Arial"/>
                <w:i/>
                <w:iCs/>
                <w:lang w:eastAsia="en-GB"/>
              </w:rPr>
              <w:lastRenderedPageBreak/>
              <w:t>Child &amp; Youth Services Review</w:t>
            </w:r>
            <w:r w:rsidRPr="008D5C42">
              <w:rPr>
                <w:rFonts w:ascii="Arial" w:eastAsia="Times New Roman" w:hAnsi="Arial" w:cs="Arial"/>
                <w:lang w:eastAsia="en-GB"/>
              </w:rPr>
              <w:t xml:space="preserve">; </w:t>
            </w:r>
            <w:r w:rsidRPr="008D5C42">
              <w:rPr>
                <w:rFonts w:ascii="Arial" w:eastAsia="Times New Roman" w:hAnsi="Arial" w:cs="Arial"/>
                <w:b/>
                <w:bCs/>
                <w:lang w:eastAsia="en-GB"/>
              </w:rPr>
              <w:t>Accuracy:</w:t>
            </w:r>
            <w:r w:rsidRPr="008D5C42">
              <w:rPr>
                <w:rFonts w:ascii="Arial" w:eastAsia="Times New Roman" w:hAnsi="Arial" w:cs="Arial"/>
                <w:lang w:eastAsia="en-GB"/>
              </w:rPr>
              <w:t xml:space="preserve"> Thematic rigour (NVivo coding); </w:t>
            </w:r>
            <w:r w:rsidRPr="008D5C42">
              <w:rPr>
                <w:rFonts w:ascii="Arial" w:eastAsia="Times New Roman" w:hAnsi="Arial" w:cs="Arial"/>
                <w:b/>
                <w:bCs/>
                <w:lang w:eastAsia="en-GB"/>
              </w:rPr>
              <w:t>Purpose:</w:t>
            </w:r>
            <w:r w:rsidRPr="008D5C42">
              <w:rPr>
                <w:rFonts w:ascii="Arial" w:eastAsia="Times New Roman" w:hAnsi="Arial" w:cs="Arial"/>
                <w:lang w:eastAsia="en-GB"/>
              </w:rPr>
              <w:t xml:space="preserve"> Illustrate processes of harm and healing.</w:t>
            </w:r>
          </w:p>
        </w:tc>
        <w:tc>
          <w:tcPr>
            <w:tcW w:w="3685" w:type="dxa"/>
            <w:hideMark/>
          </w:tcPr>
          <w:p w14:paraId="0C7BB3E7"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lang w:eastAsia="en-GB"/>
              </w:rPr>
              <w:lastRenderedPageBreak/>
              <w:t xml:space="preserve">Jones, E. (2022). </w:t>
            </w:r>
            <w:r w:rsidRPr="008D5C42">
              <w:rPr>
                <w:rFonts w:ascii="Arial" w:eastAsia="Times New Roman" w:hAnsi="Arial" w:cs="Arial"/>
                <w:i/>
                <w:iCs/>
                <w:lang w:eastAsia="en-GB"/>
              </w:rPr>
              <w:t>Child &amp; Youth Services Review</w:t>
            </w:r>
            <w:r w:rsidRPr="008D5C42">
              <w:rPr>
                <w:rFonts w:ascii="Arial" w:eastAsia="Times New Roman" w:hAnsi="Arial" w:cs="Arial"/>
                <w:lang w:eastAsia="en-GB"/>
              </w:rPr>
              <w:t xml:space="preserve">, 143, 106713. </w:t>
            </w:r>
            <w:hyperlink r:id="rId15" w:history="1">
              <w:r w:rsidRPr="008D5C42">
                <w:rPr>
                  <w:rFonts w:ascii="Arial" w:eastAsia="Times New Roman" w:hAnsi="Arial" w:cs="Arial"/>
                  <w:color w:val="002060"/>
                  <w:u w:val="single"/>
                  <w:lang w:eastAsia="en-GB"/>
                </w:rPr>
                <w:t>https://doi.org/10.1016/j.childyouth.2022.106713</w:t>
              </w:r>
            </w:hyperlink>
          </w:p>
        </w:tc>
      </w:tr>
      <w:tr w:rsidR="001968C6" w:rsidRPr="008D5C42" w14:paraId="2B1F5BCF" w14:textId="77777777" w:rsidTr="002002FA">
        <w:tc>
          <w:tcPr>
            <w:tcW w:w="782" w:type="dxa"/>
            <w:hideMark/>
          </w:tcPr>
          <w:p w14:paraId="3033F9DF" w14:textId="77777777" w:rsidR="001968C6" w:rsidRPr="008D5C42" w:rsidRDefault="001968C6" w:rsidP="008D5C42">
            <w:pPr>
              <w:spacing w:line="360" w:lineRule="auto"/>
              <w:jc w:val="both"/>
              <w:rPr>
                <w:rFonts w:ascii="Arial" w:eastAsia="Times New Roman" w:hAnsi="Arial" w:cs="Arial"/>
                <w:lang w:eastAsia="en-GB"/>
              </w:rPr>
            </w:pPr>
            <w:r w:rsidRPr="008D5C42">
              <w:rPr>
                <w:rFonts w:ascii="Segoe UI Emoji" w:eastAsia="Times New Roman" w:hAnsi="Segoe UI Emoji" w:cs="Segoe UI Emoji"/>
                <w:lang w:eastAsia="en-GB"/>
              </w:rPr>
              <w:t>✅</w:t>
            </w:r>
          </w:p>
        </w:tc>
        <w:tc>
          <w:tcPr>
            <w:tcW w:w="0" w:type="auto"/>
            <w:hideMark/>
          </w:tcPr>
          <w:p w14:paraId="5505AB8A"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b/>
                <w:bCs/>
                <w:lang w:eastAsia="en-GB"/>
              </w:rPr>
              <w:t>Avery et al. (2025)</w:t>
            </w:r>
          </w:p>
        </w:tc>
        <w:tc>
          <w:tcPr>
            <w:tcW w:w="0" w:type="auto"/>
            <w:hideMark/>
          </w:tcPr>
          <w:p w14:paraId="5592B612"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i/>
                <w:iCs/>
                <w:lang w:eastAsia="en-GB"/>
              </w:rPr>
              <w:t>Support for my dad would have benefited me because I was the one looking after him: A qualitative analysis of the support needs of young people exposed to ACEs</w:t>
            </w:r>
            <w:r w:rsidRPr="008D5C42">
              <w:rPr>
                <w:rFonts w:ascii="Arial" w:eastAsia="Times New Roman" w:hAnsi="Arial" w:cs="Arial"/>
                <w:lang w:eastAsia="en-GB"/>
              </w:rPr>
              <w:t xml:space="preserve"> </w:t>
            </w:r>
            <w:r w:rsidRPr="008D5C42">
              <w:rPr>
                <w:rFonts w:ascii="Arial" w:eastAsia="Times New Roman" w:hAnsi="Arial" w:cs="Arial"/>
                <w:lang w:eastAsia="en-GB"/>
              </w:rPr>
              <w:lastRenderedPageBreak/>
              <w:t>(Qualitative Study)</w:t>
            </w:r>
          </w:p>
        </w:tc>
        <w:tc>
          <w:tcPr>
            <w:tcW w:w="0" w:type="auto"/>
            <w:hideMark/>
          </w:tcPr>
          <w:p w14:paraId="785FA61B"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lang w:eastAsia="en-GB"/>
              </w:rPr>
              <w:lastRenderedPageBreak/>
              <w:t>Found emotional distress, shame, and guilt among ACE-affected youth. Highlighted trauma-informed practitioners, peer relationships, and creative coping (sports, arts) as recovery anchors.</w:t>
            </w:r>
          </w:p>
        </w:tc>
        <w:tc>
          <w:tcPr>
            <w:tcW w:w="1773" w:type="dxa"/>
            <w:hideMark/>
          </w:tcPr>
          <w:p w14:paraId="08744449"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b/>
                <w:bCs/>
                <w:lang w:eastAsia="en-GB"/>
              </w:rPr>
              <w:t>Currency:</w:t>
            </w:r>
            <w:r w:rsidRPr="008D5C42">
              <w:rPr>
                <w:rFonts w:ascii="Arial" w:eastAsia="Times New Roman" w:hAnsi="Arial" w:cs="Arial"/>
                <w:lang w:eastAsia="en-GB"/>
              </w:rPr>
              <w:t xml:space="preserve"> 2025, latest data; </w:t>
            </w:r>
            <w:r w:rsidRPr="008D5C42">
              <w:rPr>
                <w:rFonts w:ascii="Arial" w:eastAsia="Times New Roman" w:hAnsi="Arial" w:cs="Arial"/>
                <w:b/>
                <w:bCs/>
                <w:lang w:eastAsia="en-GB"/>
              </w:rPr>
              <w:t>Relevance:</w:t>
            </w:r>
            <w:r w:rsidRPr="008D5C42">
              <w:rPr>
                <w:rFonts w:ascii="Arial" w:eastAsia="Times New Roman" w:hAnsi="Arial" w:cs="Arial"/>
                <w:lang w:eastAsia="en-GB"/>
              </w:rPr>
              <w:t xml:space="preserve"> UK youth mental health; </w:t>
            </w:r>
            <w:r w:rsidRPr="008D5C42">
              <w:rPr>
                <w:rFonts w:ascii="Arial" w:eastAsia="Times New Roman" w:hAnsi="Arial" w:cs="Arial"/>
                <w:b/>
                <w:bCs/>
                <w:lang w:eastAsia="en-GB"/>
              </w:rPr>
              <w:t>Authority:</w:t>
            </w:r>
            <w:r w:rsidRPr="008D5C42">
              <w:rPr>
                <w:rFonts w:ascii="Arial" w:eastAsia="Times New Roman" w:hAnsi="Arial" w:cs="Arial"/>
                <w:lang w:eastAsia="en-GB"/>
              </w:rPr>
              <w:t xml:space="preserve"> </w:t>
            </w:r>
            <w:proofErr w:type="spellStart"/>
            <w:r w:rsidRPr="008D5C42">
              <w:rPr>
                <w:rFonts w:ascii="Arial" w:eastAsia="Times New Roman" w:hAnsi="Arial" w:cs="Arial"/>
                <w:i/>
                <w:iCs/>
                <w:lang w:eastAsia="en-GB"/>
              </w:rPr>
              <w:t>PLoS</w:t>
            </w:r>
            <w:proofErr w:type="spellEnd"/>
            <w:r w:rsidRPr="008D5C42">
              <w:rPr>
                <w:rFonts w:ascii="Arial" w:eastAsia="Times New Roman" w:hAnsi="Arial" w:cs="Arial"/>
                <w:i/>
                <w:iCs/>
                <w:lang w:eastAsia="en-GB"/>
              </w:rPr>
              <w:t xml:space="preserve"> One</w:t>
            </w:r>
            <w:r w:rsidRPr="008D5C42">
              <w:rPr>
                <w:rFonts w:ascii="Arial" w:eastAsia="Times New Roman" w:hAnsi="Arial" w:cs="Arial"/>
                <w:lang w:eastAsia="en-GB"/>
              </w:rPr>
              <w:t xml:space="preserve">; </w:t>
            </w:r>
            <w:r w:rsidRPr="008D5C42">
              <w:rPr>
                <w:rFonts w:ascii="Arial" w:eastAsia="Times New Roman" w:hAnsi="Arial" w:cs="Arial"/>
                <w:b/>
                <w:bCs/>
                <w:lang w:eastAsia="en-GB"/>
              </w:rPr>
              <w:t>Accuracy:</w:t>
            </w:r>
            <w:r w:rsidRPr="008D5C42">
              <w:rPr>
                <w:rFonts w:ascii="Arial" w:eastAsia="Times New Roman" w:hAnsi="Arial" w:cs="Arial"/>
                <w:lang w:eastAsia="en-GB"/>
              </w:rPr>
              <w:t xml:space="preserve"> Rigorous thematic analysis; </w:t>
            </w:r>
            <w:r w:rsidRPr="008D5C42">
              <w:rPr>
                <w:rFonts w:ascii="Arial" w:eastAsia="Times New Roman" w:hAnsi="Arial" w:cs="Arial"/>
                <w:b/>
                <w:bCs/>
                <w:lang w:eastAsia="en-GB"/>
              </w:rPr>
              <w:t>Purpose:</w:t>
            </w:r>
            <w:r w:rsidRPr="008D5C42">
              <w:rPr>
                <w:rFonts w:ascii="Arial" w:eastAsia="Times New Roman" w:hAnsi="Arial" w:cs="Arial"/>
                <w:lang w:eastAsia="en-GB"/>
              </w:rPr>
              <w:t xml:space="preserve"> Identify service and coping gaps in trauma response.</w:t>
            </w:r>
          </w:p>
        </w:tc>
        <w:tc>
          <w:tcPr>
            <w:tcW w:w="3685" w:type="dxa"/>
            <w:hideMark/>
          </w:tcPr>
          <w:p w14:paraId="6F6C5C57" w14:textId="77777777" w:rsidR="001968C6" w:rsidRPr="008D5C42" w:rsidRDefault="001968C6" w:rsidP="008D5C42">
            <w:pPr>
              <w:spacing w:line="360" w:lineRule="auto"/>
              <w:jc w:val="both"/>
              <w:rPr>
                <w:rFonts w:ascii="Arial" w:eastAsia="Times New Roman" w:hAnsi="Arial" w:cs="Arial"/>
                <w:lang w:eastAsia="en-GB"/>
              </w:rPr>
            </w:pPr>
            <w:r w:rsidRPr="008D5C42">
              <w:rPr>
                <w:rFonts w:ascii="Arial" w:eastAsia="Times New Roman" w:hAnsi="Arial" w:cs="Arial"/>
                <w:lang w:eastAsia="en-GB"/>
              </w:rPr>
              <w:t xml:space="preserve">Avery, F. et al. (2025). </w:t>
            </w:r>
            <w:proofErr w:type="spellStart"/>
            <w:r w:rsidRPr="008D5C42">
              <w:rPr>
                <w:rFonts w:ascii="Arial" w:eastAsia="Times New Roman" w:hAnsi="Arial" w:cs="Arial"/>
                <w:i/>
                <w:iCs/>
                <w:lang w:eastAsia="en-GB"/>
              </w:rPr>
              <w:t>PLoS</w:t>
            </w:r>
            <w:proofErr w:type="spellEnd"/>
            <w:r w:rsidRPr="008D5C42">
              <w:rPr>
                <w:rFonts w:ascii="Arial" w:eastAsia="Times New Roman" w:hAnsi="Arial" w:cs="Arial"/>
                <w:i/>
                <w:iCs/>
                <w:lang w:eastAsia="en-GB"/>
              </w:rPr>
              <w:t xml:space="preserve"> One</w:t>
            </w:r>
            <w:r w:rsidRPr="008D5C42">
              <w:rPr>
                <w:rFonts w:ascii="Arial" w:eastAsia="Times New Roman" w:hAnsi="Arial" w:cs="Arial"/>
                <w:lang w:eastAsia="en-GB"/>
              </w:rPr>
              <w:t xml:space="preserve">, 20(4), e0313371. </w:t>
            </w:r>
            <w:hyperlink r:id="rId16" w:history="1">
              <w:r w:rsidRPr="008D5C42">
                <w:rPr>
                  <w:rFonts w:ascii="Arial" w:eastAsia="Times New Roman" w:hAnsi="Arial" w:cs="Arial"/>
                  <w:color w:val="000000" w:themeColor="text1"/>
                  <w:u w:val="single"/>
                  <w:lang w:eastAsia="en-GB"/>
                </w:rPr>
                <w:t>https://doi.org/10.1371/journal.pone.0313371</w:t>
              </w:r>
            </w:hyperlink>
          </w:p>
        </w:tc>
      </w:tr>
    </w:tbl>
    <w:p w14:paraId="6D11E4BF" w14:textId="77777777" w:rsidR="001968C6" w:rsidRPr="008D5C42" w:rsidRDefault="001968C6" w:rsidP="008D5C42">
      <w:pPr>
        <w:spacing w:line="360" w:lineRule="auto"/>
        <w:jc w:val="both"/>
        <w:rPr>
          <w:rFonts w:ascii="Arial" w:hAnsi="Arial" w:cs="Arial"/>
        </w:rPr>
      </w:pPr>
    </w:p>
    <w:bookmarkEnd w:id="0"/>
    <w:p w14:paraId="62815757" w14:textId="77777777" w:rsidR="001968C6" w:rsidRPr="008D5C42" w:rsidRDefault="001968C6" w:rsidP="008D5C42">
      <w:pPr>
        <w:spacing w:line="360" w:lineRule="auto"/>
        <w:jc w:val="both"/>
        <w:rPr>
          <w:rFonts w:ascii="Arial" w:hAnsi="Arial" w:cs="Arial"/>
        </w:rPr>
      </w:pPr>
    </w:p>
    <w:p w14:paraId="41838BD6" w14:textId="77777777" w:rsidR="00E35FF9" w:rsidRPr="008D5C42" w:rsidRDefault="00E35FF9" w:rsidP="008D5C42">
      <w:pPr>
        <w:spacing w:line="360" w:lineRule="auto"/>
        <w:rPr>
          <w:rFonts w:ascii="Arial" w:hAnsi="Arial" w:cs="Arial"/>
        </w:rPr>
      </w:pPr>
    </w:p>
    <w:sectPr w:rsidR="00E35FF9" w:rsidRPr="008D5C4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51460F" w14:textId="77777777" w:rsidR="0066551E" w:rsidRDefault="0066551E" w:rsidP="009060F9">
      <w:pPr>
        <w:spacing w:after="0" w:line="240" w:lineRule="auto"/>
      </w:pPr>
      <w:r>
        <w:separator/>
      </w:r>
    </w:p>
  </w:endnote>
  <w:endnote w:type="continuationSeparator" w:id="0">
    <w:p w14:paraId="7B3353D4" w14:textId="77777777" w:rsidR="0066551E" w:rsidRDefault="0066551E" w:rsidP="00906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6301567"/>
      <w:docPartObj>
        <w:docPartGallery w:val="Page Numbers (Bottom of Page)"/>
        <w:docPartUnique/>
      </w:docPartObj>
    </w:sdtPr>
    <w:sdtEndPr>
      <w:rPr>
        <w:noProof/>
      </w:rPr>
    </w:sdtEndPr>
    <w:sdtContent>
      <w:p w14:paraId="6C15D075" w14:textId="07E7EA4C" w:rsidR="009060F9" w:rsidRDefault="009060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7D88D2" w14:textId="77777777" w:rsidR="009060F9" w:rsidRDefault="00906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56F22" w14:textId="77777777" w:rsidR="0066551E" w:rsidRDefault="0066551E" w:rsidP="009060F9">
      <w:pPr>
        <w:spacing w:after="0" w:line="240" w:lineRule="auto"/>
      </w:pPr>
      <w:r>
        <w:separator/>
      </w:r>
    </w:p>
  </w:footnote>
  <w:footnote w:type="continuationSeparator" w:id="0">
    <w:p w14:paraId="5B71DF42" w14:textId="77777777" w:rsidR="0066551E" w:rsidRDefault="0066551E" w:rsidP="00906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E2B12"/>
    <w:multiLevelType w:val="hybridMultilevel"/>
    <w:tmpl w:val="1A0213C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FBF57C1"/>
    <w:multiLevelType w:val="multilevel"/>
    <w:tmpl w:val="85105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AD0F7B"/>
    <w:multiLevelType w:val="hybridMultilevel"/>
    <w:tmpl w:val="922C1A5E"/>
    <w:lvl w:ilvl="0" w:tplc="F44E0DBE">
      <w:numFmt w:val="bullet"/>
      <w:lvlText w:val="•"/>
      <w:lvlJc w:val="left"/>
      <w:pPr>
        <w:ind w:left="720" w:hanging="360"/>
      </w:pPr>
      <w:rPr>
        <w:rFonts w:ascii="Calibri" w:eastAsiaTheme="minorHAnsi"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C7701CB"/>
    <w:multiLevelType w:val="hybridMultilevel"/>
    <w:tmpl w:val="C96A845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413426181">
    <w:abstractNumId w:val="0"/>
  </w:num>
  <w:num w:numId="2" w16cid:durableId="664237039">
    <w:abstractNumId w:val="2"/>
  </w:num>
  <w:num w:numId="3" w16cid:durableId="1226793560">
    <w:abstractNumId w:val="1"/>
  </w:num>
  <w:num w:numId="4" w16cid:durableId="2813087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665"/>
    <w:rsid w:val="00006192"/>
    <w:rsid w:val="00016D0F"/>
    <w:rsid w:val="000A3344"/>
    <w:rsid w:val="000A68D0"/>
    <w:rsid w:val="000C4AF1"/>
    <w:rsid w:val="000E18D6"/>
    <w:rsid w:val="00126499"/>
    <w:rsid w:val="001571C2"/>
    <w:rsid w:val="001968C6"/>
    <w:rsid w:val="001B13BA"/>
    <w:rsid w:val="001C11A3"/>
    <w:rsid w:val="00202F9A"/>
    <w:rsid w:val="002061A2"/>
    <w:rsid w:val="0021563F"/>
    <w:rsid w:val="0023095D"/>
    <w:rsid w:val="00280E14"/>
    <w:rsid w:val="002B7C14"/>
    <w:rsid w:val="002C01D1"/>
    <w:rsid w:val="002C2062"/>
    <w:rsid w:val="002C6A78"/>
    <w:rsid w:val="002C6B8D"/>
    <w:rsid w:val="002E158B"/>
    <w:rsid w:val="003107F4"/>
    <w:rsid w:val="00312B85"/>
    <w:rsid w:val="00371369"/>
    <w:rsid w:val="00374B17"/>
    <w:rsid w:val="00380CF3"/>
    <w:rsid w:val="003B315B"/>
    <w:rsid w:val="00411A0F"/>
    <w:rsid w:val="00497651"/>
    <w:rsid w:val="004A1149"/>
    <w:rsid w:val="004A2119"/>
    <w:rsid w:val="004D174F"/>
    <w:rsid w:val="004F59F5"/>
    <w:rsid w:val="00526418"/>
    <w:rsid w:val="0053049A"/>
    <w:rsid w:val="005B6DFE"/>
    <w:rsid w:val="0061426E"/>
    <w:rsid w:val="00615670"/>
    <w:rsid w:val="0066551E"/>
    <w:rsid w:val="006C1379"/>
    <w:rsid w:val="006C50AB"/>
    <w:rsid w:val="0070347A"/>
    <w:rsid w:val="00721817"/>
    <w:rsid w:val="00735686"/>
    <w:rsid w:val="0074562F"/>
    <w:rsid w:val="00750206"/>
    <w:rsid w:val="007706E9"/>
    <w:rsid w:val="007C659C"/>
    <w:rsid w:val="00831A68"/>
    <w:rsid w:val="008443C2"/>
    <w:rsid w:val="00860176"/>
    <w:rsid w:val="00862C0F"/>
    <w:rsid w:val="00867CF6"/>
    <w:rsid w:val="0087010C"/>
    <w:rsid w:val="008B3910"/>
    <w:rsid w:val="008B67EA"/>
    <w:rsid w:val="008C225E"/>
    <w:rsid w:val="008D5C42"/>
    <w:rsid w:val="008F3AE1"/>
    <w:rsid w:val="009060F9"/>
    <w:rsid w:val="00910EDC"/>
    <w:rsid w:val="00921B34"/>
    <w:rsid w:val="009455D3"/>
    <w:rsid w:val="009630D4"/>
    <w:rsid w:val="00972F88"/>
    <w:rsid w:val="009B5AF4"/>
    <w:rsid w:val="009D6D3F"/>
    <w:rsid w:val="00A07A3E"/>
    <w:rsid w:val="00A24EC2"/>
    <w:rsid w:val="00A476E9"/>
    <w:rsid w:val="00A80DEE"/>
    <w:rsid w:val="00A95BC5"/>
    <w:rsid w:val="00AA558B"/>
    <w:rsid w:val="00AA7A77"/>
    <w:rsid w:val="00AB2665"/>
    <w:rsid w:val="00AE3673"/>
    <w:rsid w:val="00AE59A1"/>
    <w:rsid w:val="00AF56ED"/>
    <w:rsid w:val="00B22963"/>
    <w:rsid w:val="00B27E04"/>
    <w:rsid w:val="00B3023B"/>
    <w:rsid w:val="00B3742D"/>
    <w:rsid w:val="00B37B0F"/>
    <w:rsid w:val="00B52C36"/>
    <w:rsid w:val="00B61DC4"/>
    <w:rsid w:val="00BB3A70"/>
    <w:rsid w:val="00BC02BA"/>
    <w:rsid w:val="00BD675B"/>
    <w:rsid w:val="00C065CA"/>
    <w:rsid w:val="00C100C5"/>
    <w:rsid w:val="00C13BB0"/>
    <w:rsid w:val="00C25453"/>
    <w:rsid w:val="00C6545B"/>
    <w:rsid w:val="00C724D5"/>
    <w:rsid w:val="00CD33E6"/>
    <w:rsid w:val="00CD5F93"/>
    <w:rsid w:val="00CE379C"/>
    <w:rsid w:val="00CF5AA1"/>
    <w:rsid w:val="00CF6075"/>
    <w:rsid w:val="00D11E95"/>
    <w:rsid w:val="00D4442A"/>
    <w:rsid w:val="00D4459D"/>
    <w:rsid w:val="00D7159C"/>
    <w:rsid w:val="00D84704"/>
    <w:rsid w:val="00D95197"/>
    <w:rsid w:val="00DB7889"/>
    <w:rsid w:val="00DD30B2"/>
    <w:rsid w:val="00DF0A40"/>
    <w:rsid w:val="00DF623E"/>
    <w:rsid w:val="00E35FF9"/>
    <w:rsid w:val="00E75FE1"/>
    <w:rsid w:val="00EE25EE"/>
    <w:rsid w:val="00F30A7B"/>
    <w:rsid w:val="00F81EF5"/>
    <w:rsid w:val="00FD0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4C74A2"/>
  <w15:chartTrackingRefBased/>
  <w15:docId w15:val="{A3333EC7-5012-486A-BC0D-405FB24EA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8C6"/>
  </w:style>
  <w:style w:type="paragraph" w:styleId="Heading1">
    <w:name w:val="heading 1"/>
    <w:basedOn w:val="Normal"/>
    <w:next w:val="Normal"/>
    <w:link w:val="Heading1Char"/>
    <w:autoRedefine/>
    <w:uiPriority w:val="9"/>
    <w:qFormat/>
    <w:rsid w:val="00A07A3E"/>
    <w:pPr>
      <w:keepNext/>
      <w:keepLines/>
      <w:spacing w:before="240" w:after="0" w:line="360" w:lineRule="auto"/>
      <w:jc w:val="both"/>
      <w:outlineLvl w:val="0"/>
    </w:pPr>
    <w:rPr>
      <w:rFonts w:ascii="Arial" w:eastAsiaTheme="majorEastAsia" w:hAnsi="Arial" w:cs="Arial"/>
      <w:b/>
      <w:color w:val="000000" w:themeColor="text1"/>
    </w:rPr>
  </w:style>
  <w:style w:type="paragraph" w:styleId="Heading2">
    <w:name w:val="heading 2"/>
    <w:basedOn w:val="Normal"/>
    <w:next w:val="Normal"/>
    <w:link w:val="Heading2Char"/>
    <w:autoRedefine/>
    <w:uiPriority w:val="9"/>
    <w:unhideWhenUsed/>
    <w:qFormat/>
    <w:rsid w:val="00A07A3E"/>
    <w:pPr>
      <w:keepNext/>
      <w:keepLines/>
      <w:spacing w:before="40" w:after="0" w:line="360" w:lineRule="auto"/>
      <w:jc w:val="both"/>
      <w:outlineLvl w:val="1"/>
    </w:pPr>
    <w:rPr>
      <w:rFonts w:ascii="Arial" w:eastAsiaTheme="majorEastAsia" w:hAnsi="Arial" w:cs="Arial"/>
      <w:b/>
      <w:color w:val="000000" w:themeColor="text1"/>
    </w:rPr>
  </w:style>
  <w:style w:type="paragraph" w:styleId="Heading3">
    <w:name w:val="heading 3"/>
    <w:basedOn w:val="Normal"/>
    <w:next w:val="Normal"/>
    <w:link w:val="Heading3Char"/>
    <w:uiPriority w:val="9"/>
    <w:semiHidden/>
    <w:unhideWhenUsed/>
    <w:qFormat/>
    <w:rsid w:val="008443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C225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049A"/>
    <w:rPr>
      <w:color w:val="0563C1" w:themeColor="hyperlink"/>
      <w:u w:val="single"/>
    </w:rPr>
  </w:style>
  <w:style w:type="character" w:styleId="UnresolvedMention">
    <w:name w:val="Unresolved Mention"/>
    <w:basedOn w:val="DefaultParagraphFont"/>
    <w:uiPriority w:val="99"/>
    <w:semiHidden/>
    <w:unhideWhenUsed/>
    <w:rsid w:val="0053049A"/>
    <w:rPr>
      <w:color w:val="605E5C"/>
      <w:shd w:val="clear" w:color="auto" w:fill="E1DFDD"/>
    </w:rPr>
  </w:style>
  <w:style w:type="table" w:styleId="TableGrid">
    <w:name w:val="Table Grid"/>
    <w:basedOn w:val="TableNormal"/>
    <w:uiPriority w:val="39"/>
    <w:rsid w:val="00E35F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1EF5"/>
    <w:pPr>
      <w:ind w:left="720"/>
      <w:contextualSpacing/>
    </w:pPr>
  </w:style>
  <w:style w:type="character" w:customStyle="1" w:styleId="Heading1Char">
    <w:name w:val="Heading 1 Char"/>
    <w:basedOn w:val="DefaultParagraphFont"/>
    <w:link w:val="Heading1"/>
    <w:uiPriority w:val="9"/>
    <w:rsid w:val="00A07A3E"/>
    <w:rPr>
      <w:rFonts w:ascii="Arial" w:eastAsiaTheme="majorEastAsia" w:hAnsi="Arial" w:cs="Arial"/>
      <w:b/>
      <w:color w:val="000000" w:themeColor="text1"/>
      <w:lang w:val="en-GB"/>
    </w:rPr>
  </w:style>
  <w:style w:type="character" w:customStyle="1" w:styleId="Heading3Char">
    <w:name w:val="Heading 3 Char"/>
    <w:basedOn w:val="DefaultParagraphFont"/>
    <w:link w:val="Heading3"/>
    <w:uiPriority w:val="9"/>
    <w:semiHidden/>
    <w:rsid w:val="008443C2"/>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8C225E"/>
    <w:rPr>
      <w:rFonts w:asciiTheme="majorHAnsi" w:eastAsiaTheme="majorEastAsia" w:hAnsiTheme="majorHAnsi" w:cstheme="majorBidi"/>
      <w:i/>
      <w:iCs/>
      <w:color w:val="2F5496" w:themeColor="accent1" w:themeShade="BF"/>
      <w:lang w:val="en-GB"/>
    </w:rPr>
  </w:style>
  <w:style w:type="character" w:customStyle="1" w:styleId="Heading2Char">
    <w:name w:val="Heading 2 Char"/>
    <w:basedOn w:val="DefaultParagraphFont"/>
    <w:link w:val="Heading2"/>
    <w:uiPriority w:val="9"/>
    <w:rsid w:val="00A07A3E"/>
    <w:rPr>
      <w:rFonts w:ascii="Arial" w:eastAsiaTheme="majorEastAsia" w:hAnsi="Arial" w:cs="Arial"/>
      <w:b/>
      <w:color w:val="000000" w:themeColor="text1"/>
      <w:lang w:val="en-GB"/>
    </w:rPr>
  </w:style>
  <w:style w:type="paragraph" w:styleId="TOCHeading">
    <w:name w:val="TOC Heading"/>
    <w:basedOn w:val="Heading1"/>
    <w:next w:val="Normal"/>
    <w:uiPriority w:val="39"/>
    <w:unhideWhenUsed/>
    <w:qFormat/>
    <w:rsid w:val="00BB3A70"/>
    <w:pPr>
      <w:outlineLvl w:val="9"/>
    </w:pPr>
    <w:rPr>
      <w:b w:val="0"/>
      <w:kern w:val="0"/>
      <w:lang w:val="en-US"/>
      <w14:ligatures w14:val="none"/>
    </w:rPr>
  </w:style>
  <w:style w:type="paragraph" w:styleId="TOC1">
    <w:name w:val="toc 1"/>
    <w:basedOn w:val="Normal"/>
    <w:next w:val="Normal"/>
    <w:autoRedefine/>
    <w:uiPriority w:val="39"/>
    <w:unhideWhenUsed/>
    <w:rsid w:val="00BB3A70"/>
    <w:pPr>
      <w:spacing w:after="100"/>
    </w:pPr>
  </w:style>
  <w:style w:type="paragraph" w:styleId="TOC2">
    <w:name w:val="toc 2"/>
    <w:basedOn w:val="Normal"/>
    <w:next w:val="Normal"/>
    <w:autoRedefine/>
    <w:uiPriority w:val="39"/>
    <w:unhideWhenUsed/>
    <w:rsid w:val="00BB3A70"/>
    <w:pPr>
      <w:spacing w:after="100"/>
      <w:ind w:left="220"/>
    </w:pPr>
  </w:style>
  <w:style w:type="character" w:customStyle="1" w:styleId="UnresolvedMention1">
    <w:name w:val="Unresolved Mention1"/>
    <w:basedOn w:val="DefaultParagraphFont"/>
    <w:uiPriority w:val="99"/>
    <w:semiHidden/>
    <w:unhideWhenUsed/>
    <w:rsid w:val="00CF6075"/>
    <w:rPr>
      <w:color w:val="605E5C"/>
      <w:shd w:val="clear" w:color="auto" w:fill="E1DFDD"/>
    </w:rPr>
  </w:style>
  <w:style w:type="paragraph" w:styleId="TOC3">
    <w:name w:val="toc 3"/>
    <w:basedOn w:val="Normal"/>
    <w:next w:val="Normal"/>
    <w:autoRedefine/>
    <w:uiPriority w:val="39"/>
    <w:unhideWhenUsed/>
    <w:rsid w:val="00CF6075"/>
    <w:pPr>
      <w:spacing w:after="100"/>
      <w:ind w:left="440"/>
    </w:pPr>
  </w:style>
  <w:style w:type="paragraph" w:styleId="Header">
    <w:name w:val="header"/>
    <w:basedOn w:val="Normal"/>
    <w:link w:val="HeaderChar"/>
    <w:uiPriority w:val="99"/>
    <w:unhideWhenUsed/>
    <w:rsid w:val="009060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0F9"/>
    <w:rPr>
      <w:lang w:val="en-GB"/>
    </w:rPr>
  </w:style>
  <w:style w:type="paragraph" w:styleId="Footer">
    <w:name w:val="footer"/>
    <w:basedOn w:val="Normal"/>
    <w:link w:val="FooterChar"/>
    <w:uiPriority w:val="99"/>
    <w:unhideWhenUsed/>
    <w:rsid w:val="009060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60F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8696">
      <w:bodyDiv w:val="1"/>
      <w:marLeft w:val="0"/>
      <w:marRight w:val="0"/>
      <w:marTop w:val="0"/>
      <w:marBottom w:val="0"/>
      <w:divBdr>
        <w:top w:val="none" w:sz="0" w:space="0" w:color="auto"/>
        <w:left w:val="none" w:sz="0" w:space="0" w:color="auto"/>
        <w:bottom w:val="none" w:sz="0" w:space="0" w:color="auto"/>
        <w:right w:val="none" w:sz="0" w:space="0" w:color="auto"/>
      </w:divBdr>
    </w:div>
    <w:div w:id="58402382">
      <w:bodyDiv w:val="1"/>
      <w:marLeft w:val="0"/>
      <w:marRight w:val="0"/>
      <w:marTop w:val="0"/>
      <w:marBottom w:val="0"/>
      <w:divBdr>
        <w:top w:val="none" w:sz="0" w:space="0" w:color="auto"/>
        <w:left w:val="none" w:sz="0" w:space="0" w:color="auto"/>
        <w:bottom w:val="none" w:sz="0" w:space="0" w:color="auto"/>
        <w:right w:val="none" w:sz="0" w:space="0" w:color="auto"/>
      </w:divBdr>
    </w:div>
    <w:div w:id="93063112">
      <w:bodyDiv w:val="1"/>
      <w:marLeft w:val="0"/>
      <w:marRight w:val="0"/>
      <w:marTop w:val="0"/>
      <w:marBottom w:val="0"/>
      <w:divBdr>
        <w:top w:val="none" w:sz="0" w:space="0" w:color="auto"/>
        <w:left w:val="none" w:sz="0" w:space="0" w:color="auto"/>
        <w:bottom w:val="none" w:sz="0" w:space="0" w:color="auto"/>
        <w:right w:val="none" w:sz="0" w:space="0" w:color="auto"/>
      </w:divBdr>
    </w:div>
    <w:div w:id="113520280">
      <w:bodyDiv w:val="1"/>
      <w:marLeft w:val="0"/>
      <w:marRight w:val="0"/>
      <w:marTop w:val="0"/>
      <w:marBottom w:val="0"/>
      <w:divBdr>
        <w:top w:val="none" w:sz="0" w:space="0" w:color="auto"/>
        <w:left w:val="none" w:sz="0" w:space="0" w:color="auto"/>
        <w:bottom w:val="none" w:sz="0" w:space="0" w:color="auto"/>
        <w:right w:val="none" w:sz="0" w:space="0" w:color="auto"/>
      </w:divBdr>
    </w:div>
    <w:div w:id="141390674">
      <w:bodyDiv w:val="1"/>
      <w:marLeft w:val="0"/>
      <w:marRight w:val="0"/>
      <w:marTop w:val="0"/>
      <w:marBottom w:val="0"/>
      <w:divBdr>
        <w:top w:val="none" w:sz="0" w:space="0" w:color="auto"/>
        <w:left w:val="none" w:sz="0" w:space="0" w:color="auto"/>
        <w:bottom w:val="none" w:sz="0" w:space="0" w:color="auto"/>
        <w:right w:val="none" w:sz="0" w:space="0" w:color="auto"/>
      </w:divBdr>
    </w:div>
    <w:div w:id="145828213">
      <w:bodyDiv w:val="1"/>
      <w:marLeft w:val="0"/>
      <w:marRight w:val="0"/>
      <w:marTop w:val="0"/>
      <w:marBottom w:val="0"/>
      <w:divBdr>
        <w:top w:val="none" w:sz="0" w:space="0" w:color="auto"/>
        <w:left w:val="none" w:sz="0" w:space="0" w:color="auto"/>
        <w:bottom w:val="none" w:sz="0" w:space="0" w:color="auto"/>
        <w:right w:val="none" w:sz="0" w:space="0" w:color="auto"/>
      </w:divBdr>
    </w:div>
    <w:div w:id="197858736">
      <w:bodyDiv w:val="1"/>
      <w:marLeft w:val="0"/>
      <w:marRight w:val="0"/>
      <w:marTop w:val="0"/>
      <w:marBottom w:val="0"/>
      <w:divBdr>
        <w:top w:val="none" w:sz="0" w:space="0" w:color="auto"/>
        <w:left w:val="none" w:sz="0" w:space="0" w:color="auto"/>
        <w:bottom w:val="none" w:sz="0" w:space="0" w:color="auto"/>
        <w:right w:val="none" w:sz="0" w:space="0" w:color="auto"/>
      </w:divBdr>
    </w:div>
    <w:div w:id="253058472">
      <w:bodyDiv w:val="1"/>
      <w:marLeft w:val="0"/>
      <w:marRight w:val="0"/>
      <w:marTop w:val="0"/>
      <w:marBottom w:val="0"/>
      <w:divBdr>
        <w:top w:val="none" w:sz="0" w:space="0" w:color="auto"/>
        <w:left w:val="none" w:sz="0" w:space="0" w:color="auto"/>
        <w:bottom w:val="none" w:sz="0" w:space="0" w:color="auto"/>
        <w:right w:val="none" w:sz="0" w:space="0" w:color="auto"/>
      </w:divBdr>
    </w:div>
    <w:div w:id="268897300">
      <w:bodyDiv w:val="1"/>
      <w:marLeft w:val="0"/>
      <w:marRight w:val="0"/>
      <w:marTop w:val="0"/>
      <w:marBottom w:val="0"/>
      <w:divBdr>
        <w:top w:val="none" w:sz="0" w:space="0" w:color="auto"/>
        <w:left w:val="none" w:sz="0" w:space="0" w:color="auto"/>
        <w:bottom w:val="none" w:sz="0" w:space="0" w:color="auto"/>
        <w:right w:val="none" w:sz="0" w:space="0" w:color="auto"/>
      </w:divBdr>
    </w:div>
    <w:div w:id="304168704">
      <w:bodyDiv w:val="1"/>
      <w:marLeft w:val="0"/>
      <w:marRight w:val="0"/>
      <w:marTop w:val="0"/>
      <w:marBottom w:val="0"/>
      <w:divBdr>
        <w:top w:val="none" w:sz="0" w:space="0" w:color="auto"/>
        <w:left w:val="none" w:sz="0" w:space="0" w:color="auto"/>
        <w:bottom w:val="none" w:sz="0" w:space="0" w:color="auto"/>
        <w:right w:val="none" w:sz="0" w:space="0" w:color="auto"/>
      </w:divBdr>
    </w:div>
    <w:div w:id="318534667">
      <w:bodyDiv w:val="1"/>
      <w:marLeft w:val="0"/>
      <w:marRight w:val="0"/>
      <w:marTop w:val="0"/>
      <w:marBottom w:val="0"/>
      <w:divBdr>
        <w:top w:val="none" w:sz="0" w:space="0" w:color="auto"/>
        <w:left w:val="none" w:sz="0" w:space="0" w:color="auto"/>
        <w:bottom w:val="none" w:sz="0" w:space="0" w:color="auto"/>
        <w:right w:val="none" w:sz="0" w:space="0" w:color="auto"/>
      </w:divBdr>
    </w:div>
    <w:div w:id="379786907">
      <w:bodyDiv w:val="1"/>
      <w:marLeft w:val="0"/>
      <w:marRight w:val="0"/>
      <w:marTop w:val="0"/>
      <w:marBottom w:val="0"/>
      <w:divBdr>
        <w:top w:val="none" w:sz="0" w:space="0" w:color="auto"/>
        <w:left w:val="none" w:sz="0" w:space="0" w:color="auto"/>
        <w:bottom w:val="none" w:sz="0" w:space="0" w:color="auto"/>
        <w:right w:val="none" w:sz="0" w:space="0" w:color="auto"/>
      </w:divBdr>
    </w:div>
    <w:div w:id="451753185">
      <w:bodyDiv w:val="1"/>
      <w:marLeft w:val="0"/>
      <w:marRight w:val="0"/>
      <w:marTop w:val="0"/>
      <w:marBottom w:val="0"/>
      <w:divBdr>
        <w:top w:val="none" w:sz="0" w:space="0" w:color="auto"/>
        <w:left w:val="none" w:sz="0" w:space="0" w:color="auto"/>
        <w:bottom w:val="none" w:sz="0" w:space="0" w:color="auto"/>
        <w:right w:val="none" w:sz="0" w:space="0" w:color="auto"/>
      </w:divBdr>
    </w:div>
    <w:div w:id="512378051">
      <w:bodyDiv w:val="1"/>
      <w:marLeft w:val="0"/>
      <w:marRight w:val="0"/>
      <w:marTop w:val="0"/>
      <w:marBottom w:val="0"/>
      <w:divBdr>
        <w:top w:val="none" w:sz="0" w:space="0" w:color="auto"/>
        <w:left w:val="none" w:sz="0" w:space="0" w:color="auto"/>
        <w:bottom w:val="none" w:sz="0" w:space="0" w:color="auto"/>
        <w:right w:val="none" w:sz="0" w:space="0" w:color="auto"/>
      </w:divBdr>
    </w:div>
    <w:div w:id="668212931">
      <w:bodyDiv w:val="1"/>
      <w:marLeft w:val="0"/>
      <w:marRight w:val="0"/>
      <w:marTop w:val="0"/>
      <w:marBottom w:val="0"/>
      <w:divBdr>
        <w:top w:val="none" w:sz="0" w:space="0" w:color="auto"/>
        <w:left w:val="none" w:sz="0" w:space="0" w:color="auto"/>
        <w:bottom w:val="none" w:sz="0" w:space="0" w:color="auto"/>
        <w:right w:val="none" w:sz="0" w:space="0" w:color="auto"/>
      </w:divBdr>
    </w:div>
    <w:div w:id="671373611">
      <w:bodyDiv w:val="1"/>
      <w:marLeft w:val="0"/>
      <w:marRight w:val="0"/>
      <w:marTop w:val="0"/>
      <w:marBottom w:val="0"/>
      <w:divBdr>
        <w:top w:val="none" w:sz="0" w:space="0" w:color="auto"/>
        <w:left w:val="none" w:sz="0" w:space="0" w:color="auto"/>
        <w:bottom w:val="none" w:sz="0" w:space="0" w:color="auto"/>
        <w:right w:val="none" w:sz="0" w:space="0" w:color="auto"/>
      </w:divBdr>
    </w:div>
    <w:div w:id="906114820">
      <w:bodyDiv w:val="1"/>
      <w:marLeft w:val="0"/>
      <w:marRight w:val="0"/>
      <w:marTop w:val="0"/>
      <w:marBottom w:val="0"/>
      <w:divBdr>
        <w:top w:val="none" w:sz="0" w:space="0" w:color="auto"/>
        <w:left w:val="none" w:sz="0" w:space="0" w:color="auto"/>
        <w:bottom w:val="none" w:sz="0" w:space="0" w:color="auto"/>
        <w:right w:val="none" w:sz="0" w:space="0" w:color="auto"/>
      </w:divBdr>
    </w:div>
    <w:div w:id="906260866">
      <w:bodyDiv w:val="1"/>
      <w:marLeft w:val="0"/>
      <w:marRight w:val="0"/>
      <w:marTop w:val="0"/>
      <w:marBottom w:val="0"/>
      <w:divBdr>
        <w:top w:val="none" w:sz="0" w:space="0" w:color="auto"/>
        <w:left w:val="none" w:sz="0" w:space="0" w:color="auto"/>
        <w:bottom w:val="none" w:sz="0" w:space="0" w:color="auto"/>
        <w:right w:val="none" w:sz="0" w:space="0" w:color="auto"/>
      </w:divBdr>
    </w:div>
    <w:div w:id="982850567">
      <w:bodyDiv w:val="1"/>
      <w:marLeft w:val="0"/>
      <w:marRight w:val="0"/>
      <w:marTop w:val="0"/>
      <w:marBottom w:val="0"/>
      <w:divBdr>
        <w:top w:val="none" w:sz="0" w:space="0" w:color="auto"/>
        <w:left w:val="none" w:sz="0" w:space="0" w:color="auto"/>
        <w:bottom w:val="none" w:sz="0" w:space="0" w:color="auto"/>
        <w:right w:val="none" w:sz="0" w:space="0" w:color="auto"/>
      </w:divBdr>
    </w:div>
    <w:div w:id="1000087719">
      <w:bodyDiv w:val="1"/>
      <w:marLeft w:val="0"/>
      <w:marRight w:val="0"/>
      <w:marTop w:val="0"/>
      <w:marBottom w:val="0"/>
      <w:divBdr>
        <w:top w:val="none" w:sz="0" w:space="0" w:color="auto"/>
        <w:left w:val="none" w:sz="0" w:space="0" w:color="auto"/>
        <w:bottom w:val="none" w:sz="0" w:space="0" w:color="auto"/>
        <w:right w:val="none" w:sz="0" w:space="0" w:color="auto"/>
      </w:divBdr>
      <w:divsChild>
        <w:div w:id="582223534">
          <w:marLeft w:val="0"/>
          <w:marRight w:val="0"/>
          <w:marTop w:val="0"/>
          <w:marBottom w:val="0"/>
          <w:divBdr>
            <w:top w:val="none" w:sz="0" w:space="0" w:color="auto"/>
            <w:left w:val="none" w:sz="0" w:space="0" w:color="auto"/>
            <w:bottom w:val="none" w:sz="0" w:space="0" w:color="auto"/>
            <w:right w:val="none" w:sz="0" w:space="0" w:color="auto"/>
          </w:divBdr>
          <w:divsChild>
            <w:div w:id="1912544499">
              <w:marLeft w:val="0"/>
              <w:marRight w:val="0"/>
              <w:marTop w:val="0"/>
              <w:marBottom w:val="0"/>
              <w:divBdr>
                <w:top w:val="none" w:sz="0" w:space="0" w:color="auto"/>
                <w:left w:val="none" w:sz="0" w:space="0" w:color="auto"/>
                <w:bottom w:val="none" w:sz="0" w:space="0" w:color="auto"/>
                <w:right w:val="none" w:sz="0" w:space="0" w:color="auto"/>
              </w:divBdr>
              <w:divsChild>
                <w:div w:id="1623917664">
                  <w:marLeft w:val="0"/>
                  <w:marRight w:val="0"/>
                  <w:marTop w:val="0"/>
                  <w:marBottom w:val="0"/>
                  <w:divBdr>
                    <w:top w:val="none" w:sz="0" w:space="0" w:color="auto"/>
                    <w:left w:val="none" w:sz="0" w:space="0" w:color="auto"/>
                    <w:bottom w:val="none" w:sz="0" w:space="0" w:color="auto"/>
                    <w:right w:val="none" w:sz="0" w:space="0" w:color="auto"/>
                  </w:divBdr>
                  <w:divsChild>
                    <w:div w:id="393967163">
                      <w:marLeft w:val="0"/>
                      <w:marRight w:val="0"/>
                      <w:marTop w:val="0"/>
                      <w:marBottom w:val="0"/>
                      <w:divBdr>
                        <w:top w:val="none" w:sz="0" w:space="0" w:color="auto"/>
                        <w:left w:val="none" w:sz="0" w:space="0" w:color="auto"/>
                        <w:bottom w:val="none" w:sz="0" w:space="0" w:color="auto"/>
                        <w:right w:val="none" w:sz="0" w:space="0" w:color="auto"/>
                      </w:divBdr>
                      <w:divsChild>
                        <w:div w:id="220530515">
                          <w:marLeft w:val="0"/>
                          <w:marRight w:val="0"/>
                          <w:marTop w:val="0"/>
                          <w:marBottom w:val="0"/>
                          <w:divBdr>
                            <w:top w:val="none" w:sz="0" w:space="0" w:color="auto"/>
                            <w:left w:val="none" w:sz="0" w:space="0" w:color="auto"/>
                            <w:bottom w:val="none" w:sz="0" w:space="0" w:color="auto"/>
                            <w:right w:val="none" w:sz="0" w:space="0" w:color="auto"/>
                          </w:divBdr>
                          <w:divsChild>
                            <w:div w:id="193270072">
                              <w:marLeft w:val="0"/>
                              <w:marRight w:val="0"/>
                              <w:marTop w:val="0"/>
                              <w:marBottom w:val="0"/>
                              <w:divBdr>
                                <w:top w:val="none" w:sz="0" w:space="0" w:color="auto"/>
                                <w:left w:val="none" w:sz="0" w:space="0" w:color="auto"/>
                                <w:bottom w:val="none" w:sz="0" w:space="0" w:color="auto"/>
                                <w:right w:val="none" w:sz="0" w:space="0" w:color="auto"/>
                              </w:divBdr>
                              <w:divsChild>
                                <w:div w:id="1515150609">
                                  <w:marLeft w:val="0"/>
                                  <w:marRight w:val="0"/>
                                  <w:marTop w:val="0"/>
                                  <w:marBottom w:val="0"/>
                                  <w:divBdr>
                                    <w:top w:val="none" w:sz="0" w:space="0" w:color="auto"/>
                                    <w:left w:val="none" w:sz="0" w:space="0" w:color="auto"/>
                                    <w:bottom w:val="none" w:sz="0" w:space="0" w:color="auto"/>
                                    <w:right w:val="none" w:sz="0" w:space="0" w:color="auto"/>
                                  </w:divBdr>
                                  <w:divsChild>
                                    <w:div w:id="124564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3032555">
      <w:bodyDiv w:val="1"/>
      <w:marLeft w:val="0"/>
      <w:marRight w:val="0"/>
      <w:marTop w:val="0"/>
      <w:marBottom w:val="0"/>
      <w:divBdr>
        <w:top w:val="none" w:sz="0" w:space="0" w:color="auto"/>
        <w:left w:val="none" w:sz="0" w:space="0" w:color="auto"/>
        <w:bottom w:val="none" w:sz="0" w:space="0" w:color="auto"/>
        <w:right w:val="none" w:sz="0" w:space="0" w:color="auto"/>
      </w:divBdr>
    </w:div>
    <w:div w:id="1188564713">
      <w:bodyDiv w:val="1"/>
      <w:marLeft w:val="0"/>
      <w:marRight w:val="0"/>
      <w:marTop w:val="0"/>
      <w:marBottom w:val="0"/>
      <w:divBdr>
        <w:top w:val="none" w:sz="0" w:space="0" w:color="auto"/>
        <w:left w:val="none" w:sz="0" w:space="0" w:color="auto"/>
        <w:bottom w:val="none" w:sz="0" w:space="0" w:color="auto"/>
        <w:right w:val="none" w:sz="0" w:space="0" w:color="auto"/>
      </w:divBdr>
    </w:div>
    <w:div w:id="1201283661">
      <w:bodyDiv w:val="1"/>
      <w:marLeft w:val="0"/>
      <w:marRight w:val="0"/>
      <w:marTop w:val="0"/>
      <w:marBottom w:val="0"/>
      <w:divBdr>
        <w:top w:val="none" w:sz="0" w:space="0" w:color="auto"/>
        <w:left w:val="none" w:sz="0" w:space="0" w:color="auto"/>
        <w:bottom w:val="none" w:sz="0" w:space="0" w:color="auto"/>
        <w:right w:val="none" w:sz="0" w:space="0" w:color="auto"/>
      </w:divBdr>
    </w:div>
    <w:div w:id="1429546605">
      <w:bodyDiv w:val="1"/>
      <w:marLeft w:val="0"/>
      <w:marRight w:val="0"/>
      <w:marTop w:val="0"/>
      <w:marBottom w:val="0"/>
      <w:divBdr>
        <w:top w:val="none" w:sz="0" w:space="0" w:color="auto"/>
        <w:left w:val="none" w:sz="0" w:space="0" w:color="auto"/>
        <w:bottom w:val="none" w:sz="0" w:space="0" w:color="auto"/>
        <w:right w:val="none" w:sz="0" w:space="0" w:color="auto"/>
      </w:divBdr>
    </w:div>
    <w:div w:id="1469932152">
      <w:bodyDiv w:val="1"/>
      <w:marLeft w:val="0"/>
      <w:marRight w:val="0"/>
      <w:marTop w:val="0"/>
      <w:marBottom w:val="0"/>
      <w:divBdr>
        <w:top w:val="none" w:sz="0" w:space="0" w:color="auto"/>
        <w:left w:val="none" w:sz="0" w:space="0" w:color="auto"/>
        <w:bottom w:val="none" w:sz="0" w:space="0" w:color="auto"/>
        <w:right w:val="none" w:sz="0" w:space="0" w:color="auto"/>
      </w:divBdr>
    </w:div>
    <w:div w:id="1480463201">
      <w:bodyDiv w:val="1"/>
      <w:marLeft w:val="0"/>
      <w:marRight w:val="0"/>
      <w:marTop w:val="0"/>
      <w:marBottom w:val="0"/>
      <w:divBdr>
        <w:top w:val="none" w:sz="0" w:space="0" w:color="auto"/>
        <w:left w:val="none" w:sz="0" w:space="0" w:color="auto"/>
        <w:bottom w:val="none" w:sz="0" w:space="0" w:color="auto"/>
        <w:right w:val="none" w:sz="0" w:space="0" w:color="auto"/>
      </w:divBdr>
    </w:div>
    <w:div w:id="1654873495">
      <w:bodyDiv w:val="1"/>
      <w:marLeft w:val="0"/>
      <w:marRight w:val="0"/>
      <w:marTop w:val="0"/>
      <w:marBottom w:val="0"/>
      <w:divBdr>
        <w:top w:val="none" w:sz="0" w:space="0" w:color="auto"/>
        <w:left w:val="none" w:sz="0" w:space="0" w:color="auto"/>
        <w:bottom w:val="none" w:sz="0" w:space="0" w:color="auto"/>
        <w:right w:val="none" w:sz="0" w:space="0" w:color="auto"/>
      </w:divBdr>
    </w:div>
    <w:div w:id="1789658890">
      <w:bodyDiv w:val="1"/>
      <w:marLeft w:val="0"/>
      <w:marRight w:val="0"/>
      <w:marTop w:val="0"/>
      <w:marBottom w:val="0"/>
      <w:divBdr>
        <w:top w:val="none" w:sz="0" w:space="0" w:color="auto"/>
        <w:left w:val="none" w:sz="0" w:space="0" w:color="auto"/>
        <w:bottom w:val="none" w:sz="0" w:space="0" w:color="auto"/>
        <w:right w:val="none" w:sz="0" w:space="0" w:color="auto"/>
      </w:divBdr>
    </w:div>
    <w:div w:id="1822503262">
      <w:bodyDiv w:val="1"/>
      <w:marLeft w:val="0"/>
      <w:marRight w:val="0"/>
      <w:marTop w:val="0"/>
      <w:marBottom w:val="0"/>
      <w:divBdr>
        <w:top w:val="none" w:sz="0" w:space="0" w:color="auto"/>
        <w:left w:val="none" w:sz="0" w:space="0" w:color="auto"/>
        <w:bottom w:val="none" w:sz="0" w:space="0" w:color="auto"/>
        <w:right w:val="none" w:sz="0" w:space="0" w:color="auto"/>
      </w:divBdr>
    </w:div>
    <w:div w:id="1880511462">
      <w:bodyDiv w:val="1"/>
      <w:marLeft w:val="0"/>
      <w:marRight w:val="0"/>
      <w:marTop w:val="0"/>
      <w:marBottom w:val="0"/>
      <w:divBdr>
        <w:top w:val="none" w:sz="0" w:space="0" w:color="auto"/>
        <w:left w:val="none" w:sz="0" w:space="0" w:color="auto"/>
        <w:bottom w:val="none" w:sz="0" w:space="0" w:color="auto"/>
        <w:right w:val="none" w:sz="0" w:space="0" w:color="auto"/>
      </w:divBdr>
    </w:div>
    <w:div w:id="1947232321">
      <w:bodyDiv w:val="1"/>
      <w:marLeft w:val="0"/>
      <w:marRight w:val="0"/>
      <w:marTop w:val="0"/>
      <w:marBottom w:val="0"/>
      <w:divBdr>
        <w:top w:val="none" w:sz="0" w:space="0" w:color="auto"/>
        <w:left w:val="none" w:sz="0" w:space="0" w:color="auto"/>
        <w:bottom w:val="none" w:sz="0" w:space="0" w:color="auto"/>
        <w:right w:val="none" w:sz="0" w:space="0" w:color="auto"/>
      </w:divBdr>
    </w:div>
    <w:div w:id="2106069476">
      <w:bodyDiv w:val="1"/>
      <w:marLeft w:val="0"/>
      <w:marRight w:val="0"/>
      <w:marTop w:val="0"/>
      <w:marBottom w:val="0"/>
      <w:divBdr>
        <w:top w:val="none" w:sz="0" w:space="0" w:color="auto"/>
        <w:left w:val="none" w:sz="0" w:space="0" w:color="auto"/>
        <w:bottom w:val="none" w:sz="0" w:space="0" w:color="auto"/>
        <w:right w:val="none" w:sz="0" w:space="0" w:color="auto"/>
      </w:divBdr>
    </w:div>
    <w:div w:id="2118214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69e7501ab418ab055592a7b/Working_together_to_safeguard_children_2023.pdf" TargetMode="External"/><Relationship Id="rId13" Type="http://schemas.openxmlformats.org/officeDocument/2006/relationships/hyperlink" Target="https://pubmed.ncbi.nlm.nih.gov/3966157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mc.ncbi.nlm.nih.gov/articles/PMC4208567/"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371/journal.pone.03133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2215-0366(15)00165-0" TargetMode="External"/><Relationship Id="rId5" Type="http://schemas.openxmlformats.org/officeDocument/2006/relationships/webSettings" Target="webSettings.xml"/><Relationship Id="rId15" Type="http://schemas.openxmlformats.org/officeDocument/2006/relationships/hyperlink" Target="https://doi.org/10.1016/j.childyouth.2022.106713" TargetMode="External"/><Relationship Id="rId10" Type="http://schemas.openxmlformats.org/officeDocument/2006/relationships/hyperlink" Target="https://www.gov.uk/government/publications/ofsted-annual-report-202122-education-childrens-services-and-skills/the-annual-report-of-his-majestys-chief-inspector-of-education-childrens-services-and-skills-20212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igital.nhs.uk/data-and-information/publications/statistical/mental-health-of-children-and-young-people-in-england/2020-wave-1-follow-up" TargetMode="External"/><Relationship Id="rId14" Type="http://schemas.openxmlformats.org/officeDocument/2006/relationships/hyperlink" Target="https://doi.org/10.1176/appi.ajp.202204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82E038-BBDC-4315-9EE7-FF9382008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47</Pages>
  <Words>13965</Words>
  <Characters>82363</Characters>
  <Application>Microsoft Office Word</Application>
  <DocSecurity>0</DocSecurity>
  <Lines>2126</Lines>
  <Paragraphs>483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Suzzy M</dc:creator>
  <cp:keywords/>
  <dc:description/>
  <cp:lastModifiedBy>Deborah Agada (2224942)</cp:lastModifiedBy>
  <cp:revision>5</cp:revision>
  <dcterms:created xsi:type="dcterms:W3CDTF">2025-11-27T07:35:00Z</dcterms:created>
  <dcterms:modified xsi:type="dcterms:W3CDTF">2025-11-27T07:53:00Z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5393ecaa-33e3-4f0c-8b6b-dc3b11509019</vt:lpwstr>
  </property>
</Properties>
</file>