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imes New Roman" w:eastAsiaTheme="majorEastAsia" w:hAnsi="Times New Roman" w:cstheme="majorBidi"/>
          <w:b/>
          <w:bCs/>
          <w:color w:val="2F5496" w:themeColor="accent1" w:themeShade="BF"/>
          <w:sz w:val="28"/>
          <w:szCs w:val="28"/>
          <w:lang w:val="en-GB"/>
        </w:rPr>
        <w:id w:val="993300106"/>
        <w:docPartObj>
          <w:docPartGallery w:val="Cover Pages"/>
          <w:docPartUnique/>
        </w:docPartObj>
      </w:sdtPr>
      <w:sdtContent>
        <w:p w:rsidR="002009AD" w:rsidRPr="00D47408" w:rsidRDefault="00A96714" w:rsidP="00D47408">
          <w:pPr>
            <w:spacing w:line="360" w:lineRule="auto"/>
            <w:jc w:val="both"/>
            <w:rPr>
              <w:rFonts w:ascii="Times New Roman" w:hAnsi="Times New Roman"/>
            </w:rPr>
          </w:pPr>
          <w:r w:rsidRPr="00A96714">
            <w:rPr>
              <w:rFonts w:ascii="Times New Roman" w:hAnsi="Times New Roman"/>
              <w:noProof/>
            </w:rPr>
            <w:pict>
              <v:group id="Group 119" o:spid="_x0000_s1026" style="position:absolute;left:0;text-align:left;margin-left:-5.25pt;margin-top:20.25pt;width:594.75pt;height:765.3pt;z-index:-251656192;mso-position-horizontal-relative:page;mso-position-vertical-relative:page" coordorigin="-4191,-4476" coordsize="75533,971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">
                <v:rect id="Rectangle 120" o:spid="_x0000_s1027" style="position:absolute;top:73152;width:68580;height:1431;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rsidR="002009AD" w:rsidRDefault="002009AD" w:rsidP="002009AD">
                            <w:pPr>
                              <w:pStyle w:val="NoSpacing"/>
                              <w:rPr>
                                <w:color w:val="FFFFFF" w:themeColor="background1"/>
                                <w:sz w:val="32"/>
                                <w:szCs w:val="32"/>
                              </w:rPr>
                            </w:pPr>
                            <w:r>
                              <w:rPr>
                                <w:color w:val="FFFFFF" w:themeColor="background1"/>
                                <w:sz w:val="32"/>
                                <w:szCs w:val="32"/>
                                <w:lang w:val="en-GB"/>
                              </w:rPr>
                              <w:t>Roshid Ahmed</w:t>
                            </w:r>
                          </w:p>
                        </w:sdtContent>
                      </w:sdt>
                      <w:p w:rsidR="002009AD" w:rsidRDefault="00A96714" w:rsidP="002009AD">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Content>
                            <w:r w:rsidR="002009AD">
                              <w:rPr>
                                <w:caps/>
                                <w:color w:val="FFFFFF" w:themeColor="background1"/>
                              </w:rPr>
                              <w:t xml:space="preserve">     </w:t>
                            </w:r>
                          </w:sdtContent>
                        </w:sdt>
                        <w:r w:rsidR="002009AD">
                          <w:rPr>
                            <w:caps/>
                            <w:color w:val="FFFFFF" w:themeColor="background1"/>
                          </w:rPr>
                          <w:t xml:space="preserve"> </w:t>
                        </w:r>
                        <w:r w:rsidR="001B00CE">
                          <w:rPr>
                            <w:caps/>
                            <w:color w:val="FFFFFF" w:themeColor="background1"/>
                          </w:rPr>
                          <w:t>2024</w:t>
                        </w:r>
                      </w:p>
                    </w:txbxContent>
                  </v:textbox>
                </v:rect>
                <v:shapetype id="_x0000_t202" coordsize="21600,21600" o:spt="202" path="m,l,21600r21600,l21600,xe">
                  <v:stroke joinstyle="miter"/>
                  <v:path gradientshapeok="t" o:connecttype="rect"/>
                </v:shapetype>
                <v:shape id="Text Box 122" o:spid="_x0000_s1029" type="#_x0000_t202" style="position:absolute;left:-4191;top:-4476;width:75533;height:38766;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rsidR="002009AD" w:rsidRPr="00E2659D" w:rsidRDefault="00A96714" w:rsidP="002009AD">
                        <w:pPr>
                          <w:pStyle w:val="NoSpacing"/>
                          <w:pBdr>
                            <w:bottom w:val="single" w:sz="6" w:space="4" w:color="7F7F7F" w:themeColor="text1" w:themeTint="80"/>
                          </w:pBdr>
                          <w:jc w:val="center"/>
                          <w:rPr>
                            <w:rFonts w:ascii="Times New Roman" w:eastAsiaTheme="majorEastAsia" w:hAnsi="Times New Roman" w:cs="Times New Roman"/>
                            <w:color w:val="70AD47" w:themeColor="accent6"/>
                            <w:sz w:val="72"/>
                            <w:szCs w:val="72"/>
                          </w:rPr>
                        </w:pPr>
                        <w:sdt>
                          <w:sdtPr>
                            <w:rPr>
                              <w:rFonts w:ascii="Times New Roman" w:eastAsiaTheme="majorEastAsia" w:hAnsi="Times New Roman" w:cs="Times New Roman"/>
                              <w:color w:val="70AD47" w:themeColor="accent6"/>
                              <w:sz w:val="72"/>
                              <w:szCs w:val="72"/>
                            </w:rPr>
                            <w:alias w:val="Title"/>
                            <w:tag w:val=""/>
                            <w:id w:val="-1476986296"/>
                            <w:showingPlcHdr/>
                            <w:dataBinding w:prefixMappings="xmlns:ns0='http://purl.org/dc/elements/1.1/' xmlns:ns1='http://schemas.openxmlformats.org/package/2006/metadata/core-properties' " w:xpath="/ns1:coreProperties[1]/ns0:title[1]" w:storeItemID="{6C3C8BC8-F283-45AE-878A-BAB7291924A1}"/>
                            <w:text/>
                          </w:sdtPr>
                          <w:sdtContent>
                            <w:r w:rsidR="002009AD">
                              <w:rPr>
                                <w:rFonts w:ascii="Times New Roman" w:eastAsiaTheme="majorEastAsia" w:hAnsi="Times New Roman" w:cs="Times New Roman"/>
                                <w:color w:val="70AD47" w:themeColor="accent6"/>
                                <w:sz w:val="72"/>
                                <w:szCs w:val="72"/>
                              </w:rPr>
                              <w:t xml:space="preserve">     </w:t>
                            </w:r>
                          </w:sdtContent>
                        </w:sdt>
                        <w:r w:rsidR="002009AD">
                          <w:rPr>
                            <w:rFonts w:ascii="Times New Roman" w:eastAsiaTheme="majorEastAsia" w:hAnsi="Times New Roman" w:cs="Times New Roman"/>
                            <w:color w:val="70AD47" w:themeColor="accent6"/>
                            <w:sz w:val="72"/>
                            <w:szCs w:val="72"/>
                          </w:rPr>
                          <w:t>LLB Law and Legal Practice</w:t>
                        </w:r>
                      </w:p>
                      <w:sdt>
                        <w:sdtPr>
                          <w:rPr>
                            <w:rFonts w:ascii="Times New Roman" w:hAnsi="Times New Roman" w:cs="Times New Roman"/>
                            <w:caps/>
                            <w:color w:val="4472C4" w:themeColor="accent1"/>
                            <w:sz w:val="28"/>
                            <w:szCs w:val="28"/>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Content>
                          <w:p w:rsidR="002009AD" w:rsidRPr="00E2659D" w:rsidRDefault="002009AD" w:rsidP="002009AD">
                            <w:pPr>
                              <w:pStyle w:val="NoSpacing"/>
                              <w:spacing w:before="240"/>
                              <w:jc w:val="center"/>
                              <w:rPr>
                                <w:rFonts w:ascii="Times New Roman" w:hAnsi="Times New Roman" w:cs="Times New Roman"/>
                                <w:caps/>
                                <w:color w:val="4472C4" w:themeColor="accent1"/>
                                <w:sz w:val="28"/>
                                <w:szCs w:val="28"/>
                              </w:rPr>
                            </w:pPr>
                            <w:r>
                              <w:rPr>
                                <w:rFonts w:ascii="Times New Roman" w:hAnsi="Times New Roman" w:cs="Times New Roman"/>
                                <w:caps/>
                                <w:color w:val="4472C4" w:themeColor="accent1"/>
                                <w:sz w:val="28"/>
                                <w:szCs w:val="28"/>
                              </w:rPr>
                              <w:t xml:space="preserve">     </w:t>
                            </w:r>
                          </w:p>
                        </w:sdtContent>
                      </w:sdt>
                    </w:txbxContent>
                  </v:textbox>
                </v:shape>
                <w10:wrap anchorx="page" anchory="page"/>
              </v:group>
            </w:pict>
          </w:r>
          <w:r w:rsidR="002009AD" w:rsidRPr="00D47408">
            <w:rPr>
              <w:rFonts w:ascii="Times New Roman" w:hAnsi="Times New Roman"/>
              <w:noProof/>
              <w:lang w:val="en-GB" w:eastAsia="en-GB"/>
            </w:rPr>
            <w:drawing>
              <wp:anchor distT="0" distB="0" distL="114300" distR="114300" simplePos="0" relativeHeight="251661312" behindDoc="0" locked="0" layoutInCell="1" allowOverlap="1">
                <wp:simplePos x="0" y="0"/>
                <wp:positionH relativeFrom="margin">
                  <wp:align>left</wp:align>
                </wp:positionH>
                <wp:positionV relativeFrom="paragraph">
                  <wp:posOffset>9525</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809750" cy="723900"/>
                        </a:xfrm>
                        <a:prstGeom prst="rect">
                          <a:avLst/>
                        </a:prstGeom>
                        <a:noFill/>
                        <a:ln>
                          <a:noFill/>
                        </a:ln>
                      </pic:spPr>
                    </pic:pic>
                  </a:graphicData>
                </a:graphic>
              </wp:anchor>
            </w:drawing>
          </w:r>
        </w:p>
        <w:p w:rsidR="002009AD" w:rsidRPr="00D47408" w:rsidRDefault="00A96714" w:rsidP="00D47408">
          <w:pPr>
            <w:pStyle w:val="Heading1"/>
            <w:spacing w:before="0" w:line="360" w:lineRule="auto"/>
            <w:jc w:val="both"/>
            <w:rPr>
              <w:rFonts w:ascii="Times New Roman" w:hAnsi="Times New Roman" w:cs="Times New Roman"/>
              <w:sz w:val="24"/>
              <w:szCs w:val="24"/>
            </w:rPr>
          </w:pPr>
          <w:r>
            <w:rPr>
              <w:rFonts w:ascii="Times New Roman" w:hAnsi="Times New Roman" w:cs="Times New Roman"/>
              <w:noProof/>
              <w:sz w:val="24"/>
              <w:szCs w:val="24"/>
            </w:rPr>
            <w:pict>
              <v:rect id="Rectangle 3" o:spid="_x0000_s1030" style="position:absolute;left:0;text-align:left;margin-left:2331.8pt;margin-top:171.9pt;width:430.5pt;height:246.75pt;z-index:251662336;visibility:visible;mso-position-horizontal:right;mso-position-horizontal-relative:margin;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" fillcolor="#ffd966" stroked="f" strokeweight=".5pt">
                <v:shadow on="t" color="black" opacity="20971f" offset="0,2.2pt"/>
                <v:textbox>
                  <w:txbxContent>
                    <w:p w:rsidR="002009AD" w:rsidRPr="00357783" w:rsidRDefault="002009AD" w:rsidP="002009AD">
                      <w:pPr>
                        <w:jc w:val="both"/>
                        <w:rPr>
                          <w:rFonts w:ascii="Times New Roman" w:hAnsi="Times New Roman"/>
                          <w:b/>
                          <w:sz w:val="32"/>
                          <w:szCs w:val="32"/>
                        </w:rPr>
                      </w:pPr>
                      <w:r w:rsidRPr="00357783">
                        <w:rPr>
                          <w:rFonts w:ascii="Times New Roman" w:hAnsi="Times New Roman"/>
                          <w:b/>
                          <w:sz w:val="32"/>
                          <w:szCs w:val="32"/>
                        </w:rPr>
                        <w:t>Student Name: MD ROSHID AHMED</w:t>
                      </w:r>
                    </w:p>
                    <w:p w:rsidR="002009AD" w:rsidRPr="00357783" w:rsidRDefault="002009AD" w:rsidP="002009AD">
                      <w:pPr>
                        <w:jc w:val="both"/>
                        <w:rPr>
                          <w:rFonts w:ascii="Times New Roman" w:hAnsi="Times New Roman"/>
                          <w:b/>
                          <w:sz w:val="32"/>
                          <w:szCs w:val="32"/>
                        </w:rPr>
                      </w:pPr>
                      <w:r w:rsidRPr="00357783">
                        <w:rPr>
                          <w:rFonts w:ascii="Times New Roman" w:hAnsi="Times New Roman"/>
                          <w:b/>
                          <w:sz w:val="32"/>
                          <w:szCs w:val="32"/>
                        </w:rPr>
                        <w:t>Student ID: 1922561</w:t>
                      </w:r>
                    </w:p>
                    <w:p w:rsidR="002009AD" w:rsidRPr="00357783" w:rsidRDefault="002009AD" w:rsidP="002009AD">
                      <w:pPr>
                        <w:jc w:val="both"/>
                        <w:rPr>
                          <w:rFonts w:ascii="Times New Roman" w:hAnsi="Times New Roman"/>
                          <w:b/>
                          <w:sz w:val="32"/>
                          <w:szCs w:val="32"/>
                        </w:rPr>
                      </w:pPr>
                      <w:r w:rsidRPr="00357783">
                        <w:rPr>
                          <w:rFonts w:ascii="Times New Roman" w:hAnsi="Times New Roman"/>
                          <w:b/>
                          <w:sz w:val="32"/>
                          <w:szCs w:val="32"/>
                        </w:rPr>
                        <w:t>Course Lecturer:</w:t>
                      </w:r>
                      <w:r w:rsidR="00C231DD">
                        <w:rPr>
                          <w:rFonts w:ascii="Times New Roman" w:hAnsi="Times New Roman"/>
                          <w:b/>
                          <w:sz w:val="32"/>
                          <w:szCs w:val="32"/>
                        </w:rPr>
                        <w:t xml:space="preserve"> </w:t>
                      </w:r>
                      <w:proofErr w:type="spellStart"/>
                      <w:r w:rsidR="00C231DD">
                        <w:rPr>
                          <w:rFonts w:ascii="Times New Roman" w:hAnsi="Times New Roman"/>
                          <w:b/>
                          <w:sz w:val="32"/>
                          <w:szCs w:val="32"/>
                        </w:rPr>
                        <w:t>Zita</w:t>
                      </w:r>
                      <w:proofErr w:type="spellEnd"/>
                      <w:r w:rsidR="00C231DD">
                        <w:rPr>
                          <w:rFonts w:ascii="Times New Roman" w:hAnsi="Times New Roman"/>
                          <w:b/>
                          <w:sz w:val="32"/>
                          <w:szCs w:val="32"/>
                        </w:rPr>
                        <w:t xml:space="preserve"> Draper</w:t>
                      </w:r>
                    </w:p>
                    <w:p w:rsidR="002009AD" w:rsidRPr="00357783" w:rsidRDefault="002009AD" w:rsidP="002009AD">
                      <w:pPr>
                        <w:jc w:val="both"/>
                        <w:rPr>
                          <w:rFonts w:ascii="Times New Roman" w:hAnsi="Times New Roman"/>
                          <w:b/>
                          <w:sz w:val="32"/>
                          <w:szCs w:val="32"/>
                        </w:rPr>
                      </w:pPr>
                      <w:r w:rsidRPr="00357783">
                        <w:rPr>
                          <w:rFonts w:ascii="Times New Roman" w:hAnsi="Times New Roman"/>
                          <w:b/>
                          <w:sz w:val="32"/>
                          <w:szCs w:val="32"/>
                        </w:rPr>
                        <w:t>Course Module:</w:t>
                      </w:r>
                      <w:r>
                        <w:rPr>
                          <w:rFonts w:ascii="Times New Roman" w:hAnsi="Times New Roman"/>
                          <w:b/>
                          <w:sz w:val="32"/>
                          <w:szCs w:val="32"/>
                        </w:rPr>
                        <w:t xml:space="preserve"> Equity and Trusts  </w:t>
                      </w:r>
                    </w:p>
                    <w:p w:rsidR="002009AD" w:rsidRPr="00357783" w:rsidRDefault="002009AD" w:rsidP="002009AD">
                      <w:pPr>
                        <w:jc w:val="both"/>
                        <w:rPr>
                          <w:rFonts w:ascii="Times New Roman" w:hAnsi="Times New Roman"/>
                          <w:b/>
                          <w:sz w:val="32"/>
                          <w:szCs w:val="32"/>
                        </w:rPr>
                      </w:pPr>
                      <w:r w:rsidRPr="00357783">
                        <w:rPr>
                          <w:rFonts w:ascii="Times New Roman" w:hAnsi="Times New Roman"/>
                          <w:b/>
                          <w:sz w:val="32"/>
                          <w:szCs w:val="32"/>
                        </w:rPr>
                        <w:t xml:space="preserve">Course Code: </w:t>
                      </w:r>
                      <w:r>
                        <w:rPr>
                          <w:rFonts w:ascii="Times New Roman" w:hAnsi="Times New Roman"/>
                          <w:b/>
                          <w:sz w:val="32"/>
                          <w:szCs w:val="32"/>
                        </w:rPr>
                        <w:t>BMLW6007</w:t>
                      </w:r>
                    </w:p>
                    <w:p w:rsidR="002009AD" w:rsidRDefault="002009AD" w:rsidP="002009AD">
                      <w:pPr>
                        <w:jc w:val="both"/>
                        <w:rPr>
                          <w:rFonts w:ascii="Times New Roman" w:hAnsi="Times New Roman"/>
                          <w:b/>
                          <w:sz w:val="32"/>
                          <w:szCs w:val="32"/>
                        </w:rPr>
                      </w:pPr>
                      <w:r w:rsidRPr="00357783">
                        <w:rPr>
                          <w:rFonts w:ascii="Times New Roman" w:hAnsi="Times New Roman"/>
                          <w:b/>
                          <w:sz w:val="32"/>
                          <w:szCs w:val="32"/>
                        </w:rPr>
                        <w:t xml:space="preserve">Submission Deadline: </w:t>
                      </w:r>
                      <w:r w:rsidR="00C231DD">
                        <w:rPr>
                          <w:rFonts w:ascii="Times New Roman" w:hAnsi="Times New Roman"/>
                          <w:b/>
                          <w:sz w:val="32"/>
                          <w:szCs w:val="32"/>
                        </w:rPr>
                        <w:t>15</w:t>
                      </w:r>
                      <w:r w:rsidRPr="003452EA">
                        <w:rPr>
                          <w:rFonts w:ascii="Times New Roman" w:hAnsi="Times New Roman"/>
                          <w:b/>
                          <w:sz w:val="32"/>
                          <w:szCs w:val="32"/>
                          <w:vertAlign w:val="superscript"/>
                        </w:rPr>
                        <w:t>th</w:t>
                      </w:r>
                      <w:r w:rsidR="00C231DD">
                        <w:rPr>
                          <w:rFonts w:ascii="Times New Roman" w:hAnsi="Times New Roman"/>
                          <w:b/>
                          <w:sz w:val="32"/>
                          <w:szCs w:val="32"/>
                        </w:rPr>
                        <w:t xml:space="preserve"> March 2024</w:t>
                      </w:r>
                      <w:r>
                        <w:rPr>
                          <w:rFonts w:ascii="Times New Roman" w:hAnsi="Times New Roman"/>
                          <w:b/>
                          <w:sz w:val="32"/>
                          <w:szCs w:val="32"/>
                        </w:rPr>
                        <w:t xml:space="preserve">. </w:t>
                      </w:r>
                    </w:p>
                    <w:p w:rsidR="002009AD" w:rsidRPr="00357783" w:rsidRDefault="002009AD" w:rsidP="002009AD">
                      <w:pPr>
                        <w:jc w:val="both"/>
                        <w:rPr>
                          <w:rFonts w:ascii="Times New Roman" w:hAnsi="Times New Roman"/>
                          <w:b/>
                          <w:sz w:val="32"/>
                          <w:szCs w:val="32"/>
                        </w:rPr>
                      </w:pPr>
                      <w:r>
                        <w:rPr>
                          <w:rFonts w:ascii="Times New Roman" w:hAnsi="Times New Roman"/>
                          <w:b/>
                          <w:sz w:val="32"/>
                          <w:szCs w:val="32"/>
                        </w:rPr>
                        <w:t>Total words used with</w:t>
                      </w:r>
                      <w:r w:rsidR="000A340F">
                        <w:rPr>
                          <w:rFonts w:ascii="Times New Roman" w:hAnsi="Times New Roman"/>
                          <w:b/>
                          <w:sz w:val="32"/>
                          <w:szCs w:val="32"/>
                        </w:rPr>
                        <w:t>out heading and References: 2725</w:t>
                      </w:r>
                      <w:r>
                        <w:rPr>
                          <w:rFonts w:ascii="Times New Roman" w:hAnsi="Times New Roman"/>
                          <w:b/>
                          <w:sz w:val="32"/>
                          <w:szCs w:val="32"/>
                        </w:rPr>
                        <w:t xml:space="preserve"> </w:t>
                      </w:r>
                    </w:p>
                  </w:txbxContent>
                </v:textbox>
                <w10:wrap anchorx="margin"/>
              </v:rect>
            </w:pict>
          </w:r>
          <w:r w:rsidR="002009AD" w:rsidRPr="00D47408">
            <w:rPr>
              <w:rFonts w:ascii="Times New Roman" w:hAnsi="Times New Roman" w:cs="Times New Roman"/>
              <w:sz w:val="24"/>
              <w:szCs w:val="24"/>
            </w:rPr>
            <w:br w:type="page"/>
          </w:r>
        </w:p>
      </w:sdtContent>
    </w:sdt>
    <w:p w:rsidR="001D14E6" w:rsidRPr="00D47408" w:rsidRDefault="005E21C6" w:rsidP="00D47408">
      <w:pPr>
        <w:spacing w:after="0" w:line="360" w:lineRule="auto"/>
        <w:jc w:val="both"/>
        <w:rPr>
          <w:rFonts w:ascii="Times New Roman" w:hAnsi="Times New Roman"/>
        </w:rPr>
      </w:pPr>
      <w:r w:rsidRPr="00D47408">
        <w:rPr>
          <w:rFonts w:ascii="Times New Roman" w:hAnsi="Times New Roman"/>
        </w:rPr>
        <w:lastRenderedPageBreak/>
        <w:t>The</w:t>
      </w:r>
      <w:r w:rsidR="001D14E6" w:rsidRPr="00D47408">
        <w:rPr>
          <w:rFonts w:ascii="Times New Roman" w:hAnsi="Times New Roman"/>
        </w:rPr>
        <w:t xml:space="preserve"> foundation stones of the English and Welsh legal systems rests upon the principles of equity and common law, which provide essential concepts and remedies for matters of justice, fairness, and conscience. This essay delves into the historical development of equity, its relationship with common law, and its significance in contemporary legal issues. Through an examination of relevant case law, legislation, and scholarly works, this essay aims to demonstrate how the symbiotic relationship between equity and common law ensures the adaptability of the legal system to societal </w:t>
      </w:r>
      <w:r w:rsidR="00AB1471" w:rsidRPr="00D47408">
        <w:rPr>
          <w:rFonts w:ascii="Times New Roman" w:hAnsi="Times New Roman"/>
        </w:rPr>
        <w:t xml:space="preserve">needs </w:t>
      </w:r>
      <w:r w:rsidR="00AB1471" w:rsidRPr="00D47408">
        <w:rPr>
          <w:rFonts w:ascii="Times New Roman" w:hAnsi="Times New Roman"/>
          <w:i/>
        </w:rPr>
        <w:t>(</w:t>
      </w:r>
      <w:r w:rsidR="00AB1471" w:rsidRPr="00D47408">
        <w:rPr>
          <w:rFonts w:ascii="Times New Roman" w:hAnsi="Times New Roman"/>
          <w:i/>
          <w:shd w:val="clear" w:color="auto" w:fill="FFFFFF"/>
        </w:rPr>
        <w:t xml:space="preserve">Frost </w:t>
      </w:r>
      <w:r w:rsidR="00AB1471" w:rsidRPr="00D47408">
        <w:rPr>
          <w:rFonts w:ascii="Times New Roman" w:hAnsi="Times New Roman"/>
          <w:i/>
          <w:iCs/>
          <w:shd w:val="clear" w:color="auto" w:fill="FFFFFF"/>
        </w:rPr>
        <w:t>et al.</w:t>
      </w:r>
      <w:r w:rsidR="00AB1471" w:rsidRPr="00D47408">
        <w:rPr>
          <w:rFonts w:ascii="Times New Roman" w:hAnsi="Times New Roman"/>
          <w:i/>
          <w:shd w:val="clear" w:color="auto" w:fill="FFFFFF"/>
        </w:rPr>
        <w:t>, 2022</w:t>
      </w:r>
      <w:r w:rsidR="00475FFC" w:rsidRPr="00D47408">
        <w:rPr>
          <w:rFonts w:ascii="Times New Roman" w:hAnsi="Times New Roman"/>
          <w:i/>
        </w:rPr>
        <w:t>).</w:t>
      </w:r>
      <w:r w:rsidR="001D14E6" w:rsidRPr="00D47408">
        <w:rPr>
          <w:rFonts w:ascii="Times New Roman" w:hAnsi="Times New Roman"/>
          <w:i/>
        </w:rPr>
        <w:t xml:space="preserve"> </w:t>
      </w:r>
      <w:r w:rsidR="001D14E6" w:rsidRPr="00D47408">
        <w:rPr>
          <w:rFonts w:ascii="Times New Roman" w:hAnsi="Times New Roman"/>
        </w:rPr>
        <w:t>Originating in the English Court of Chancery, equity evolved as a distinct body of legal doctrine and remedies alongside common law. The historical development of equity reflects a growing awareness of the need for equitable solutions in situations where common law norms and reme</w:t>
      </w:r>
      <w:r w:rsidR="00475FFC" w:rsidRPr="00D47408">
        <w:rPr>
          <w:rFonts w:ascii="Times New Roman" w:hAnsi="Times New Roman"/>
        </w:rPr>
        <w:t xml:space="preserve">dies were inadequate or unfair </w:t>
      </w:r>
      <w:r w:rsidR="00475FFC" w:rsidRPr="00D47408">
        <w:rPr>
          <w:rFonts w:ascii="Times New Roman" w:hAnsi="Times New Roman"/>
          <w:i/>
        </w:rPr>
        <w:t>(</w:t>
      </w:r>
      <w:proofErr w:type="spellStart"/>
      <w:r w:rsidR="00475FFC" w:rsidRPr="00D47408">
        <w:rPr>
          <w:rFonts w:ascii="Times New Roman" w:hAnsi="Times New Roman"/>
          <w:i/>
          <w:shd w:val="clear" w:color="auto" w:fill="FFFFFF"/>
        </w:rPr>
        <w:t>Treloar</w:t>
      </w:r>
      <w:proofErr w:type="spellEnd"/>
      <w:r w:rsidR="00475FFC" w:rsidRPr="00D47408">
        <w:rPr>
          <w:rFonts w:ascii="Times New Roman" w:hAnsi="Times New Roman"/>
          <w:i/>
          <w:shd w:val="clear" w:color="auto" w:fill="FFFFFF"/>
        </w:rPr>
        <w:t xml:space="preserve"> </w:t>
      </w:r>
      <w:r w:rsidR="00475FFC" w:rsidRPr="00D47408">
        <w:rPr>
          <w:rFonts w:ascii="Times New Roman" w:hAnsi="Times New Roman"/>
          <w:i/>
          <w:iCs/>
          <w:shd w:val="clear" w:color="auto" w:fill="FFFFFF"/>
        </w:rPr>
        <w:t>et al.</w:t>
      </w:r>
      <w:r w:rsidR="00475FFC" w:rsidRPr="00D47408">
        <w:rPr>
          <w:rFonts w:ascii="Times New Roman" w:hAnsi="Times New Roman"/>
          <w:i/>
          <w:shd w:val="clear" w:color="auto" w:fill="FFFFFF"/>
        </w:rPr>
        <w:t>, 2021</w:t>
      </w:r>
      <w:r w:rsidR="00475FFC" w:rsidRPr="00D47408">
        <w:rPr>
          <w:rFonts w:ascii="Times New Roman" w:hAnsi="Times New Roman"/>
          <w:i/>
        </w:rPr>
        <w:t>).</w:t>
      </w:r>
    </w:p>
    <w:p w:rsidR="00BA0EC1" w:rsidRPr="00D47408" w:rsidRDefault="00BA0EC1" w:rsidP="00D47408">
      <w:pPr>
        <w:spacing w:after="0" w:line="360" w:lineRule="auto"/>
        <w:jc w:val="both"/>
        <w:rPr>
          <w:rFonts w:ascii="Times New Roman" w:hAnsi="Times New Roman"/>
        </w:rPr>
      </w:pPr>
    </w:p>
    <w:p w:rsidR="001D14E6" w:rsidRPr="00D47408" w:rsidRDefault="001D14E6" w:rsidP="00D47408">
      <w:pPr>
        <w:spacing w:after="0" w:line="360" w:lineRule="auto"/>
        <w:jc w:val="both"/>
        <w:rPr>
          <w:rFonts w:ascii="Times New Roman" w:hAnsi="Times New Roman"/>
        </w:rPr>
      </w:pPr>
      <w:r w:rsidRPr="00D47408">
        <w:rPr>
          <w:rFonts w:ascii="Times New Roman" w:hAnsi="Times New Roman"/>
        </w:rPr>
        <w:t>This essay argues that the symbiotic relationship between equity and common law is crucial for ensuring the adaptability of the English and Welsh legal system to societal needs. By analysing the historical evolution of equity, its distinct characteristics, and its application in modern legal contexts, this essay will illustrate how equity complements common law to provide flexible remedies and uphold principles of just</w:t>
      </w:r>
      <w:r w:rsidR="00AB1471" w:rsidRPr="00D47408">
        <w:rPr>
          <w:rFonts w:ascii="Times New Roman" w:hAnsi="Times New Roman"/>
        </w:rPr>
        <w:t xml:space="preserve">ice and fairness </w:t>
      </w:r>
      <w:r w:rsidR="00AB1471" w:rsidRPr="00D47408">
        <w:rPr>
          <w:rFonts w:ascii="Times New Roman" w:hAnsi="Times New Roman"/>
          <w:i/>
        </w:rPr>
        <w:t>(</w:t>
      </w:r>
      <w:r w:rsidR="00AB1471" w:rsidRPr="00D47408">
        <w:rPr>
          <w:rFonts w:ascii="Times New Roman" w:hAnsi="Times New Roman"/>
          <w:i/>
          <w:shd w:val="clear" w:color="auto" w:fill="FFFFFF"/>
        </w:rPr>
        <w:t xml:space="preserve">Wilson </w:t>
      </w:r>
      <w:r w:rsidR="00AB1471" w:rsidRPr="00D47408">
        <w:rPr>
          <w:rFonts w:ascii="Times New Roman" w:hAnsi="Times New Roman"/>
          <w:i/>
          <w:iCs/>
          <w:shd w:val="clear" w:color="auto" w:fill="FFFFFF"/>
        </w:rPr>
        <w:t>et al.</w:t>
      </w:r>
      <w:r w:rsidR="00AB1471" w:rsidRPr="00D47408">
        <w:rPr>
          <w:rFonts w:ascii="Times New Roman" w:hAnsi="Times New Roman"/>
          <w:i/>
          <w:shd w:val="clear" w:color="auto" w:fill="FFFFFF"/>
        </w:rPr>
        <w:t>, 2020</w:t>
      </w:r>
      <w:r w:rsidR="00AB1471" w:rsidRPr="00D47408">
        <w:rPr>
          <w:rFonts w:ascii="Times New Roman" w:hAnsi="Times New Roman"/>
          <w:i/>
        </w:rPr>
        <w:t>).</w:t>
      </w:r>
    </w:p>
    <w:p w:rsidR="0001712D" w:rsidRPr="00D47408" w:rsidRDefault="0001712D" w:rsidP="00D47408">
      <w:pPr>
        <w:spacing w:after="0" w:line="360" w:lineRule="auto"/>
        <w:jc w:val="both"/>
        <w:rPr>
          <w:rFonts w:ascii="Times New Roman" w:hAnsi="Times New Roman"/>
        </w:rPr>
      </w:pPr>
    </w:p>
    <w:p w:rsidR="00F864B4" w:rsidRPr="00D47408" w:rsidRDefault="00EB6A3A" w:rsidP="00D47408">
      <w:pPr>
        <w:spacing w:after="0" w:line="360" w:lineRule="auto"/>
        <w:jc w:val="both"/>
        <w:rPr>
          <w:rFonts w:ascii="Times New Roman" w:hAnsi="Times New Roman"/>
        </w:rPr>
      </w:pPr>
      <w:r w:rsidRPr="00D47408">
        <w:rPr>
          <w:rFonts w:ascii="Times New Roman" w:hAnsi="Times New Roman"/>
        </w:rPr>
        <w:t xml:space="preserve">Overall, this essay will explore whether the partnership between equity and common law supports the adaptability of the English and Welsh legal system to societal demands </w:t>
      </w:r>
      <w:r w:rsidRPr="00367BE9">
        <w:rPr>
          <w:rFonts w:ascii="Times New Roman" w:hAnsi="Times New Roman"/>
          <w:i/>
        </w:rPr>
        <w:t xml:space="preserve">(George Tucker </w:t>
      </w:r>
      <w:proofErr w:type="spellStart"/>
      <w:r w:rsidRPr="00367BE9">
        <w:rPr>
          <w:rFonts w:ascii="Times New Roman" w:hAnsi="Times New Roman"/>
          <w:i/>
        </w:rPr>
        <w:t>Bispham</w:t>
      </w:r>
      <w:proofErr w:type="spellEnd"/>
      <w:r w:rsidRPr="00367BE9">
        <w:rPr>
          <w:rFonts w:ascii="Times New Roman" w:hAnsi="Times New Roman"/>
          <w:i/>
        </w:rPr>
        <w:t xml:space="preserve">, Joseph </w:t>
      </w:r>
      <w:proofErr w:type="spellStart"/>
      <w:r w:rsidRPr="00367BE9">
        <w:rPr>
          <w:rFonts w:ascii="Times New Roman" w:hAnsi="Times New Roman"/>
          <w:i/>
        </w:rPr>
        <w:t>Degu</w:t>
      </w:r>
      <w:proofErr w:type="spellEnd"/>
      <w:r w:rsidRPr="00367BE9">
        <w:rPr>
          <w:rFonts w:ascii="Times New Roman" w:hAnsi="Times New Roman"/>
          <w:i/>
        </w:rPr>
        <w:t xml:space="preserve"> McCoy, 1915).</w:t>
      </w:r>
      <w:r w:rsidR="00F864B4" w:rsidRPr="00D47408">
        <w:rPr>
          <w:rFonts w:ascii="Times New Roman" w:hAnsi="Times New Roman"/>
        </w:rPr>
        <w:t>Thus, the thesis statement for this essay is termed as “Whether the symbiotic relationship between the Equity and Common Law ensures the English and Wales legal system’s adaptability to the societal needs or not?”</w:t>
      </w:r>
      <w:r w:rsidR="00367BE9" w:rsidRPr="00367BE9">
        <w:rPr>
          <w:rFonts w:ascii="Times New Roman" w:hAnsi="Times New Roman"/>
        </w:rPr>
        <w:t xml:space="preserve"> </w:t>
      </w:r>
      <w:proofErr w:type="gramStart"/>
      <w:r w:rsidR="00367BE9" w:rsidRPr="00367BE9">
        <w:rPr>
          <w:rFonts w:ascii="Times New Roman" w:hAnsi="Times New Roman"/>
          <w:i/>
        </w:rPr>
        <w:t>(Davies, M. (2015).</w:t>
      </w:r>
      <w:proofErr w:type="gramEnd"/>
    </w:p>
    <w:p w:rsidR="001E6549" w:rsidRPr="00D47408" w:rsidRDefault="001E6549" w:rsidP="00D47408">
      <w:pPr>
        <w:pStyle w:val="Heading1"/>
        <w:spacing w:before="0" w:line="360" w:lineRule="auto"/>
        <w:jc w:val="both"/>
        <w:rPr>
          <w:rFonts w:ascii="Times New Roman" w:hAnsi="Times New Roman" w:cs="Times New Roman"/>
          <w:b w:val="0"/>
          <w:bCs w:val="0"/>
          <w:color w:val="auto"/>
          <w:sz w:val="24"/>
          <w:szCs w:val="24"/>
        </w:rPr>
      </w:pPr>
    </w:p>
    <w:p w:rsidR="001E6549" w:rsidRPr="00D47408" w:rsidRDefault="001E6549" w:rsidP="00D47408">
      <w:pPr>
        <w:pStyle w:val="Heading1"/>
        <w:spacing w:before="0" w:line="360" w:lineRule="auto"/>
        <w:jc w:val="both"/>
        <w:rPr>
          <w:rFonts w:ascii="Times New Roman" w:hAnsi="Times New Roman" w:cs="Times New Roman"/>
          <w:color w:val="auto"/>
          <w:sz w:val="24"/>
          <w:szCs w:val="24"/>
        </w:rPr>
      </w:pPr>
    </w:p>
    <w:p w:rsidR="00DD5B90" w:rsidRPr="00D47408" w:rsidRDefault="00DD5B90" w:rsidP="00D47408">
      <w:pPr>
        <w:spacing w:line="360" w:lineRule="auto"/>
        <w:rPr>
          <w:rFonts w:ascii="Times New Roman" w:hAnsi="Times New Roman"/>
          <w:lang w:val="en-GB"/>
        </w:rPr>
      </w:pPr>
    </w:p>
    <w:p w:rsidR="00F66101" w:rsidRPr="00D47408" w:rsidRDefault="00F66101" w:rsidP="00D47408">
      <w:pPr>
        <w:spacing w:line="360" w:lineRule="auto"/>
        <w:rPr>
          <w:rFonts w:ascii="Times New Roman" w:hAnsi="Times New Roman"/>
          <w:lang w:val="en-GB"/>
        </w:rPr>
      </w:pPr>
    </w:p>
    <w:p w:rsidR="00F66101" w:rsidRPr="00D47408" w:rsidRDefault="00F66101" w:rsidP="00D47408">
      <w:pPr>
        <w:spacing w:line="360" w:lineRule="auto"/>
        <w:rPr>
          <w:rFonts w:ascii="Times New Roman" w:hAnsi="Times New Roman"/>
          <w:lang w:val="en-GB"/>
        </w:rPr>
      </w:pPr>
    </w:p>
    <w:p w:rsidR="00F66101" w:rsidRPr="00D47408" w:rsidRDefault="00F66101" w:rsidP="00D47408">
      <w:pPr>
        <w:spacing w:line="360" w:lineRule="auto"/>
        <w:rPr>
          <w:rFonts w:ascii="Times New Roman" w:hAnsi="Times New Roman"/>
          <w:lang w:val="en-GB"/>
        </w:rPr>
      </w:pPr>
    </w:p>
    <w:p w:rsidR="00F66101" w:rsidRPr="00D47408" w:rsidRDefault="00F66101" w:rsidP="00D47408">
      <w:pPr>
        <w:spacing w:line="360" w:lineRule="auto"/>
        <w:rPr>
          <w:rFonts w:ascii="Times New Roman" w:hAnsi="Times New Roman"/>
          <w:lang w:val="en-GB"/>
        </w:rPr>
      </w:pPr>
    </w:p>
    <w:p w:rsidR="00DD5B90" w:rsidRPr="00D47408" w:rsidRDefault="00DD5B90" w:rsidP="00D47408">
      <w:pPr>
        <w:spacing w:line="360" w:lineRule="auto"/>
        <w:rPr>
          <w:rFonts w:ascii="Times New Roman" w:hAnsi="Times New Roman"/>
          <w:lang w:val="en-GB"/>
        </w:rPr>
      </w:pPr>
    </w:p>
    <w:p w:rsidR="009F4190" w:rsidRPr="00D47408" w:rsidRDefault="009F4190" w:rsidP="00D47408">
      <w:pPr>
        <w:spacing w:line="360" w:lineRule="auto"/>
        <w:jc w:val="both"/>
        <w:rPr>
          <w:rFonts w:ascii="Times New Roman" w:hAnsi="Times New Roman"/>
          <w:lang w:val="en-GB"/>
        </w:rPr>
      </w:pPr>
    </w:p>
    <w:p w:rsidR="001E6549" w:rsidRPr="00D47408" w:rsidRDefault="001E6549" w:rsidP="00D47408">
      <w:pPr>
        <w:spacing w:after="0" w:line="360" w:lineRule="auto"/>
        <w:jc w:val="both"/>
        <w:rPr>
          <w:rFonts w:ascii="Times New Roman" w:hAnsi="Times New Roman"/>
        </w:rPr>
      </w:pPr>
      <w:r w:rsidRPr="00D47408">
        <w:rPr>
          <w:rFonts w:ascii="Times New Roman" w:hAnsi="Times New Roman"/>
        </w:rPr>
        <w:lastRenderedPageBreak/>
        <w:t>The legal framework of England and Wales is based on Common Law, which was established over centuries by judicial decisions and practices. To settle disputes, judges in medieval England used principles and customary laws drawn from regional norms. Statutes are laws passed by legislative bodies; in contrast, Common Law is founded on precedent and the idea of stare decisis, which is Latin for "</w:t>
      </w:r>
      <w:r w:rsidRPr="00D47408">
        <w:rPr>
          <w:rFonts w:ascii="Times New Roman" w:hAnsi="Times New Roman"/>
          <w:i/>
          <w:iCs/>
        </w:rPr>
        <w:t>to stand by things decided</w:t>
      </w:r>
      <w:r w:rsidRPr="00D47408">
        <w:rPr>
          <w:rFonts w:ascii="Times New Roman" w:hAnsi="Times New Roman"/>
        </w:rPr>
        <w:t>."</w:t>
      </w:r>
      <w:proofErr w:type="gramStart"/>
      <w:r w:rsidR="00367BE9" w:rsidRPr="00367BE9">
        <w:rPr>
          <w:rFonts w:ascii="Times New Roman" w:hAnsi="Times New Roman"/>
          <w:i/>
        </w:rPr>
        <w:t>(Douglas, G., &amp; Jones, A. (2019).</w:t>
      </w:r>
      <w:proofErr w:type="gramEnd"/>
      <w:r w:rsidR="00367BE9" w:rsidRPr="004447DA">
        <w:rPr>
          <w:rFonts w:ascii="Times New Roman" w:hAnsi="Times New Roman"/>
        </w:rPr>
        <w:t xml:space="preserve"> </w:t>
      </w:r>
      <w:r w:rsidRPr="00D47408">
        <w:rPr>
          <w:rFonts w:ascii="Times New Roman" w:hAnsi="Times New Roman"/>
        </w:rPr>
        <w:t xml:space="preserve">This principle states that when similar issues come up, lesser courts must abide by the rulings of higher courts. Common Law remedies, such damages, restitution, and recompense, are essentially of a financial nature. In the event of a breach of contract, for instance, the non-breaching party may be awarded monetary damages by Common Law to make up for their losses. Likewise, Common Law has the authority to grant damages to the aggrieved party in instances of </w:t>
      </w:r>
      <w:r w:rsidR="00724C22" w:rsidRPr="00D47408">
        <w:rPr>
          <w:rFonts w:ascii="Times New Roman" w:hAnsi="Times New Roman"/>
        </w:rPr>
        <w:t>tortuous</w:t>
      </w:r>
      <w:r w:rsidRPr="00D47408">
        <w:rPr>
          <w:rFonts w:ascii="Times New Roman" w:hAnsi="Times New Roman"/>
        </w:rPr>
        <w:t xml:space="preserve"> conduct (civil wrongs) to make up for their losses or injuries </w:t>
      </w:r>
      <w:r w:rsidRPr="00F165A9">
        <w:rPr>
          <w:rFonts w:ascii="Times New Roman" w:hAnsi="Times New Roman"/>
          <w:i/>
        </w:rPr>
        <w:t>(</w:t>
      </w:r>
      <w:proofErr w:type="spellStart"/>
      <w:r w:rsidRPr="00F165A9">
        <w:rPr>
          <w:rFonts w:ascii="Times New Roman" w:hAnsi="Times New Roman"/>
          <w:i/>
          <w:shd w:val="clear" w:color="auto" w:fill="FFFFFF"/>
        </w:rPr>
        <w:t>Treloar</w:t>
      </w:r>
      <w:proofErr w:type="spellEnd"/>
      <w:r w:rsidRPr="00F165A9">
        <w:rPr>
          <w:rFonts w:ascii="Times New Roman" w:hAnsi="Times New Roman"/>
          <w:i/>
          <w:shd w:val="clear" w:color="auto" w:fill="FFFFFF"/>
        </w:rPr>
        <w:t xml:space="preserve"> </w:t>
      </w:r>
      <w:r w:rsidRPr="00F165A9">
        <w:rPr>
          <w:rFonts w:ascii="Times New Roman" w:hAnsi="Times New Roman"/>
          <w:i/>
          <w:iCs/>
          <w:shd w:val="clear" w:color="auto" w:fill="FFFFFF"/>
        </w:rPr>
        <w:t>et al.</w:t>
      </w:r>
      <w:r w:rsidRPr="00F165A9">
        <w:rPr>
          <w:rFonts w:ascii="Times New Roman" w:hAnsi="Times New Roman"/>
          <w:i/>
          <w:shd w:val="clear" w:color="auto" w:fill="FFFFFF"/>
        </w:rPr>
        <w:t>, 2021</w:t>
      </w:r>
      <w:r w:rsidRPr="00F165A9">
        <w:rPr>
          <w:rFonts w:ascii="Times New Roman" w:hAnsi="Times New Roman"/>
          <w:i/>
        </w:rPr>
        <w:t>).</w:t>
      </w:r>
    </w:p>
    <w:p w:rsidR="00C32498" w:rsidRDefault="00C32498" w:rsidP="00D47408">
      <w:pPr>
        <w:spacing w:after="0" w:line="360" w:lineRule="auto"/>
        <w:jc w:val="both"/>
        <w:rPr>
          <w:rFonts w:ascii="Times New Roman" w:hAnsi="Times New Roman"/>
        </w:rPr>
      </w:pPr>
    </w:p>
    <w:p w:rsidR="001E6549" w:rsidRPr="00D47408" w:rsidRDefault="001E6549" w:rsidP="00D47408">
      <w:pPr>
        <w:spacing w:after="0" w:line="360" w:lineRule="auto"/>
        <w:jc w:val="both"/>
        <w:rPr>
          <w:rFonts w:ascii="Times New Roman" w:hAnsi="Times New Roman"/>
        </w:rPr>
      </w:pPr>
      <w:r w:rsidRPr="00D47408">
        <w:rPr>
          <w:rFonts w:ascii="Times New Roman" w:hAnsi="Times New Roman"/>
        </w:rPr>
        <w:t xml:space="preserve">Even with its lengthy history and significance in the legal system, Common Law has many drawbacks and problems, especially when it comes to unfairness or insufficiency of remedies. One drawback of Common Law is its rigidity, which in some situations might lead to unfair results. Common Law, for example, might not offer sufficient remedies when the injured party's losses cannot be sufficiently compensated with money. Common Law may also overlook fairness standards and equitable considerations in specific circumstances, producing results that are viewed as unfair or unequal </w:t>
      </w:r>
      <w:r w:rsidRPr="00F165A9">
        <w:rPr>
          <w:rFonts w:ascii="Times New Roman" w:hAnsi="Times New Roman"/>
          <w:i/>
        </w:rPr>
        <w:t>(</w:t>
      </w:r>
      <w:proofErr w:type="spellStart"/>
      <w:r w:rsidRPr="00F165A9">
        <w:rPr>
          <w:rFonts w:ascii="Times New Roman" w:hAnsi="Times New Roman"/>
          <w:i/>
          <w:shd w:val="clear" w:color="auto" w:fill="FFFFFF"/>
        </w:rPr>
        <w:t>Partington</w:t>
      </w:r>
      <w:proofErr w:type="spellEnd"/>
      <w:r w:rsidRPr="00F165A9">
        <w:rPr>
          <w:rFonts w:ascii="Times New Roman" w:hAnsi="Times New Roman"/>
          <w:i/>
          <w:shd w:val="clear" w:color="auto" w:fill="FFFFFF"/>
        </w:rPr>
        <w:t>, 2021</w:t>
      </w:r>
      <w:r w:rsidRPr="00F165A9">
        <w:rPr>
          <w:rFonts w:ascii="Times New Roman" w:hAnsi="Times New Roman"/>
          <w:i/>
        </w:rPr>
        <w:t>).</w:t>
      </w:r>
      <w:r w:rsidRPr="00D47408">
        <w:rPr>
          <w:rFonts w:ascii="Times New Roman" w:hAnsi="Times New Roman"/>
        </w:rPr>
        <w:t xml:space="preserve"> </w:t>
      </w:r>
    </w:p>
    <w:p w:rsidR="001E6549" w:rsidRPr="00D47408" w:rsidRDefault="001E6549" w:rsidP="00D47408">
      <w:pPr>
        <w:spacing w:after="0" w:line="360" w:lineRule="auto"/>
        <w:jc w:val="both"/>
        <w:rPr>
          <w:rFonts w:ascii="Times New Roman" w:hAnsi="Times New Roman"/>
        </w:rPr>
      </w:pPr>
      <w:r w:rsidRPr="00D47408">
        <w:rPr>
          <w:rFonts w:ascii="Times New Roman" w:hAnsi="Times New Roman"/>
        </w:rPr>
        <w:t>The Court of Chancery in England gave rise to equity, a body of legal ideas that are separate from Common Law. In situations where Common Law's strict norms and remedies were insufficient or unfair, equity emerged as a reaction to its drawbacks. The word "</w:t>
      </w:r>
      <w:r w:rsidRPr="00D47408">
        <w:rPr>
          <w:rFonts w:ascii="Times New Roman" w:hAnsi="Times New Roman"/>
          <w:i/>
          <w:iCs/>
        </w:rPr>
        <w:t>equity</w:t>
      </w:r>
      <w:r w:rsidRPr="00D47408">
        <w:rPr>
          <w:rFonts w:ascii="Times New Roman" w:hAnsi="Times New Roman"/>
        </w:rPr>
        <w:t>" comes from the Latin word "</w:t>
      </w:r>
      <w:r w:rsidRPr="00D47408">
        <w:rPr>
          <w:rFonts w:ascii="Times New Roman" w:hAnsi="Times New Roman"/>
          <w:i/>
          <w:iCs/>
        </w:rPr>
        <w:t>aequitas</w:t>
      </w:r>
      <w:r w:rsidRPr="00D47408">
        <w:rPr>
          <w:rFonts w:ascii="Times New Roman" w:hAnsi="Times New Roman"/>
        </w:rPr>
        <w:t xml:space="preserve">," which means equality or fairness. This reflects the concept of equity's emphasis on morality and equity </w:t>
      </w:r>
      <w:r w:rsidRPr="00F165A9">
        <w:rPr>
          <w:rFonts w:ascii="Times New Roman" w:hAnsi="Times New Roman"/>
          <w:i/>
        </w:rPr>
        <w:t>(</w:t>
      </w:r>
      <w:proofErr w:type="spellStart"/>
      <w:r w:rsidRPr="00F165A9">
        <w:rPr>
          <w:rFonts w:ascii="Times New Roman" w:hAnsi="Times New Roman"/>
          <w:i/>
          <w:shd w:val="clear" w:color="auto" w:fill="FFFFFF"/>
        </w:rPr>
        <w:t>Sánchez-Monedero</w:t>
      </w:r>
      <w:proofErr w:type="spellEnd"/>
      <w:r w:rsidRPr="00F165A9">
        <w:rPr>
          <w:rFonts w:ascii="Times New Roman" w:hAnsi="Times New Roman"/>
          <w:i/>
          <w:shd w:val="clear" w:color="auto" w:fill="FFFFFF"/>
        </w:rPr>
        <w:t xml:space="preserve">, </w:t>
      </w:r>
      <w:proofErr w:type="spellStart"/>
      <w:r w:rsidRPr="00F165A9">
        <w:rPr>
          <w:rFonts w:ascii="Times New Roman" w:hAnsi="Times New Roman"/>
          <w:i/>
          <w:shd w:val="clear" w:color="auto" w:fill="FFFFFF"/>
        </w:rPr>
        <w:t>Dencik</w:t>
      </w:r>
      <w:proofErr w:type="spellEnd"/>
      <w:r w:rsidRPr="00F165A9">
        <w:rPr>
          <w:rFonts w:ascii="Times New Roman" w:hAnsi="Times New Roman"/>
          <w:i/>
          <w:shd w:val="clear" w:color="auto" w:fill="FFFFFF"/>
        </w:rPr>
        <w:t xml:space="preserve"> and Edwards, 2020</w:t>
      </w:r>
      <w:r w:rsidRPr="00F165A9">
        <w:rPr>
          <w:rFonts w:ascii="Times New Roman" w:hAnsi="Times New Roman"/>
          <w:i/>
        </w:rPr>
        <w:t>).</w:t>
      </w:r>
      <w:r w:rsidRPr="00D47408">
        <w:rPr>
          <w:rFonts w:ascii="Times New Roman" w:hAnsi="Times New Roman"/>
        </w:rPr>
        <w:t xml:space="preserve"> In situations where Common Law remedies were inadequate to provide justice or fairness, the necessity to address these situations gave rise to Equity as a separate legal system. Equity offered a wider range of remedies intended to achieve fairness and justice in certain circumstances, in contrast to Common Law, which largely supplied monetary remedies. Injunctions, rescission, specified performance, and equitable recompense were among these remedies </w:t>
      </w:r>
      <w:r w:rsidRPr="00F165A9">
        <w:rPr>
          <w:rFonts w:ascii="Times New Roman" w:hAnsi="Times New Roman"/>
          <w:i/>
        </w:rPr>
        <w:t>(</w:t>
      </w:r>
      <w:proofErr w:type="spellStart"/>
      <w:r w:rsidRPr="00F165A9">
        <w:rPr>
          <w:rFonts w:ascii="Times New Roman" w:hAnsi="Times New Roman"/>
          <w:i/>
          <w:shd w:val="clear" w:color="auto" w:fill="FFFFFF"/>
        </w:rPr>
        <w:t>Creutzfeldt</w:t>
      </w:r>
      <w:proofErr w:type="spellEnd"/>
      <w:r w:rsidRPr="00F165A9">
        <w:rPr>
          <w:rFonts w:ascii="Times New Roman" w:hAnsi="Times New Roman"/>
          <w:i/>
          <w:shd w:val="clear" w:color="auto" w:fill="FFFFFF"/>
        </w:rPr>
        <w:t xml:space="preserve"> and </w:t>
      </w:r>
      <w:proofErr w:type="spellStart"/>
      <w:r w:rsidRPr="00F165A9">
        <w:rPr>
          <w:rFonts w:ascii="Times New Roman" w:hAnsi="Times New Roman"/>
          <w:i/>
          <w:shd w:val="clear" w:color="auto" w:fill="FFFFFF"/>
        </w:rPr>
        <w:t>Sechi</w:t>
      </w:r>
      <w:proofErr w:type="spellEnd"/>
      <w:r w:rsidRPr="00F165A9">
        <w:rPr>
          <w:rFonts w:ascii="Times New Roman" w:hAnsi="Times New Roman"/>
          <w:i/>
          <w:shd w:val="clear" w:color="auto" w:fill="FFFFFF"/>
        </w:rPr>
        <w:t>, 2021</w:t>
      </w:r>
      <w:r w:rsidRPr="00F165A9">
        <w:rPr>
          <w:rFonts w:ascii="Times New Roman" w:hAnsi="Times New Roman"/>
          <w:i/>
        </w:rPr>
        <w:t>).</w:t>
      </w:r>
    </w:p>
    <w:p w:rsidR="00C32498" w:rsidRDefault="00C32498" w:rsidP="00D47408">
      <w:pPr>
        <w:spacing w:after="0" w:line="360" w:lineRule="auto"/>
        <w:jc w:val="both"/>
        <w:rPr>
          <w:rFonts w:ascii="Times New Roman" w:hAnsi="Times New Roman"/>
        </w:rPr>
      </w:pPr>
    </w:p>
    <w:p w:rsidR="003265E6" w:rsidRPr="00D47408" w:rsidRDefault="003265E6" w:rsidP="00D47408">
      <w:pPr>
        <w:spacing w:after="0" w:line="360" w:lineRule="auto"/>
        <w:jc w:val="both"/>
        <w:rPr>
          <w:rFonts w:ascii="Times New Roman" w:hAnsi="Times New Roman"/>
        </w:rPr>
      </w:pPr>
      <w:r w:rsidRPr="00D47408">
        <w:rPr>
          <w:rFonts w:ascii="Times New Roman" w:hAnsi="Times New Roman"/>
        </w:rPr>
        <w:t xml:space="preserve">The Court of Chancery played a crucial role in the development and administration of Equity as the primary forum for equitable matters and disputes. The Chancellor, who presided over the Court of Chancery, was tasked with applying equitable principles and remedies based on </w:t>
      </w:r>
      <w:r w:rsidR="00F165A9">
        <w:rPr>
          <w:rFonts w:ascii="Times New Roman" w:hAnsi="Times New Roman"/>
        </w:rPr>
        <w:t xml:space="preserve">justice, conscience, and equity </w:t>
      </w:r>
      <w:r w:rsidR="00F165A9" w:rsidRPr="00F165A9">
        <w:rPr>
          <w:rFonts w:ascii="Times New Roman" w:hAnsi="Times New Roman"/>
          <w:i/>
        </w:rPr>
        <w:t>(Smith, R. (2016).</w:t>
      </w:r>
      <w:r w:rsidR="00F165A9">
        <w:rPr>
          <w:rFonts w:ascii="Times New Roman" w:hAnsi="Times New Roman"/>
        </w:rPr>
        <w:t xml:space="preserve"> </w:t>
      </w:r>
      <w:r w:rsidRPr="00D47408">
        <w:rPr>
          <w:rFonts w:ascii="Times New Roman" w:hAnsi="Times New Roman"/>
        </w:rPr>
        <w:t xml:space="preserve">Unlike Common Law courts, which relied on jury trials and legal </w:t>
      </w:r>
      <w:r w:rsidRPr="00D47408">
        <w:rPr>
          <w:rFonts w:ascii="Times New Roman" w:hAnsi="Times New Roman"/>
        </w:rPr>
        <w:lastRenderedPageBreak/>
        <w:t>precedent, the Court of Chancery followed distinct procedural guidel</w:t>
      </w:r>
      <w:r w:rsidR="00620522" w:rsidRPr="00D47408">
        <w:rPr>
          <w:rFonts w:ascii="Times New Roman" w:hAnsi="Times New Roman"/>
        </w:rPr>
        <w:t xml:space="preserve">ines and principles, highlighting </w:t>
      </w:r>
      <w:r w:rsidRPr="00D47408">
        <w:rPr>
          <w:rFonts w:ascii="Times New Roman" w:hAnsi="Times New Roman"/>
        </w:rPr>
        <w:t xml:space="preserve">the Chancellor's discretionary authority to administer justice in line with fairness </w:t>
      </w:r>
      <w:r w:rsidRPr="00DA397C">
        <w:rPr>
          <w:rFonts w:ascii="Times New Roman" w:hAnsi="Times New Roman"/>
          <w:i/>
        </w:rPr>
        <w:t>(</w:t>
      </w:r>
      <w:proofErr w:type="spellStart"/>
      <w:r w:rsidRPr="00DA397C">
        <w:rPr>
          <w:rFonts w:ascii="Times New Roman" w:hAnsi="Times New Roman"/>
          <w:i/>
        </w:rPr>
        <w:t>Chouaibi</w:t>
      </w:r>
      <w:proofErr w:type="spellEnd"/>
      <w:r w:rsidRPr="00DA397C">
        <w:rPr>
          <w:rFonts w:ascii="Times New Roman" w:hAnsi="Times New Roman"/>
          <w:i/>
        </w:rPr>
        <w:t xml:space="preserve">, </w:t>
      </w:r>
      <w:proofErr w:type="spellStart"/>
      <w:r w:rsidRPr="00DA397C">
        <w:rPr>
          <w:rFonts w:ascii="Times New Roman" w:hAnsi="Times New Roman"/>
          <w:i/>
        </w:rPr>
        <w:t>Chouaibi</w:t>
      </w:r>
      <w:proofErr w:type="spellEnd"/>
      <w:r w:rsidRPr="00DA397C">
        <w:rPr>
          <w:rFonts w:ascii="Times New Roman" w:hAnsi="Times New Roman"/>
          <w:i/>
        </w:rPr>
        <w:t>, &amp; Rossi, 2022).</w:t>
      </w:r>
    </w:p>
    <w:p w:rsidR="003265E6" w:rsidRPr="00D47408" w:rsidRDefault="00205E3E" w:rsidP="00D47408">
      <w:pPr>
        <w:spacing w:after="0" w:line="360" w:lineRule="auto"/>
        <w:jc w:val="both"/>
        <w:rPr>
          <w:rFonts w:ascii="Times New Roman" w:hAnsi="Times New Roman"/>
        </w:rPr>
      </w:pPr>
      <w:r w:rsidRPr="00D47408">
        <w:rPr>
          <w:rFonts w:ascii="Times New Roman" w:hAnsi="Times New Roman"/>
        </w:rPr>
        <w:t xml:space="preserve">In addition, it is understood that equity is indispensable within 21st century legal landscape, complementing Common Law to ensure justice and fairness. </w:t>
      </w:r>
      <w:proofErr w:type="gramStart"/>
      <w:r w:rsidRPr="00D47408">
        <w:rPr>
          <w:rFonts w:ascii="Times New Roman" w:hAnsi="Times New Roman"/>
        </w:rPr>
        <w:t xml:space="preserve">Its development from the English court of Chancery, offering the remedies beyond the scope of </w:t>
      </w:r>
      <w:r w:rsidR="00DA397C">
        <w:rPr>
          <w:rFonts w:ascii="Times New Roman" w:hAnsi="Times New Roman"/>
        </w:rPr>
        <w:t xml:space="preserve">Common Law depicting its impact </w:t>
      </w:r>
      <w:r w:rsidR="00DA397C" w:rsidRPr="00DA397C">
        <w:rPr>
          <w:rFonts w:ascii="Times New Roman" w:hAnsi="Times New Roman"/>
          <w:i/>
        </w:rPr>
        <w:t>(Pettit, P. (2018).</w:t>
      </w:r>
      <w:proofErr w:type="gramEnd"/>
    </w:p>
    <w:p w:rsidR="003265E6" w:rsidRPr="00D47408" w:rsidRDefault="003265E6" w:rsidP="00D47408">
      <w:pPr>
        <w:spacing w:after="0" w:line="360" w:lineRule="auto"/>
        <w:ind w:firstLine="720"/>
        <w:jc w:val="both"/>
        <w:rPr>
          <w:rFonts w:ascii="Times New Roman" w:hAnsi="Times New Roman"/>
        </w:rPr>
      </w:pPr>
    </w:p>
    <w:p w:rsidR="00281FF3" w:rsidRPr="00D47408" w:rsidRDefault="001E6549" w:rsidP="00D47408">
      <w:pPr>
        <w:spacing w:after="0" w:line="360" w:lineRule="auto"/>
        <w:jc w:val="both"/>
        <w:rPr>
          <w:rFonts w:ascii="Times New Roman" w:hAnsi="Times New Roman"/>
        </w:rPr>
      </w:pPr>
      <w:r w:rsidRPr="00D47408">
        <w:rPr>
          <w:rFonts w:ascii="Times New Roman" w:hAnsi="Times New Roman"/>
        </w:rPr>
        <w:t xml:space="preserve">The unification of Common Law and Equity in England and Wales was made possible by the Judicature Acts of 1873 and 1875. These Acts created the Supreme Court of Judicature, uniting the Common Law and Equity courts that had previously operated independently into a single, cohesive legal system. To ensure a more comprehensive and equal approach to justice, the concepts and remedies of equity were thereby completely included into the legal system alongside common law. Procedural reforms were also established by the Judicature Acts with the goal of expediting the administration of justice and encouraging uniformity and coherence in the application of legal principles </w:t>
      </w:r>
      <w:r w:rsidRPr="00DA397C">
        <w:rPr>
          <w:rFonts w:ascii="Times New Roman" w:hAnsi="Times New Roman"/>
          <w:i/>
        </w:rPr>
        <w:t>(</w:t>
      </w:r>
      <w:r w:rsidRPr="00DA397C">
        <w:rPr>
          <w:rFonts w:ascii="Times New Roman" w:hAnsi="Times New Roman"/>
          <w:i/>
          <w:shd w:val="clear" w:color="auto" w:fill="FFFFFF"/>
        </w:rPr>
        <w:t>Franklin, 2023</w:t>
      </w:r>
      <w:r w:rsidR="00281FF3" w:rsidRPr="00DA397C">
        <w:rPr>
          <w:rFonts w:ascii="Times New Roman" w:hAnsi="Times New Roman"/>
          <w:i/>
          <w:shd w:val="clear" w:color="auto" w:fill="FFFFFF"/>
        </w:rPr>
        <w:t>0</w:t>
      </w:r>
      <w:r w:rsidR="00DA397C" w:rsidRPr="00DA397C">
        <w:rPr>
          <w:rFonts w:ascii="Times New Roman" w:hAnsi="Times New Roman"/>
          <w:i/>
          <w:shd w:val="clear" w:color="auto" w:fill="FFFFFF"/>
        </w:rPr>
        <w:t>)</w:t>
      </w:r>
      <w:r w:rsidR="00281FF3" w:rsidRPr="00DA397C">
        <w:rPr>
          <w:rFonts w:ascii="Times New Roman" w:hAnsi="Times New Roman"/>
          <w:i/>
          <w:shd w:val="clear" w:color="auto" w:fill="FFFFFF"/>
        </w:rPr>
        <w:t>.</w:t>
      </w:r>
      <w:r w:rsidR="00281FF3" w:rsidRPr="00DA397C">
        <w:rPr>
          <w:rFonts w:ascii="Times New Roman" w:hAnsi="Times New Roman"/>
          <w:i/>
        </w:rPr>
        <w:t xml:space="preserve"> </w:t>
      </w:r>
      <w:r w:rsidR="00281FF3" w:rsidRPr="00D47408">
        <w:rPr>
          <w:rFonts w:ascii="Times New Roman" w:hAnsi="Times New Roman"/>
        </w:rPr>
        <w:t xml:space="preserve">All things considered, the amalgamation of Common Law and Equity under the Judicature Acts marked a noteworthy turning point in the evolution of the English and Welsh legal systems, guaranteeing that both systems function in harmony to accomplish justice and equity for everybody </w:t>
      </w:r>
      <w:r w:rsidR="00281FF3" w:rsidRPr="00DA397C">
        <w:rPr>
          <w:rFonts w:ascii="Times New Roman" w:hAnsi="Times New Roman"/>
          <w:i/>
        </w:rPr>
        <w:t>(</w:t>
      </w:r>
      <w:r w:rsidR="00281FF3" w:rsidRPr="00DA397C">
        <w:rPr>
          <w:rFonts w:ascii="Times New Roman" w:hAnsi="Times New Roman"/>
          <w:i/>
          <w:shd w:val="clear" w:color="auto" w:fill="FFFFFF"/>
        </w:rPr>
        <w:t>Rogers, 2023</w:t>
      </w:r>
      <w:r w:rsidR="00281FF3" w:rsidRPr="00DA397C">
        <w:rPr>
          <w:rFonts w:ascii="Times New Roman" w:hAnsi="Times New Roman"/>
          <w:i/>
        </w:rPr>
        <w:t>).</w:t>
      </w:r>
      <w:r w:rsidR="00281FF3" w:rsidRPr="00D47408">
        <w:rPr>
          <w:rFonts w:ascii="Times New Roman" w:hAnsi="Times New Roman"/>
        </w:rPr>
        <w:t xml:space="preserve"> Nevertheless, in the context of problems, equity is seen to mitigate the harness and injustice, Common Law establishes the precedents and norms. Thus, it depicts the adap</w:t>
      </w:r>
      <w:r w:rsidR="00DA397C">
        <w:rPr>
          <w:rFonts w:ascii="Times New Roman" w:hAnsi="Times New Roman"/>
        </w:rPr>
        <w:t xml:space="preserve">tability to the societal needs </w:t>
      </w:r>
      <w:r w:rsidR="00DA397C" w:rsidRPr="00DA397C">
        <w:rPr>
          <w:rFonts w:ascii="Times New Roman" w:hAnsi="Times New Roman"/>
          <w:i/>
        </w:rPr>
        <w:t>(Smith, J. (2018).</w:t>
      </w:r>
    </w:p>
    <w:p w:rsidR="00C32498" w:rsidRDefault="00C32498" w:rsidP="00D47408">
      <w:pPr>
        <w:spacing w:after="0" w:line="360" w:lineRule="auto"/>
        <w:jc w:val="both"/>
        <w:rPr>
          <w:rFonts w:ascii="Times New Roman" w:hAnsi="Times New Roman"/>
        </w:rPr>
      </w:pPr>
    </w:p>
    <w:p w:rsidR="00571D9B" w:rsidRPr="00D47408" w:rsidRDefault="00B36429" w:rsidP="00D47408">
      <w:pPr>
        <w:spacing w:after="0" w:line="360" w:lineRule="auto"/>
        <w:jc w:val="both"/>
        <w:rPr>
          <w:rFonts w:ascii="Times New Roman" w:hAnsi="Times New Roman"/>
        </w:rPr>
      </w:pPr>
      <w:r w:rsidRPr="00D47408">
        <w:rPr>
          <w:rFonts w:ascii="Times New Roman" w:hAnsi="Times New Roman"/>
        </w:rPr>
        <w:t xml:space="preserve">Equitable remedies serve to achieve justice and fairness in situations where monetary damages may not suffice. Unlike Common Law remedies, which are mainly monetary, equitable remedies aim to uphold equitable principles and honor parties' expectations. Specific performance, a type of equitable remedy, requires a party to fulfill their contractual obligations precisely as agreed upon </w:t>
      </w:r>
      <w:r w:rsidRPr="00DA397C">
        <w:rPr>
          <w:rFonts w:ascii="Times New Roman" w:hAnsi="Times New Roman"/>
          <w:i/>
        </w:rPr>
        <w:t>(</w:t>
      </w:r>
      <w:proofErr w:type="spellStart"/>
      <w:r w:rsidRPr="00DA397C">
        <w:rPr>
          <w:rFonts w:ascii="Times New Roman" w:hAnsi="Times New Roman"/>
          <w:i/>
        </w:rPr>
        <w:t>Beebeejaun</w:t>
      </w:r>
      <w:proofErr w:type="spellEnd"/>
      <w:r w:rsidRPr="00DA397C">
        <w:rPr>
          <w:rFonts w:ascii="Times New Roman" w:hAnsi="Times New Roman"/>
          <w:i/>
        </w:rPr>
        <w:t xml:space="preserve"> &amp; </w:t>
      </w:r>
      <w:proofErr w:type="spellStart"/>
      <w:r w:rsidRPr="00DA397C">
        <w:rPr>
          <w:rFonts w:ascii="Times New Roman" w:hAnsi="Times New Roman"/>
          <w:i/>
        </w:rPr>
        <w:t>Faccia</w:t>
      </w:r>
      <w:proofErr w:type="spellEnd"/>
      <w:r w:rsidRPr="00DA397C">
        <w:rPr>
          <w:rFonts w:ascii="Times New Roman" w:hAnsi="Times New Roman"/>
          <w:i/>
        </w:rPr>
        <w:t>, 2022).</w:t>
      </w:r>
      <w:r w:rsidRPr="00D47408">
        <w:rPr>
          <w:rFonts w:ascii="Times New Roman" w:hAnsi="Times New Roman"/>
        </w:rPr>
        <w:t xml:space="preserve"> This remedy is sought when monetary compensation alone cannot remedy a breach of contract </w:t>
      </w:r>
      <w:r w:rsidRPr="00DA397C">
        <w:rPr>
          <w:rFonts w:ascii="Times New Roman" w:hAnsi="Times New Roman"/>
          <w:i/>
        </w:rPr>
        <w:t>(Jones, 2020).</w:t>
      </w:r>
      <w:r w:rsidRPr="00D47408">
        <w:rPr>
          <w:rFonts w:ascii="Times New Roman" w:hAnsi="Times New Roman"/>
        </w:rPr>
        <w:t xml:space="preserve"> </w:t>
      </w:r>
      <w:proofErr w:type="gramStart"/>
      <w:r w:rsidRPr="00D47408">
        <w:rPr>
          <w:rFonts w:ascii="Times New Roman" w:hAnsi="Times New Roman"/>
        </w:rPr>
        <w:t>In the case</w:t>
      </w:r>
      <w:r w:rsidR="008C12F2" w:rsidRPr="00D47408">
        <w:rPr>
          <w:rFonts w:ascii="Times New Roman" w:hAnsi="Times New Roman"/>
        </w:rPr>
        <w:t>,</w:t>
      </w:r>
      <w:r w:rsidRPr="00D47408">
        <w:rPr>
          <w:rFonts w:ascii="Times New Roman" w:hAnsi="Times New Roman"/>
        </w:rPr>
        <w:t xml:space="preserve"> of Stella v. Roberts (C.A. No.</w:t>
      </w:r>
      <w:proofErr w:type="gramEnd"/>
      <w:r w:rsidRPr="00D47408">
        <w:rPr>
          <w:rFonts w:ascii="Times New Roman" w:hAnsi="Times New Roman"/>
        </w:rPr>
        <w:t xml:space="preserve"> S18C-06.016 RFS), Robert sought to enforce Stella's commitment to complete a purchase despite her refusal. He requested specific performance of the leasehold property sale contract, aiming to compel Stella to fulfill her contractual obligations.</w:t>
      </w:r>
    </w:p>
    <w:p w:rsidR="00571D9B" w:rsidRPr="00D47408" w:rsidRDefault="00571D9B" w:rsidP="00D47408">
      <w:pPr>
        <w:spacing w:after="0" w:line="360" w:lineRule="auto"/>
        <w:jc w:val="both"/>
        <w:rPr>
          <w:rFonts w:ascii="Times New Roman" w:hAnsi="Times New Roman"/>
        </w:rPr>
      </w:pPr>
      <w:r w:rsidRPr="00D47408">
        <w:rPr>
          <w:rFonts w:ascii="Times New Roman" w:hAnsi="Times New Roman"/>
        </w:rPr>
        <w:t xml:space="preserve">Remedies in equity offer both advantages and disadvantages in the English and Welsh legal systems. On the positive side, equitable remedies provide flexibility and fairness, allowing courts to tailor solutions to individual cases. For example, the remedy of specific performance, which </w:t>
      </w:r>
      <w:r w:rsidRPr="00D47408">
        <w:rPr>
          <w:rFonts w:ascii="Times New Roman" w:hAnsi="Times New Roman"/>
        </w:rPr>
        <w:lastRenderedPageBreak/>
        <w:t xml:space="preserve">compels parties to </w:t>
      </w:r>
      <w:r w:rsidR="00E5357E" w:rsidRPr="00D47408">
        <w:rPr>
          <w:rFonts w:ascii="Times New Roman" w:hAnsi="Times New Roman"/>
        </w:rPr>
        <w:t>fulfill</w:t>
      </w:r>
      <w:r w:rsidRPr="00D47408">
        <w:rPr>
          <w:rFonts w:ascii="Times New Roman" w:hAnsi="Times New Roman"/>
        </w:rPr>
        <w:t xml:space="preserve"> their contractual obligations, ensures that justice is served in situations where monetary compensation alone would be inadequate. This was demonstrated in the case of </w:t>
      </w:r>
      <w:r w:rsidRPr="00DA397C">
        <w:rPr>
          <w:rFonts w:ascii="Times New Roman" w:hAnsi="Times New Roman"/>
          <w:i/>
        </w:rPr>
        <w:t>Walsh v. Lonsdale [1882], where</w:t>
      </w:r>
      <w:r w:rsidRPr="00D47408">
        <w:rPr>
          <w:rFonts w:ascii="Times New Roman" w:hAnsi="Times New Roman"/>
        </w:rPr>
        <w:t xml:space="preserve"> the court granted specific performance to enforce a lease agreement.</w:t>
      </w:r>
    </w:p>
    <w:p w:rsidR="00C32498" w:rsidRDefault="00C32498" w:rsidP="00D47408">
      <w:pPr>
        <w:spacing w:after="0" w:line="360" w:lineRule="auto"/>
        <w:jc w:val="both"/>
        <w:rPr>
          <w:rFonts w:ascii="Times New Roman" w:hAnsi="Times New Roman"/>
        </w:rPr>
      </w:pPr>
    </w:p>
    <w:p w:rsidR="00571D9B" w:rsidRPr="00D47408" w:rsidRDefault="00571D9B" w:rsidP="00D47408">
      <w:pPr>
        <w:spacing w:after="0" w:line="360" w:lineRule="auto"/>
        <w:jc w:val="both"/>
        <w:rPr>
          <w:rFonts w:ascii="Times New Roman" w:hAnsi="Times New Roman"/>
        </w:rPr>
      </w:pPr>
      <w:r w:rsidRPr="00D47408">
        <w:rPr>
          <w:rFonts w:ascii="Times New Roman" w:hAnsi="Times New Roman"/>
        </w:rPr>
        <w:t xml:space="preserve">Additionally, equity remedies such as injunctions can prevent irreparable harm by restraining parties from engaging in certain actions. This was illustrated in the case of </w:t>
      </w:r>
      <w:r w:rsidRPr="00DA397C">
        <w:rPr>
          <w:rFonts w:ascii="Times New Roman" w:hAnsi="Times New Roman"/>
          <w:i/>
        </w:rPr>
        <w:t>Earl of Oxford's Case [1615]</w:t>
      </w:r>
      <w:r w:rsidRPr="00D47408">
        <w:rPr>
          <w:rFonts w:ascii="Times New Roman" w:hAnsi="Times New Roman"/>
        </w:rPr>
        <w:t>, where an injunction was issued to halt legal actions that could result in injustice. In this way, equity remedies play a vital role in protecting parties' rights and preventing unfair outcomes.</w:t>
      </w:r>
    </w:p>
    <w:p w:rsidR="00571D9B" w:rsidRPr="00D47408" w:rsidRDefault="00571D9B" w:rsidP="00D47408">
      <w:pPr>
        <w:spacing w:after="0" w:line="360" w:lineRule="auto"/>
        <w:jc w:val="both"/>
        <w:rPr>
          <w:rFonts w:ascii="Times New Roman" w:hAnsi="Times New Roman"/>
        </w:rPr>
      </w:pPr>
      <w:r w:rsidRPr="00D47408">
        <w:rPr>
          <w:rFonts w:ascii="Times New Roman" w:hAnsi="Times New Roman"/>
        </w:rPr>
        <w:t>However, there are also drawbacks to equity remedies. One concern is their inherent subjectivity, which can lead to inconsistent decisions and uncertainty in the law. Unlike common law, which relies on established principles and precedents, equity involves judges exercising discretion based on their interpretation of fairness and conscience. This can result in unpredictable outcomes and undermine confidence in the legal system.</w:t>
      </w:r>
    </w:p>
    <w:p w:rsidR="001A187B" w:rsidRPr="00D47408" w:rsidRDefault="00571D9B" w:rsidP="00D47408">
      <w:pPr>
        <w:spacing w:after="0" w:line="360" w:lineRule="auto"/>
        <w:jc w:val="both"/>
        <w:rPr>
          <w:rFonts w:ascii="Times New Roman" w:hAnsi="Times New Roman"/>
        </w:rPr>
      </w:pPr>
      <w:r w:rsidRPr="00D47408">
        <w:rPr>
          <w:rFonts w:ascii="Times New Roman" w:hAnsi="Times New Roman"/>
        </w:rPr>
        <w:t>Furthermore, equity remedies may lack clarity and transparency, making it difficult for parties to understand their rights and obligations. This was highlighted in criticisms of the equitable doctrine of proprietary estoppels, where the application of the remedy has been s</w:t>
      </w:r>
      <w:r w:rsidR="00DA397C">
        <w:rPr>
          <w:rFonts w:ascii="Times New Roman" w:hAnsi="Times New Roman"/>
        </w:rPr>
        <w:t xml:space="preserve">een as inconsistent and unclear. </w:t>
      </w:r>
      <w:r w:rsidRPr="00D47408">
        <w:rPr>
          <w:rFonts w:ascii="Times New Roman" w:hAnsi="Times New Roman"/>
        </w:rPr>
        <w:t xml:space="preserve">Such ambiguity can prolong legal proceedings and increase costs for parties </w:t>
      </w:r>
      <w:r w:rsidR="00DA397C">
        <w:rPr>
          <w:rFonts w:ascii="Times New Roman" w:hAnsi="Times New Roman"/>
        </w:rPr>
        <w:t xml:space="preserve">involved </w:t>
      </w:r>
      <w:r w:rsidR="00DA397C" w:rsidRPr="00DA397C">
        <w:rPr>
          <w:rFonts w:ascii="Times New Roman" w:hAnsi="Times New Roman"/>
          <w:i/>
        </w:rPr>
        <w:t>(Shaw-</w:t>
      </w:r>
      <w:proofErr w:type="spellStart"/>
      <w:r w:rsidR="00DA397C" w:rsidRPr="00DA397C">
        <w:rPr>
          <w:rFonts w:ascii="Times New Roman" w:hAnsi="Times New Roman"/>
          <w:i/>
        </w:rPr>
        <w:t>Mellors</w:t>
      </w:r>
      <w:proofErr w:type="spellEnd"/>
      <w:r w:rsidR="00DA397C" w:rsidRPr="00DA397C">
        <w:rPr>
          <w:rFonts w:ascii="Times New Roman" w:hAnsi="Times New Roman"/>
          <w:i/>
        </w:rPr>
        <w:t>, 2020).</w:t>
      </w:r>
    </w:p>
    <w:p w:rsidR="00C32498" w:rsidRDefault="00C32498" w:rsidP="00D47408">
      <w:pPr>
        <w:spacing w:after="0" w:line="360" w:lineRule="auto"/>
        <w:jc w:val="both"/>
        <w:rPr>
          <w:rFonts w:ascii="Times New Roman" w:hAnsi="Times New Roman"/>
        </w:rPr>
      </w:pPr>
    </w:p>
    <w:p w:rsidR="0006311B" w:rsidRPr="00D47408" w:rsidRDefault="00D46653" w:rsidP="00D47408">
      <w:pPr>
        <w:spacing w:after="0" w:line="360" w:lineRule="auto"/>
        <w:jc w:val="both"/>
        <w:rPr>
          <w:rFonts w:ascii="Times New Roman" w:hAnsi="Times New Roman"/>
        </w:rPr>
      </w:pPr>
      <w:r w:rsidRPr="00D47408">
        <w:rPr>
          <w:rFonts w:ascii="Times New Roman" w:hAnsi="Times New Roman"/>
        </w:rPr>
        <w:t xml:space="preserve">Equitable remedies offer more flexibility in solving legal problems compared to Common Law remedies, particularly when monetary compensation isn't enough. Remedies like specific performance, injunctions, and rescission provide tailored ways to achieve fairness and justice, unlike Common Law's focus on monetary damages </w:t>
      </w:r>
      <w:r w:rsidRPr="0001006A">
        <w:rPr>
          <w:rFonts w:ascii="Times New Roman" w:hAnsi="Times New Roman"/>
          <w:i/>
        </w:rPr>
        <w:t>(</w:t>
      </w:r>
      <w:proofErr w:type="spellStart"/>
      <w:r w:rsidRPr="0001006A">
        <w:rPr>
          <w:rFonts w:ascii="Times New Roman" w:hAnsi="Times New Roman"/>
          <w:i/>
        </w:rPr>
        <w:t>Partington</w:t>
      </w:r>
      <w:proofErr w:type="spellEnd"/>
      <w:r w:rsidRPr="0001006A">
        <w:rPr>
          <w:rFonts w:ascii="Times New Roman" w:hAnsi="Times New Roman"/>
          <w:i/>
        </w:rPr>
        <w:t>, 2021).</w:t>
      </w:r>
      <w:r w:rsidRPr="00D47408">
        <w:rPr>
          <w:rFonts w:ascii="Times New Roman" w:hAnsi="Times New Roman"/>
        </w:rPr>
        <w:t xml:space="preserve"> Equitable remedies consider moral and fair principles, ensuring appropriate solutions for each case </w:t>
      </w:r>
      <w:r w:rsidRPr="0001006A">
        <w:rPr>
          <w:rFonts w:ascii="Times New Roman" w:hAnsi="Times New Roman"/>
          <w:i/>
        </w:rPr>
        <w:t>(Robinson &amp; Carlson, 2021).</w:t>
      </w:r>
      <w:r w:rsidRPr="00D47408">
        <w:rPr>
          <w:rFonts w:ascii="Times New Roman" w:hAnsi="Times New Roman"/>
        </w:rPr>
        <w:t xml:space="preserve"> Overall, they enhance the legal system's ability to handle conflicts while upholding values of justice and fairness.</w:t>
      </w:r>
    </w:p>
    <w:p w:rsidR="0006311B" w:rsidRPr="00D47408" w:rsidRDefault="00D70F42" w:rsidP="00D47408">
      <w:pPr>
        <w:spacing w:after="0" w:line="360" w:lineRule="auto"/>
        <w:jc w:val="both"/>
        <w:rPr>
          <w:rFonts w:ascii="Times New Roman" w:hAnsi="Times New Roman"/>
        </w:rPr>
      </w:pPr>
      <w:r w:rsidRPr="00D47408">
        <w:rPr>
          <w:rFonts w:ascii="Times New Roman" w:hAnsi="Times New Roman"/>
        </w:rPr>
        <w:t xml:space="preserve"> </w:t>
      </w:r>
      <w:r w:rsidR="0006311B" w:rsidRPr="00D47408">
        <w:rPr>
          <w:rFonts w:ascii="Times New Roman" w:hAnsi="Times New Roman"/>
        </w:rPr>
        <w:t xml:space="preserve">In today's legal landscape in England and Wales, equity continues to play a crucial role, particularly in the realm of trusts. Trusts are arrangements where one party (the trustee) holds assets for the benefit of another party (the beneficiary). Equity ensures that these trusts are administered fairly and in accordance with the intentions of the parties involved </w:t>
      </w:r>
      <w:r w:rsidR="0006311B" w:rsidRPr="00D47408">
        <w:rPr>
          <w:rFonts w:ascii="Times New Roman" w:hAnsi="Times New Roman"/>
          <w:i/>
        </w:rPr>
        <w:t>(Davies, P. S. (2019).</w:t>
      </w:r>
    </w:p>
    <w:p w:rsidR="0006311B" w:rsidRPr="00D47408" w:rsidRDefault="0006311B" w:rsidP="00D47408">
      <w:pPr>
        <w:spacing w:after="0" w:line="360" w:lineRule="auto"/>
        <w:jc w:val="both"/>
        <w:rPr>
          <w:rFonts w:ascii="Times New Roman" w:hAnsi="Times New Roman"/>
        </w:rPr>
      </w:pPr>
      <w:r w:rsidRPr="00D47408">
        <w:rPr>
          <w:rFonts w:ascii="Times New Roman" w:hAnsi="Times New Roman"/>
        </w:rPr>
        <w:t xml:space="preserve">One way equity applies in modern trusts is through its principles of fairness and flexibility. Unlike strict legal rules, equity allows courts to consider the specific circumstances of each case and make </w:t>
      </w:r>
      <w:r w:rsidRPr="00D47408">
        <w:rPr>
          <w:rFonts w:ascii="Times New Roman" w:hAnsi="Times New Roman"/>
        </w:rPr>
        <w:lastRenderedPageBreak/>
        <w:t>decisions based on what is fair and just. This ensures that beneficiaries are protected and that trust</w:t>
      </w:r>
      <w:r w:rsidR="00B1304A" w:rsidRPr="00D47408">
        <w:rPr>
          <w:rFonts w:ascii="Times New Roman" w:hAnsi="Times New Roman"/>
        </w:rPr>
        <w:t xml:space="preserve"> assets are managed responsibly </w:t>
      </w:r>
      <w:r w:rsidR="00B1304A" w:rsidRPr="00D47408">
        <w:rPr>
          <w:rFonts w:ascii="Times New Roman" w:hAnsi="Times New Roman"/>
          <w:i/>
        </w:rPr>
        <w:t>(</w:t>
      </w:r>
      <w:r w:rsidR="00B1304A" w:rsidRPr="00D47408">
        <w:rPr>
          <w:rFonts w:ascii="Times New Roman" w:hAnsi="Times New Roman"/>
          <w:i/>
          <w:shd w:val="clear" w:color="auto" w:fill="FFFFFF"/>
        </w:rPr>
        <w:t>Griffin, 2022</w:t>
      </w:r>
      <w:r w:rsidR="00B1304A" w:rsidRPr="00D47408">
        <w:rPr>
          <w:rFonts w:ascii="Times New Roman" w:hAnsi="Times New Roman"/>
          <w:i/>
        </w:rPr>
        <w:t>).</w:t>
      </w:r>
    </w:p>
    <w:p w:rsidR="00F66101" w:rsidRPr="00D47408" w:rsidRDefault="00F66101" w:rsidP="00D47408">
      <w:pPr>
        <w:spacing w:after="0" w:line="360" w:lineRule="auto"/>
        <w:jc w:val="both"/>
        <w:rPr>
          <w:rFonts w:ascii="Times New Roman" w:hAnsi="Times New Roman"/>
        </w:rPr>
      </w:pPr>
    </w:p>
    <w:p w:rsidR="0006311B" w:rsidRPr="00D47408" w:rsidRDefault="0006311B" w:rsidP="00D47408">
      <w:pPr>
        <w:spacing w:after="0" w:line="360" w:lineRule="auto"/>
        <w:jc w:val="both"/>
        <w:rPr>
          <w:rFonts w:ascii="Times New Roman" w:hAnsi="Times New Roman"/>
        </w:rPr>
      </w:pPr>
      <w:r w:rsidRPr="00D47408">
        <w:rPr>
          <w:rFonts w:ascii="Times New Roman" w:hAnsi="Times New Roman"/>
        </w:rPr>
        <w:t xml:space="preserve">For example, in the case of </w:t>
      </w:r>
      <w:r w:rsidRPr="00D47408">
        <w:rPr>
          <w:rFonts w:ascii="Times New Roman" w:hAnsi="Times New Roman"/>
          <w:i/>
        </w:rPr>
        <w:t xml:space="preserve">Pettit v Pettit [1970] AC 777, </w:t>
      </w:r>
      <w:r w:rsidRPr="00D47408">
        <w:rPr>
          <w:rFonts w:ascii="Times New Roman" w:hAnsi="Times New Roman"/>
        </w:rPr>
        <w:t>the House of Lords affirmed the principle of equity in trusts by ruling that informal agreements between spouses could create a trust, even without formal legal d</w:t>
      </w:r>
      <w:r w:rsidR="00B1304A" w:rsidRPr="00D47408">
        <w:rPr>
          <w:rFonts w:ascii="Times New Roman" w:hAnsi="Times New Roman"/>
        </w:rPr>
        <w:t>ocuments. This decision highlight</w:t>
      </w:r>
      <w:r w:rsidRPr="00D47408">
        <w:rPr>
          <w:rFonts w:ascii="Times New Roman" w:hAnsi="Times New Roman"/>
        </w:rPr>
        <w:t xml:space="preserve"> equity's role in promoting fairness and justice in trust arrangements.</w:t>
      </w:r>
    </w:p>
    <w:p w:rsidR="00C32498" w:rsidRDefault="0006311B" w:rsidP="00C32498">
      <w:pPr>
        <w:spacing w:line="360" w:lineRule="auto"/>
        <w:rPr>
          <w:rFonts w:ascii="Times New Roman" w:hAnsi="Times New Roman"/>
          <w:i/>
        </w:rPr>
      </w:pPr>
      <w:r w:rsidRPr="00D47408">
        <w:rPr>
          <w:rFonts w:ascii="Times New Roman" w:hAnsi="Times New Roman"/>
        </w:rPr>
        <w:t>Furthermore,</w:t>
      </w:r>
      <w:r w:rsidR="003A3FEE" w:rsidRPr="00D47408">
        <w:rPr>
          <w:rFonts w:ascii="Times New Roman" w:hAnsi="Times New Roman"/>
        </w:rPr>
        <w:t xml:space="preserve"> according to case, </w:t>
      </w:r>
      <w:r w:rsidR="003A3FEE" w:rsidRPr="00D47408">
        <w:rPr>
          <w:rFonts w:ascii="Times New Roman" w:hAnsi="Times New Roman"/>
          <w:i/>
        </w:rPr>
        <w:t xml:space="preserve">Royal Bank of Scotland v </w:t>
      </w:r>
      <w:proofErr w:type="spellStart"/>
      <w:r w:rsidR="003A3FEE" w:rsidRPr="00D47408">
        <w:rPr>
          <w:rFonts w:ascii="Times New Roman" w:hAnsi="Times New Roman"/>
          <w:i/>
        </w:rPr>
        <w:t>Etridge</w:t>
      </w:r>
      <w:proofErr w:type="spellEnd"/>
      <w:r w:rsidR="003A3FEE" w:rsidRPr="00D47408">
        <w:rPr>
          <w:rFonts w:ascii="Times New Roman" w:hAnsi="Times New Roman"/>
          <w:i/>
        </w:rPr>
        <w:t xml:space="preserve"> (No 2) [2001] UKHL 44, </w:t>
      </w:r>
      <w:r w:rsidRPr="00D47408">
        <w:rPr>
          <w:rFonts w:ascii="Times New Roman" w:hAnsi="Times New Roman"/>
        </w:rPr>
        <w:t>equity provides remedies to address breaches of trust by trustees. If trustees fail to fulfill their duties or act in a manner contrary to the beneficiaries' interests, equity allows courts to intervene and enforce the trust's terms. Remedies may include removing trustees, recovering misappropriated assets, or compelling truste</w:t>
      </w:r>
      <w:r w:rsidR="00C074A3" w:rsidRPr="00D47408">
        <w:rPr>
          <w:rFonts w:ascii="Times New Roman" w:hAnsi="Times New Roman"/>
        </w:rPr>
        <w:t xml:space="preserve">es to fulfill their obligations </w:t>
      </w:r>
      <w:r w:rsidR="00C074A3" w:rsidRPr="00D47408">
        <w:rPr>
          <w:rFonts w:ascii="Times New Roman" w:hAnsi="Times New Roman"/>
          <w:i/>
        </w:rPr>
        <w:t>(Jones, A. (2019).</w:t>
      </w:r>
      <w:r w:rsidRPr="00D47408">
        <w:rPr>
          <w:rFonts w:ascii="Times New Roman" w:hAnsi="Times New Roman"/>
        </w:rPr>
        <w:t>Legislation also reinforces equity's application in modern trusts. The Trustee Act 2000, for instance, codifies many equitable principles regarding trustees' duties and powers, providing guidance for trustees and beneficiaries alike.</w:t>
      </w:r>
    </w:p>
    <w:p w:rsidR="00C32498" w:rsidRDefault="00C32498" w:rsidP="00C32498">
      <w:pPr>
        <w:spacing w:line="360" w:lineRule="auto"/>
        <w:rPr>
          <w:rFonts w:ascii="Times New Roman" w:hAnsi="Times New Roman"/>
          <w:i/>
        </w:rPr>
      </w:pPr>
    </w:p>
    <w:p w:rsidR="00D70F42" w:rsidRPr="00C32498" w:rsidRDefault="003B39EF" w:rsidP="00C32498">
      <w:pPr>
        <w:spacing w:line="360" w:lineRule="auto"/>
        <w:rPr>
          <w:rFonts w:ascii="Times New Roman" w:hAnsi="Times New Roman"/>
          <w:i/>
        </w:rPr>
      </w:pPr>
      <w:r w:rsidRPr="00D47408">
        <w:rPr>
          <w:rFonts w:ascii="Times New Roman" w:hAnsi="Times New Roman"/>
        </w:rPr>
        <w:t xml:space="preserve">In business deals, equity's rules support the use of trusts for different aims like protecting assets, planning estates, and supporting charities. Trusts provide a handy way to handle assets and share out wealth while making sure beneficiaries are looked after. Overall, how equity is used in modern trusts shows it's still vital in English law. By pushing for fairness, flexibility, and responsibility, equity makes sure trust setups do what they're supposed to and protect beneficiaries' rights </w:t>
      </w:r>
      <w:r w:rsidRPr="0001006A">
        <w:rPr>
          <w:rFonts w:ascii="Times New Roman" w:hAnsi="Times New Roman"/>
          <w:i/>
        </w:rPr>
        <w:t>(Keller, Boland, &amp; Petty, 2022).</w:t>
      </w:r>
      <w:r w:rsidR="00904ADB" w:rsidRPr="0001006A">
        <w:rPr>
          <w:rFonts w:ascii="Times New Roman" w:hAnsi="Times New Roman"/>
          <w:i/>
        </w:rPr>
        <w:t xml:space="preserve"> </w:t>
      </w:r>
      <w:r w:rsidR="00904ADB" w:rsidRPr="00D47408">
        <w:rPr>
          <w:rFonts w:ascii="Times New Roman" w:hAnsi="Times New Roman"/>
        </w:rPr>
        <w:t xml:space="preserve">Trusts remain important in today's legal practice for various reasons like safeguarding assets, supporting charities, and planning estates. They offer flexibility in managing inheritance and preserving wealth while protecting assets. Trusts can serve different purposes such as securing family wealth for future generations, reducing taxes, or providing for minors and vulnerable beneficiaries. Overall, trusts are vital for managing and transferring assets while ensuring fairness and equality </w:t>
      </w:r>
      <w:r w:rsidR="00904ADB" w:rsidRPr="0001006A">
        <w:rPr>
          <w:rFonts w:ascii="Times New Roman" w:hAnsi="Times New Roman"/>
          <w:i/>
        </w:rPr>
        <w:t>(Hudson, 2021).</w:t>
      </w:r>
    </w:p>
    <w:p w:rsidR="00904ADB" w:rsidRPr="00D47408" w:rsidRDefault="00904ADB" w:rsidP="00D47408">
      <w:pPr>
        <w:spacing w:after="0" w:line="360" w:lineRule="auto"/>
        <w:jc w:val="both"/>
        <w:rPr>
          <w:rFonts w:ascii="Times New Roman" w:hAnsi="Times New Roman"/>
        </w:rPr>
      </w:pPr>
      <w:r w:rsidRPr="00D47408">
        <w:rPr>
          <w:rFonts w:ascii="Times New Roman" w:hAnsi="Times New Roman"/>
        </w:rPr>
        <w:t xml:space="preserve">            </w:t>
      </w:r>
    </w:p>
    <w:p w:rsidR="00757D50" w:rsidRPr="00D47408" w:rsidRDefault="00757D50" w:rsidP="00D47408">
      <w:pPr>
        <w:spacing w:after="0" w:line="360" w:lineRule="auto"/>
        <w:jc w:val="both"/>
        <w:rPr>
          <w:rFonts w:ascii="Times New Roman" w:hAnsi="Times New Roman"/>
        </w:rPr>
      </w:pPr>
      <w:r w:rsidRPr="00D47408">
        <w:rPr>
          <w:rFonts w:ascii="Times New Roman" w:hAnsi="Times New Roman"/>
        </w:rPr>
        <w:t>A notable case</w:t>
      </w:r>
      <w:r w:rsidRPr="00D47408">
        <w:rPr>
          <w:rFonts w:ascii="Times New Roman" w:hAnsi="Times New Roman"/>
          <w:i/>
        </w:rPr>
        <w:t xml:space="preserve"> Curran v Collins [2015] EWHC 1214 (Ch)</w:t>
      </w:r>
      <w:r w:rsidRPr="00D47408">
        <w:rPr>
          <w:rFonts w:ascii="Times New Roman" w:hAnsi="Times New Roman"/>
        </w:rPr>
        <w:t xml:space="preserve"> is a significant case from the Chancery Division of the High Court of England and Wales. It dealt with a trust dispute where trustees were accused of mismanaging trust funds and breaching their fiduciary duties. Beneficiaries sought relief, invoking equitable principles. The court carefully assessed trustee actions, identified breaches, and ordered appropriate remedies to rectify the situation. This case showcases equity's vital role in </w:t>
      </w:r>
      <w:r w:rsidRPr="00D47408">
        <w:rPr>
          <w:rFonts w:ascii="Times New Roman" w:hAnsi="Times New Roman"/>
        </w:rPr>
        <w:lastRenderedPageBreak/>
        <w:t>providing fair outcomes, particularly in complex trust disputes. It emphasizes equity's adaptability and commitment to justice in modern legal proceedings, reinforcing its importance in English law.</w:t>
      </w:r>
    </w:p>
    <w:p w:rsidR="001E6549" w:rsidRPr="001C4219" w:rsidRDefault="001E6549" w:rsidP="00D47408">
      <w:pPr>
        <w:spacing w:after="0" w:line="360" w:lineRule="auto"/>
        <w:jc w:val="both"/>
        <w:rPr>
          <w:rFonts w:ascii="Times New Roman" w:hAnsi="Times New Roman"/>
          <w:i/>
        </w:rPr>
      </w:pPr>
      <w:r w:rsidRPr="00D47408">
        <w:rPr>
          <w:rFonts w:ascii="Times New Roman" w:hAnsi="Times New Roman"/>
        </w:rPr>
        <w:t>Equity is a unique set of legal ideas that has been used to address justice, fairness, and conscience in a variety of situations. The</w:t>
      </w:r>
      <w:r w:rsidRPr="0001006A">
        <w:rPr>
          <w:rFonts w:ascii="Times New Roman" w:hAnsi="Times New Roman"/>
          <w:i/>
        </w:rPr>
        <w:t xml:space="preserve"> Cook v. Fountain [1676]</w:t>
      </w:r>
      <w:r w:rsidRPr="00D47408">
        <w:rPr>
          <w:rFonts w:ascii="Times New Roman" w:hAnsi="Times New Roman"/>
        </w:rPr>
        <w:t xml:space="preserve"> case examined the performance doctrine within the framework of a land sale agreement. Cook, the plaintiff, signed a contract with Fountain to buy land, but then declined to carry out the transaction. Fountain claimed that damages would not be a sufficient remedy and requested performance of the agreement. To promote justice and fairness, the court allowed performance, highlighting Equity's guiding concept of contract enforcement. This case established the general rule that in contracts for the sale of property, particular performance may be offered as a remedy if damages are insufficient </w:t>
      </w:r>
      <w:r w:rsidRPr="001C4219">
        <w:rPr>
          <w:rFonts w:ascii="Times New Roman" w:hAnsi="Times New Roman"/>
          <w:i/>
        </w:rPr>
        <w:t>(</w:t>
      </w:r>
      <w:proofErr w:type="spellStart"/>
      <w:r w:rsidRPr="001C4219">
        <w:rPr>
          <w:rFonts w:ascii="Times New Roman" w:hAnsi="Times New Roman"/>
          <w:i/>
          <w:shd w:val="clear" w:color="auto" w:fill="FFFFFF"/>
        </w:rPr>
        <w:t>Mee</w:t>
      </w:r>
      <w:proofErr w:type="spellEnd"/>
      <w:r w:rsidRPr="001C4219">
        <w:rPr>
          <w:rFonts w:ascii="Times New Roman" w:hAnsi="Times New Roman"/>
          <w:i/>
          <w:shd w:val="clear" w:color="auto" w:fill="FFFFFF"/>
        </w:rPr>
        <w:t>, 2014</w:t>
      </w:r>
      <w:r w:rsidRPr="001C4219">
        <w:rPr>
          <w:rFonts w:ascii="Times New Roman" w:hAnsi="Times New Roman"/>
          <w:i/>
        </w:rPr>
        <w:t>).</w:t>
      </w:r>
    </w:p>
    <w:p w:rsidR="00C32498" w:rsidRDefault="00C32498" w:rsidP="00D47408">
      <w:pPr>
        <w:spacing w:after="0" w:line="360" w:lineRule="auto"/>
        <w:jc w:val="both"/>
        <w:rPr>
          <w:rFonts w:ascii="Times New Roman" w:hAnsi="Times New Roman"/>
        </w:rPr>
      </w:pPr>
    </w:p>
    <w:p w:rsidR="001E6549" w:rsidRPr="002F1D94" w:rsidRDefault="001E6549" w:rsidP="00D47408">
      <w:pPr>
        <w:spacing w:after="0" w:line="360" w:lineRule="auto"/>
        <w:jc w:val="both"/>
        <w:rPr>
          <w:rFonts w:ascii="Times New Roman" w:hAnsi="Times New Roman"/>
          <w:i/>
        </w:rPr>
      </w:pPr>
      <w:r w:rsidRPr="00D47408">
        <w:rPr>
          <w:rFonts w:ascii="Times New Roman" w:hAnsi="Times New Roman"/>
        </w:rPr>
        <w:t xml:space="preserve">The Earl of Oxford's Case [1615] is a seminal ruling that upheld Equity courts' jurisdiction to issue injunctions to stop legal injustices. In this instance, an injunction was requested by the Earl of Oxford to stop the execution of a decision rendered against him by a Common Law court. Even though there was no legal basis for doing so under Common Law, the court decided that Equity had the authority to halt legal actions to avert irreversible harm or injustice. The breadth of equitable remedies was expanded by this case, which established the rule that equity courts could issue injunctions to stop legal injustices </w:t>
      </w:r>
      <w:r w:rsidRPr="002F1D94">
        <w:rPr>
          <w:rFonts w:ascii="Times New Roman" w:hAnsi="Times New Roman"/>
          <w:i/>
        </w:rPr>
        <w:t>(</w:t>
      </w:r>
      <w:r w:rsidRPr="002F1D94">
        <w:rPr>
          <w:rFonts w:ascii="Times New Roman" w:hAnsi="Times New Roman"/>
          <w:i/>
          <w:shd w:val="clear" w:color="auto" w:fill="FFFFFF"/>
        </w:rPr>
        <w:t>Ross, 2011</w:t>
      </w:r>
      <w:r w:rsidRPr="002F1D94">
        <w:rPr>
          <w:rFonts w:ascii="Times New Roman" w:hAnsi="Times New Roman"/>
          <w:i/>
        </w:rPr>
        <w:t>).</w:t>
      </w:r>
      <w:r w:rsidRPr="00D47408">
        <w:rPr>
          <w:rFonts w:ascii="Times New Roman" w:hAnsi="Times New Roman"/>
        </w:rPr>
        <w:t xml:space="preserve"> One important decision that helped to define equitable remedies was </w:t>
      </w:r>
      <w:r w:rsidRPr="002F1D94">
        <w:rPr>
          <w:rFonts w:ascii="Times New Roman" w:hAnsi="Times New Roman"/>
          <w:i/>
        </w:rPr>
        <w:t>Walsh v. Lonsdale [1882],</w:t>
      </w:r>
      <w:r w:rsidRPr="00D47408">
        <w:rPr>
          <w:rFonts w:ascii="Times New Roman" w:hAnsi="Times New Roman"/>
        </w:rPr>
        <w:t xml:space="preserve"> which dealt with damages and specific performance. The plaintiff, Walsh, was granted a lease by the defendant, Lonsdale, but this was later revoked. Walsh demanded that the lease be performed specifically, but Lonsdale countered that damages would be a sufficient compensation. Since the agreement was not sufficiently clear, the court decided that specific performance could not be used as a remedy. But as recompense for his losses, the court granted Walsh damages. This case upheld the rule that, in cases when damages are insufficient, and the agreement is sufficiently certain, performance is an equitable remedy </w:t>
      </w:r>
      <w:r w:rsidRPr="002F1D94">
        <w:rPr>
          <w:rFonts w:ascii="Times New Roman" w:hAnsi="Times New Roman"/>
          <w:i/>
        </w:rPr>
        <w:t>(</w:t>
      </w:r>
      <w:r w:rsidRPr="002F1D94">
        <w:rPr>
          <w:rFonts w:ascii="Times New Roman" w:hAnsi="Times New Roman"/>
          <w:i/>
          <w:shd w:val="clear" w:color="auto" w:fill="FFFFFF"/>
        </w:rPr>
        <w:t>Gardner, 1987</w:t>
      </w:r>
      <w:r w:rsidRPr="002F1D94">
        <w:rPr>
          <w:rFonts w:ascii="Times New Roman" w:hAnsi="Times New Roman"/>
          <w:i/>
        </w:rPr>
        <w:t>).</w:t>
      </w:r>
    </w:p>
    <w:p w:rsidR="001E6549" w:rsidRPr="00D47408" w:rsidRDefault="001E6549" w:rsidP="00D47408">
      <w:pPr>
        <w:spacing w:after="0" w:line="360" w:lineRule="auto"/>
        <w:jc w:val="both"/>
        <w:rPr>
          <w:rFonts w:ascii="Times New Roman" w:hAnsi="Times New Roman"/>
        </w:rPr>
      </w:pPr>
      <w:r w:rsidRPr="00D47408">
        <w:rPr>
          <w:rFonts w:ascii="Times New Roman" w:hAnsi="Times New Roman"/>
        </w:rPr>
        <w:t xml:space="preserve">The court examined the theory of proprietary </w:t>
      </w:r>
      <w:r w:rsidR="007E3F79" w:rsidRPr="00D47408">
        <w:rPr>
          <w:rFonts w:ascii="Times New Roman" w:hAnsi="Times New Roman"/>
        </w:rPr>
        <w:t>obstruct</w:t>
      </w:r>
      <w:r w:rsidRPr="00D47408">
        <w:rPr>
          <w:rFonts w:ascii="Times New Roman" w:hAnsi="Times New Roman"/>
        </w:rPr>
        <w:t xml:space="preserve"> in the context of a land transaction in </w:t>
      </w:r>
      <w:r w:rsidRPr="001269C6">
        <w:rPr>
          <w:rFonts w:ascii="Times New Roman" w:hAnsi="Times New Roman"/>
          <w:i/>
        </w:rPr>
        <w:t xml:space="preserve">Frederic E. Rose (London) LTD v. William H. </w:t>
      </w:r>
      <w:proofErr w:type="spellStart"/>
      <w:r w:rsidRPr="001269C6">
        <w:rPr>
          <w:rFonts w:ascii="Times New Roman" w:hAnsi="Times New Roman"/>
          <w:i/>
        </w:rPr>
        <w:t>Pim</w:t>
      </w:r>
      <w:proofErr w:type="spellEnd"/>
      <w:r w:rsidRPr="001269C6">
        <w:rPr>
          <w:rFonts w:ascii="Times New Roman" w:hAnsi="Times New Roman"/>
          <w:i/>
        </w:rPr>
        <w:t xml:space="preserve"> Junior and Co LTD [1953].</w:t>
      </w:r>
      <w:r w:rsidRPr="00D47408">
        <w:rPr>
          <w:rFonts w:ascii="Times New Roman" w:hAnsi="Times New Roman"/>
        </w:rPr>
        <w:t xml:space="preserve"> According to the plaintiff, Rose, the defendant, </w:t>
      </w:r>
      <w:proofErr w:type="spellStart"/>
      <w:r w:rsidRPr="00D47408">
        <w:rPr>
          <w:rFonts w:ascii="Times New Roman" w:hAnsi="Times New Roman"/>
        </w:rPr>
        <w:t>Pim</w:t>
      </w:r>
      <w:proofErr w:type="spellEnd"/>
      <w:r w:rsidRPr="00D47408">
        <w:rPr>
          <w:rFonts w:ascii="Times New Roman" w:hAnsi="Times New Roman"/>
        </w:rPr>
        <w:t xml:space="preserve">, had committed to selling him a piece of property but has now broken that pledge. Rose demanded equitable treatment, claiming that he had been detrimentally reliant on </w:t>
      </w:r>
      <w:proofErr w:type="spellStart"/>
      <w:r w:rsidRPr="00D47408">
        <w:rPr>
          <w:rFonts w:ascii="Times New Roman" w:hAnsi="Times New Roman"/>
        </w:rPr>
        <w:t>Pim's</w:t>
      </w:r>
      <w:proofErr w:type="spellEnd"/>
      <w:r w:rsidRPr="00D47408">
        <w:rPr>
          <w:rFonts w:ascii="Times New Roman" w:hAnsi="Times New Roman"/>
        </w:rPr>
        <w:t xml:space="preserve"> assurance. </w:t>
      </w:r>
      <w:proofErr w:type="spellStart"/>
      <w:r w:rsidRPr="00D47408">
        <w:rPr>
          <w:rFonts w:ascii="Times New Roman" w:hAnsi="Times New Roman"/>
        </w:rPr>
        <w:t>Pim</w:t>
      </w:r>
      <w:proofErr w:type="spellEnd"/>
      <w:r w:rsidRPr="00D47408">
        <w:rPr>
          <w:rFonts w:ascii="Times New Roman" w:hAnsi="Times New Roman"/>
        </w:rPr>
        <w:t xml:space="preserve"> was unable to refute the agreement's existence because the court determined that Rose was entitled to equitable relief based on proprietary </w:t>
      </w:r>
      <w:proofErr w:type="spellStart"/>
      <w:r w:rsidRPr="00D47408">
        <w:rPr>
          <w:rFonts w:ascii="Times New Roman" w:hAnsi="Times New Roman"/>
        </w:rPr>
        <w:t>estoppel</w:t>
      </w:r>
      <w:proofErr w:type="spellEnd"/>
      <w:r w:rsidRPr="00D47408">
        <w:rPr>
          <w:rFonts w:ascii="Times New Roman" w:hAnsi="Times New Roman"/>
        </w:rPr>
        <w:t xml:space="preserve">. The idea that equitable </w:t>
      </w:r>
      <w:r w:rsidR="007E3F79" w:rsidRPr="00D47408">
        <w:rPr>
          <w:rFonts w:ascii="Times New Roman" w:hAnsi="Times New Roman"/>
        </w:rPr>
        <w:t>estoppels</w:t>
      </w:r>
      <w:r w:rsidRPr="00D47408">
        <w:rPr>
          <w:rFonts w:ascii="Times New Roman" w:hAnsi="Times New Roman"/>
        </w:rPr>
        <w:t xml:space="preserve"> might be applied to uphold agreements and halt unfair practices in real estate transactions was established by this decision </w:t>
      </w:r>
      <w:r w:rsidRPr="001269C6">
        <w:rPr>
          <w:rFonts w:ascii="Times New Roman" w:hAnsi="Times New Roman"/>
          <w:i/>
        </w:rPr>
        <w:t>(</w:t>
      </w:r>
      <w:r w:rsidRPr="001269C6">
        <w:rPr>
          <w:rFonts w:ascii="Times New Roman" w:hAnsi="Times New Roman"/>
          <w:i/>
          <w:shd w:val="clear" w:color="auto" w:fill="FFFFFF"/>
        </w:rPr>
        <w:t>Shaw-</w:t>
      </w:r>
      <w:proofErr w:type="spellStart"/>
      <w:r w:rsidRPr="001269C6">
        <w:rPr>
          <w:rFonts w:ascii="Times New Roman" w:hAnsi="Times New Roman"/>
          <w:i/>
          <w:shd w:val="clear" w:color="auto" w:fill="FFFFFF"/>
        </w:rPr>
        <w:t>Mellors</w:t>
      </w:r>
      <w:proofErr w:type="spellEnd"/>
      <w:r w:rsidRPr="001269C6">
        <w:rPr>
          <w:rFonts w:ascii="Times New Roman" w:hAnsi="Times New Roman"/>
          <w:i/>
          <w:shd w:val="clear" w:color="auto" w:fill="FFFFFF"/>
        </w:rPr>
        <w:t>, 2020</w:t>
      </w:r>
      <w:r w:rsidRPr="001269C6">
        <w:rPr>
          <w:rFonts w:ascii="Times New Roman" w:hAnsi="Times New Roman"/>
          <w:i/>
        </w:rPr>
        <w:t>).</w:t>
      </w:r>
      <w:r w:rsidRPr="00D47408">
        <w:rPr>
          <w:rFonts w:ascii="Times New Roman" w:hAnsi="Times New Roman"/>
        </w:rPr>
        <w:t xml:space="preserve"> A prominent case that </w:t>
      </w:r>
      <w:r w:rsidRPr="00D47408">
        <w:rPr>
          <w:rFonts w:ascii="Times New Roman" w:hAnsi="Times New Roman"/>
        </w:rPr>
        <w:lastRenderedPageBreak/>
        <w:t xml:space="preserve">addressed the theory of undue influence in the context of a private relationship was </w:t>
      </w:r>
      <w:proofErr w:type="spellStart"/>
      <w:r w:rsidRPr="001269C6">
        <w:rPr>
          <w:rFonts w:ascii="Times New Roman" w:hAnsi="Times New Roman"/>
          <w:i/>
        </w:rPr>
        <w:t>Rochefoucauld</w:t>
      </w:r>
      <w:proofErr w:type="spellEnd"/>
      <w:r w:rsidRPr="001269C6">
        <w:rPr>
          <w:rFonts w:ascii="Times New Roman" w:hAnsi="Times New Roman"/>
          <w:i/>
        </w:rPr>
        <w:t xml:space="preserve"> v. Boustead [1897]. </w:t>
      </w:r>
      <w:r w:rsidRPr="00D47408">
        <w:rPr>
          <w:rFonts w:ascii="Times New Roman" w:hAnsi="Times New Roman"/>
        </w:rPr>
        <w:t xml:space="preserve">The plaintiff in this case, </w:t>
      </w:r>
      <w:proofErr w:type="spellStart"/>
      <w:r w:rsidRPr="00D47408">
        <w:rPr>
          <w:rFonts w:ascii="Times New Roman" w:hAnsi="Times New Roman"/>
        </w:rPr>
        <w:t>Rochefoucauld</w:t>
      </w:r>
      <w:proofErr w:type="spellEnd"/>
      <w:r w:rsidRPr="00D47408">
        <w:rPr>
          <w:rFonts w:ascii="Times New Roman" w:hAnsi="Times New Roman"/>
        </w:rPr>
        <w:t xml:space="preserve">, asserted that Boustead, the defendant, had unduly influenced her during the performance of a deed. The court determined that the deed was voidable because Boustead had, in fact, exerted undue influence over </w:t>
      </w:r>
      <w:proofErr w:type="spellStart"/>
      <w:r w:rsidRPr="00D47408">
        <w:rPr>
          <w:rFonts w:ascii="Times New Roman" w:hAnsi="Times New Roman"/>
        </w:rPr>
        <w:t>Rochefo</w:t>
      </w:r>
      <w:r w:rsidR="00442D62" w:rsidRPr="00D47408">
        <w:rPr>
          <w:rFonts w:ascii="Times New Roman" w:hAnsi="Times New Roman"/>
        </w:rPr>
        <w:t>ucauld</w:t>
      </w:r>
      <w:proofErr w:type="spellEnd"/>
      <w:r w:rsidR="00442D62" w:rsidRPr="00D47408">
        <w:rPr>
          <w:rFonts w:ascii="Times New Roman" w:hAnsi="Times New Roman"/>
        </w:rPr>
        <w:t>. This judgment highlighted</w:t>
      </w:r>
      <w:r w:rsidRPr="00D47408">
        <w:rPr>
          <w:rFonts w:ascii="Times New Roman" w:hAnsi="Times New Roman"/>
        </w:rPr>
        <w:t xml:space="preserve"> Equity's function in shielding weaker parties from exploitation in private interactions and established the rules governing excessive influence </w:t>
      </w:r>
      <w:r w:rsidRPr="001269C6">
        <w:rPr>
          <w:rFonts w:ascii="Times New Roman" w:hAnsi="Times New Roman"/>
          <w:i/>
        </w:rPr>
        <w:t>(</w:t>
      </w:r>
      <w:proofErr w:type="spellStart"/>
      <w:r w:rsidRPr="001269C6">
        <w:rPr>
          <w:rFonts w:ascii="Times New Roman" w:hAnsi="Times New Roman"/>
          <w:i/>
          <w:shd w:val="clear" w:color="auto" w:fill="FFFFFF"/>
        </w:rPr>
        <w:t>Swadling</w:t>
      </w:r>
      <w:proofErr w:type="spellEnd"/>
      <w:r w:rsidRPr="001269C6">
        <w:rPr>
          <w:rFonts w:ascii="Times New Roman" w:hAnsi="Times New Roman"/>
          <w:i/>
          <w:shd w:val="clear" w:color="auto" w:fill="FFFFFF"/>
        </w:rPr>
        <w:t>, 2020</w:t>
      </w:r>
      <w:r w:rsidRPr="001269C6">
        <w:rPr>
          <w:rFonts w:ascii="Times New Roman" w:hAnsi="Times New Roman"/>
          <w:i/>
        </w:rPr>
        <w:t>).</w:t>
      </w:r>
    </w:p>
    <w:p w:rsidR="00C32498" w:rsidRDefault="00C32498" w:rsidP="00D47408">
      <w:pPr>
        <w:spacing w:after="0" w:line="360" w:lineRule="auto"/>
        <w:jc w:val="both"/>
        <w:rPr>
          <w:rFonts w:ascii="Times New Roman" w:hAnsi="Times New Roman"/>
        </w:rPr>
      </w:pPr>
    </w:p>
    <w:p w:rsidR="004D3690" w:rsidRPr="00DF56BA" w:rsidRDefault="004D3690" w:rsidP="00D47408">
      <w:pPr>
        <w:spacing w:after="0" w:line="360" w:lineRule="auto"/>
        <w:jc w:val="both"/>
        <w:rPr>
          <w:rFonts w:ascii="Times New Roman" w:hAnsi="Times New Roman"/>
          <w:i/>
        </w:rPr>
      </w:pPr>
      <w:r w:rsidRPr="00D47408">
        <w:rPr>
          <w:rFonts w:ascii="Times New Roman" w:hAnsi="Times New Roman"/>
        </w:rPr>
        <w:t xml:space="preserve">Equity provides concepts and remedies that address the shortcomings of Common Law and promote justice and fairness in various contexts. Its relevance is evident in its contributions to trusts, property law, contract law, and equitable </w:t>
      </w:r>
      <w:r w:rsidR="00040171" w:rsidRPr="00D47408">
        <w:rPr>
          <w:rFonts w:ascii="Times New Roman" w:hAnsi="Times New Roman"/>
        </w:rPr>
        <w:t xml:space="preserve">remedies </w:t>
      </w:r>
      <w:r w:rsidR="00040171" w:rsidRPr="00DF56BA">
        <w:rPr>
          <w:rFonts w:ascii="Times New Roman" w:hAnsi="Times New Roman"/>
          <w:i/>
        </w:rPr>
        <w:t>(</w:t>
      </w:r>
      <w:r w:rsidRPr="00DF56BA">
        <w:rPr>
          <w:rFonts w:ascii="Times New Roman" w:hAnsi="Times New Roman"/>
          <w:i/>
          <w:shd w:val="clear" w:color="auto" w:fill="FFFFFF"/>
        </w:rPr>
        <w:t>Rogers, 2023</w:t>
      </w:r>
      <w:r w:rsidRPr="00DF56BA">
        <w:rPr>
          <w:rFonts w:ascii="Times New Roman" w:hAnsi="Times New Roman"/>
          <w:i/>
        </w:rPr>
        <w:t>).</w:t>
      </w:r>
      <w:r w:rsidRPr="00D47408">
        <w:rPr>
          <w:rFonts w:ascii="Times New Roman" w:hAnsi="Times New Roman"/>
        </w:rPr>
        <w:t xml:space="preserve"> However, challenges exist, such as the perceived unpredictability and ambiguity of equitable remedies compared to Common Law. Critics argue that this ambiguity undermines trust in the legal system and the rule of law (Wang &amp; Lo, 2021). Potential advancements in equity law could focus on enhancing clarity, consistency, and transparency in the administration of equitable remedies, ensuring fair and efficient resolution of legal disputes </w:t>
      </w:r>
      <w:r w:rsidRPr="00DF56BA">
        <w:rPr>
          <w:rFonts w:ascii="Times New Roman" w:hAnsi="Times New Roman"/>
          <w:i/>
        </w:rPr>
        <w:t>(Wilson et al., 2020; Frost et al., 2022).</w:t>
      </w:r>
    </w:p>
    <w:p w:rsidR="001E6549" w:rsidRPr="00D47408" w:rsidRDefault="001E6549" w:rsidP="00D47408">
      <w:pPr>
        <w:spacing w:after="0" w:line="360" w:lineRule="auto"/>
        <w:ind w:firstLine="720"/>
        <w:jc w:val="both"/>
        <w:rPr>
          <w:rFonts w:ascii="Times New Roman" w:hAnsi="Times New Roman"/>
        </w:rPr>
      </w:pPr>
      <w:r w:rsidRPr="00D47408">
        <w:rPr>
          <w:rFonts w:ascii="Times New Roman" w:hAnsi="Times New Roman"/>
        </w:rPr>
        <w:t xml:space="preserve"> </w:t>
      </w:r>
    </w:p>
    <w:p w:rsidR="00DA273B" w:rsidRPr="00D47408" w:rsidRDefault="00DA273B" w:rsidP="00D47408">
      <w:pPr>
        <w:spacing w:after="0" w:line="360" w:lineRule="auto"/>
        <w:ind w:firstLine="720"/>
        <w:jc w:val="both"/>
        <w:rPr>
          <w:rFonts w:ascii="Times New Roman" w:hAnsi="Times New Roman"/>
        </w:rPr>
      </w:pPr>
    </w:p>
    <w:p w:rsidR="00DA273B" w:rsidRPr="00D47408" w:rsidRDefault="00DA273B" w:rsidP="00D47408">
      <w:pPr>
        <w:spacing w:after="0" w:line="360" w:lineRule="auto"/>
        <w:ind w:firstLine="720"/>
        <w:jc w:val="both"/>
        <w:rPr>
          <w:rFonts w:ascii="Times New Roman" w:hAnsi="Times New Roman"/>
        </w:rPr>
      </w:pPr>
    </w:p>
    <w:p w:rsidR="00F66101" w:rsidRPr="00D47408" w:rsidRDefault="00F66101" w:rsidP="00D47408">
      <w:pPr>
        <w:spacing w:after="0" w:line="360" w:lineRule="auto"/>
        <w:ind w:firstLine="720"/>
        <w:jc w:val="both"/>
        <w:rPr>
          <w:rFonts w:ascii="Times New Roman" w:hAnsi="Times New Roman"/>
        </w:rPr>
      </w:pPr>
    </w:p>
    <w:p w:rsidR="00F66101" w:rsidRPr="00D47408" w:rsidRDefault="00F66101" w:rsidP="00D47408">
      <w:pPr>
        <w:spacing w:after="0" w:line="360" w:lineRule="auto"/>
        <w:ind w:firstLine="720"/>
        <w:jc w:val="both"/>
        <w:rPr>
          <w:rFonts w:ascii="Times New Roman" w:hAnsi="Times New Roman"/>
        </w:rPr>
      </w:pPr>
    </w:p>
    <w:p w:rsidR="00F66101" w:rsidRPr="00D47408" w:rsidRDefault="00F66101" w:rsidP="00D47408">
      <w:pPr>
        <w:spacing w:after="0" w:line="360" w:lineRule="auto"/>
        <w:ind w:firstLine="720"/>
        <w:jc w:val="both"/>
        <w:rPr>
          <w:rFonts w:ascii="Times New Roman" w:hAnsi="Times New Roman"/>
        </w:rPr>
      </w:pPr>
    </w:p>
    <w:p w:rsidR="00F66101" w:rsidRPr="00D47408" w:rsidRDefault="00F66101" w:rsidP="00D47408">
      <w:pPr>
        <w:spacing w:after="0" w:line="360" w:lineRule="auto"/>
        <w:ind w:firstLine="720"/>
        <w:jc w:val="both"/>
        <w:rPr>
          <w:rFonts w:ascii="Times New Roman" w:hAnsi="Times New Roman"/>
        </w:rPr>
      </w:pPr>
    </w:p>
    <w:p w:rsidR="00F66101" w:rsidRPr="00D47408" w:rsidRDefault="00F66101" w:rsidP="00D47408">
      <w:pPr>
        <w:spacing w:after="0" w:line="360" w:lineRule="auto"/>
        <w:ind w:firstLine="720"/>
        <w:jc w:val="both"/>
        <w:rPr>
          <w:rFonts w:ascii="Times New Roman" w:hAnsi="Times New Roman"/>
        </w:rPr>
      </w:pPr>
    </w:p>
    <w:p w:rsidR="00F66101" w:rsidRPr="00D47408" w:rsidRDefault="00F66101" w:rsidP="00D47408">
      <w:pPr>
        <w:spacing w:after="0" w:line="360" w:lineRule="auto"/>
        <w:ind w:firstLine="720"/>
        <w:jc w:val="both"/>
        <w:rPr>
          <w:rFonts w:ascii="Times New Roman" w:hAnsi="Times New Roman"/>
        </w:rPr>
      </w:pPr>
    </w:p>
    <w:p w:rsidR="00F66101" w:rsidRPr="00D47408" w:rsidRDefault="00F66101" w:rsidP="00D47408">
      <w:pPr>
        <w:spacing w:after="0" w:line="360" w:lineRule="auto"/>
        <w:ind w:firstLine="720"/>
        <w:jc w:val="both"/>
        <w:rPr>
          <w:rFonts w:ascii="Times New Roman" w:hAnsi="Times New Roman"/>
        </w:rPr>
      </w:pPr>
    </w:p>
    <w:p w:rsidR="00F66101" w:rsidRPr="00D47408" w:rsidRDefault="00F66101" w:rsidP="00D47408">
      <w:pPr>
        <w:spacing w:after="0" w:line="360" w:lineRule="auto"/>
        <w:ind w:firstLine="720"/>
        <w:jc w:val="both"/>
        <w:rPr>
          <w:rFonts w:ascii="Times New Roman" w:hAnsi="Times New Roman"/>
        </w:rPr>
      </w:pPr>
    </w:p>
    <w:p w:rsidR="00F66101" w:rsidRPr="00D47408" w:rsidRDefault="00F66101" w:rsidP="00D47408">
      <w:pPr>
        <w:spacing w:after="0" w:line="360" w:lineRule="auto"/>
        <w:ind w:firstLine="720"/>
        <w:jc w:val="both"/>
        <w:rPr>
          <w:rFonts w:ascii="Times New Roman" w:hAnsi="Times New Roman"/>
        </w:rPr>
      </w:pPr>
    </w:p>
    <w:p w:rsidR="00F66101" w:rsidRPr="00D47408" w:rsidRDefault="00F66101" w:rsidP="00D47408">
      <w:pPr>
        <w:spacing w:after="0" w:line="360" w:lineRule="auto"/>
        <w:ind w:firstLine="720"/>
        <w:jc w:val="both"/>
        <w:rPr>
          <w:rFonts w:ascii="Times New Roman" w:hAnsi="Times New Roman"/>
        </w:rPr>
      </w:pPr>
    </w:p>
    <w:p w:rsidR="00F66101" w:rsidRPr="00D47408" w:rsidRDefault="00F66101" w:rsidP="00D47408">
      <w:pPr>
        <w:spacing w:after="0" w:line="360" w:lineRule="auto"/>
        <w:ind w:firstLine="720"/>
        <w:jc w:val="both"/>
        <w:rPr>
          <w:rFonts w:ascii="Times New Roman" w:hAnsi="Times New Roman"/>
        </w:rPr>
      </w:pPr>
    </w:p>
    <w:p w:rsidR="00F66101" w:rsidRPr="00D47408" w:rsidRDefault="00F66101" w:rsidP="00D47408">
      <w:pPr>
        <w:spacing w:after="0" w:line="360" w:lineRule="auto"/>
        <w:ind w:firstLine="720"/>
        <w:jc w:val="both"/>
        <w:rPr>
          <w:rFonts w:ascii="Times New Roman" w:hAnsi="Times New Roman"/>
        </w:rPr>
      </w:pPr>
    </w:p>
    <w:p w:rsidR="00F66101" w:rsidRPr="00D47408" w:rsidRDefault="00F66101" w:rsidP="00D47408">
      <w:pPr>
        <w:spacing w:after="0" w:line="360" w:lineRule="auto"/>
        <w:ind w:firstLine="720"/>
        <w:jc w:val="both"/>
        <w:rPr>
          <w:rFonts w:ascii="Times New Roman" w:hAnsi="Times New Roman"/>
        </w:rPr>
      </w:pPr>
    </w:p>
    <w:p w:rsidR="00F66101" w:rsidRPr="00D47408" w:rsidRDefault="00F66101" w:rsidP="00D47408">
      <w:pPr>
        <w:spacing w:after="0" w:line="360" w:lineRule="auto"/>
        <w:ind w:firstLine="720"/>
        <w:jc w:val="both"/>
        <w:rPr>
          <w:rFonts w:ascii="Times New Roman" w:hAnsi="Times New Roman"/>
        </w:rPr>
      </w:pPr>
    </w:p>
    <w:p w:rsidR="00F66101" w:rsidRPr="00D47408" w:rsidRDefault="00F66101" w:rsidP="00D47408">
      <w:pPr>
        <w:spacing w:after="0" w:line="360" w:lineRule="auto"/>
        <w:ind w:firstLine="720"/>
        <w:jc w:val="both"/>
        <w:rPr>
          <w:rFonts w:ascii="Times New Roman" w:hAnsi="Times New Roman"/>
        </w:rPr>
      </w:pPr>
    </w:p>
    <w:p w:rsidR="00C32498" w:rsidRDefault="00C32498" w:rsidP="00D47408">
      <w:pPr>
        <w:spacing w:line="360" w:lineRule="auto"/>
        <w:jc w:val="both"/>
        <w:rPr>
          <w:rFonts w:ascii="Times New Roman" w:hAnsi="Times New Roman"/>
        </w:rPr>
      </w:pPr>
    </w:p>
    <w:p w:rsidR="00C32498" w:rsidRDefault="00C32498" w:rsidP="00D47408">
      <w:pPr>
        <w:spacing w:line="360" w:lineRule="auto"/>
        <w:jc w:val="both"/>
        <w:rPr>
          <w:rFonts w:ascii="Times New Roman" w:hAnsi="Times New Roman"/>
        </w:rPr>
      </w:pPr>
    </w:p>
    <w:p w:rsidR="00D84E24" w:rsidRPr="00D47408" w:rsidRDefault="00D84E24" w:rsidP="00D47408">
      <w:pPr>
        <w:spacing w:line="360" w:lineRule="auto"/>
        <w:jc w:val="both"/>
        <w:rPr>
          <w:rFonts w:ascii="Times New Roman" w:hAnsi="Times New Roman"/>
        </w:rPr>
      </w:pPr>
      <w:r w:rsidRPr="00D47408">
        <w:rPr>
          <w:rFonts w:ascii="Times New Roman" w:hAnsi="Times New Roman"/>
        </w:rPr>
        <w:t>In the legal systems of England and Wales, equity and common law are indispensable as they provide remedies and principles that ensure justice and fairness. Equity, with its flexible and discretionary remedies, has evolved over time as a distinct legal system that complements and enriches the rigid common law. It has played a pivotal role in shaping the laws of England and Wales, starting from its origins in the Court of Chancery to its integration into t</w:t>
      </w:r>
      <w:r w:rsidR="004230C9" w:rsidRPr="00D47408">
        <w:rPr>
          <w:rFonts w:ascii="Times New Roman" w:hAnsi="Times New Roman"/>
        </w:rPr>
        <w:t xml:space="preserve">he contemporary legal framework </w:t>
      </w:r>
      <w:r w:rsidR="004230C9" w:rsidRPr="00D47408">
        <w:rPr>
          <w:rFonts w:ascii="Times New Roman" w:hAnsi="Times New Roman"/>
          <w:i/>
        </w:rPr>
        <w:t xml:space="preserve">(John C. P. Goldberg, Henry E. Smith, </w:t>
      </w:r>
      <w:proofErr w:type="gramStart"/>
      <w:r w:rsidR="004230C9" w:rsidRPr="00D47408">
        <w:rPr>
          <w:rFonts w:ascii="Times New Roman" w:hAnsi="Times New Roman"/>
          <w:i/>
        </w:rPr>
        <w:t>P</w:t>
      </w:r>
      <w:proofErr w:type="gramEnd"/>
      <w:r w:rsidR="004230C9" w:rsidRPr="00D47408">
        <w:rPr>
          <w:rFonts w:ascii="Times New Roman" w:hAnsi="Times New Roman"/>
          <w:i/>
        </w:rPr>
        <w:t>. G. Turner. (2019-08).</w:t>
      </w:r>
      <w:r w:rsidR="004230C9" w:rsidRPr="00D47408">
        <w:rPr>
          <w:rFonts w:ascii="Times New Roman" w:hAnsi="Times New Roman"/>
        </w:rPr>
        <w:t>I</w:t>
      </w:r>
      <w:r w:rsidRPr="00D47408">
        <w:rPr>
          <w:rFonts w:ascii="Times New Roman" w:hAnsi="Times New Roman"/>
        </w:rPr>
        <w:t>n summary, the enduring impact of equity lies in its ability to deliver just and equitable resolutions to legal disputes, promote impartiality and justice, and uphold the rule of law. Its significance alongside common law cannot be overstated, as both systems collaborate to ensure the legal system remains responsive to societal needs and capable of delivering equitable outcomes.</w:t>
      </w:r>
    </w:p>
    <w:p w:rsidR="001E6549" w:rsidRPr="00D47408" w:rsidRDefault="001E6549" w:rsidP="00D47408">
      <w:pPr>
        <w:spacing w:after="0" w:line="360" w:lineRule="auto"/>
        <w:jc w:val="both"/>
        <w:rPr>
          <w:rFonts w:ascii="Times New Roman" w:hAnsi="Times New Roman"/>
        </w:rPr>
      </w:pPr>
    </w:p>
    <w:p w:rsidR="001E6549" w:rsidRPr="00D47408" w:rsidRDefault="001E6549" w:rsidP="00D47408">
      <w:pPr>
        <w:spacing w:after="0" w:line="360" w:lineRule="auto"/>
        <w:jc w:val="both"/>
        <w:rPr>
          <w:rFonts w:ascii="Times New Roman" w:eastAsiaTheme="majorEastAsia" w:hAnsi="Times New Roman"/>
          <w:b/>
          <w:bCs/>
        </w:rPr>
      </w:pPr>
      <w:r w:rsidRPr="00D47408">
        <w:rPr>
          <w:rFonts w:ascii="Times New Roman" w:hAnsi="Times New Roman"/>
          <w:b/>
          <w:bCs/>
        </w:rPr>
        <w:br w:type="page"/>
      </w:r>
    </w:p>
    <w:p w:rsidR="001E6549" w:rsidRPr="00D47408" w:rsidRDefault="001E6549" w:rsidP="00D47408">
      <w:pPr>
        <w:pStyle w:val="Heading1"/>
        <w:spacing w:before="0" w:line="360" w:lineRule="auto"/>
        <w:jc w:val="both"/>
        <w:rPr>
          <w:rFonts w:ascii="Times New Roman" w:hAnsi="Times New Roman" w:cs="Times New Roman"/>
          <w:bCs w:val="0"/>
          <w:color w:val="auto"/>
          <w:sz w:val="24"/>
          <w:szCs w:val="24"/>
        </w:rPr>
      </w:pPr>
      <w:bookmarkStart w:id="0" w:name="_Toc160726820"/>
      <w:r w:rsidRPr="00D47408">
        <w:rPr>
          <w:rFonts w:ascii="Times New Roman" w:hAnsi="Times New Roman" w:cs="Times New Roman"/>
          <w:color w:val="auto"/>
          <w:sz w:val="24"/>
          <w:szCs w:val="24"/>
        </w:rPr>
        <w:lastRenderedPageBreak/>
        <w:t>References</w:t>
      </w:r>
      <w:bookmarkEnd w:id="0"/>
    </w:p>
    <w:p w:rsidR="001E6549" w:rsidRPr="00D47408" w:rsidRDefault="001E6549" w:rsidP="00D47408">
      <w:pPr>
        <w:pStyle w:val="ListParagraph"/>
        <w:numPr>
          <w:ilvl w:val="0"/>
          <w:numId w:val="1"/>
        </w:numPr>
        <w:spacing w:after="0" w:line="360" w:lineRule="auto"/>
        <w:jc w:val="both"/>
        <w:rPr>
          <w:rFonts w:ascii="Times New Roman" w:hAnsi="Times New Roman"/>
          <w:shd w:val="clear" w:color="auto" w:fill="FFFFFF"/>
        </w:rPr>
      </w:pPr>
      <w:proofErr w:type="spellStart"/>
      <w:r w:rsidRPr="00D47408">
        <w:rPr>
          <w:rFonts w:ascii="Times New Roman" w:hAnsi="Times New Roman"/>
          <w:shd w:val="clear" w:color="auto" w:fill="FFFFFF"/>
        </w:rPr>
        <w:t>Beebeejaun</w:t>
      </w:r>
      <w:proofErr w:type="spellEnd"/>
      <w:r w:rsidRPr="00D47408">
        <w:rPr>
          <w:rFonts w:ascii="Times New Roman" w:hAnsi="Times New Roman"/>
          <w:shd w:val="clear" w:color="auto" w:fill="FFFFFF"/>
        </w:rPr>
        <w:t xml:space="preserve">, Z. and </w:t>
      </w:r>
      <w:proofErr w:type="spellStart"/>
      <w:r w:rsidRPr="00D47408">
        <w:rPr>
          <w:rFonts w:ascii="Times New Roman" w:hAnsi="Times New Roman"/>
          <w:shd w:val="clear" w:color="auto" w:fill="FFFFFF"/>
        </w:rPr>
        <w:t>Faccia</w:t>
      </w:r>
      <w:proofErr w:type="spellEnd"/>
      <w:r w:rsidRPr="00D47408">
        <w:rPr>
          <w:rFonts w:ascii="Times New Roman" w:hAnsi="Times New Roman"/>
          <w:shd w:val="clear" w:color="auto" w:fill="FFFFFF"/>
        </w:rPr>
        <w:t>, A., 2022. Electronic Alternative Dispute Resolution, smart contracts and equity in the energy sector. </w:t>
      </w:r>
      <w:r w:rsidRPr="00D47408">
        <w:rPr>
          <w:rFonts w:ascii="Times New Roman" w:hAnsi="Times New Roman"/>
          <w:i/>
          <w:iCs/>
          <w:shd w:val="clear" w:color="auto" w:fill="FFFFFF"/>
        </w:rPr>
        <w:t>The Journal of World Energy Law &amp; Business</w:t>
      </w:r>
      <w:r w:rsidRPr="00D47408">
        <w:rPr>
          <w:rFonts w:ascii="Times New Roman" w:hAnsi="Times New Roman"/>
          <w:shd w:val="clear" w:color="auto" w:fill="FFFFFF"/>
        </w:rPr>
        <w:t>, </w:t>
      </w:r>
      <w:r w:rsidRPr="00D47408">
        <w:rPr>
          <w:rFonts w:ascii="Times New Roman" w:hAnsi="Times New Roman"/>
          <w:i/>
          <w:iCs/>
          <w:shd w:val="clear" w:color="auto" w:fill="FFFFFF"/>
        </w:rPr>
        <w:t>15</w:t>
      </w:r>
      <w:r w:rsidRPr="00D47408">
        <w:rPr>
          <w:rFonts w:ascii="Times New Roman" w:hAnsi="Times New Roman"/>
          <w:shd w:val="clear" w:color="auto" w:fill="FFFFFF"/>
        </w:rPr>
        <w:t>(2), pp.97-113.</w:t>
      </w:r>
    </w:p>
    <w:p w:rsidR="001E6549" w:rsidRPr="00D47408" w:rsidRDefault="001E6549" w:rsidP="00D47408">
      <w:pPr>
        <w:pStyle w:val="ListParagraph"/>
        <w:numPr>
          <w:ilvl w:val="0"/>
          <w:numId w:val="1"/>
        </w:numPr>
        <w:spacing w:after="0" w:line="360" w:lineRule="auto"/>
        <w:jc w:val="both"/>
        <w:rPr>
          <w:rFonts w:ascii="Times New Roman" w:hAnsi="Times New Roman"/>
          <w:shd w:val="clear" w:color="auto" w:fill="FFFFFF"/>
        </w:rPr>
      </w:pPr>
      <w:proofErr w:type="spellStart"/>
      <w:r w:rsidRPr="00D47408">
        <w:rPr>
          <w:rFonts w:ascii="Times New Roman" w:hAnsi="Times New Roman"/>
          <w:shd w:val="clear" w:color="auto" w:fill="FFFFFF"/>
        </w:rPr>
        <w:t>Chouaibi</w:t>
      </w:r>
      <w:proofErr w:type="spellEnd"/>
      <w:r w:rsidRPr="00D47408">
        <w:rPr>
          <w:rFonts w:ascii="Times New Roman" w:hAnsi="Times New Roman"/>
          <w:shd w:val="clear" w:color="auto" w:fill="FFFFFF"/>
        </w:rPr>
        <w:t xml:space="preserve">, S., </w:t>
      </w:r>
      <w:proofErr w:type="spellStart"/>
      <w:r w:rsidRPr="00D47408">
        <w:rPr>
          <w:rFonts w:ascii="Times New Roman" w:hAnsi="Times New Roman"/>
          <w:shd w:val="clear" w:color="auto" w:fill="FFFFFF"/>
        </w:rPr>
        <w:t>Chouaibi</w:t>
      </w:r>
      <w:proofErr w:type="spellEnd"/>
      <w:r w:rsidRPr="00D47408">
        <w:rPr>
          <w:rFonts w:ascii="Times New Roman" w:hAnsi="Times New Roman"/>
          <w:shd w:val="clear" w:color="auto" w:fill="FFFFFF"/>
        </w:rPr>
        <w:t>, J. and Rossi, M., 2022. ESG and corporate financial performance: the mediating role of green innovation: UK common law versus Germany civil law. </w:t>
      </w:r>
      <w:proofErr w:type="spellStart"/>
      <w:r w:rsidRPr="00D47408">
        <w:rPr>
          <w:rFonts w:ascii="Times New Roman" w:hAnsi="Times New Roman"/>
          <w:i/>
          <w:iCs/>
          <w:shd w:val="clear" w:color="auto" w:fill="FFFFFF"/>
        </w:rPr>
        <w:t>EuroMed</w:t>
      </w:r>
      <w:proofErr w:type="spellEnd"/>
      <w:r w:rsidRPr="00D47408">
        <w:rPr>
          <w:rFonts w:ascii="Times New Roman" w:hAnsi="Times New Roman"/>
          <w:i/>
          <w:iCs/>
          <w:shd w:val="clear" w:color="auto" w:fill="FFFFFF"/>
        </w:rPr>
        <w:t xml:space="preserve"> Journal of Business</w:t>
      </w:r>
      <w:r w:rsidRPr="00D47408">
        <w:rPr>
          <w:rFonts w:ascii="Times New Roman" w:hAnsi="Times New Roman"/>
          <w:shd w:val="clear" w:color="auto" w:fill="FFFFFF"/>
        </w:rPr>
        <w:t>, </w:t>
      </w:r>
      <w:r w:rsidRPr="00D47408">
        <w:rPr>
          <w:rFonts w:ascii="Times New Roman" w:hAnsi="Times New Roman"/>
          <w:i/>
          <w:iCs/>
          <w:shd w:val="clear" w:color="auto" w:fill="FFFFFF"/>
        </w:rPr>
        <w:t>17</w:t>
      </w:r>
      <w:r w:rsidRPr="00D47408">
        <w:rPr>
          <w:rFonts w:ascii="Times New Roman" w:hAnsi="Times New Roman"/>
          <w:shd w:val="clear" w:color="auto" w:fill="FFFFFF"/>
        </w:rPr>
        <w:t>(1), pp.46-71.</w:t>
      </w:r>
    </w:p>
    <w:p w:rsidR="001E6549" w:rsidRPr="00D47408" w:rsidRDefault="001E6549" w:rsidP="00D47408">
      <w:pPr>
        <w:pStyle w:val="ListParagraph"/>
        <w:numPr>
          <w:ilvl w:val="0"/>
          <w:numId w:val="1"/>
        </w:numPr>
        <w:spacing w:after="0" w:line="360" w:lineRule="auto"/>
        <w:jc w:val="both"/>
        <w:rPr>
          <w:rFonts w:ascii="Times New Roman" w:hAnsi="Times New Roman"/>
          <w:shd w:val="clear" w:color="auto" w:fill="FFFFFF"/>
        </w:rPr>
      </w:pPr>
      <w:proofErr w:type="spellStart"/>
      <w:r w:rsidRPr="00D47408">
        <w:rPr>
          <w:rFonts w:ascii="Times New Roman" w:hAnsi="Times New Roman"/>
          <w:shd w:val="clear" w:color="auto" w:fill="FFFFFF"/>
        </w:rPr>
        <w:t>Creutzfeldt</w:t>
      </w:r>
      <w:proofErr w:type="spellEnd"/>
      <w:r w:rsidRPr="00D47408">
        <w:rPr>
          <w:rFonts w:ascii="Times New Roman" w:hAnsi="Times New Roman"/>
          <w:shd w:val="clear" w:color="auto" w:fill="FFFFFF"/>
        </w:rPr>
        <w:t xml:space="preserve">, N. and </w:t>
      </w:r>
      <w:proofErr w:type="spellStart"/>
      <w:r w:rsidRPr="00D47408">
        <w:rPr>
          <w:rFonts w:ascii="Times New Roman" w:hAnsi="Times New Roman"/>
          <w:shd w:val="clear" w:color="auto" w:fill="FFFFFF"/>
        </w:rPr>
        <w:t>Sechi</w:t>
      </w:r>
      <w:proofErr w:type="spellEnd"/>
      <w:r w:rsidRPr="00D47408">
        <w:rPr>
          <w:rFonts w:ascii="Times New Roman" w:hAnsi="Times New Roman"/>
          <w:shd w:val="clear" w:color="auto" w:fill="FFFFFF"/>
        </w:rPr>
        <w:t>, D., 2021. Social welfare [law] advice provision during the pandemic in England and Wales: a conceptual framework. </w:t>
      </w:r>
      <w:r w:rsidRPr="00D47408">
        <w:rPr>
          <w:rFonts w:ascii="Times New Roman" w:hAnsi="Times New Roman"/>
          <w:i/>
          <w:iCs/>
          <w:shd w:val="clear" w:color="auto" w:fill="FFFFFF"/>
        </w:rPr>
        <w:t>Journal of Social Welfare and Family Law</w:t>
      </w:r>
      <w:r w:rsidRPr="00D47408">
        <w:rPr>
          <w:rFonts w:ascii="Times New Roman" w:hAnsi="Times New Roman"/>
          <w:shd w:val="clear" w:color="auto" w:fill="FFFFFF"/>
        </w:rPr>
        <w:t>, </w:t>
      </w:r>
      <w:r w:rsidRPr="00D47408">
        <w:rPr>
          <w:rFonts w:ascii="Times New Roman" w:hAnsi="Times New Roman"/>
          <w:i/>
          <w:iCs/>
          <w:shd w:val="clear" w:color="auto" w:fill="FFFFFF"/>
        </w:rPr>
        <w:t>43</w:t>
      </w:r>
      <w:r w:rsidRPr="00D47408">
        <w:rPr>
          <w:rFonts w:ascii="Times New Roman" w:hAnsi="Times New Roman"/>
          <w:shd w:val="clear" w:color="auto" w:fill="FFFFFF"/>
        </w:rPr>
        <w:t>(2), pp.153-174.</w:t>
      </w:r>
    </w:p>
    <w:p w:rsidR="001E6549" w:rsidRPr="00D47408" w:rsidRDefault="001E6549" w:rsidP="00D47408">
      <w:pPr>
        <w:pStyle w:val="ListParagraph"/>
        <w:numPr>
          <w:ilvl w:val="0"/>
          <w:numId w:val="1"/>
        </w:numPr>
        <w:spacing w:after="0" w:line="360" w:lineRule="auto"/>
        <w:jc w:val="both"/>
        <w:rPr>
          <w:rFonts w:ascii="Times New Roman" w:hAnsi="Times New Roman"/>
          <w:shd w:val="clear" w:color="auto" w:fill="FFFFFF"/>
        </w:rPr>
      </w:pPr>
      <w:r w:rsidRPr="00D47408">
        <w:rPr>
          <w:rFonts w:ascii="Times New Roman" w:hAnsi="Times New Roman"/>
          <w:shd w:val="clear" w:color="auto" w:fill="FFFFFF"/>
        </w:rPr>
        <w:t>Franklin, C.N., 2023. A legal cultural “take” on the legal system of England and Wales. In </w:t>
      </w:r>
      <w:r w:rsidRPr="00D47408">
        <w:rPr>
          <w:rFonts w:ascii="Times New Roman" w:hAnsi="Times New Roman"/>
          <w:i/>
          <w:iCs/>
          <w:shd w:val="clear" w:color="auto" w:fill="FFFFFF"/>
        </w:rPr>
        <w:t>Handbook on Legal Cultures: A Selection of the World's Legal Cultures</w:t>
      </w:r>
      <w:r w:rsidRPr="00D47408">
        <w:rPr>
          <w:rFonts w:ascii="Times New Roman" w:hAnsi="Times New Roman"/>
          <w:shd w:val="clear" w:color="auto" w:fill="FFFFFF"/>
        </w:rPr>
        <w:t> (pp. 327-388). Cham: Springer International Publishing.</w:t>
      </w:r>
    </w:p>
    <w:p w:rsidR="001E6549" w:rsidRPr="00D47408" w:rsidRDefault="001E6549" w:rsidP="00D47408">
      <w:pPr>
        <w:pStyle w:val="ListParagraph"/>
        <w:numPr>
          <w:ilvl w:val="0"/>
          <w:numId w:val="1"/>
        </w:numPr>
        <w:spacing w:after="0" w:line="360" w:lineRule="auto"/>
        <w:jc w:val="both"/>
        <w:rPr>
          <w:rFonts w:ascii="Times New Roman" w:hAnsi="Times New Roman"/>
          <w:shd w:val="clear" w:color="auto" w:fill="FFFFFF"/>
        </w:rPr>
      </w:pPr>
      <w:r w:rsidRPr="00D47408">
        <w:rPr>
          <w:rFonts w:ascii="Times New Roman" w:hAnsi="Times New Roman"/>
          <w:shd w:val="clear" w:color="auto" w:fill="FFFFFF"/>
        </w:rPr>
        <w:t>Frost, T., Huxley-</w:t>
      </w:r>
      <w:proofErr w:type="spellStart"/>
      <w:r w:rsidRPr="00D47408">
        <w:rPr>
          <w:rFonts w:ascii="Times New Roman" w:hAnsi="Times New Roman"/>
          <w:shd w:val="clear" w:color="auto" w:fill="FFFFFF"/>
        </w:rPr>
        <w:t>Binns</w:t>
      </w:r>
      <w:proofErr w:type="spellEnd"/>
      <w:r w:rsidRPr="00D47408">
        <w:rPr>
          <w:rFonts w:ascii="Times New Roman" w:hAnsi="Times New Roman"/>
          <w:shd w:val="clear" w:color="auto" w:fill="FFFFFF"/>
        </w:rPr>
        <w:t xml:space="preserve">, R., Martin, J. and </w:t>
      </w:r>
      <w:proofErr w:type="spellStart"/>
      <w:r w:rsidRPr="00D47408">
        <w:rPr>
          <w:rFonts w:ascii="Times New Roman" w:hAnsi="Times New Roman"/>
          <w:shd w:val="clear" w:color="auto" w:fill="FFFFFF"/>
        </w:rPr>
        <w:t>Mithani</w:t>
      </w:r>
      <w:proofErr w:type="spellEnd"/>
      <w:r w:rsidRPr="00D47408">
        <w:rPr>
          <w:rFonts w:ascii="Times New Roman" w:hAnsi="Times New Roman"/>
          <w:shd w:val="clear" w:color="auto" w:fill="FFFFFF"/>
        </w:rPr>
        <w:t>, S., 2022. </w:t>
      </w:r>
      <w:r w:rsidRPr="00D47408">
        <w:rPr>
          <w:rFonts w:ascii="Times New Roman" w:hAnsi="Times New Roman"/>
          <w:i/>
          <w:iCs/>
          <w:shd w:val="clear" w:color="auto" w:fill="FFFFFF"/>
        </w:rPr>
        <w:t>Unlocking the English legal system</w:t>
      </w:r>
      <w:r w:rsidRPr="00D47408">
        <w:rPr>
          <w:rFonts w:ascii="Times New Roman" w:hAnsi="Times New Roman"/>
          <w:shd w:val="clear" w:color="auto" w:fill="FFFFFF"/>
        </w:rPr>
        <w:t xml:space="preserve">. </w:t>
      </w:r>
      <w:proofErr w:type="spellStart"/>
      <w:r w:rsidRPr="00D47408">
        <w:rPr>
          <w:rFonts w:ascii="Times New Roman" w:hAnsi="Times New Roman"/>
          <w:shd w:val="clear" w:color="auto" w:fill="FFFFFF"/>
        </w:rPr>
        <w:t>Routledge</w:t>
      </w:r>
      <w:proofErr w:type="spellEnd"/>
      <w:r w:rsidRPr="00D47408">
        <w:rPr>
          <w:rFonts w:ascii="Times New Roman" w:hAnsi="Times New Roman"/>
          <w:shd w:val="clear" w:color="auto" w:fill="FFFFFF"/>
        </w:rPr>
        <w:t>.</w:t>
      </w:r>
    </w:p>
    <w:p w:rsidR="001E6549" w:rsidRPr="00D47408" w:rsidRDefault="001E6549" w:rsidP="00D47408">
      <w:pPr>
        <w:pStyle w:val="ListParagraph"/>
        <w:numPr>
          <w:ilvl w:val="0"/>
          <w:numId w:val="1"/>
        </w:numPr>
        <w:spacing w:after="0" w:line="360" w:lineRule="auto"/>
        <w:jc w:val="both"/>
        <w:rPr>
          <w:rFonts w:ascii="Times New Roman" w:hAnsi="Times New Roman"/>
          <w:shd w:val="clear" w:color="auto" w:fill="FFFFFF"/>
        </w:rPr>
      </w:pPr>
      <w:r w:rsidRPr="00D47408">
        <w:rPr>
          <w:rFonts w:ascii="Times New Roman" w:hAnsi="Times New Roman"/>
          <w:shd w:val="clear" w:color="auto" w:fill="FFFFFF"/>
        </w:rPr>
        <w:t>Gardner, S., 1987. Equity, Estate Contracts and the Judicature Acts: Walsh v Lonsdale Revisited. </w:t>
      </w:r>
      <w:r w:rsidRPr="00D47408">
        <w:rPr>
          <w:rFonts w:ascii="Times New Roman" w:hAnsi="Times New Roman"/>
          <w:i/>
          <w:iCs/>
          <w:shd w:val="clear" w:color="auto" w:fill="FFFFFF"/>
        </w:rPr>
        <w:t>Oxford Journal of Legal Studies</w:t>
      </w:r>
      <w:r w:rsidRPr="00D47408">
        <w:rPr>
          <w:rFonts w:ascii="Times New Roman" w:hAnsi="Times New Roman"/>
          <w:shd w:val="clear" w:color="auto" w:fill="FFFFFF"/>
        </w:rPr>
        <w:t>, </w:t>
      </w:r>
      <w:r w:rsidRPr="00D47408">
        <w:rPr>
          <w:rFonts w:ascii="Times New Roman" w:hAnsi="Times New Roman"/>
          <w:i/>
          <w:iCs/>
          <w:shd w:val="clear" w:color="auto" w:fill="FFFFFF"/>
        </w:rPr>
        <w:t>7</w:t>
      </w:r>
      <w:r w:rsidRPr="00D47408">
        <w:rPr>
          <w:rFonts w:ascii="Times New Roman" w:hAnsi="Times New Roman"/>
          <w:shd w:val="clear" w:color="auto" w:fill="FFFFFF"/>
        </w:rPr>
        <w:t>(1), pp.60-103.</w:t>
      </w:r>
    </w:p>
    <w:p w:rsidR="001E6549" w:rsidRPr="00D47408" w:rsidRDefault="001E6549" w:rsidP="00D47408">
      <w:pPr>
        <w:pStyle w:val="ListParagraph"/>
        <w:numPr>
          <w:ilvl w:val="0"/>
          <w:numId w:val="1"/>
        </w:numPr>
        <w:spacing w:after="0" w:line="360" w:lineRule="auto"/>
        <w:jc w:val="both"/>
        <w:rPr>
          <w:rFonts w:ascii="Times New Roman" w:hAnsi="Times New Roman"/>
          <w:shd w:val="clear" w:color="auto" w:fill="FFFFFF"/>
        </w:rPr>
      </w:pPr>
      <w:r w:rsidRPr="00D47408">
        <w:rPr>
          <w:rFonts w:ascii="Times New Roman" w:hAnsi="Times New Roman"/>
          <w:shd w:val="clear" w:color="auto" w:fill="FFFFFF"/>
        </w:rPr>
        <w:t>Griffin, J.G., 2022. Equity: Balancing certainty and flexibility to secure justice. </w:t>
      </w:r>
      <w:r w:rsidRPr="00D47408">
        <w:rPr>
          <w:rFonts w:ascii="Times New Roman" w:hAnsi="Times New Roman"/>
          <w:i/>
          <w:iCs/>
          <w:shd w:val="clear" w:color="auto" w:fill="FFFFFF"/>
        </w:rPr>
        <w:t xml:space="preserve">Fields: Journal of </w:t>
      </w:r>
      <w:proofErr w:type="spellStart"/>
      <w:r w:rsidRPr="00D47408">
        <w:rPr>
          <w:rFonts w:ascii="Times New Roman" w:hAnsi="Times New Roman"/>
          <w:i/>
          <w:iCs/>
          <w:shd w:val="clear" w:color="auto" w:fill="FFFFFF"/>
        </w:rPr>
        <w:t>Huddersfield</w:t>
      </w:r>
      <w:proofErr w:type="spellEnd"/>
      <w:r w:rsidRPr="00D47408">
        <w:rPr>
          <w:rFonts w:ascii="Times New Roman" w:hAnsi="Times New Roman"/>
          <w:i/>
          <w:iCs/>
          <w:shd w:val="clear" w:color="auto" w:fill="FFFFFF"/>
        </w:rPr>
        <w:t xml:space="preserve"> Student Research</w:t>
      </w:r>
      <w:r w:rsidRPr="00D47408">
        <w:rPr>
          <w:rFonts w:ascii="Times New Roman" w:hAnsi="Times New Roman"/>
          <w:shd w:val="clear" w:color="auto" w:fill="FFFFFF"/>
        </w:rPr>
        <w:t>, </w:t>
      </w:r>
      <w:r w:rsidRPr="00D47408">
        <w:rPr>
          <w:rFonts w:ascii="Times New Roman" w:hAnsi="Times New Roman"/>
          <w:i/>
          <w:iCs/>
          <w:shd w:val="clear" w:color="auto" w:fill="FFFFFF"/>
        </w:rPr>
        <w:t>8</w:t>
      </w:r>
      <w:r w:rsidRPr="00D47408">
        <w:rPr>
          <w:rFonts w:ascii="Times New Roman" w:hAnsi="Times New Roman"/>
          <w:shd w:val="clear" w:color="auto" w:fill="FFFFFF"/>
        </w:rPr>
        <w:t>(1), pp.1-21.</w:t>
      </w:r>
    </w:p>
    <w:p w:rsidR="001E6549" w:rsidRPr="00D47408" w:rsidRDefault="001E6549" w:rsidP="00D47408">
      <w:pPr>
        <w:pStyle w:val="ListParagraph"/>
        <w:numPr>
          <w:ilvl w:val="0"/>
          <w:numId w:val="1"/>
        </w:numPr>
        <w:spacing w:after="0" w:line="360" w:lineRule="auto"/>
        <w:jc w:val="both"/>
        <w:rPr>
          <w:rFonts w:ascii="Times New Roman" w:hAnsi="Times New Roman"/>
          <w:shd w:val="clear" w:color="auto" w:fill="FFFFFF"/>
        </w:rPr>
      </w:pPr>
      <w:r w:rsidRPr="00D47408">
        <w:rPr>
          <w:rFonts w:ascii="Times New Roman" w:hAnsi="Times New Roman"/>
          <w:shd w:val="clear" w:color="auto" w:fill="FFFFFF"/>
        </w:rPr>
        <w:t>Hudson, A., 2021. </w:t>
      </w:r>
      <w:r w:rsidRPr="00D47408">
        <w:rPr>
          <w:rFonts w:ascii="Times New Roman" w:hAnsi="Times New Roman"/>
          <w:i/>
          <w:iCs/>
          <w:shd w:val="clear" w:color="auto" w:fill="FFFFFF"/>
        </w:rPr>
        <w:t>Understanding equity &amp; trusts</w:t>
      </w:r>
      <w:r w:rsidRPr="00D47408">
        <w:rPr>
          <w:rFonts w:ascii="Times New Roman" w:hAnsi="Times New Roman"/>
          <w:shd w:val="clear" w:color="auto" w:fill="FFFFFF"/>
        </w:rPr>
        <w:t xml:space="preserve">. </w:t>
      </w:r>
      <w:proofErr w:type="spellStart"/>
      <w:r w:rsidRPr="00D47408">
        <w:rPr>
          <w:rFonts w:ascii="Times New Roman" w:hAnsi="Times New Roman"/>
          <w:shd w:val="clear" w:color="auto" w:fill="FFFFFF"/>
        </w:rPr>
        <w:t>Routledge</w:t>
      </w:r>
      <w:proofErr w:type="spellEnd"/>
      <w:r w:rsidRPr="00D47408">
        <w:rPr>
          <w:rFonts w:ascii="Times New Roman" w:hAnsi="Times New Roman"/>
          <w:shd w:val="clear" w:color="auto" w:fill="FFFFFF"/>
        </w:rPr>
        <w:t>.</w:t>
      </w:r>
    </w:p>
    <w:p w:rsidR="001E6549" w:rsidRPr="00D47408" w:rsidRDefault="001E6549" w:rsidP="00D47408">
      <w:pPr>
        <w:pStyle w:val="ListParagraph"/>
        <w:numPr>
          <w:ilvl w:val="0"/>
          <w:numId w:val="1"/>
        </w:numPr>
        <w:spacing w:after="0" w:line="360" w:lineRule="auto"/>
        <w:jc w:val="both"/>
        <w:rPr>
          <w:rFonts w:ascii="Times New Roman" w:hAnsi="Times New Roman"/>
          <w:shd w:val="clear" w:color="auto" w:fill="FFFFFF"/>
        </w:rPr>
      </w:pPr>
      <w:r w:rsidRPr="00D47408">
        <w:rPr>
          <w:rFonts w:ascii="Times New Roman" w:hAnsi="Times New Roman"/>
          <w:shd w:val="clear" w:color="auto" w:fill="FFFFFF"/>
        </w:rPr>
        <w:t xml:space="preserve">Jones, G., 2020. </w:t>
      </w:r>
      <w:proofErr w:type="spellStart"/>
      <w:r w:rsidRPr="00D47408">
        <w:rPr>
          <w:rFonts w:ascii="Times New Roman" w:hAnsi="Times New Roman"/>
          <w:shd w:val="clear" w:color="auto" w:fill="FFFFFF"/>
        </w:rPr>
        <w:t>Restitutionary</w:t>
      </w:r>
      <w:proofErr w:type="spellEnd"/>
      <w:r w:rsidRPr="00D47408">
        <w:rPr>
          <w:rFonts w:ascii="Times New Roman" w:hAnsi="Times New Roman"/>
          <w:shd w:val="clear" w:color="auto" w:fill="FFFFFF"/>
        </w:rPr>
        <w:t xml:space="preserve"> Claims for Services Rendered. In </w:t>
      </w:r>
      <w:r w:rsidRPr="00D47408">
        <w:rPr>
          <w:rFonts w:ascii="Times New Roman" w:hAnsi="Times New Roman"/>
          <w:i/>
          <w:iCs/>
          <w:shd w:val="clear" w:color="auto" w:fill="FFFFFF"/>
        </w:rPr>
        <w:t>Restitution</w:t>
      </w:r>
      <w:r w:rsidRPr="00D47408">
        <w:rPr>
          <w:rFonts w:ascii="Times New Roman" w:hAnsi="Times New Roman"/>
          <w:shd w:val="clear" w:color="auto" w:fill="FFFFFF"/>
        </w:rPr>
        <w:t xml:space="preserve"> (pp. 139-161). </w:t>
      </w:r>
      <w:proofErr w:type="spellStart"/>
      <w:r w:rsidRPr="00D47408">
        <w:rPr>
          <w:rFonts w:ascii="Times New Roman" w:hAnsi="Times New Roman"/>
          <w:shd w:val="clear" w:color="auto" w:fill="FFFFFF"/>
        </w:rPr>
        <w:t>Routledge</w:t>
      </w:r>
      <w:proofErr w:type="spellEnd"/>
      <w:r w:rsidRPr="00D47408">
        <w:rPr>
          <w:rFonts w:ascii="Times New Roman" w:hAnsi="Times New Roman"/>
          <w:shd w:val="clear" w:color="auto" w:fill="FFFFFF"/>
        </w:rPr>
        <w:t>.</w:t>
      </w:r>
    </w:p>
    <w:p w:rsidR="001E6549" w:rsidRPr="00D47408" w:rsidRDefault="001E6549" w:rsidP="00D47408">
      <w:pPr>
        <w:pStyle w:val="ListParagraph"/>
        <w:numPr>
          <w:ilvl w:val="0"/>
          <w:numId w:val="1"/>
        </w:numPr>
        <w:spacing w:after="0" w:line="360" w:lineRule="auto"/>
        <w:jc w:val="both"/>
        <w:rPr>
          <w:rFonts w:ascii="Times New Roman" w:hAnsi="Times New Roman"/>
          <w:shd w:val="clear" w:color="auto" w:fill="FFFFFF"/>
        </w:rPr>
      </w:pPr>
      <w:r w:rsidRPr="00D47408">
        <w:rPr>
          <w:rFonts w:ascii="Times New Roman" w:hAnsi="Times New Roman"/>
          <w:shd w:val="clear" w:color="auto" w:fill="FFFFFF"/>
        </w:rPr>
        <w:t>Keller, A.J., Boland, M.A. and Petty, S.A., 2022. An Historical Overview of Farmland Ownership and the Rise of the Dynasty Trust. </w:t>
      </w:r>
      <w:r w:rsidRPr="00D47408">
        <w:rPr>
          <w:rFonts w:ascii="Times New Roman" w:hAnsi="Times New Roman"/>
          <w:i/>
          <w:iCs/>
          <w:shd w:val="clear" w:color="auto" w:fill="FFFFFF"/>
        </w:rPr>
        <w:t>Journal of the ASFMRA (American Society of Farm Managers and Rural Appraisers)</w:t>
      </w:r>
      <w:r w:rsidRPr="00D47408">
        <w:rPr>
          <w:rFonts w:ascii="Times New Roman" w:hAnsi="Times New Roman"/>
          <w:shd w:val="clear" w:color="auto" w:fill="FFFFFF"/>
        </w:rPr>
        <w:t>, </w:t>
      </w:r>
      <w:r w:rsidRPr="00D47408">
        <w:rPr>
          <w:rFonts w:ascii="Times New Roman" w:hAnsi="Times New Roman"/>
          <w:i/>
          <w:iCs/>
          <w:shd w:val="clear" w:color="auto" w:fill="FFFFFF"/>
        </w:rPr>
        <w:t>2022</w:t>
      </w:r>
      <w:r w:rsidRPr="00D47408">
        <w:rPr>
          <w:rFonts w:ascii="Times New Roman" w:hAnsi="Times New Roman"/>
          <w:shd w:val="clear" w:color="auto" w:fill="FFFFFF"/>
        </w:rPr>
        <w:t>, pp.31-36.</w:t>
      </w:r>
    </w:p>
    <w:p w:rsidR="001E6549" w:rsidRPr="00D47408" w:rsidRDefault="001E6549" w:rsidP="00D47408">
      <w:pPr>
        <w:pStyle w:val="ListParagraph"/>
        <w:numPr>
          <w:ilvl w:val="0"/>
          <w:numId w:val="1"/>
        </w:numPr>
        <w:spacing w:after="0" w:line="360" w:lineRule="auto"/>
        <w:jc w:val="both"/>
        <w:rPr>
          <w:rFonts w:ascii="Times New Roman" w:hAnsi="Times New Roman"/>
          <w:shd w:val="clear" w:color="auto" w:fill="FFFFFF"/>
        </w:rPr>
      </w:pPr>
      <w:proofErr w:type="spellStart"/>
      <w:r w:rsidRPr="00D47408">
        <w:rPr>
          <w:rFonts w:ascii="Times New Roman" w:hAnsi="Times New Roman"/>
          <w:shd w:val="clear" w:color="auto" w:fill="FFFFFF"/>
        </w:rPr>
        <w:t>Mee</w:t>
      </w:r>
      <w:proofErr w:type="spellEnd"/>
      <w:r w:rsidRPr="00D47408">
        <w:rPr>
          <w:rFonts w:ascii="Times New Roman" w:hAnsi="Times New Roman"/>
          <w:shd w:val="clear" w:color="auto" w:fill="FFFFFF"/>
        </w:rPr>
        <w:t>, J., 2014. Presumed resulting trusts, intention and declaration. </w:t>
      </w:r>
      <w:r w:rsidRPr="00D47408">
        <w:rPr>
          <w:rFonts w:ascii="Times New Roman" w:hAnsi="Times New Roman"/>
          <w:i/>
          <w:iCs/>
          <w:shd w:val="clear" w:color="auto" w:fill="FFFFFF"/>
        </w:rPr>
        <w:t>The Cambridge Law Journal</w:t>
      </w:r>
      <w:r w:rsidRPr="00D47408">
        <w:rPr>
          <w:rFonts w:ascii="Times New Roman" w:hAnsi="Times New Roman"/>
          <w:shd w:val="clear" w:color="auto" w:fill="FFFFFF"/>
        </w:rPr>
        <w:t>, </w:t>
      </w:r>
      <w:r w:rsidRPr="00D47408">
        <w:rPr>
          <w:rFonts w:ascii="Times New Roman" w:hAnsi="Times New Roman"/>
          <w:i/>
          <w:iCs/>
          <w:shd w:val="clear" w:color="auto" w:fill="FFFFFF"/>
        </w:rPr>
        <w:t>73</w:t>
      </w:r>
      <w:r w:rsidRPr="00D47408">
        <w:rPr>
          <w:rFonts w:ascii="Times New Roman" w:hAnsi="Times New Roman"/>
          <w:shd w:val="clear" w:color="auto" w:fill="FFFFFF"/>
        </w:rPr>
        <w:t>(1), pp.86-112.</w:t>
      </w:r>
    </w:p>
    <w:p w:rsidR="001E6549" w:rsidRPr="00D47408" w:rsidRDefault="001E6549" w:rsidP="00D47408">
      <w:pPr>
        <w:pStyle w:val="ListParagraph"/>
        <w:numPr>
          <w:ilvl w:val="0"/>
          <w:numId w:val="1"/>
        </w:numPr>
        <w:spacing w:after="0" w:line="360" w:lineRule="auto"/>
        <w:jc w:val="both"/>
        <w:rPr>
          <w:rFonts w:ascii="Times New Roman" w:hAnsi="Times New Roman"/>
          <w:shd w:val="clear" w:color="auto" w:fill="FFFFFF"/>
        </w:rPr>
      </w:pPr>
      <w:proofErr w:type="spellStart"/>
      <w:r w:rsidRPr="00D47408">
        <w:rPr>
          <w:rFonts w:ascii="Times New Roman" w:hAnsi="Times New Roman"/>
          <w:shd w:val="clear" w:color="auto" w:fill="FFFFFF"/>
        </w:rPr>
        <w:t>Partington</w:t>
      </w:r>
      <w:proofErr w:type="spellEnd"/>
      <w:r w:rsidRPr="00D47408">
        <w:rPr>
          <w:rFonts w:ascii="Times New Roman" w:hAnsi="Times New Roman"/>
          <w:shd w:val="clear" w:color="auto" w:fill="FFFFFF"/>
        </w:rPr>
        <w:t>, M., 2021. </w:t>
      </w:r>
      <w:r w:rsidRPr="00D47408">
        <w:rPr>
          <w:rFonts w:ascii="Times New Roman" w:hAnsi="Times New Roman"/>
          <w:i/>
          <w:iCs/>
          <w:shd w:val="clear" w:color="auto" w:fill="FFFFFF"/>
        </w:rPr>
        <w:t>Introduction to the English legal system</w:t>
      </w:r>
      <w:r w:rsidRPr="00D47408">
        <w:rPr>
          <w:rFonts w:ascii="Times New Roman" w:hAnsi="Times New Roman"/>
          <w:shd w:val="clear" w:color="auto" w:fill="FFFFFF"/>
        </w:rPr>
        <w:t xml:space="preserve">. </w:t>
      </w:r>
      <w:proofErr w:type="gramStart"/>
      <w:r w:rsidRPr="00D47408">
        <w:rPr>
          <w:rFonts w:ascii="Times New Roman" w:hAnsi="Times New Roman"/>
          <w:shd w:val="clear" w:color="auto" w:fill="FFFFFF"/>
        </w:rPr>
        <w:t>oxford</w:t>
      </w:r>
      <w:proofErr w:type="gramEnd"/>
      <w:r w:rsidRPr="00D47408">
        <w:rPr>
          <w:rFonts w:ascii="Times New Roman" w:hAnsi="Times New Roman"/>
          <w:shd w:val="clear" w:color="auto" w:fill="FFFFFF"/>
        </w:rPr>
        <w:t xml:space="preserve"> university press.</w:t>
      </w:r>
    </w:p>
    <w:p w:rsidR="001E6549" w:rsidRPr="00D47408" w:rsidRDefault="001E6549" w:rsidP="00D47408">
      <w:pPr>
        <w:pStyle w:val="ListParagraph"/>
        <w:numPr>
          <w:ilvl w:val="0"/>
          <w:numId w:val="1"/>
        </w:numPr>
        <w:spacing w:after="0" w:line="360" w:lineRule="auto"/>
        <w:jc w:val="both"/>
        <w:rPr>
          <w:rFonts w:ascii="Times New Roman" w:hAnsi="Times New Roman"/>
          <w:shd w:val="clear" w:color="auto" w:fill="FFFFFF"/>
        </w:rPr>
      </w:pPr>
      <w:r w:rsidRPr="00D47408">
        <w:rPr>
          <w:rFonts w:ascii="Times New Roman" w:hAnsi="Times New Roman"/>
          <w:shd w:val="clear" w:color="auto" w:fill="FFFFFF"/>
        </w:rPr>
        <w:t>Robinson, S.A. and Carlson, D.A., 2021. A just alternative to litigation: applying restorative justice to climate-related loss and damage. </w:t>
      </w:r>
      <w:r w:rsidRPr="00D47408">
        <w:rPr>
          <w:rFonts w:ascii="Times New Roman" w:hAnsi="Times New Roman"/>
          <w:i/>
          <w:iCs/>
          <w:shd w:val="clear" w:color="auto" w:fill="FFFFFF"/>
        </w:rPr>
        <w:t>Third World Quarterly</w:t>
      </w:r>
      <w:r w:rsidRPr="00D47408">
        <w:rPr>
          <w:rFonts w:ascii="Times New Roman" w:hAnsi="Times New Roman"/>
          <w:shd w:val="clear" w:color="auto" w:fill="FFFFFF"/>
        </w:rPr>
        <w:t>, </w:t>
      </w:r>
      <w:r w:rsidRPr="00D47408">
        <w:rPr>
          <w:rFonts w:ascii="Times New Roman" w:hAnsi="Times New Roman"/>
          <w:i/>
          <w:iCs/>
          <w:shd w:val="clear" w:color="auto" w:fill="FFFFFF"/>
        </w:rPr>
        <w:t>42</w:t>
      </w:r>
      <w:r w:rsidRPr="00D47408">
        <w:rPr>
          <w:rFonts w:ascii="Times New Roman" w:hAnsi="Times New Roman"/>
          <w:shd w:val="clear" w:color="auto" w:fill="FFFFFF"/>
        </w:rPr>
        <w:t>(6), pp.1384-1395.</w:t>
      </w:r>
    </w:p>
    <w:p w:rsidR="001E6549" w:rsidRPr="00D47408" w:rsidRDefault="001E6549" w:rsidP="00D47408">
      <w:pPr>
        <w:pStyle w:val="ListParagraph"/>
        <w:numPr>
          <w:ilvl w:val="0"/>
          <w:numId w:val="1"/>
        </w:numPr>
        <w:spacing w:after="0" w:line="360" w:lineRule="auto"/>
        <w:jc w:val="both"/>
        <w:rPr>
          <w:rFonts w:ascii="Times New Roman" w:hAnsi="Times New Roman"/>
          <w:shd w:val="clear" w:color="auto" w:fill="FFFFFF"/>
        </w:rPr>
      </w:pPr>
      <w:r w:rsidRPr="00D47408">
        <w:rPr>
          <w:rFonts w:ascii="Times New Roman" w:hAnsi="Times New Roman"/>
          <w:shd w:val="clear" w:color="auto" w:fill="FFFFFF"/>
        </w:rPr>
        <w:t>Rogers, A., 2023. </w:t>
      </w:r>
      <w:r w:rsidRPr="00D47408">
        <w:rPr>
          <w:rFonts w:ascii="Times New Roman" w:hAnsi="Times New Roman"/>
          <w:i/>
          <w:iCs/>
          <w:shd w:val="clear" w:color="auto" w:fill="FFFFFF"/>
        </w:rPr>
        <w:t>The Law and Practice of the Supreme Court of Judicature</w:t>
      </w:r>
      <w:r w:rsidRPr="00D47408">
        <w:rPr>
          <w:rFonts w:ascii="Times New Roman" w:hAnsi="Times New Roman"/>
          <w:shd w:val="clear" w:color="auto" w:fill="FFFFFF"/>
        </w:rPr>
        <w:t xml:space="preserve">. </w:t>
      </w:r>
      <w:proofErr w:type="spellStart"/>
      <w:r w:rsidRPr="00D47408">
        <w:rPr>
          <w:rFonts w:ascii="Times New Roman" w:hAnsi="Times New Roman"/>
          <w:shd w:val="clear" w:color="auto" w:fill="FFFFFF"/>
        </w:rPr>
        <w:t>BoD</w:t>
      </w:r>
      <w:proofErr w:type="spellEnd"/>
      <w:r w:rsidRPr="00D47408">
        <w:rPr>
          <w:rFonts w:ascii="Times New Roman" w:hAnsi="Times New Roman"/>
          <w:shd w:val="clear" w:color="auto" w:fill="FFFFFF"/>
        </w:rPr>
        <w:t>–Books on Demand.</w:t>
      </w:r>
    </w:p>
    <w:p w:rsidR="001E6549" w:rsidRPr="00D47408" w:rsidRDefault="001E6549" w:rsidP="00D47408">
      <w:pPr>
        <w:pStyle w:val="ListParagraph"/>
        <w:numPr>
          <w:ilvl w:val="0"/>
          <w:numId w:val="1"/>
        </w:numPr>
        <w:spacing w:after="0" w:line="360" w:lineRule="auto"/>
        <w:jc w:val="both"/>
        <w:rPr>
          <w:rFonts w:ascii="Times New Roman" w:hAnsi="Times New Roman"/>
          <w:shd w:val="clear" w:color="auto" w:fill="FFFFFF"/>
        </w:rPr>
      </w:pPr>
      <w:r w:rsidRPr="00D47408">
        <w:rPr>
          <w:rFonts w:ascii="Times New Roman" w:hAnsi="Times New Roman"/>
          <w:shd w:val="clear" w:color="auto" w:fill="FFFFFF"/>
        </w:rPr>
        <w:t>Ross, J., 2011. </w:t>
      </w:r>
      <w:r w:rsidRPr="00D47408">
        <w:rPr>
          <w:rFonts w:ascii="Times New Roman" w:hAnsi="Times New Roman"/>
          <w:i/>
          <w:iCs/>
          <w:shd w:val="clear" w:color="auto" w:fill="FFFFFF"/>
        </w:rPr>
        <w:t xml:space="preserve">John de </w:t>
      </w:r>
      <w:proofErr w:type="spellStart"/>
      <w:r w:rsidRPr="00D47408">
        <w:rPr>
          <w:rFonts w:ascii="Times New Roman" w:hAnsi="Times New Roman"/>
          <w:i/>
          <w:iCs/>
          <w:shd w:val="clear" w:color="auto" w:fill="FFFFFF"/>
        </w:rPr>
        <w:t>Vere</w:t>
      </w:r>
      <w:proofErr w:type="spellEnd"/>
      <w:r w:rsidRPr="00D47408">
        <w:rPr>
          <w:rFonts w:ascii="Times New Roman" w:hAnsi="Times New Roman"/>
          <w:i/>
          <w:iCs/>
          <w:shd w:val="clear" w:color="auto" w:fill="FFFFFF"/>
        </w:rPr>
        <w:t>, Thirteenth Earl of Oxford (1442-1513):'the Foremost Man of the Kingdom'</w:t>
      </w:r>
      <w:r w:rsidRPr="00D47408">
        <w:rPr>
          <w:rFonts w:ascii="Times New Roman" w:hAnsi="Times New Roman"/>
          <w:shd w:val="clear" w:color="auto" w:fill="FFFFFF"/>
        </w:rPr>
        <w:t xml:space="preserve">. </w:t>
      </w:r>
      <w:proofErr w:type="spellStart"/>
      <w:r w:rsidRPr="00D47408">
        <w:rPr>
          <w:rFonts w:ascii="Times New Roman" w:hAnsi="Times New Roman"/>
          <w:shd w:val="clear" w:color="auto" w:fill="FFFFFF"/>
        </w:rPr>
        <w:t>Boydell</w:t>
      </w:r>
      <w:proofErr w:type="spellEnd"/>
      <w:r w:rsidRPr="00D47408">
        <w:rPr>
          <w:rFonts w:ascii="Times New Roman" w:hAnsi="Times New Roman"/>
          <w:shd w:val="clear" w:color="auto" w:fill="FFFFFF"/>
        </w:rPr>
        <w:t xml:space="preserve"> press.</w:t>
      </w:r>
    </w:p>
    <w:p w:rsidR="001E6549" w:rsidRPr="00D47408" w:rsidRDefault="001E6549" w:rsidP="00D47408">
      <w:pPr>
        <w:pStyle w:val="ListParagraph"/>
        <w:numPr>
          <w:ilvl w:val="0"/>
          <w:numId w:val="1"/>
        </w:numPr>
        <w:spacing w:after="0" w:line="360" w:lineRule="auto"/>
        <w:jc w:val="both"/>
        <w:rPr>
          <w:rFonts w:ascii="Times New Roman" w:hAnsi="Times New Roman"/>
        </w:rPr>
      </w:pPr>
      <w:proofErr w:type="spellStart"/>
      <w:r w:rsidRPr="00D47408">
        <w:rPr>
          <w:rFonts w:ascii="Times New Roman" w:hAnsi="Times New Roman"/>
          <w:shd w:val="clear" w:color="auto" w:fill="FFFFFF"/>
        </w:rPr>
        <w:lastRenderedPageBreak/>
        <w:t>Sánchez-Monedero</w:t>
      </w:r>
      <w:proofErr w:type="spellEnd"/>
      <w:r w:rsidRPr="00D47408">
        <w:rPr>
          <w:rFonts w:ascii="Times New Roman" w:hAnsi="Times New Roman"/>
          <w:shd w:val="clear" w:color="auto" w:fill="FFFFFF"/>
        </w:rPr>
        <w:t xml:space="preserve">, J., </w:t>
      </w:r>
      <w:proofErr w:type="spellStart"/>
      <w:r w:rsidRPr="00D47408">
        <w:rPr>
          <w:rFonts w:ascii="Times New Roman" w:hAnsi="Times New Roman"/>
          <w:shd w:val="clear" w:color="auto" w:fill="FFFFFF"/>
        </w:rPr>
        <w:t>Dencik</w:t>
      </w:r>
      <w:proofErr w:type="spellEnd"/>
      <w:r w:rsidRPr="00D47408">
        <w:rPr>
          <w:rFonts w:ascii="Times New Roman" w:hAnsi="Times New Roman"/>
          <w:shd w:val="clear" w:color="auto" w:fill="FFFFFF"/>
        </w:rPr>
        <w:t xml:space="preserve">, L. and Edwards, L., 2020, January. What does it mean </w:t>
      </w:r>
      <w:proofErr w:type="spellStart"/>
      <w:r w:rsidRPr="00D47408">
        <w:rPr>
          <w:rFonts w:ascii="Times New Roman" w:hAnsi="Times New Roman"/>
          <w:shd w:val="clear" w:color="auto" w:fill="FFFFFF"/>
        </w:rPr>
        <w:t>to'solve'the</w:t>
      </w:r>
      <w:proofErr w:type="spellEnd"/>
      <w:r w:rsidRPr="00D47408">
        <w:rPr>
          <w:rFonts w:ascii="Times New Roman" w:hAnsi="Times New Roman"/>
          <w:shd w:val="clear" w:color="auto" w:fill="FFFFFF"/>
        </w:rPr>
        <w:t xml:space="preserve"> problem of discrimination in hiring? Social, technical and legal perspectives from the UK on automated hiring systems. In </w:t>
      </w:r>
      <w:r w:rsidRPr="00D47408">
        <w:rPr>
          <w:rFonts w:ascii="Times New Roman" w:hAnsi="Times New Roman"/>
          <w:i/>
          <w:iCs/>
          <w:shd w:val="clear" w:color="auto" w:fill="FFFFFF"/>
        </w:rPr>
        <w:t>Proceedings of the 2020 conference on fairness, accountability, and transparency</w:t>
      </w:r>
      <w:r w:rsidRPr="00D47408">
        <w:rPr>
          <w:rFonts w:ascii="Times New Roman" w:hAnsi="Times New Roman"/>
          <w:shd w:val="clear" w:color="auto" w:fill="FFFFFF"/>
        </w:rPr>
        <w:t> (pp. 458-468).</w:t>
      </w:r>
    </w:p>
    <w:p w:rsidR="001E6549" w:rsidRPr="00D47408" w:rsidRDefault="001E6549" w:rsidP="00D47408">
      <w:pPr>
        <w:pStyle w:val="ListParagraph"/>
        <w:numPr>
          <w:ilvl w:val="0"/>
          <w:numId w:val="1"/>
        </w:numPr>
        <w:spacing w:after="0" w:line="360" w:lineRule="auto"/>
        <w:jc w:val="both"/>
        <w:rPr>
          <w:rFonts w:ascii="Times New Roman" w:hAnsi="Times New Roman"/>
          <w:shd w:val="clear" w:color="auto" w:fill="FFFFFF"/>
        </w:rPr>
      </w:pPr>
      <w:r w:rsidRPr="00D47408">
        <w:rPr>
          <w:rFonts w:ascii="Times New Roman" w:hAnsi="Times New Roman"/>
          <w:shd w:val="clear" w:color="auto" w:fill="FFFFFF"/>
        </w:rPr>
        <w:t>Shaw-</w:t>
      </w:r>
      <w:proofErr w:type="spellStart"/>
      <w:r w:rsidRPr="00D47408">
        <w:rPr>
          <w:rFonts w:ascii="Times New Roman" w:hAnsi="Times New Roman"/>
          <w:shd w:val="clear" w:color="auto" w:fill="FFFFFF"/>
        </w:rPr>
        <w:t>Mellors</w:t>
      </w:r>
      <w:proofErr w:type="spellEnd"/>
      <w:r w:rsidRPr="00D47408">
        <w:rPr>
          <w:rFonts w:ascii="Times New Roman" w:hAnsi="Times New Roman"/>
          <w:shd w:val="clear" w:color="auto" w:fill="FFFFFF"/>
        </w:rPr>
        <w:t>, A., 2020. Rectifying Rectification: The Subjective Approach to Rectification for Common Mistake. </w:t>
      </w:r>
      <w:r w:rsidRPr="00D47408">
        <w:rPr>
          <w:rFonts w:ascii="Times New Roman" w:hAnsi="Times New Roman"/>
          <w:i/>
          <w:iCs/>
          <w:shd w:val="clear" w:color="auto" w:fill="FFFFFF"/>
        </w:rPr>
        <w:t>Journal of Business Law</w:t>
      </w:r>
      <w:r w:rsidRPr="00D47408">
        <w:rPr>
          <w:rFonts w:ascii="Times New Roman" w:hAnsi="Times New Roman"/>
          <w:shd w:val="clear" w:color="auto" w:fill="FFFFFF"/>
        </w:rPr>
        <w:t>, </w:t>
      </w:r>
      <w:r w:rsidRPr="00D47408">
        <w:rPr>
          <w:rFonts w:ascii="Times New Roman" w:hAnsi="Times New Roman"/>
          <w:i/>
          <w:iCs/>
          <w:shd w:val="clear" w:color="auto" w:fill="FFFFFF"/>
        </w:rPr>
        <w:t>5</w:t>
      </w:r>
      <w:r w:rsidRPr="00D47408">
        <w:rPr>
          <w:rFonts w:ascii="Times New Roman" w:hAnsi="Times New Roman"/>
          <w:shd w:val="clear" w:color="auto" w:fill="FFFFFF"/>
        </w:rPr>
        <w:t>, pp.368-381.</w:t>
      </w:r>
    </w:p>
    <w:p w:rsidR="001E6549" w:rsidRPr="00D47408" w:rsidRDefault="001E6549" w:rsidP="00D47408">
      <w:pPr>
        <w:pStyle w:val="ListParagraph"/>
        <w:numPr>
          <w:ilvl w:val="0"/>
          <w:numId w:val="1"/>
        </w:numPr>
        <w:spacing w:after="0" w:line="360" w:lineRule="auto"/>
        <w:jc w:val="both"/>
        <w:rPr>
          <w:rFonts w:ascii="Times New Roman" w:hAnsi="Times New Roman"/>
          <w:shd w:val="clear" w:color="auto" w:fill="FFFFFF"/>
        </w:rPr>
      </w:pPr>
      <w:proofErr w:type="spellStart"/>
      <w:r w:rsidRPr="00D47408">
        <w:rPr>
          <w:rFonts w:ascii="Times New Roman" w:hAnsi="Times New Roman"/>
          <w:shd w:val="clear" w:color="auto" w:fill="FFFFFF"/>
        </w:rPr>
        <w:t>Swadling</w:t>
      </w:r>
      <w:proofErr w:type="spellEnd"/>
      <w:r w:rsidRPr="00D47408">
        <w:rPr>
          <w:rFonts w:ascii="Times New Roman" w:hAnsi="Times New Roman"/>
          <w:shd w:val="clear" w:color="auto" w:fill="FFFFFF"/>
        </w:rPr>
        <w:t xml:space="preserve">, W.I.L.L.I.A.M., 2020. Illegality: pleading, proof, and presumption. pp. 1-27. </w:t>
      </w:r>
    </w:p>
    <w:p w:rsidR="001E6549" w:rsidRPr="00D47408" w:rsidRDefault="001E6549" w:rsidP="00D47408">
      <w:pPr>
        <w:pStyle w:val="ListParagraph"/>
        <w:numPr>
          <w:ilvl w:val="0"/>
          <w:numId w:val="1"/>
        </w:numPr>
        <w:spacing w:after="0" w:line="360" w:lineRule="auto"/>
        <w:jc w:val="both"/>
        <w:rPr>
          <w:rFonts w:ascii="Times New Roman" w:hAnsi="Times New Roman"/>
          <w:shd w:val="clear" w:color="auto" w:fill="FFFFFF"/>
        </w:rPr>
      </w:pPr>
      <w:proofErr w:type="spellStart"/>
      <w:r w:rsidRPr="00D47408">
        <w:rPr>
          <w:rFonts w:ascii="Times New Roman" w:hAnsi="Times New Roman"/>
          <w:shd w:val="clear" w:color="auto" w:fill="FFFFFF"/>
        </w:rPr>
        <w:t>Tache</w:t>
      </w:r>
      <w:proofErr w:type="spellEnd"/>
      <w:r w:rsidRPr="00D47408">
        <w:rPr>
          <w:rFonts w:ascii="Times New Roman" w:hAnsi="Times New Roman"/>
          <w:shd w:val="clear" w:color="auto" w:fill="FFFFFF"/>
        </w:rPr>
        <w:t>, C.E.P., 2021. </w:t>
      </w:r>
      <w:r w:rsidRPr="00D47408">
        <w:rPr>
          <w:rFonts w:ascii="Times New Roman" w:hAnsi="Times New Roman"/>
          <w:i/>
          <w:iCs/>
          <w:shd w:val="clear" w:color="auto" w:fill="FFFFFF"/>
        </w:rPr>
        <w:t>Legal treatment standards for international investments. Heuristic aspects</w:t>
      </w:r>
      <w:r w:rsidRPr="00D47408">
        <w:rPr>
          <w:rFonts w:ascii="Times New Roman" w:hAnsi="Times New Roman"/>
          <w:shd w:val="clear" w:color="auto" w:fill="FFFFFF"/>
        </w:rPr>
        <w:t xml:space="preserve">. </w:t>
      </w:r>
      <w:proofErr w:type="spellStart"/>
      <w:r w:rsidRPr="00D47408">
        <w:rPr>
          <w:rFonts w:ascii="Times New Roman" w:hAnsi="Times New Roman"/>
          <w:shd w:val="clear" w:color="auto" w:fill="FFFFFF"/>
        </w:rPr>
        <w:t>Societatea</w:t>
      </w:r>
      <w:proofErr w:type="spellEnd"/>
      <w:r w:rsidRPr="00D47408">
        <w:rPr>
          <w:rFonts w:ascii="Times New Roman" w:hAnsi="Times New Roman"/>
          <w:shd w:val="clear" w:color="auto" w:fill="FFFFFF"/>
        </w:rPr>
        <w:t xml:space="preserve"> de </w:t>
      </w:r>
      <w:proofErr w:type="spellStart"/>
      <w:r w:rsidRPr="00D47408">
        <w:rPr>
          <w:rFonts w:ascii="Times New Roman" w:hAnsi="Times New Roman"/>
          <w:shd w:val="clear" w:color="auto" w:fill="FFFFFF"/>
        </w:rPr>
        <w:t>Stiinte</w:t>
      </w:r>
      <w:proofErr w:type="spellEnd"/>
      <w:r w:rsidRPr="00D47408">
        <w:rPr>
          <w:rFonts w:ascii="Times New Roman" w:hAnsi="Times New Roman"/>
          <w:shd w:val="clear" w:color="auto" w:fill="FFFFFF"/>
        </w:rPr>
        <w:t xml:space="preserve"> </w:t>
      </w:r>
      <w:proofErr w:type="spellStart"/>
      <w:r w:rsidRPr="00D47408">
        <w:rPr>
          <w:rFonts w:ascii="Times New Roman" w:hAnsi="Times New Roman"/>
          <w:shd w:val="clear" w:color="auto" w:fill="FFFFFF"/>
        </w:rPr>
        <w:t>Juridice</w:t>
      </w:r>
      <w:proofErr w:type="spellEnd"/>
      <w:r w:rsidRPr="00D47408">
        <w:rPr>
          <w:rFonts w:ascii="Times New Roman" w:hAnsi="Times New Roman"/>
          <w:shd w:val="clear" w:color="auto" w:fill="FFFFFF"/>
        </w:rPr>
        <w:t xml:space="preserve"> </w:t>
      </w:r>
      <w:proofErr w:type="spellStart"/>
      <w:r w:rsidRPr="00D47408">
        <w:rPr>
          <w:rFonts w:ascii="Times New Roman" w:hAnsi="Times New Roman"/>
          <w:shd w:val="clear" w:color="auto" w:fill="FFFFFF"/>
        </w:rPr>
        <w:t>si</w:t>
      </w:r>
      <w:proofErr w:type="spellEnd"/>
      <w:r w:rsidRPr="00D47408">
        <w:rPr>
          <w:rFonts w:ascii="Times New Roman" w:hAnsi="Times New Roman"/>
          <w:shd w:val="clear" w:color="auto" w:fill="FFFFFF"/>
        </w:rPr>
        <w:t xml:space="preserve"> Administrative.</w:t>
      </w:r>
    </w:p>
    <w:p w:rsidR="001E6549" w:rsidRPr="00D47408" w:rsidRDefault="001E6549" w:rsidP="00D47408">
      <w:pPr>
        <w:pStyle w:val="ListParagraph"/>
        <w:numPr>
          <w:ilvl w:val="0"/>
          <w:numId w:val="1"/>
        </w:numPr>
        <w:spacing w:after="0" w:line="360" w:lineRule="auto"/>
        <w:jc w:val="both"/>
        <w:rPr>
          <w:rFonts w:ascii="Times New Roman" w:hAnsi="Times New Roman"/>
          <w:shd w:val="clear" w:color="auto" w:fill="FFFFFF"/>
        </w:rPr>
      </w:pPr>
      <w:proofErr w:type="spellStart"/>
      <w:r w:rsidRPr="00D47408">
        <w:rPr>
          <w:rFonts w:ascii="Times New Roman" w:hAnsi="Times New Roman"/>
          <w:shd w:val="clear" w:color="auto" w:fill="FFFFFF"/>
        </w:rPr>
        <w:t>Treloar</w:t>
      </w:r>
      <w:proofErr w:type="spellEnd"/>
      <w:r w:rsidRPr="00D47408">
        <w:rPr>
          <w:rFonts w:ascii="Times New Roman" w:hAnsi="Times New Roman"/>
          <w:shd w:val="clear" w:color="auto" w:fill="FFFFFF"/>
        </w:rPr>
        <w:t xml:space="preserve">, C., </w:t>
      </w:r>
      <w:proofErr w:type="spellStart"/>
      <w:r w:rsidRPr="00D47408">
        <w:rPr>
          <w:rFonts w:ascii="Times New Roman" w:hAnsi="Times New Roman"/>
          <w:shd w:val="clear" w:color="auto" w:fill="FFFFFF"/>
        </w:rPr>
        <w:t>Cama</w:t>
      </w:r>
      <w:proofErr w:type="spellEnd"/>
      <w:r w:rsidRPr="00D47408">
        <w:rPr>
          <w:rFonts w:ascii="Times New Roman" w:hAnsi="Times New Roman"/>
          <w:shd w:val="clear" w:color="auto" w:fill="FFFFFF"/>
        </w:rPr>
        <w:t>, E., Stardust, Z. and Kim, J., 2021. 'I wouldn't call the cops if I was being bashed to death': Sex work, whore stigma and the criminal legal system. </w:t>
      </w:r>
      <w:r w:rsidRPr="00D47408">
        <w:rPr>
          <w:rFonts w:ascii="Times New Roman" w:hAnsi="Times New Roman"/>
          <w:i/>
          <w:iCs/>
          <w:shd w:val="clear" w:color="auto" w:fill="FFFFFF"/>
        </w:rPr>
        <w:t>International Journal for Crime, Justice and Social Democracy</w:t>
      </w:r>
      <w:r w:rsidRPr="00D47408">
        <w:rPr>
          <w:rFonts w:ascii="Times New Roman" w:hAnsi="Times New Roman"/>
          <w:shd w:val="clear" w:color="auto" w:fill="FFFFFF"/>
        </w:rPr>
        <w:t>, </w:t>
      </w:r>
      <w:r w:rsidRPr="00D47408">
        <w:rPr>
          <w:rFonts w:ascii="Times New Roman" w:hAnsi="Times New Roman"/>
          <w:i/>
          <w:iCs/>
          <w:shd w:val="clear" w:color="auto" w:fill="FFFFFF"/>
        </w:rPr>
        <w:t>10</w:t>
      </w:r>
      <w:r w:rsidRPr="00D47408">
        <w:rPr>
          <w:rFonts w:ascii="Times New Roman" w:hAnsi="Times New Roman"/>
          <w:shd w:val="clear" w:color="auto" w:fill="FFFFFF"/>
        </w:rPr>
        <w:t>(3), pp.142-157.</w:t>
      </w:r>
    </w:p>
    <w:p w:rsidR="001E6549" w:rsidRPr="00D47408" w:rsidRDefault="001E6549" w:rsidP="00D47408">
      <w:pPr>
        <w:pStyle w:val="ListParagraph"/>
        <w:numPr>
          <w:ilvl w:val="0"/>
          <w:numId w:val="1"/>
        </w:numPr>
        <w:spacing w:after="0" w:line="360" w:lineRule="auto"/>
        <w:jc w:val="both"/>
        <w:rPr>
          <w:rFonts w:ascii="Times New Roman" w:hAnsi="Times New Roman"/>
          <w:shd w:val="clear" w:color="auto" w:fill="FFFFFF"/>
        </w:rPr>
      </w:pPr>
      <w:r w:rsidRPr="00D47408">
        <w:rPr>
          <w:rFonts w:ascii="Times New Roman" w:hAnsi="Times New Roman"/>
          <w:shd w:val="clear" w:color="auto" w:fill="FFFFFF"/>
        </w:rPr>
        <w:t>Wang, X. and Lo, K., 2021. Just transition: A conceptual review. </w:t>
      </w:r>
      <w:r w:rsidRPr="00D47408">
        <w:rPr>
          <w:rFonts w:ascii="Times New Roman" w:hAnsi="Times New Roman"/>
          <w:i/>
          <w:iCs/>
          <w:shd w:val="clear" w:color="auto" w:fill="FFFFFF"/>
        </w:rPr>
        <w:t>Energy Research &amp; Social Science</w:t>
      </w:r>
      <w:r w:rsidRPr="00D47408">
        <w:rPr>
          <w:rFonts w:ascii="Times New Roman" w:hAnsi="Times New Roman"/>
          <w:shd w:val="clear" w:color="auto" w:fill="FFFFFF"/>
        </w:rPr>
        <w:t>, </w:t>
      </w:r>
      <w:r w:rsidRPr="00D47408">
        <w:rPr>
          <w:rFonts w:ascii="Times New Roman" w:hAnsi="Times New Roman"/>
          <w:i/>
          <w:iCs/>
          <w:shd w:val="clear" w:color="auto" w:fill="FFFFFF"/>
        </w:rPr>
        <w:t>82</w:t>
      </w:r>
      <w:r w:rsidRPr="00D47408">
        <w:rPr>
          <w:rFonts w:ascii="Times New Roman" w:hAnsi="Times New Roman"/>
          <w:shd w:val="clear" w:color="auto" w:fill="FFFFFF"/>
        </w:rPr>
        <w:t>, p.102291.</w:t>
      </w:r>
    </w:p>
    <w:p w:rsidR="001E6549" w:rsidRPr="00D47408" w:rsidRDefault="001E6549" w:rsidP="00D47408">
      <w:pPr>
        <w:pStyle w:val="ListParagraph"/>
        <w:numPr>
          <w:ilvl w:val="0"/>
          <w:numId w:val="1"/>
        </w:numPr>
        <w:spacing w:after="0" w:line="360" w:lineRule="auto"/>
        <w:jc w:val="both"/>
        <w:rPr>
          <w:rFonts w:ascii="Times New Roman" w:hAnsi="Times New Roman"/>
          <w:shd w:val="clear" w:color="auto" w:fill="FFFFFF"/>
        </w:rPr>
      </w:pPr>
      <w:r w:rsidRPr="00D47408">
        <w:rPr>
          <w:rFonts w:ascii="Times New Roman" w:hAnsi="Times New Roman"/>
          <w:shd w:val="clear" w:color="auto" w:fill="FFFFFF"/>
        </w:rPr>
        <w:t xml:space="preserve">Wilson, S., Rutherford, H., Storey, T., </w:t>
      </w:r>
      <w:proofErr w:type="spellStart"/>
      <w:r w:rsidRPr="00D47408">
        <w:rPr>
          <w:rFonts w:ascii="Times New Roman" w:hAnsi="Times New Roman"/>
          <w:shd w:val="clear" w:color="auto" w:fill="FFFFFF"/>
        </w:rPr>
        <w:t>Wortley</w:t>
      </w:r>
      <w:proofErr w:type="spellEnd"/>
      <w:r w:rsidRPr="00D47408">
        <w:rPr>
          <w:rFonts w:ascii="Times New Roman" w:hAnsi="Times New Roman"/>
          <w:shd w:val="clear" w:color="auto" w:fill="FFFFFF"/>
        </w:rPr>
        <w:t xml:space="preserve">, N. and </w:t>
      </w:r>
      <w:proofErr w:type="spellStart"/>
      <w:r w:rsidRPr="00D47408">
        <w:rPr>
          <w:rFonts w:ascii="Times New Roman" w:hAnsi="Times New Roman"/>
          <w:shd w:val="clear" w:color="auto" w:fill="FFFFFF"/>
        </w:rPr>
        <w:t>Kotecha</w:t>
      </w:r>
      <w:proofErr w:type="spellEnd"/>
      <w:r w:rsidRPr="00D47408">
        <w:rPr>
          <w:rFonts w:ascii="Times New Roman" w:hAnsi="Times New Roman"/>
          <w:shd w:val="clear" w:color="auto" w:fill="FFFFFF"/>
        </w:rPr>
        <w:t>, B., 2020. </w:t>
      </w:r>
      <w:r w:rsidRPr="00D47408">
        <w:rPr>
          <w:rFonts w:ascii="Times New Roman" w:hAnsi="Times New Roman"/>
          <w:i/>
          <w:iCs/>
          <w:shd w:val="clear" w:color="auto" w:fill="FFFFFF"/>
        </w:rPr>
        <w:t>English legal system</w:t>
      </w:r>
      <w:r w:rsidRPr="00D47408">
        <w:rPr>
          <w:rFonts w:ascii="Times New Roman" w:hAnsi="Times New Roman"/>
          <w:shd w:val="clear" w:color="auto" w:fill="FFFFFF"/>
        </w:rPr>
        <w:t>. Oxford University Press.</w:t>
      </w:r>
    </w:p>
    <w:p w:rsidR="002009AD" w:rsidRPr="00D47408" w:rsidRDefault="00851D4B" w:rsidP="00D47408">
      <w:pPr>
        <w:pStyle w:val="ListParagraph"/>
        <w:numPr>
          <w:ilvl w:val="0"/>
          <w:numId w:val="1"/>
        </w:numPr>
        <w:spacing w:after="0" w:line="360" w:lineRule="auto"/>
        <w:jc w:val="both"/>
        <w:rPr>
          <w:rFonts w:ascii="Times New Roman" w:eastAsia="Times New Roman" w:hAnsi="Times New Roman"/>
          <w:lang w:val="en-GB" w:eastAsia="en-GB"/>
        </w:rPr>
      </w:pPr>
      <w:r w:rsidRPr="00D47408">
        <w:rPr>
          <w:rFonts w:ascii="Times New Roman" w:eastAsia="Times New Roman" w:hAnsi="Times New Roman"/>
          <w:lang w:val="en-GB" w:eastAsia="en-GB"/>
        </w:rPr>
        <w:t xml:space="preserve">George Tucker </w:t>
      </w:r>
      <w:proofErr w:type="spellStart"/>
      <w:r w:rsidRPr="00D47408">
        <w:rPr>
          <w:rFonts w:ascii="Times New Roman" w:eastAsia="Times New Roman" w:hAnsi="Times New Roman"/>
          <w:lang w:val="en-GB" w:eastAsia="en-GB"/>
        </w:rPr>
        <w:t>Bispham</w:t>
      </w:r>
      <w:proofErr w:type="spellEnd"/>
      <w:r w:rsidRPr="00D47408">
        <w:rPr>
          <w:rFonts w:ascii="Times New Roman" w:eastAsia="Times New Roman" w:hAnsi="Times New Roman"/>
          <w:lang w:val="en-GB" w:eastAsia="en-GB"/>
        </w:rPr>
        <w:t xml:space="preserve">, Joseph </w:t>
      </w:r>
      <w:proofErr w:type="spellStart"/>
      <w:r w:rsidRPr="00D47408">
        <w:rPr>
          <w:rFonts w:ascii="Times New Roman" w:eastAsia="Times New Roman" w:hAnsi="Times New Roman"/>
          <w:lang w:val="en-GB" w:eastAsia="en-GB"/>
        </w:rPr>
        <w:t>Degu</w:t>
      </w:r>
      <w:proofErr w:type="spellEnd"/>
      <w:r w:rsidRPr="00D47408">
        <w:rPr>
          <w:rFonts w:ascii="Times New Roman" w:eastAsia="Times New Roman" w:hAnsi="Times New Roman"/>
          <w:lang w:val="en-GB" w:eastAsia="en-GB"/>
        </w:rPr>
        <w:t xml:space="preserve"> McCoy. (1915). The Principles of Equity</w:t>
      </w:r>
    </w:p>
    <w:p w:rsidR="00A12DB7" w:rsidRPr="00D47408" w:rsidRDefault="0006311B" w:rsidP="00D47408">
      <w:pPr>
        <w:pStyle w:val="ListParagraph"/>
        <w:numPr>
          <w:ilvl w:val="0"/>
          <w:numId w:val="1"/>
        </w:numPr>
        <w:spacing w:line="360" w:lineRule="auto"/>
        <w:jc w:val="both"/>
        <w:rPr>
          <w:rFonts w:ascii="Times New Roman" w:hAnsi="Times New Roman"/>
        </w:rPr>
      </w:pPr>
      <w:r w:rsidRPr="00D47408">
        <w:rPr>
          <w:rFonts w:ascii="Times New Roman" w:hAnsi="Times New Roman"/>
        </w:rPr>
        <w:t>Davies, P. S. (2019). Equity and Trusts: Text, Cases, and Materials. Oxford University Press.</w:t>
      </w:r>
      <w:r w:rsidR="00A12DB7" w:rsidRPr="00D47408">
        <w:rPr>
          <w:rFonts w:ascii="Times New Roman" w:hAnsi="Times New Roman"/>
        </w:rPr>
        <w:t xml:space="preserve">  </w:t>
      </w:r>
      <w:r w:rsidR="00C074A3" w:rsidRPr="00D47408">
        <w:rPr>
          <w:rFonts w:ascii="Times New Roman" w:hAnsi="Times New Roman"/>
        </w:rPr>
        <w:t>Jones, A. (2019). *The Role of Equity in Modern Legal Systems.* London: Oxford University Press.</w:t>
      </w:r>
    </w:p>
    <w:p w:rsidR="008614D1" w:rsidRPr="00D47408" w:rsidRDefault="008614D1" w:rsidP="00D47408">
      <w:pPr>
        <w:pStyle w:val="ListParagraph"/>
        <w:numPr>
          <w:ilvl w:val="0"/>
          <w:numId w:val="1"/>
        </w:numPr>
        <w:spacing w:line="360" w:lineRule="auto"/>
        <w:jc w:val="both"/>
        <w:rPr>
          <w:rFonts w:ascii="Times New Roman" w:hAnsi="Times New Roman"/>
        </w:rPr>
      </w:pPr>
      <w:r w:rsidRPr="00D47408">
        <w:rPr>
          <w:rFonts w:ascii="Times New Roman" w:hAnsi="Times New Roman"/>
        </w:rPr>
        <w:t xml:space="preserve">John C. P. Goldberg, Henry E. Smith, P. G. Turner. (2019-08). </w:t>
      </w:r>
      <w:r w:rsidRPr="00D47408">
        <w:rPr>
          <w:rStyle w:val="Emphasis"/>
          <w:rFonts w:ascii="Times New Roman" w:hAnsi="Times New Roman"/>
        </w:rPr>
        <w:t>Equity and Law</w:t>
      </w:r>
      <w:r w:rsidRPr="00D47408">
        <w:rPr>
          <w:rFonts w:ascii="Times New Roman" w:hAnsi="Times New Roman"/>
        </w:rPr>
        <w:t>. Cambridge University Press</w:t>
      </w:r>
    </w:p>
    <w:p w:rsidR="001F6593" w:rsidRPr="00D47408" w:rsidRDefault="001F6593" w:rsidP="00D47408">
      <w:pPr>
        <w:pStyle w:val="ListParagraph"/>
        <w:numPr>
          <w:ilvl w:val="0"/>
          <w:numId w:val="1"/>
        </w:numPr>
        <w:spacing w:line="360" w:lineRule="auto"/>
        <w:rPr>
          <w:rFonts w:ascii="Times New Roman" w:hAnsi="Times New Roman"/>
        </w:rPr>
      </w:pPr>
      <w:r w:rsidRPr="00D47408">
        <w:rPr>
          <w:rFonts w:ascii="Times New Roman" w:hAnsi="Times New Roman"/>
        </w:rPr>
        <w:t xml:space="preserve">Rogers, A. (2023). The Law and Practice of the Supreme Court of Judicature. </w:t>
      </w:r>
      <w:proofErr w:type="spellStart"/>
      <w:r w:rsidRPr="00D47408">
        <w:rPr>
          <w:rFonts w:ascii="Times New Roman" w:hAnsi="Times New Roman"/>
        </w:rPr>
        <w:t>BoD</w:t>
      </w:r>
      <w:proofErr w:type="spellEnd"/>
      <w:r w:rsidRPr="00D47408">
        <w:rPr>
          <w:rFonts w:ascii="Times New Roman" w:hAnsi="Times New Roman"/>
        </w:rPr>
        <w:t>–Books on Demand.</w:t>
      </w:r>
    </w:p>
    <w:p w:rsidR="00DE4BDA" w:rsidRPr="00D47408" w:rsidRDefault="00DE4BDA" w:rsidP="00D47408">
      <w:pPr>
        <w:pStyle w:val="ListParagraph"/>
        <w:numPr>
          <w:ilvl w:val="0"/>
          <w:numId w:val="1"/>
        </w:numPr>
        <w:spacing w:line="360" w:lineRule="auto"/>
        <w:rPr>
          <w:rFonts w:ascii="Times New Roman" w:hAnsi="Times New Roman"/>
        </w:rPr>
      </w:pPr>
      <w:r w:rsidRPr="00D47408">
        <w:rPr>
          <w:rFonts w:ascii="Times New Roman" w:hAnsi="Times New Roman"/>
        </w:rPr>
        <w:t>Smith, J. (2018). Equity and the Law of Trusts. Cambridge: Cambridge University Press.</w:t>
      </w:r>
    </w:p>
    <w:p w:rsidR="00D47408" w:rsidRPr="00D47408" w:rsidRDefault="00D47408" w:rsidP="00D47408">
      <w:pPr>
        <w:pStyle w:val="ListParagraph"/>
        <w:numPr>
          <w:ilvl w:val="0"/>
          <w:numId w:val="1"/>
        </w:numPr>
        <w:spacing w:line="360" w:lineRule="auto"/>
        <w:rPr>
          <w:rFonts w:ascii="Times New Roman" w:hAnsi="Times New Roman"/>
        </w:rPr>
      </w:pPr>
      <w:r w:rsidRPr="00D47408">
        <w:rPr>
          <w:rFonts w:ascii="Times New Roman" w:hAnsi="Times New Roman"/>
        </w:rPr>
        <w:t xml:space="preserve">Beale, H., Bishop, W., </w:t>
      </w:r>
      <w:proofErr w:type="spellStart"/>
      <w:r w:rsidRPr="00D47408">
        <w:rPr>
          <w:rFonts w:ascii="Times New Roman" w:hAnsi="Times New Roman"/>
        </w:rPr>
        <w:t>Furmston</w:t>
      </w:r>
      <w:proofErr w:type="spellEnd"/>
      <w:r w:rsidRPr="00D47408">
        <w:rPr>
          <w:rFonts w:ascii="Times New Roman" w:hAnsi="Times New Roman"/>
        </w:rPr>
        <w:t xml:space="preserve">, M., &amp; Richards, M. (2012). Contract Law: Text, Cases, and Materials (5th </w:t>
      </w:r>
      <w:proofErr w:type="gramStart"/>
      <w:r w:rsidRPr="00D47408">
        <w:rPr>
          <w:rFonts w:ascii="Times New Roman" w:hAnsi="Times New Roman"/>
        </w:rPr>
        <w:t>ed</w:t>
      </w:r>
      <w:proofErr w:type="gramEnd"/>
      <w:r w:rsidRPr="00D47408">
        <w:rPr>
          <w:rFonts w:ascii="Times New Roman" w:hAnsi="Times New Roman"/>
        </w:rPr>
        <w:t>.). Oxford University Press.</w:t>
      </w:r>
    </w:p>
    <w:p w:rsidR="00D47408" w:rsidRPr="00D47408" w:rsidRDefault="00D47408" w:rsidP="00D47408">
      <w:pPr>
        <w:pStyle w:val="ListParagraph"/>
        <w:numPr>
          <w:ilvl w:val="0"/>
          <w:numId w:val="1"/>
        </w:numPr>
        <w:spacing w:line="360" w:lineRule="auto"/>
        <w:rPr>
          <w:rFonts w:ascii="Times New Roman" w:hAnsi="Times New Roman"/>
        </w:rPr>
      </w:pPr>
      <w:r w:rsidRPr="00D47408">
        <w:rPr>
          <w:rFonts w:ascii="Times New Roman" w:hAnsi="Times New Roman"/>
        </w:rPr>
        <w:t xml:space="preserve">Pettit, P. (2018). Equity and the Law of Trusts (15th </w:t>
      </w:r>
      <w:proofErr w:type="gramStart"/>
      <w:r w:rsidRPr="00D47408">
        <w:rPr>
          <w:rFonts w:ascii="Times New Roman" w:hAnsi="Times New Roman"/>
        </w:rPr>
        <w:t>ed</w:t>
      </w:r>
      <w:proofErr w:type="gramEnd"/>
      <w:r w:rsidRPr="00D47408">
        <w:rPr>
          <w:rFonts w:ascii="Times New Roman" w:hAnsi="Times New Roman"/>
        </w:rPr>
        <w:t>.). Oxford University Press.</w:t>
      </w:r>
    </w:p>
    <w:p w:rsidR="00D47408" w:rsidRPr="00D47408" w:rsidRDefault="00D47408" w:rsidP="00D47408">
      <w:pPr>
        <w:pStyle w:val="ListParagraph"/>
        <w:numPr>
          <w:ilvl w:val="0"/>
          <w:numId w:val="1"/>
        </w:numPr>
        <w:spacing w:line="360" w:lineRule="auto"/>
        <w:rPr>
          <w:rFonts w:ascii="Times New Roman" w:hAnsi="Times New Roman"/>
        </w:rPr>
      </w:pPr>
      <w:r w:rsidRPr="00D47408">
        <w:rPr>
          <w:rFonts w:ascii="Times New Roman" w:hAnsi="Times New Roman"/>
        </w:rPr>
        <w:t xml:space="preserve">Smith, R. (2016). The Law of Equity (7th </w:t>
      </w:r>
      <w:proofErr w:type="gramStart"/>
      <w:r w:rsidRPr="00D47408">
        <w:rPr>
          <w:rFonts w:ascii="Times New Roman" w:hAnsi="Times New Roman"/>
        </w:rPr>
        <w:t>ed</w:t>
      </w:r>
      <w:proofErr w:type="gramEnd"/>
      <w:r w:rsidRPr="00D47408">
        <w:rPr>
          <w:rFonts w:ascii="Times New Roman" w:hAnsi="Times New Roman"/>
        </w:rPr>
        <w:t>.). Oxford University Press.</w:t>
      </w:r>
    </w:p>
    <w:p w:rsidR="00D47408" w:rsidRPr="00D47408" w:rsidRDefault="00D47408" w:rsidP="00D47408">
      <w:pPr>
        <w:pStyle w:val="ListParagraph"/>
        <w:numPr>
          <w:ilvl w:val="0"/>
          <w:numId w:val="1"/>
        </w:numPr>
        <w:spacing w:line="360" w:lineRule="auto"/>
        <w:rPr>
          <w:rFonts w:ascii="Times New Roman" w:hAnsi="Times New Roman"/>
        </w:rPr>
      </w:pPr>
      <w:r w:rsidRPr="00D47408">
        <w:rPr>
          <w:rFonts w:ascii="Times New Roman" w:hAnsi="Times New Roman"/>
        </w:rPr>
        <w:t xml:space="preserve">Douglas, G., &amp; Jones, A. (2019). Equity and Trusts (10th </w:t>
      </w:r>
      <w:proofErr w:type="gramStart"/>
      <w:r w:rsidRPr="00D47408">
        <w:rPr>
          <w:rFonts w:ascii="Times New Roman" w:hAnsi="Times New Roman"/>
        </w:rPr>
        <w:t>ed</w:t>
      </w:r>
      <w:proofErr w:type="gramEnd"/>
      <w:r w:rsidRPr="00D47408">
        <w:rPr>
          <w:rFonts w:ascii="Times New Roman" w:hAnsi="Times New Roman"/>
        </w:rPr>
        <w:t>.). Oxford University Press.</w:t>
      </w:r>
    </w:p>
    <w:p w:rsidR="00D47408" w:rsidRPr="00D47408" w:rsidRDefault="00D47408" w:rsidP="00D47408">
      <w:pPr>
        <w:pStyle w:val="ListParagraph"/>
        <w:numPr>
          <w:ilvl w:val="0"/>
          <w:numId w:val="1"/>
        </w:numPr>
        <w:spacing w:line="360" w:lineRule="auto"/>
        <w:rPr>
          <w:rFonts w:ascii="Times New Roman" w:hAnsi="Times New Roman"/>
        </w:rPr>
      </w:pPr>
      <w:r w:rsidRPr="00D47408">
        <w:rPr>
          <w:rFonts w:ascii="Times New Roman" w:hAnsi="Times New Roman"/>
        </w:rPr>
        <w:t xml:space="preserve">Hudson, A. (2016). Equity and Trusts (10th </w:t>
      </w:r>
      <w:proofErr w:type="gramStart"/>
      <w:r w:rsidRPr="00D47408">
        <w:rPr>
          <w:rFonts w:ascii="Times New Roman" w:hAnsi="Times New Roman"/>
        </w:rPr>
        <w:t>ed</w:t>
      </w:r>
      <w:proofErr w:type="gramEnd"/>
      <w:r w:rsidRPr="00D47408">
        <w:rPr>
          <w:rFonts w:ascii="Times New Roman" w:hAnsi="Times New Roman"/>
        </w:rPr>
        <w:t xml:space="preserve">.). </w:t>
      </w:r>
      <w:proofErr w:type="spellStart"/>
      <w:r w:rsidRPr="00D47408">
        <w:rPr>
          <w:rFonts w:ascii="Times New Roman" w:hAnsi="Times New Roman"/>
        </w:rPr>
        <w:t>Routledge</w:t>
      </w:r>
      <w:proofErr w:type="spellEnd"/>
      <w:r w:rsidRPr="00D47408">
        <w:rPr>
          <w:rFonts w:ascii="Times New Roman" w:hAnsi="Times New Roman"/>
        </w:rPr>
        <w:t>.</w:t>
      </w:r>
    </w:p>
    <w:p w:rsidR="00D47408" w:rsidRPr="00D47408" w:rsidRDefault="00D47408" w:rsidP="00D47408">
      <w:pPr>
        <w:pStyle w:val="ListParagraph"/>
        <w:numPr>
          <w:ilvl w:val="0"/>
          <w:numId w:val="1"/>
        </w:numPr>
        <w:spacing w:line="360" w:lineRule="auto"/>
        <w:rPr>
          <w:rFonts w:ascii="Times New Roman" w:hAnsi="Times New Roman"/>
        </w:rPr>
      </w:pPr>
      <w:r w:rsidRPr="00D47408">
        <w:rPr>
          <w:rFonts w:ascii="Times New Roman" w:hAnsi="Times New Roman"/>
        </w:rPr>
        <w:t xml:space="preserve">Davies, M. (2015). Concise Equity and Trusts (7th </w:t>
      </w:r>
      <w:proofErr w:type="gramStart"/>
      <w:r w:rsidRPr="00D47408">
        <w:rPr>
          <w:rFonts w:ascii="Times New Roman" w:hAnsi="Times New Roman"/>
        </w:rPr>
        <w:t>ed</w:t>
      </w:r>
      <w:proofErr w:type="gramEnd"/>
      <w:r w:rsidRPr="00D47408">
        <w:rPr>
          <w:rFonts w:ascii="Times New Roman" w:hAnsi="Times New Roman"/>
        </w:rPr>
        <w:t xml:space="preserve">.). </w:t>
      </w:r>
      <w:proofErr w:type="spellStart"/>
      <w:r w:rsidRPr="00D47408">
        <w:rPr>
          <w:rFonts w:ascii="Times New Roman" w:hAnsi="Times New Roman"/>
        </w:rPr>
        <w:t>Routledge</w:t>
      </w:r>
      <w:proofErr w:type="spellEnd"/>
      <w:r w:rsidRPr="00D47408">
        <w:rPr>
          <w:rFonts w:ascii="Times New Roman" w:hAnsi="Times New Roman"/>
        </w:rPr>
        <w:t>.</w:t>
      </w:r>
    </w:p>
    <w:p w:rsidR="00D10428" w:rsidRPr="00D47408" w:rsidRDefault="00D10428" w:rsidP="00D47408">
      <w:pPr>
        <w:pStyle w:val="ListParagraph"/>
        <w:numPr>
          <w:ilvl w:val="0"/>
          <w:numId w:val="1"/>
        </w:numPr>
        <w:spacing w:line="360" w:lineRule="auto"/>
        <w:jc w:val="both"/>
        <w:rPr>
          <w:rFonts w:ascii="Times New Roman" w:hAnsi="Times New Roman"/>
        </w:rPr>
      </w:pPr>
    </w:p>
    <w:p w:rsidR="00D10428" w:rsidRPr="00D47408" w:rsidRDefault="00D10428" w:rsidP="00D47408">
      <w:pPr>
        <w:spacing w:line="360" w:lineRule="auto"/>
        <w:rPr>
          <w:rFonts w:ascii="Times New Roman" w:hAnsi="Times New Roman"/>
        </w:rPr>
      </w:pPr>
    </w:p>
    <w:p w:rsidR="00796C36" w:rsidRPr="00D47408" w:rsidRDefault="00796C36" w:rsidP="00D47408">
      <w:pPr>
        <w:spacing w:line="360" w:lineRule="auto"/>
        <w:rPr>
          <w:rFonts w:ascii="Times New Roman" w:hAnsi="Times New Roman"/>
        </w:rPr>
      </w:pPr>
    </w:p>
    <w:p w:rsidR="00796C36" w:rsidRPr="00D47408" w:rsidRDefault="00796C36" w:rsidP="00D47408">
      <w:pPr>
        <w:spacing w:line="360" w:lineRule="auto"/>
        <w:rPr>
          <w:rFonts w:ascii="Times New Roman" w:hAnsi="Times New Roman"/>
        </w:rPr>
      </w:pPr>
    </w:p>
    <w:p w:rsidR="00796C36" w:rsidRPr="00D47408" w:rsidRDefault="00796C36" w:rsidP="00D47408">
      <w:pPr>
        <w:spacing w:line="360" w:lineRule="auto"/>
        <w:rPr>
          <w:rFonts w:ascii="Times New Roman" w:hAnsi="Times New Roman"/>
        </w:rPr>
      </w:pPr>
    </w:p>
    <w:p w:rsidR="00796C36" w:rsidRPr="00D47408" w:rsidRDefault="00796C36" w:rsidP="00D47408">
      <w:pPr>
        <w:spacing w:line="360" w:lineRule="auto"/>
        <w:rPr>
          <w:rFonts w:ascii="Times New Roman" w:hAnsi="Times New Roman"/>
        </w:rPr>
      </w:pPr>
    </w:p>
    <w:p w:rsidR="00796C36" w:rsidRPr="00D47408" w:rsidRDefault="00796C36" w:rsidP="00D47408">
      <w:pPr>
        <w:spacing w:line="360" w:lineRule="auto"/>
        <w:rPr>
          <w:rFonts w:ascii="Times New Roman" w:hAnsi="Times New Roman"/>
        </w:rPr>
      </w:pPr>
    </w:p>
    <w:p w:rsidR="00796C36" w:rsidRPr="00D47408" w:rsidRDefault="00796C36" w:rsidP="00D47408">
      <w:pPr>
        <w:spacing w:line="360" w:lineRule="auto"/>
        <w:rPr>
          <w:rFonts w:ascii="Times New Roman" w:hAnsi="Times New Roman"/>
        </w:rPr>
      </w:pPr>
    </w:p>
    <w:p w:rsidR="00D10428" w:rsidRPr="00D47408" w:rsidRDefault="00D10428" w:rsidP="00D47408">
      <w:pPr>
        <w:spacing w:line="360" w:lineRule="auto"/>
        <w:rPr>
          <w:rFonts w:ascii="Times New Roman" w:hAnsi="Times New Roman"/>
          <w:b/>
        </w:rPr>
      </w:pPr>
      <w:r w:rsidRPr="00D47408">
        <w:rPr>
          <w:rFonts w:ascii="Times New Roman" w:hAnsi="Times New Roman"/>
          <w:b/>
        </w:rPr>
        <w:t>Other Source Act and Case laws:</w:t>
      </w:r>
    </w:p>
    <w:p w:rsidR="0004221D" w:rsidRPr="00D47408" w:rsidRDefault="0004221D" w:rsidP="00D47408">
      <w:pPr>
        <w:pStyle w:val="ListParagraph"/>
        <w:numPr>
          <w:ilvl w:val="0"/>
          <w:numId w:val="2"/>
        </w:numPr>
        <w:spacing w:line="360" w:lineRule="auto"/>
        <w:rPr>
          <w:rFonts w:ascii="Times New Roman" w:hAnsi="Times New Roman"/>
        </w:rPr>
      </w:pPr>
      <w:r w:rsidRPr="00D47408">
        <w:rPr>
          <w:rFonts w:ascii="Times New Roman" w:hAnsi="Times New Roman"/>
        </w:rPr>
        <w:t>Trustee Act 2000</w:t>
      </w:r>
    </w:p>
    <w:p w:rsidR="00A41E54" w:rsidRPr="00D47408" w:rsidRDefault="00A41E54" w:rsidP="00D47408">
      <w:pPr>
        <w:pStyle w:val="ListParagraph"/>
        <w:numPr>
          <w:ilvl w:val="0"/>
          <w:numId w:val="2"/>
        </w:numPr>
        <w:spacing w:line="360" w:lineRule="auto"/>
        <w:rPr>
          <w:rFonts w:ascii="Times New Roman" w:hAnsi="Times New Roman"/>
        </w:rPr>
      </w:pPr>
      <w:r w:rsidRPr="00D47408">
        <w:rPr>
          <w:rFonts w:ascii="Times New Roman" w:hAnsi="Times New Roman"/>
        </w:rPr>
        <w:t>Judicature Acts of 1873 and 1875</w:t>
      </w:r>
    </w:p>
    <w:p w:rsidR="00796C36" w:rsidRPr="00D47408" w:rsidRDefault="00796C36" w:rsidP="00D47408">
      <w:pPr>
        <w:spacing w:line="360" w:lineRule="auto"/>
        <w:rPr>
          <w:rFonts w:ascii="Times New Roman" w:hAnsi="Times New Roman"/>
          <w:b/>
        </w:rPr>
      </w:pPr>
    </w:p>
    <w:p w:rsidR="00D10428" w:rsidRPr="00D47408" w:rsidRDefault="00D10428" w:rsidP="00D47408">
      <w:pPr>
        <w:pStyle w:val="ListParagraph"/>
        <w:numPr>
          <w:ilvl w:val="0"/>
          <w:numId w:val="2"/>
        </w:numPr>
        <w:spacing w:line="360" w:lineRule="auto"/>
        <w:rPr>
          <w:rFonts w:ascii="Times New Roman" w:hAnsi="Times New Roman"/>
          <w:b/>
        </w:rPr>
      </w:pPr>
      <w:r w:rsidRPr="00D47408">
        <w:rPr>
          <w:rFonts w:ascii="Times New Roman" w:hAnsi="Times New Roman"/>
          <w:i/>
        </w:rPr>
        <w:t>Curran v Collins [2015] EWHC 1214 (Ch)</w:t>
      </w:r>
    </w:p>
    <w:p w:rsidR="00D10428" w:rsidRPr="00D47408" w:rsidRDefault="00D10428" w:rsidP="00D47408">
      <w:pPr>
        <w:pStyle w:val="ListParagraph"/>
        <w:numPr>
          <w:ilvl w:val="0"/>
          <w:numId w:val="2"/>
        </w:numPr>
        <w:spacing w:line="360" w:lineRule="auto"/>
        <w:rPr>
          <w:rFonts w:ascii="Times New Roman" w:hAnsi="Times New Roman"/>
          <w:i/>
        </w:rPr>
      </w:pPr>
      <w:r w:rsidRPr="00D47408">
        <w:rPr>
          <w:rFonts w:ascii="Times New Roman" w:hAnsi="Times New Roman"/>
          <w:i/>
        </w:rPr>
        <w:t>Cook v Fountain [1676]</w:t>
      </w:r>
    </w:p>
    <w:p w:rsidR="00D10428" w:rsidRPr="00D47408" w:rsidRDefault="00D10428" w:rsidP="00D47408">
      <w:pPr>
        <w:pStyle w:val="ListParagraph"/>
        <w:numPr>
          <w:ilvl w:val="0"/>
          <w:numId w:val="2"/>
        </w:numPr>
        <w:spacing w:line="360" w:lineRule="auto"/>
        <w:rPr>
          <w:rFonts w:ascii="Times New Roman" w:hAnsi="Times New Roman"/>
          <w:i/>
        </w:rPr>
      </w:pPr>
      <w:r w:rsidRPr="00D47408">
        <w:rPr>
          <w:rFonts w:ascii="Times New Roman" w:hAnsi="Times New Roman"/>
          <w:i/>
        </w:rPr>
        <w:t>Earl of Oxford’s Case [1615]</w:t>
      </w:r>
    </w:p>
    <w:p w:rsidR="00D10428" w:rsidRPr="00D47408" w:rsidRDefault="00D10428" w:rsidP="00D47408">
      <w:pPr>
        <w:pStyle w:val="ListParagraph"/>
        <w:numPr>
          <w:ilvl w:val="0"/>
          <w:numId w:val="2"/>
        </w:numPr>
        <w:spacing w:line="360" w:lineRule="auto"/>
        <w:rPr>
          <w:rFonts w:ascii="Times New Roman" w:hAnsi="Times New Roman"/>
          <w:i/>
        </w:rPr>
      </w:pPr>
      <w:r w:rsidRPr="00D47408">
        <w:rPr>
          <w:rFonts w:ascii="Times New Roman" w:hAnsi="Times New Roman"/>
          <w:i/>
        </w:rPr>
        <w:t>Walsh v Lonsdale[1882]</w:t>
      </w:r>
    </w:p>
    <w:p w:rsidR="00D10428" w:rsidRPr="00D47408" w:rsidRDefault="00D10428" w:rsidP="00D47408">
      <w:pPr>
        <w:pStyle w:val="ListParagraph"/>
        <w:numPr>
          <w:ilvl w:val="0"/>
          <w:numId w:val="2"/>
        </w:numPr>
        <w:spacing w:line="360" w:lineRule="auto"/>
        <w:rPr>
          <w:rFonts w:ascii="Times New Roman" w:hAnsi="Times New Roman"/>
          <w:i/>
        </w:rPr>
      </w:pPr>
      <w:r w:rsidRPr="00D47408">
        <w:rPr>
          <w:rFonts w:ascii="Times New Roman" w:hAnsi="Times New Roman"/>
          <w:i/>
        </w:rPr>
        <w:t xml:space="preserve">Frederic E rose (London) LTD v William H </w:t>
      </w:r>
      <w:proofErr w:type="spellStart"/>
      <w:r w:rsidRPr="00D47408">
        <w:rPr>
          <w:rFonts w:ascii="Times New Roman" w:hAnsi="Times New Roman"/>
          <w:i/>
        </w:rPr>
        <w:t>pim</w:t>
      </w:r>
      <w:proofErr w:type="spellEnd"/>
      <w:r w:rsidRPr="00D47408">
        <w:rPr>
          <w:rFonts w:ascii="Times New Roman" w:hAnsi="Times New Roman"/>
          <w:i/>
        </w:rPr>
        <w:t xml:space="preserve"> Junior and Co LTD 1953 2 [QB] 450</w:t>
      </w:r>
    </w:p>
    <w:p w:rsidR="00D10428" w:rsidRPr="00D47408" w:rsidRDefault="00D10428" w:rsidP="00D47408">
      <w:pPr>
        <w:pStyle w:val="ListParagraph"/>
        <w:numPr>
          <w:ilvl w:val="0"/>
          <w:numId w:val="2"/>
        </w:numPr>
        <w:spacing w:line="360" w:lineRule="auto"/>
        <w:rPr>
          <w:rFonts w:ascii="Times New Roman" w:hAnsi="Times New Roman"/>
          <w:i/>
        </w:rPr>
      </w:pPr>
      <w:r w:rsidRPr="00D47408">
        <w:rPr>
          <w:rFonts w:ascii="Times New Roman" w:hAnsi="Times New Roman"/>
          <w:i/>
        </w:rPr>
        <w:t>Pettit v Pettit [1970] AC 777,</w:t>
      </w:r>
    </w:p>
    <w:p w:rsidR="0004221D" w:rsidRPr="00D47408" w:rsidRDefault="0004221D" w:rsidP="00D47408">
      <w:pPr>
        <w:pStyle w:val="ListParagraph"/>
        <w:numPr>
          <w:ilvl w:val="0"/>
          <w:numId w:val="2"/>
        </w:numPr>
        <w:spacing w:line="360" w:lineRule="auto"/>
        <w:rPr>
          <w:rFonts w:ascii="Times New Roman" w:hAnsi="Times New Roman"/>
          <w:i/>
        </w:rPr>
      </w:pPr>
      <w:r w:rsidRPr="00D47408">
        <w:rPr>
          <w:rFonts w:ascii="Times New Roman" w:hAnsi="Times New Roman"/>
          <w:i/>
        </w:rPr>
        <w:t>Lumley v. Wagner (1852)</w:t>
      </w:r>
    </w:p>
    <w:p w:rsidR="00796C36" w:rsidRPr="00D47408" w:rsidRDefault="0004221D" w:rsidP="00D47408">
      <w:pPr>
        <w:pStyle w:val="ListParagraph"/>
        <w:numPr>
          <w:ilvl w:val="0"/>
          <w:numId w:val="2"/>
        </w:numPr>
        <w:spacing w:line="360" w:lineRule="auto"/>
        <w:rPr>
          <w:rFonts w:ascii="Times New Roman" w:hAnsi="Times New Roman"/>
          <w:i/>
        </w:rPr>
      </w:pPr>
      <w:r w:rsidRPr="00D47408">
        <w:rPr>
          <w:rFonts w:ascii="Times New Roman" w:hAnsi="Times New Roman"/>
          <w:i/>
        </w:rPr>
        <w:t>Gissing v Gissing [1970] AC 886</w:t>
      </w:r>
    </w:p>
    <w:p w:rsidR="00796C36" w:rsidRPr="00D47408" w:rsidRDefault="00007A90" w:rsidP="00D47408">
      <w:pPr>
        <w:pStyle w:val="ListParagraph"/>
        <w:numPr>
          <w:ilvl w:val="0"/>
          <w:numId w:val="2"/>
        </w:numPr>
        <w:spacing w:line="360" w:lineRule="auto"/>
        <w:rPr>
          <w:rFonts w:ascii="Times New Roman" w:hAnsi="Times New Roman"/>
          <w:i/>
        </w:rPr>
      </w:pPr>
      <w:r w:rsidRPr="00D47408">
        <w:rPr>
          <w:rFonts w:ascii="Times New Roman" w:hAnsi="Times New Roman"/>
          <w:i/>
        </w:rPr>
        <w:t>Stack v Dowden [2007] UKHL 17</w:t>
      </w:r>
    </w:p>
    <w:p w:rsidR="00007A90" w:rsidRPr="00D47408" w:rsidRDefault="00007A90" w:rsidP="00D47408">
      <w:pPr>
        <w:pStyle w:val="ListParagraph"/>
        <w:numPr>
          <w:ilvl w:val="0"/>
          <w:numId w:val="2"/>
        </w:numPr>
        <w:spacing w:line="360" w:lineRule="auto"/>
        <w:rPr>
          <w:rFonts w:ascii="Times New Roman" w:hAnsi="Times New Roman"/>
          <w:i/>
        </w:rPr>
      </w:pPr>
      <w:r w:rsidRPr="00D47408">
        <w:rPr>
          <w:rFonts w:ascii="Times New Roman" w:hAnsi="Times New Roman"/>
          <w:i/>
        </w:rPr>
        <w:t xml:space="preserve">Royal Bank of Scotland v </w:t>
      </w:r>
      <w:proofErr w:type="spellStart"/>
      <w:r w:rsidRPr="00D47408">
        <w:rPr>
          <w:rFonts w:ascii="Times New Roman" w:hAnsi="Times New Roman"/>
          <w:i/>
        </w:rPr>
        <w:t>Etridge</w:t>
      </w:r>
      <w:proofErr w:type="spellEnd"/>
      <w:r w:rsidRPr="00D47408">
        <w:rPr>
          <w:rFonts w:ascii="Times New Roman" w:hAnsi="Times New Roman"/>
          <w:i/>
        </w:rPr>
        <w:t xml:space="preserve"> (No 2) [2001] UKHL 44</w:t>
      </w:r>
    </w:p>
    <w:p w:rsidR="001F6593" w:rsidRPr="00D47408" w:rsidRDefault="001F6593" w:rsidP="00D47408">
      <w:pPr>
        <w:pStyle w:val="ListParagraph"/>
        <w:numPr>
          <w:ilvl w:val="0"/>
          <w:numId w:val="2"/>
        </w:numPr>
        <w:spacing w:line="360" w:lineRule="auto"/>
        <w:rPr>
          <w:rFonts w:ascii="Times New Roman" w:hAnsi="Times New Roman"/>
          <w:i/>
        </w:rPr>
      </w:pPr>
      <w:proofErr w:type="spellStart"/>
      <w:r w:rsidRPr="00D47408">
        <w:rPr>
          <w:rFonts w:ascii="Times New Roman" w:hAnsi="Times New Roman"/>
          <w:i/>
        </w:rPr>
        <w:t>Holdsworth</w:t>
      </w:r>
      <w:proofErr w:type="spellEnd"/>
      <w:r w:rsidRPr="00D47408">
        <w:rPr>
          <w:rFonts w:ascii="Times New Roman" w:hAnsi="Times New Roman"/>
          <w:i/>
        </w:rPr>
        <w:t>, W. S. (1903). A History of English Law. London: Methuen &amp; Co.</w:t>
      </w:r>
    </w:p>
    <w:p w:rsidR="001F6593" w:rsidRPr="00D47408" w:rsidRDefault="001F6593" w:rsidP="00D47408">
      <w:pPr>
        <w:pStyle w:val="ListParagraph"/>
        <w:numPr>
          <w:ilvl w:val="0"/>
          <w:numId w:val="2"/>
        </w:numPr>
        <w:spacing w:line="360" w:lineRule="auto"/>
        <w:rPr>
          <w:rFonts w:ascii="Times New Roman" w:hAnsi="Times New Roman"/>
          <w:i/>
        </w:rPr>
      </w:pPr>
      <w:r w:rsidRPr="00D47408">
        <w:rPr>
          <w:rFonts w:ascii="Times New Roman" w:hAnsi="Times New Roman"/>
          <w:i/>
        </w:rPr>
        <w:t>Ridge v Baldwin [1963] UKHL 2.</w:t>
      </w:r>
    </w:p>
    <w:p w:rsidR="001F6593" w:rsidRPr="00D47408" w:rsidRDefault="001F6593" w:rsidP="00D47408">
      <w:pPr>
        <w:pStyle w:val="ListParagraph"/>
        <w:spacing w:line="360" w:lineRule="auto"/>
        <w:rPr>
          <w:rFonts w:ascii="Times New Roman" w:hAnsi="Times New Roman"/>
          <w:i/>
        </w:rPr>
      </w:pPr>
    </w:p>
    <w:p w:rsidR="00D10428" w:rsidRPr="00D47408" w:rsidRDefault="00D10428" w:rsidP="00D47408">
      <w:pPr>
        <w:spacing w:line="360" w:lineRule="auto"/>
        <w:rPr>
          <w:rFonts w:ascii="Times New Roman" w:hAnsi="Times New Roman"/>
          <w:b/>
        </w:rPr>
      </w:pPr>
    </w:p>
    <w:p w:rsidR="00D10428" w:rsidRPr="00D47408" w:rsidRDefault="00D10428" w:rsidP="00D47408">
      <w:pPr>
        <w:spacing w:line="360" w:lineRule="auto"/>
        <w:rPr>
          <w:rFonts w:ascii="Times New Roman" w:hAnsi="Times New Roman"/>
        </w:rPr>
      </w:pPr>
    </w:p>
    <w:p w:rsidR="00D10428" w:rsidRPr="00D47408" w:rsidRDefault="00D10428" w:rsidP="00D47408">
      <w:pPr>
        <w:spacing w:line="360" w:lineRule="auto"/>
        <w:rPr>
          <w:rFonts w:ascii="Times New Roman" w:hAnsi="Times New Roman"/>
        </w:rPr>
      </w:pPr>
    </w:p>
    <w:p w:rsidR="00D10428" w:rsidRPr="00D47408" w:rsidRDefault="00D10428" w:rsidP="00D47408">
      <w:pPr>
        <w:spacing w:line="360" w:lineRule="auto"/>
        <w:rPr>
          <w:rFonts w:ascii="Times New Roman" w:hAnsi="Times New Roman"/>
        </w:rPr>
      </w:pPr>
    </w:p>
    <w:sectPr w:rsidR="00D10428" w:rsidRPr="00D47408" w:rsidSect="00C42F45">
      <w:footerReference w:type="default" r:id="rId9"/>
      <w:pgSz w:w="11906" w:h="16838"/>
      <w:pgMar w:top="1134" w:right="1134" w:bottom="1134" w:left="1134"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861DE" w:rsidRDefault="00D861DE" w:rsidP="00482F92">
      <w:pPr>
        <w:spacing w:after="0" w:line="240" w:lineRule="auto"/>
      </w:pPr>
      <w:r>
        <w:separator/>
      </w:r>
    </w:p>
  </w:endnote>
  <w:endnote w:type="continuationSeparator" w:id="0">
    <w:p w:rsidR="00D861DE" w:rsidRDefault="00D861DE" w:rsidP="00482F9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5000" w:type="pct"/>
      <w:jc w:val="center"/>
      <w:tblCellMar>
        <w:top w:w="144" w:type="dxa"/>
        <w:left w:w="115" w:type="dxa"/>
        <w:bottom w:w="144" w:type="dxa"/>
        <w:right w:w="115" w:type="dxa"/>
      </w:tblCellMar>
      <w:tblLook w:val="04A0"/>
    </w:tblPr>
    <w:tblGrid>
      <w:gridCol w:w="4940"/>
      <w:gridCol w:w="4928"/>
    </w:tblGrid>
    <w:tr w:rsidR="009B6E64">
      <w:trPr>
        <w:trHeight w:hRule="exact" w:val="115"/>
        <w:jc w:val="center"/>
      </w:trPr>
      <w:tc>
        <w:tcPr>
          <w:tcW w:w="4686" w:type="dxa"/>
          <w:shd w:val="clear" w:color="auto" w:fill="4472C4" w:themeFill="accent1"/>
          <w:tcMar>
            <w:top w:w="0" w:type="dxa"/>
            <w:bottom w:w="0" w:type="dxa"/>
          </w:tcMar>
        </w:tcPr>
        <w:p w:rsidR="009B6E64" w:rsidRDefault="00D861DE">
          <w:pPr>
            <w:pStyle w:val="Header"/>
            <w:rPr>
              <w:caps/>
              <w:sz w:val="18"/>
            </w:rPr>
          </w:pPr>
        </w:p>
      </w:tc>
      <w:tc>
        <w:tcPr>
          <w:tcW w:w="4674" w:type="dxa"/>
          <w:shd w:val="clear" w:color="auto" w:fill="4472C4" w:themeFill="accent1"/>
          <w:tcMar>
            <w:top w:w="0" w:type="dxa"/>
            <w:bottom w:w="0" w:type="dxa"/>
          </w:tcMar>
        </w:tcPr>
        <w:p w:rsidR="009B6E64" w:rsidRDefault="00D861DE">
          <w:pPr>
            <w:pStyle w:val="Header"/>
            <w:jc w:val="right"/>
            <w:rPr>
              <w:caps/>
              <w:sz w:val="18"/>
            </w:rPr>
          </w:pPr>
        </w:p>
      </w:tc>
    </w:tr>
    <w:tr w:rsidR="009B6E64">
      <w:trPr>
        <w:jc w:val="center"/>
      </w:trPr>
      <w:sdt>
        <w:sdtPr>
          <w:rPr>
            <w:caps/>
            <w:color w:val="808080" w:themeColor="background1" w:themeShade="80"/>
            <w:sz w:val="18"/>
            <w:szCs w:val="18"/>
          </w:rPr>
          <w:alias w:val="Author"/>
          <w:tag w:val=""/>
          <w:id w:val="1534151868"/>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rsidR="009B6E64" w:rsidRDefault="002009AD">
              <w:pPr>
                <w:pStyle w:val="Footer"/>
                <w:rPr>
                  <w:caps/>
                  <w:color w:val="808080" w:themeColor="background1" w:themeShade="80"/>
                  <w:sz w:val="18"/>
                  <w:szCs w:val="18"/>
                </w:rPr>
              </w:pPr>
              <w:r>
                <w:rPr>
                  <w:caps/>
                  <w:color w:val="808080" w:themeColor="background1" w:themeShade="80"/>
                  <w:sz w:val="18"/>
                  <w:szCs w:val="18"/>
                  <w:lang w:val="en-GB"/>
                </w:rPr>
                <w:t>Roshid Ahmed</w:t>
              </w:r>
            </w:p>
          </w:tc>
        </w:sdtContent>
      </w:sdt>
      <w:tc>
        <w:tcPr>
          <w:tcW w:w="4674" w:type="dxa"/>
          <w:shd w:val="clear" w:color="auto" w:fill="auto"/>
          <w:vAlign w:val="center"/>
        </w:tcPr>
        <w:p w:rsidR="009B6E64" w:rsidRDefault="00A96714">
          <w:pPr>
            <w:pStyle w:val="Footer"/>
            <w:jc w:val="right"/>
            <w:rPr>
              <w:caps/>
              <w:color w:val="808080" w:themeColor="background1" w:themeShade="80"/>
              <w:sz w:val="18"/>
              <w:szCs w:val="18"/>
            </w:rPr>
          </w:pPr>
          <w:r>
            <w:rPr>
              <w:caps/>
              <w:color w:val="808080" w:themeColor="background1" w:themeShade="80"/>
              <w:sz w:val="18"/>
              <w:szCs w:val="18"/>
            </w:rPr>
            <w:fldChar w:fldCharType="begin"/>
          </w:r>
          <w:r w:rsidR="008C456B">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sidR="00C32498">
            <w:rPr>
              <w:caps/>
              <w:noProof/>
              <w:color w:val="808080" w:themeColor="background1" w:themeShade="80"/>
              <w:sz w:val="18"/>
              <w:szCs w:val="18"/>
            </w:rPr>
            <w:t>1</w:t>
          </w:r>
          <w:r>
            <w:rPr>
              <w:caps/>
              <w:noProof/>
              <w:color w:val="808080" w:themeColor="background1" w:themeShade="80"/>
              <w:sz w:val="18"/>
              <w:szCs w:val="18"/>
            </w:rPr>
            <w:fldChar w:fldCharType="end"/>
          </w:r>
        </w:p>
      </w:tc>
    </w:tr>
  </w:tbl>
  <w:p w:rsidR="009B6E64" w:rsidRDefault="00D861D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861DE" w:rsidRDefault="00D861DE" w:rsidP="00482F92">
      <w:pPr>
        <w:spacing w:after="0" w:line="240" w:lineRule="auto"/>
      </w:pPr>
      <w:r>
        <w:separator/>
      </w:r>
    </w:p>
  </w:footnote>
  <w:footnote w:type="continuationSeparator" w:id="0">
    <w:p w:rsidR="00D861DE" w:rsidRDefault="00D861DE" w:rsidP="00482F9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45A2D93"/>
    <w:multiLevelType w:val="hybridMultilevel"/>
    <w:tmpl w:val="5428EF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702E5F92"/>
    <w:multiLevelType w:val="hybridMultilevel"/>
    <w:tmpl w:val="76BEE8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2009AD"/>
    <w:rsid w:val="00007A90"/>
    <w:rsid w:val="0001006A"/>
    <w:rsid w:val="0001712D"/>
    <w:rsid w:val="00040171"/>
    <w:rsid w:val="0004221D"/>
    <w:rsid w:val="0006311B"/>
    <w:rsid w:val="000A340F"/>
    <w:rsid w:val="000E00C8"/>
    <w:rsid w:val="000F7570"/>
    <w:rsid w:val="00120DC8"/>
    <w:rsid w:val="001269C6"/>
    <w:rsid w:val="00151046"/>
    <w:rsid w:val="001A187B"/>
    <w:rsid w:val="001B00CE"/>
    <w:rsid w:val="001C4219"/>
    <w:rsid w:val="001D14E6"/>
    <w:rsid w:val="001E6549"/>
    <w:rsid w:val="001F6593"/>
    <w:rsid w:val="002009AD"/>
    <w:rsid w:val="00205E3E"/>
    <w:rsid w:val="00225271"/>
    <w:rsid w:val="002754A8"/>
    <w:rsid w:val="0027764A"/>
    <w:rsid w:val="00281FF3"/>
    <w:rsid w:val="00284B30"/>
    <w:rsid w:val="0029239D"/>
    <w:rsid w:val="002F1D94"/>
    <w:rsid w:val="003265E6"/>
    <w:rsid w:val="00367BE9"/>
    <w:rsid w:val="00384BB6"/>
    <w:rsid w:val="003A3FEE"/>
    <w:rsid w:val="003B39EF"/>
    <w:rsid w:val="003D77DE"/>
    <w:rsid w:val="004230C9"/>
    <w:rsid w:val="00442D62"/>
    <w:rsid w:val="00475FFC"/>
    <w:rsid w:val="00482F92"/>
    <w:rsid w:val="004D3690"/>
    <w:rsid w:val="00555E09"/>
    <w:rsid w:val="00571D9B"/>
    <w:rsid w:val="005E21C6"/>
    <w:rsid w:val="00620522"/>
    <w:rsid w:val="00643891"/>
    <w:rsid w:val="00676679"/>
    <w:rsid w:val="006A232B"/>
    <w:rsid w:val="00724C22"/>
    <w:rsid w:val="00757D50"/>
    <w:rsid w:val="00796C36"/>
    <w:rsid w:val="007E3F79"/>
    <w:rsid w:val="00851D4B"/>
    <w:rsid w:val="008614D1"/>
    <w:rsid w:val="008C12F2"/>
    <w:rsid w:val="008C456B"/>
    <w:rsid w:val="008C7B61"/>
    <w:rsid w:val="008D2A5F"/>
    <w:rsid w:val="00904ADB"/>
    <w:rsid w:val="009C0304"/>
    <w:rsid w:val="009F4190"/>
    <w:rsid w:val="00A05CEF"/>
    <w:rsid w:val="00A12DB7"/>
    <w:rsid w:val="00A41E54"/>
    <w:rsid w:val="00A46DA6"/>
    <w:rsid w:val="00A51B5D"/>
    <w:rsid w:val="00A96714"/>
    <w:rsid w:val="00AB1471"/>
    <w:rsid w:val="00B1304A"/>
    <w:rsid w:val="00B36429"/>
    <w:rsid w:val="00BA0EC1"/>
    <w:rsid w:val="00BA7E6C"/>
    <w:rsid w:val="00C074A3"/>
    <w:rsid w:val="00C231DD"/>
    <w:rsid w:val="00C32498"/>
    <w:rsid w:val="00CB4392"/>
    <w:rsid w:val="00CB53EA"/>
    <w:rsid w:val="00D10428"/>
    <w:rsid w:val="00D46653"/>
    <w:rsid w:val="00D47408"/>
    <w:rsid w:val="00D70F42"/>
    <w:rsid w:val="00D84E24"/>
    <w:rsid w:val="00D861DE"/>
    <w:rsid w:val="00D9491B"/>
    <w:rsid w:val="00DA273B"/>
    <w:rsid w:val="00DA397C"/>
    <w:rsid w:val="00DA5FAF"/>
    <w:rsid w:val="00DB5346"/>
    <w:rsid w:val="00DC7C4C"/>
    <w:rsid w:val="00DD5B90"/>
    <w:rsid w:val="00DE4BDA"/>
    <w:rsid w:val="00DF56BA"/>
    <w:rsid w:val="00E366D5"/>
    <w:rsid w:val="00E5357E"/>
    <w:rsid w:val="00E57013"/>
    <w:rsid w:val="00EB6A3A"/>
    <w:rsid w:val="00F165A9"/>
    <w:rsid w:val="00F66101"/>
    <w:rsid w:val="00F864B4"/>
    <w:rsid w:val="00FC78C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009AD"/>
    <w:pPr>
      <w:spacing w:after="200" w:line="276" w:lineRule="auto"/>
    </w:pPr>
    <w:rPr>
      <w:rFonts w:ascii="Calibri Light" w:hAnsi="Calibri Light" w:cs="Times New Roman"/>
      <w:sz w:val="24"/>
      <w:szCs w:val="24"/>
      <w:lang w:val="en-US"/>
    </w:rPr>
  </w:style>
  <w:style w:type="paragraph" w:styleId="Heading1">
    <w:name w:val="heading 1"/>
    <w:basedOn w:val="Normal"/>
    <w:next w:val="Normal"/>
    <w:link w:val="Heading1Char"/>
    <w:uiPriority w:val="9"/>
    <w:qFormat/>
    <w:rsid w:val="002009AD"/>
    <w:pPr>
      <w:keepNext/>
      <w:keepLines/>
      <w:spacing w:before="480" w:after="0"/>
      <w:outlineLvl w:val="0"/>
    </w:pPr>
    <w:rPr>
      <w:rFonts w:asciiTheme="majorHAnsi" w:eastAsiaTheme="majorEastAsia" w:hAnsiTheme="majorHAnsi" w:cstheme="majorBidi"/>
      <w:b/>
      <w:bCs/>
      <w:color w:val="2F5496" w:themeColor="accent1" w:themeShade="BF"/>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09AD"/>
    <w:rPr>
      <w:rFonts w:asciiTheme="majorHAnsi" w:eastAsiaTheme="majorEastAsia" w:hAnsiTheme="majorHAnsi" w:cstheme="majorBidi"/>
      <w:b/>
      <w:bCs/>
      <w:color w:val="2F5496" w:themeColor="accent1" w:themeShade="BF"/>
      <w:sz w:val="28"/>
      <w:szCs w:val="28"/>
    </w:rPr>
  </w:style>
  <w:style w:type="paragraph" w:styleId="NoSpacing">
    <w:name w:val="No Spacing"/>
    <w:link w:val="NoSpacingChar"/>
    <w:uiPriority w:val="1"/>
    <w:qFormat/>
    <w:rsid w:val="002009A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009AD"/>
    <w:rPr>
      <w:rFonts w:eastAsiaTheme="minorEastAsia"/>
      <w:lang w:val="en-US"/>
    </w:rPr>
  </w:style>
  <w:style w:type="paragraph" w:styleId="Header">
    <w:name w:val="header"/>
    <w:basedOn w:val="Normal"/>
    <w:link w:val="HeaderChar"/>
    <w:uiPriority w:val="99"/>
    <w:unhideWhenUsed/>
    <w:rsid w:val="002009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09AD"/>
    <w:rPr>
      <w:rFonts w:ascii="Calibri Light" w:hAnsi="Calibri Light" w:cs="Times New Roman"/>
      <w:sz w:val="24"/>
      <w:szCs w:val="24"/>
      <w:lang w:val="en-US"/>
    </w:rPr>
  </w:style>
  <w:style w:type="paragraph" w:styleId="Footer">
    <w:name w:val="footer"/>
    <w:basedOn w:val="Normal"/>
    <w:link w:val="FooterChar"/>
    <w:uiPriority w:val="99"/>
    <w:unhideWhenUsed/>
    <w:rsid w:val="002009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09AD"/>
    <w:rPr>
      <w:rFonts w:ascii="Calibri Light" w:hAnsi="Calibri Light" w:cs="Times New Roman"/>
      <w:sz w:val="24"/>
      <w:szCs w:val="24"/>
      <w:lang w:val="en-US"/>
    </w:rPr>
  </w:style>
  <w:style w:type="paragraph" w:styleId="BalloonText">
    <w:name w:val="Balloon Text"/>
    <w:basedOn w:val="Normal"/>
    <w:link w:val="BalloonTextChar"/>
    <w:uiPriority w:val="99"/>
    <w:semiHidden/>
    <w:unhideWhenUsed/>
    <w:rsid w:val="002009A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09AD"/>
    <w:rPr>
      <w:rFonts w:ascii="Tahoma" w:hAnsi="Tahoma" w:cs="Tahoma"/>
      <w:sz w:val="16"/>
      <w:szCs w:val="16"/>
      <w:lang w:val="en-US"/>
    </w:rPr>
  </w:style>
  <w:style w:type="paragraph" w:styleId="TOCHeading">
    <w:name w:val="TOC Heading"/>
    <w:basedOn w:val="Heading1"/>
    <w:next w:val="Normal"/>
    <w:uiPriority w:val="39"/>
    <w:unhideWhenUsed/>
    <w:qFormat/>
    <w:rsid w:val="001E6549"/>
    <w:pPr>
      <w:spacing w:before="240" w:line="259" w:lineRule="auto"/>
      <w:outlineLvl w:val="9"/>
    </w:pPr>
    <w:rPr>
      <w:b w:val="0"/>
      <w:bCs w:val="0"/>
      <w:sz w:val="32"/>
      <w:szCs w:val="32"/>
      <w:lang w:val="en-IN" w:eastAsia="en-IN"/>
    </w:rPr>
  </w:style>
  <w:style w:type="paragraph" w:styleId="TOC1">
    <w:name w:val="toc 1"/>
    <w:basedOn w:val="Normal"/>
    <w:next w:val="Normal"/>
    <w:autoRedefine/>
    <w:uiPriority w:val="39"/>
    <w:unhideWhenUsed/>
    <w:rsid w:val="001E6549"/>
    <w:pPr>
      <w:spacing w:after="100" w:line="259" w:lineRule="auto"/>
    </w:pPr>
    <w:rPr>
      <w:rFonts w:asciiTheme="minorHAnsi" w:hAnsiTheme="minorHAnsi" w:cstheme="minorBidi"/>
      <w:kern w:val="2"/>
      <w:sz w:val="22"/>
      <w:szCs w:val="22"/>
      <w:lang w:val="en-GB"/>
    </w:rPr>
  </w:style>
  <w:style w:type="character" w:styleId="Hyperlink">
    <w:name w:val="Hyperlink"/>
    <w:basedOn w:val="DefaultParagraphFont"/>
    <w:uiPriority w:val="99"/>
    <w:unhideWhenUsed/>
    <w:rsid w:val="001E6549"/>
    <w:rPr>
      <w:color w:val="0563C1" w:themeColor="hyperlink"/>
      <w:u w:val="single"/>
    </w:rPr>
  </w:style>
  <w:style w:type="character" w:styleId="Emphasis">
    <w:name w:val="Emphasis"/>
    <w:basedOn w:val="DefaultParagraphFont"/>
    <w:uiPriority w:val="20"/>
    <w:qFormat/>
    <w:rsid w:val="008614D1"/>
    <w:rPr>
      <w:i/>
      <w:iCs/>
    </w:rPr>
  </w:style>
  <w:style w:type="paragraph" w:styleId="ListParagraph">
    <w:name w:val="List Paragraph"/>
    <w:basedOn w:val="Normal"/>
    <w:uiPriority w:val="34"/>
    <w:qFormat/>
    <w:rsid w:val="00A12DB7"/>
    <w:pPr>
      <w:ind w:left="720"/>
      <w:contextualSpacing/>
    </w:pPr>
  </w:style>
</w:styles>
</file>

<file path=word/webSettings.xml><?xml version="1.0" encoding="utf-8"?>
<w:webSettings xmlns:r="http://schemas.openxmlformats.org/officeDocument/2006/relationships" xmlns:w="http://schemas.openxmlformats.org/wordprocessingml/2006/main">
  <w:divs>
    <w:div w:id="21174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3510</Words>
  <Characters>20007</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23471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Roshid Ahmed</dc:creator>
  <cp:lastModifiedBy>Roshid Ahmed</cp:lastModifiedBy>
  <cp:revision>2</cp:revision>
  <dcterms:created xsi:type="dcterms:W3CDTF">2024-03-15T23:46:00Z</dcterms:created>
  <dcterms:modified xsi:type="dcterms:W3CDTF">2024-03-15T23:46:00Z</dcterms:modified>
</cp:coreProperties>
</file>