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FB80F97" wp14:paraId="02B89CFD" wp14:textId="58642288">
      <w:pPr>
        <w:pStyle w:val="Normal"/>
        <w:shd w:val="clear" w:color="auto" w:fill="F5F5F5"/>
        <w:spacing w:after="0" w:line="360" w:lineRule="auto"/>
        <w:rPr>
          <w:rFonts w:ascii="Arial" w:hAnsi="Arial" w:eastAsia="Arial" w:cs="Arial" w:asciiTheme="minorAscii" w:hAnsiTheme="minorAscii" w:eastAsiaTheme="minorAscii" w:cstheme="minorAscii"/>
          <w:b w:val="1"/>
          <w:bCs w:val="1"/>
          <w:noProof w:val="0"/>
          <w:sz w:val="40"/>
          <w:szCs w:val="40"/>
          <w:lang w:val="en-GB"/>
        </w:rPr>
      </w:pPr>
      <w:r w:rsidRPr="1FB80F97" w:rsidR="344AFD8D">
        <w:rPr>
          <w:rFonts w:ascii="Arial" w:hAnsi="Arial" w:eastAsia="Arial" w:cs="Arial" w:asciiTheme="minorAscii" w:hAnsiTheme="minorAscii" w:eastAsiaTheme="minorAscii" w:cstheme="minorAscii"/>
          <w:b w:val="1"/>
          <w:bCs w:val="1"/>
          <w:noProof w:val="0"/>
          <w:sz w:val="40"/>
          <w:szCs w:val="40"/>
          <w:lang w:val="en-GB"/>
        </w:rPr>
        <w:t xml:space="preserve">AYESHA MASOOD </w:t>
      </w:r>
    </w:p>
    <w:p xmlns:wp14="http://schemas.microsoft.com/office/word/2010/wordml" w:rsidP="1FB80F97" wp14:paraId="08C777CC" wp14:textId="09D8790E">
      <w:pPr>
        <w:pStyle w:val="Normal"/>
        <w:shd w:val="clear" w:color="auto" w:fill="F5F5F5"/>
        <w:spacing w:after="0" w:line="360" w:lineRule="auto"/>
        <w:rPr>
          <w:rFonts w:ascii="Arial" w:hAnsi="Arial" w:eastAsia="Arial" w:cs="Arial" w:asciiTheme="minorAscii" w:hAnsiTheme="minorAscii" w:eastAsiaTheme="minorAscii" w:cstheme="minorAscii"/>
          <w:b w:val="1"/>
          <w:bCs w:val="1"/>
          <w:noProof w:val="0"/>
          <w:sz w:val="40"/>
          <w:szCs w:val="40"/>
          <w:lang w:val="en-GB"/>
        </w:rPr>
      </w:pPr>
      <w:r w:rsidRPr="1FB80F97" w:rsidR="344AFD8D">
        <w:rPr>
          <w:rFonts w:ascii="Arial" w:hAnsi="Arial" w:eastAsia="Arial" w:cs="Arial" w:asciiTheme="minorAscii" w:hAnsiTheme="minorAscii" w:eastAsiaTheme="minorAscii" w:cstheme="minorAscii"/>
          <w:b w:val="1"/>
          <w:bCs w:val="1"/>
          <w:noProof w:val="0"/>
          <w:sz w:val="40"/>
          <w:szCs w:val="40"/>
          <w:lang w:val="en-GB"/>
        </w:rPr>
        <w:t>2220784</w:t>
      </w:r>
    </w:p>
    <w:p xmlns:wp14="http://schemas.microsoft.com/office/word/2010/wordml" w:rsidP="1FB80F97" wp14:paraId="6D9330AA" wp14:textId="55624F48">
      <w:pPr>
        <w:pStyle w:val="Normal"/>
        <w:shd w:val="clear" w:color="auto" w:fill="F5F5F5"/>
        <w:spacing w:after="0" w:line="360" w:lineRule="auto"/>
        <w:rPr>
          <w:rFonts w:ascii="Arial" w:hAnsi="Arial" w:eastAsia="Arial" w:cs="Arial"/>
          <w:noProof w:val="0"/>
          <w:sz w:val="36"/>
          <w:szCs w:val="36"/>
          <w:lang w:val="en-GB"/>
        </w:rPr>
      </w:pPr>
      <w:r w:rsidRPr="1FB80F97" w:rsidR="344AFD8D">
        <w:rPr>
          <w:rFonts w:ascii="Arial" w:hAnsi="Arial" w:eastAsia="Arial" w:cs="Arial"/>
          <w:b w:val="1"/>
          <w:bCs w:val="1"/>
          <w:noProof w:val="0"/>
          <w:sz w:val="36"/>
          <w:szCs w:val="36"/>
          <w:lang w:val="en-GB"/>
        </w:rPr>
        <w:t>Health Care System Organisation and Leadership</w:t>
      </w:r>
    </w:p>
    <w:p xmlns:wp14="http://schemas.microsoft.com/office/word/2010/wordml" w:rsidP="1FB80F97" wp14:paraId="5E1444EB" wp14:textId="71537C73">
      <w:pPr>
        <w:pStyle w:val="Normal"/>
        <w:shd w:val="clear" w:color="auto" w:fill="F5F5F5"/>
        <w:spacing w:after="0" w:line="360" w:lineRule="auto"/>
        <w:rPr>
          <w:rFonts w:ascii="Arial" w:hAnsi="Arial" w:eastAsia="Arial" w:cs="Arial"/>
          <w:b w:val="1"/>
          <w:bCs w:val="1"/>
          <w:noProof w:val="0"/>
          <w:sz w:val="36"/>
          <w:szCs w:val="36"/>
          <w:lang w:val="en-GB"/>
        </w:rPr>
      </w:pPr>
      <w:r w:rsidRPr="1FB80F97" w:rsidR="5C9BEB65">
        <w:rPr>
          <w:rFonts w:ascii="Arial" w:hAnsi="Arial" w:eastAsia="Arial" w:cs="Arial"/>
          <w:b w:val="1"/>
          <w:bCs w:val="1"/>
          <w:noProof w:val="0"/>
          <w:sz w:val="36"/>
          <w:szCs w:val="36"/>
          <w:lang w:val="en-GB"/>
        </w:rPr>
        <w:t>LCHS7002</w:t>
      </w:r>
    </w:p>
    <w:p xmlns:wp14="http://schemas.microsoft.com/office/word/2010/wordml" w:rsidP="1FB80F97" wp14:paraId="65F5A726" wp14:textId="5C3D984A">
      <w:pPr>
        <w:pStyle w:val="Normal"/>
        <w:shd w:val="clear" w:color="auto" w:fill="F5F5F5"/>
        <w:spacing w:after="0" w:line="360" w:lineRule="auto"/>
        <w:rPr>
          <w:rFonts w:ascii="Arial" w:hAnsi="Arial" w:eastAsia="Arial" w:cs="Arial"/>
          <w:b w:val="1"/>
          <w:bCs w:val="1"/>
          <w:noProof w:val="0"/>
          <w:sz w:val="36"/>
          <w:szCs w:val="36"/>
          <w:lang w:val="en-GB"/>
        </w:rPr>
      </w:pPr>
      <w:r w:rsidRPr="1FB80F97" w:rsidR="6D3B05C4">
        <w:rPr>
          <w:rFonts w:ascii="Arial" w:hAnsi="Arial" w:eastAsia="Arial" w:cs="Arial"/>
          <w:b w:val="1"/>
          <w:bCs w:val="1"/>
          <w:noProof w:val="0"/>
          <w:sz w:val="36"/>
          <w:szCs w:val="36"/>
          <w:lang w:val="en-GB"/>
        </w:rPr>
        <w:t>DR FAHAD KHAN</w:t>
      </w:r>
    </w:p>
    <w:p xmlns:wp14="http://schemas.microsoft.com/office/word/2010/wordml" w:rsidP="1FB80F97" wp14:paraId="195BF078" wp14:textId="36FEF0B5">
      <w:pPr>
        <w:pStyle w:val="Normal"/>
        <w:shd w:val="clear" w:color="auto" w:fill="F5F5F5"/>
        <w:spacing w:after="0" w:line="360" w:lineRule="auto"/>
        <w:rPr>
          <w:rFonts w:ascii="Arial" w:hAnsi="Arial" w:eastAsia="Arial" w:cs="Arial"/>
          <w:noProof w:val="0"/>
          <w:sz w:val="36"/>
          <w:szCs w:val="36"/>
          <w:lang w:val="en-GB"/>
        </w:rPr>
      </w:pPr>
      <w:r w:rsidRPr="1FB80F97" w:rsidR="6D3B05C4">
        <w:rPr>
          <w:rFonts w:ascii="Arial" w:hAnsi="Arial" w:eastAsia="Arial" w:cs="Arial"/>
          <w:b w:val="1"/>
          <w:bCs w:val="1"/>
          <w:noProof w:val="0"/>
          <w:sz w:val="36"/>
          <w:szCs w:val="36"/>
          <w:lang w:val="en-GB"/>
        </w:rPr>
        <w:t>Case Study Analysis Report</w:t>
      </w:r>
    </w:p>
    <w:p xmlns:wp14="http://schemas.microsoft.com/office/word/2010/wordml" w:rsidP="1FB80F97" wp14:paraId="61D46EA1" wp14:textId="572CD139">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7ED1681E" wp14:textId="27FF2BB0">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19245BDB" wp14:textId="1172E454">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1F3496F5" wp14:textId="28A78AF1">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1759384E" wp14:textId="758DED99">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207A90C2" wp14:textId="17F08D43">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0400FA5B" wp14:textId="41CDF263">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6249FB9D" wp14:textId="5BCE1543">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201AFD4E" wp14:textId="1675E438">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760E7031" wp14:textId="310065EB">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487F5AC3" wp14:textId="2C1068D7">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4B668DC4" wp14:textId="081919F1">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6AD963A0" wp14:textId="07FA4B95">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3DC667C0" wp14:textId="05283C83">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4C098D79" wp14:textId="0DE96641">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71966EC2" wp14:textId="680F7961">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6DC96F3A" wp14:textId="63F575F1">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4EEC03B3" wp14:textId="7C27C302">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56A1DBEA" wp14:textId="15080DA2">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4B24A979" wp14:textId="4DDBDF25">
      <w:pPr>
        <w:spacing w:before="240" w:beforeAutospacing="off" w:after="240" w:afterAutospacing="off"/>
        <w:rPr>
          <w:rFonts w:ascii="Arial" w:hAnsi="Arial" w:eastAsia="Arial" w:cs="Arial"/>
          <w:b w:val="1"/>
          <w:bCs w:val="1"/>
          <w:noProof w:val="0"/>
          <w:sz w:val="36"/>
          <w:szCs w:val="36"/>
          <w:lang w:val="en-GB"/>
        </w:rPr>
      </w:pPr>
      <w:r w:rsidRPr="1FB80F97" w:rsidR="6D3B05C4">
        <w:rPr>
          <w:rFonts w:ascii="Arial" w:hAnsi="Arial" w:eastAsia="Arial" w:cs="Arial"/>
          <w:b w:val="1"/>
          <w:bCs w:val="1"/>
          <w:noProof w:val="0"/>
          <w:sz w:val="36"/>
          <w:szCs w:val="36"/>
          <w:lang w:val="en-GB"/>
        </w:rPr>
        <w:t>Contents</w:t>
      </w:r>
    </w:p>
    <w:p xmlns:wp14="http://schemas.microsoft.com/office/word/2010/wordml" w:rsidP="1FB80F97" wp14:paraId="054A6BEA" wp14:textId="67E859DF">
      <w:pPr>
        <w:pStyle w:val="ListParagraph"/>
        <w:numPr>
          <w:ilvl w:val="0"/>
          <w:numId w:val="2"/>
        </w:numPr>
        <w:spacing w:before="0" w:beforeAutospacing="off" w:after="0" w:afterAutospacing="off"/>
        <w:rPr>
          <w:rFonts w:ascii="Arial" w:hAnsi="Arial" w:eastAsia="Arial" w:cs="Arial"/>
          <w:noProof w:val="0"/>
          <w:sz w:val="36"/>
          <w:szCs w:val="36"/>
          <w:lang w:val="en-GB"/>
        </w:rPr>
      </w:pPr>
      <w:r w:rsidRPr="1FB80F97" w:rsidR="6D3B05C4">
        <w:rPr>
          <w:rFonts w:ascii="Arial" w:hAnsi="Arial" w:eastAsia="Arial" w:cs="Arial"/>
          <w:noProof w:val="0"/>
          <w:sz w:val="36"/>
          <w:szCs w:val="36"/>
          <w:lang w:val="en-GB"/>
        </w:rPr>
        <w:t>Introduction .......................................</w:t>
      </w:r>
    </w:p>
    <w:p xmlns:wp14="http://schemas.microsoft.com/office/word/2010/wordml" w:rsidP="1FB80F97" wp14:paraId="7BC026F3" wp14:textId="34A31102">
      <w:pPr>
        <w:pStyle w:val="ListParagraph"/>
        <w:numPr>
          <w:ilvl w:val="0"/>
          <w:numId w:val="2"/>
        </w:numPr>
        <w:spacing w:before="0" w:beforeAutospacing="off" w:after="0" w:afterAutospacing="off"/>
        <w:rPr>
          <w:rFonts w:ascii="Arial" w:hAnsi="Arial" w:eastAsia="Arial" w:cs="Arial"/>
          <w:noProof w:val="0"/>
          <w:sz w:val="36"/>
          <w:szCs w:val="36"/>
          <w:lang w:val="en-GB"/>
        </w:rPr>
      </w:pPr>
      <w:r w:rsidRPr="1FB80F97" w:rsidR="6D3B05C4">
        <w:rPr>
          <w:rFonts w:ascii="Arial" w:hAnsi="Arial" w:eastAsia="Arial" w:cs="Arial"/>
          <w:noProof w:val="0"/>
          <w:sz w:val="36"/>
          <w:szCs w:val="36"/>
          <w:lang w:val="en-GB"/>
        </w:rPr>
        <w:t xml:space="preserve">Main Body </w:t>
      </w:r>
      <w:r>
        <w:br/>
      </w:r>
      <w:r w:rsidRPr="1FB80F97" w:rsidR="6D3B05C4">
        <w:rPr>
          <w:rFonts w:ascii="Arial" w:hAnsi="Arial" w:eastAsia="Arial" w:cs="Arial"/>
          <w:noProof w:val="0"/>
          <w:sz w:val="36"/>
          <w:szCs w:val="36"/>
          <w:lang w:val="en-GB"/>
        </w:rPr>
        <w:t xml:space="preserve"> 2.1 Identifying the Problem and Systems </w:t>
      </w:r>
      <w:r>
        <w:br/>
      </w:r>
      <w:r w:rsidRPr="1FB80F97" w:rsidR="6D3B05C4">
        <w:rPr>
          <w:rFonts w:ascii="Arial" w:hAnsi="Arial" w:eastAsia="Arial" w:cs="Arial"/>
          <w:noProof w:val="0"/>
          <w:sz w:val="36"/>
          <w:szCs w:val="36"/>
          <w:lang w:val="en-GB"/>
        </w:rPr>
        <w:t xml:space="preserve"> 2.2 Centralisation and Decentralisation </w:t>
      </w:r>
      <w:r>
        <w:br/>
      </w:r>
      <w:r w:rsidRPr="1FB80F97" w:rsidR="6D3B05C4">
        <w:rPr>
          <w:rFonts w:ascii="Arial" w:hAnsi="Arial" w:eastAsia="Arial" w:cs="Arial"/>
          <w:noProof w:val="0"/>
          <w:sz w:val="36"/>
          <w:szCs w:val="36"/>
          <w:lang w:val="en-GB"/>
        </w:rPr>
        <w:t xml:space="preserve"> 2.3 Leadership Theories and Application </w:t>
      </w:r>
      <w:r>
        <w:br/>
      </w:r>
      <w:r w:rsidRPr="1FB80F97" w:rsidR="6D3B05C4">
        <w:rPr>
          <w:rFonts w:ascii="Arial" w:hAnsi="Arial" w:eastAsia="Arial" w:cs="Arial"/>
          <w:noProof w:val="0"/>
          <w:sz w:val="36"/>
          <w:szCs w:val="36"/>
          <w:lang w:val="en-GB"/>
        </w:rPr>
        <w:t xml:space="preserve"> 2.4 Improvements and Lessons </w:t>
      </w:r>
      <w:r w:rsidRPr="1FB80F97" w:rsidR="2702625A">
        <w:rPr>
          <w:rFonts w:ascii="Arial" w:hAnsi="Arial" w:eastAsia="Arial" w:cs="Arial"/>
          <w:noProof w:val="0"/>
          <w:sz w:val="36"/>
          <w:szCs w:val="36"/>
          <w:lang w:val="en-GB"/>
        </w:rPr>
        <w:t>Learned.</w:t>
      </w:r>
    </w:p>
    <w:p xmlns:wp14="http://schemas.microsoft.com/office/word/2010/wordml" w:rsidP="1FB80F97" wp14:paraId="79D2A516" wp14:textId="1386A364">
      <w:pPr>
        <w:pStyle w:val="ListParagraph"/>
        <w:numPr>
          <w:ilvl w:val="0"/>
          <w:numId w:val="2"/>
        </w:numPr>
        <w:spacing w:before="0" w:beforeAutospacing="off" w:after="0" w:afterAutospacing="off"/>
        <w:rPr>
          <w:rFonts w:ascii="Arial" w:hAnsi="Arial" w:eastAsia="Arial" w:cs="Arial"/>
          <w:noProof w:val="0"/>
          <w:sz w:val="36"/>
          <w:szCs w:val="36"/>
          <w:lang w:val="en-GB"/>
        </w:rPr>
      </w:pPr>
      <w:r w:rsidRPr="1FB80F97" w:rsidR="6D3B05C4">
        <w:rPr>
          <w:rFonts w:ascii="Arial" w:hAnsi="Arial" w:eastAsia="Arial" w:cs="Arial"/>
          <w:noProof w:val="0"/>
          <w:sz w:val="36"/>
          <w:szCs w:val="36"/>
          <w:lang w:val="en-GB"/>
        </w:rPr>
        <w:t xml:space="preserve">Recommendations </w:t>
      </w:r>
    </w:p>
    <w:p xmlns:wp14="http://schemas.microsoft.com/office/word/2010/wordml" w:rsidP="1FB80F97" wp14:paraId="4624B395" wp14:textId="795F2A01">
      <w:pPr>
        <w:pStyle w:val="ListParagraph"/>
        <w:numPr>
          <w:ilvl w:val="0"/>
          <w:numId w:val="2"/>
        </w:numPr>
        <w:spacing w:before="0" w:beforeAutospacing="off" w:after="0" w:afterAutospacing="off"/>
        <w:rPr>
          <w:rFonts w:ascii="Arial" w:hAnsi="Arial" w:eastAsia="Arial" w:cs="Arial"/>
          <w:noProof w:val="0"/>
          <w:sz w:val="36"/>
          <w:szCs w:val="36"/>
          <w:lang w:val="en-GB"/>
        </w:rPr>
      </w:pPr>
      <w:r w:rsidRPr="1FB80F97" w:rsidR="6D3B05C4">
        <w:rPr>
          <w:rFonts w:ascii="Arial" w:hAnsi="Arial" w:eastAsia="Arial" w:cs="Arial"/>
          <w:noProof w:val="0"/>
          <w:sz w:val="36"/>
          <w:szCs w:val="36"/>
          <w:lang w:val="en-GB"/>
        </w:rPr>
        <w:t xml:space="preserve">Conclusion  </w:t>
      </w:r>
    </w:p>
    <w:p xmlns:wp14="http://schemas.microsoft.com/office/word/2010/wordml" w:rsidP="1FB80F97" wp14:paraId="7FB04626" wp14:textId="1B6CA438">
      <w:pPr>
        <w:pStyle w:val="ListParagraph"/>
        <w:numPr>
          <w:ilvl w:val="0"/>
          <w:numId w:val="2"/>
        </w:numPr>
        <w:spacing w:before="0" w:beforeAutospacing="off" w:after="0" w:afterAutospacing="off"/>
        <w:rPr>
          <w:rFonts w:ascii="Arial" w:hAnsi="Arial" w:eastAsia="Arial" w:cs="Arial"/>
          <w:noProof w:val="0"/>
          <w:sz w:val="36"/>
          <w:szCs w:val="36"/>
          <w:lang w:val="en-GB"/>
        </w:rPr>
      </w:pPr>
      <w:r w:rsidRPr="1FB80F97" w:rsidR="6D3B05C4">
        <w:rPr>
          <w:rFonts w:ascii="Arial" w:hAnsi="Arial" w:eastAsia="Arial" w:cs="Arial"/>
          <w:noProof w:val="0"/>
          <w:sz w:val="36"/>
          <w:szCs w:val="36"/>
          <w:lang w:val="en-GB"/>
        </w:rPr>
        <w:t xml:space="preserve">References </w:t>
      </w:r>
    </w:p>
    <w:p xmlns:wp14="http://schemas.microsoft.com/office/word/2010/wordml" w:rsidP="1FB80F97" wp14:paraId="368CA17D" wp14:textId="4E08394B">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6CA6A92D" wp14:textId="3E042588">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0DE3FFD2" wp14:textId="6FAEDDDC">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146ABFAA" wp14:textId="570ABA41">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1C0F35B3" wp14:textId="503FE947">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21CCD909" wp14:textId="33056A3B">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45B1EC17" wp14:textId="307371FB">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4F6D1F1A" wp14:textId="5414993A">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30C228B2" wp14:textId="2892A922">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515685CA" wp14:textId="242FBFB8">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78B0A81E" wp14:textId="020BD518">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7AB9191C" wp14:textId="17046732">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3BDF3D2B" wp14:textId="2128E28B">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257B8287" wp14:textId="1C3E864C">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7BBEE135" wp14:textId="3BAADC2C">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1FB80F97" wp14:paraId="5E5787A5" wp14:textId="4A8F8344">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1DD5DDDD">
        <w:rPr>
          <w:rFonts w:ascii="Arial" w:hAnsi="Arial" w:eastAsia="Arial" w:cs="Arial" w:asciiTheme="minorAscii" w:hAnsiTheme="minorAscii" w:eastAsiaTheme="minorAscii" w:cstheme="minorAscii"/>
          <w:b w:val="1"/>
          <w:bCs w:val="1"/>
          <w:noProof w:val="0"/>
          <w:sz w:val="22"/>
          <w:szCs w:val="22"/>
          <w:lang w:val="en-GB"/>
        </w:rPr>
        <w:t>Introduction</w:t>
      </w:r>
    </w:p>
    <w:p w:rsidR="1DD5DDDD" w:rsidP="1FB80F97" w:rsidRDefault="1DD5DDDD" w14:paraId="0D8E3EA3" w14:textId="0FD4BB1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1DD5DDDD">
        <w:rPr>
          <w:rFonts w:ascii="Arial" w:hAnsi="Arial" w:eastAsia="Arial" w:cs="Arial" w:asciiTheme="minorAscii" w:hAnsiTheme="minorAscii" w:eastAsiaTheme="minorAscii" w:cstheme="minorAscii"/>
          <w:noProof w:val="0"/>
          <w:sz w:val="22"/>
          <w:szCs w:val="22"/>
          <w:lang w:val="en-GB"/>
        </w:rPr>
        <w:t xml:space="preserve">Healthcare systems are complex, high-risk environments where effective leadership is essential to ensure patient safety, quality of care, and organisational performance. Failures in leadership, governance, and system design can lead to significant patient harm, as </w:t>
      </w:r>
      <w:r w:rsidRPr="1FB80F97" w:rsidR="1DD5DDDD">
        <w:rPr>
          <w:rFonts w:ascii="Arial" w:hAnsi="Arial" w:eastAsia="Arial" w:cs="Arial" w:asciiTheme="minorAscii" w:hAnsiTheme="minorAscii" w:eastAsiaTheme="minorAscii" w:cstheme="minorAscii"/>
          <w:noProof w:val="0"/>
          <w:sz w:val="22"/>
          <w:szCs w:val="22"/>
          <w:lang w:val="en-GB"/>
        </w:rPr>
        <w:t>demonstrated</w:t>
      </w:r>
      <w:r w:rsidRPr="1FB80F97" w:rsidR="1DD5DDDD">
        <w:rPr>
          <w:rFonts w:ascii="Arial" w:hAnsi="Arial" w:eastAsia="Arial" w:cs="Arial" w:asciiTheme="minorAscii" w:hAnsiTheme="minorAscii" w:eastAsiaTheme="minorAscii" w:cstheme="minorAscii"/>
          <w:noProof w:val="0"/>
          <w:sz w:val="22"/>
          <w:szCs w:val="22"/>
          <w:lang w:val="en-GB"/>
        </w:rPr>
        <w:t xml:space="preserve"> in the case of a four-week-old infant in the </w:t>
      </w:r>
      <w:r w:rsidRPr="1FB80F97" w:rsidR="5B5A5913">
        <w:rPr>
          <w:rFonts w:ascii="Arial" w:hAnsi="Arial" w:eastAsia="Arial" w:cs="Arial" w:asciiTheme="minorAscii" w:hAnsiTheme="minorAscii" w:eastAsiaTheme="minorAscii" w:cstheme="minorAscii"/>
          <w:noProof w:val="0"/>
          <w:sz w:val="22"/>
          <w:szCs w:val="22"/>
          <w:lang w:val="en-GB"/>
        </w:rPr>
        <w:t>Northeast</w:t>
      </w:r>
      <w:r w:rsidRPr="1FB80F97" w:rsidR="1DD5DDDD">
        <w:rPr>
          <w:rFonts w:ascii="Arial" w:hAnsi="Arial" w:eastAsia="Arial" w:cs="Arial" w:asciiTheme="minorAscii" w:hAnsiTheme="minorAscii" w:eastAsiaTheme="minorAscii" w:cstheme="minorAscii"/>
          <w:noProof w:val="0"/>
          <w:sz w:val="22"/>
          <w:szCs w:val="22"/>
          <w:lang w:val="en-GB"/>
        </w:rPr>
        <w:t xml:space="preserve"> and Yorkshire region of England who received a morphine overdose twenty times higher than the intended dose. The incident occurred due to the dispensing of an incorrect formulation of morphine sulphate oral solution, highlighting critical failures across prescribing, dispensing, and governance processes within the National Health Service (NHS).</w:t>
      </w:r>
      <w:r w:rsidRPr="1FB80F97" w:rsidR="58706788">
        <w:rPr>
          <w:rFonts w:ascii="Arial" w:hAnsi="Arial" w:eastAsia="Arial" w:cs="Arial" w:asciiTheme="minorAscii" w:hAnsiTheme="minorAscii" w:eastAsiaTheme="minorAscii" w:cstheme="minorAscii"/>
          <w:noProof w:val="0"/>
          <w:sz w:val="22"/>
          <w:szCs w:val="22"/>
          <w:lang w:val="en-GB"/>
        </w:rPr>
        <w:t xml:space="preserve"> </w:t>
      </w:r>
      <w:r w:rsidRPr="1FB80F97" w:rsidR="1DD5DDDD">
        <w:rPr>
          <w:rFonts w:ascii="Arial" w:hAnsi="Arial" w:eastAsia="Arial" w:cs="Arial" w:asciiTheme="minorAscii" w:hAnsiTheme="minorAscii" w:eastAsiaTheme="minorAscii" w:cstheme="minorAscii"/>
          <w:noProof w:val="0"/>
          <w:sz w:val="22"/>
          <w:szCs w:val="22"/>
          <w:lang w:val="en-GB"/>
        </w:rPr>
        <w:t>Leadership in health and social care can be understood as the process of influencing individuals and teams to achieve shared goals related to patient safety and service delivery (West et al., 2015). In such settings, leadership extends beyond individual authority and involves shaping organisational culture, ensuring accountability, and enabling effective communication across multidisciplinary teams. Different leadership approaches may be adopted depending on context, including transformational leadership, which focuses on vision and cultural change, transactional leadership, which emphasises compliance and performance management, and situational leadership, which adapts leadership behaviour to the demands of specific circumstances (Northouse, 2021).</w:t>
      </w:r>
    </w:p>
    <w:p w:rsidR="1DD5DDDD" w:rsidP="1FB80F97" w:rsidRDefault="1DD5DDDD" w14:paraId="7572E225" w14:textId="5B68030B">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1DD5DDDD">
        <w:rPr>
          <w:rFonts w:ascii="Arial" w:hAnsi="Arial" w:eastAsia="Arial" w:cs="Arial" w:asciiTheme="minorAscii" w:hAnsiTheme="minorAscii" w:eastAsiaTheme="minorAscii" w:cstheme="minorAscii"/>
          <w:noProof w:val="0"/>
          <w:sz w:val="22"/>
          <w:szCs w:val="22"/>
          <w:lang w:val="en-GB"/>
        </w:rPr>
        <w:t xml:space="preserve">The structure of healthcare systems also plays a critical role in shaping outcomes. Centralised systems concentrate decision-making authority at higher organisational levels, promoting standardisation and control, </w:t>
      </w:r>
      <w:r w:rsidRPr="1FB80F97" w:rsidR="1DD5DDDD">
        <w:rPr>
          <w:rFonts w:ascii="Arial" w:hAnsi="Arial" w:eastAsia="Arial" w:cs="Arial" w:asciiTheme="minorAscii" w:hAnsiTheme="minorAscii" w:eastAsiaTheme="minorAscii" w:cstheme="minorAscii"/>
          <w:noProof w:val="0"/>
          <w:sz w:val="22"/>
          <w:szCs w:val="22"/>
          <w:lang w:val="en-GB"/>
        </w:rPr>
        <w:t>whereas</w:t>
      </w:r>
      <w:r w:rsidRPr="1FB80F97" w:rsidR="1DD5DDDD">
        <w:rPr>
          <w:rFonts w:ascii="Arial" w:hAnsi="Arial" w:eastAsia="Arial" w:cs="Arial" w:asciiTheme="minorAscii" w:hAnsiTheme="minorAscii" w:eastAsiaTheme="minorAscii" w:cstheme="minorAscii"/>
          <w:noProof w:val="0"/>
          <w:sz w:val="22"/>
          <w:szCs w:val="22"/>
          <w:lang w:val="en-GB"/>
        </w:rPr>
        <w:t xml:space="preserve"> decentralised systems distribute authority to local units, allowing flexibility and responsiveness (Saltman et al., 2011). While both approaches have advantages, their effectiveness depends on how well governance mechanisms, leadership practices, and communication systems are aligned.</w:t>
      </w:r>
      <w:r w:rsidRPr="1FB80F97" w:rsidR="15FD4A18">
        <w:rPr>
          <w:rFonts w:ascii="Arial" w:hAnsi="Arial" w:eastAsia="Arial" w:cs="Arial" w:asciiTheme="minorAscii" w:hAnsiTheme="minorAscii" w:eastAsiaTheme="minorAscii" w:cstheme="minorAscii"/>
          <w:noProof w:val="0"/>
          <w:sz w:val="22"/>
          <w:szCs w:val="22"/>
          <w:lang w:val="en-GB"/>
        </w:rPr>
        <w:t xml:space="preserve"> </w:t>
      </w:r>
      <w:r w:rsidRPr="1FB80F97" w:rsidR="1DD5DDDD">
        <w:rPr>
          <w:rFonts w:ascii="Arial" w:hAnsi="Arial" w:eastAsia="Arial" w:cs="Arial" w:asciiTheme="minorAscii" w:hAnsiTheme="minorAscii" w:eastAsiaTheme="minorAscii" w:cstheme="minorAscii"/>
          <w:noProof w:val="0"/>
          <w:sz w:val="22"/>
          <w:szCs w:val="22"/>
          <w:lang w:val="en-GB"/>
        </w:rPr>
        <w:t xml:space="preserve">The importance of selecting </w:t>
      </w:r>
      <w:r w:rsidRPr="1FB80F97" w:rsidR="1DD5DDDD">
        <w:rPr>
          <w:rFonts w:ascii="Arial" w:hAnsi="Arial" w:eastAsia="Arial" w:cs="Arial" w:asciiTheme="minorAscii" w:hAnsiTheme="minorAscii" w:eastAsiaTheme="minorAscii" w:cstheme="minorAscii"/>
          <w:noProof w:val="0"/>
          <w:sz w:val="22"/>
          <w:szCs w:val="22"/>
          <w:lang w:val="en-GB"/>
        </w:rPr>
        <w:t>an appropriate leadership</w:t>
      </w:r>
      <w:r w:rsidRPr="1FB80F97" w:rsidR="1DD5DDDD">
        <w:rPr>
          <w:rFonts w:ascii="Arial" w:hAnsi="Arial" w:eastAsia="Arial" w:cs="Arial" w:asciiTheme="minorAscii" w:hAnsiTheme="minorAscii" w:eastAsiaTheme="minorAscii" w:cstheme="minorAscii"/>
          <w:noProof w:val="0"/>
          <w:sz w:val="22"/>
          <w:szCs w:val="22"/>
          <w:lang w:val="en-GB"/>
        </w:rPr>
        <w:t xml:space="preserve"> approach is particularly </w:t>
      </w:r>
      <w:r w:rsidRPr="1FB80F97" w:rsidR="1DD5DDDD">
        <w:rPr>
          <w:rFonts w:ascii="Arial" w:hAnsi="Arial" w:eastAsia="Arial" w:cs="Arial" w:asciiTheme="minorAscii" w:hAnsiTheme="minorAscii" w:eastAsiaTheme="minorAscii" w:cstheme="minorAscii"/>
          <w:noProof w:val="0"/>
          <w:sz w:val="22"/>
          <w:szCs w:val="22"/>
          <w:lang w:val="en-GB"/>
        </w:rPr>
        <w:t>evident</w:t>
      </w:r>
      <w:r w:rsidRPr="1FB80F97" w:rsidR="1DD5DDDD">
        <w:rPr>
          <w:rFonts w:ascii="Arial" w:hAnsi="Arial" w:eastAsia="Arial" w:cs="Arial" w:asciiTheme="minorAscii" w:hAnsiTheme="minorAscii" w:eastAsiaTheme="minorAscii" w:cstheme="minorAscii"/>
          <w:noProof w:val="0"/>
          <w:sz w:val="22"/>
          <w:szCs w:val="22"/>
          <w:lang w:val="en-GB"/>
        </w:rPr>
        <w:t xml:space="preserve"> in high-risk situations such as medication management. Ineffective leadership can contribute to poor oversight, weak safety cultures, and communication breakdowns, </w:t>
      </w:r>
      <w:r w:rsidRPr="1FB80F97" w:rsidR="663AFD09">
        <w:rPr>
          <w:rFonts w:ascii="Arial" w:hAnsi="Arial" w:eastAsia="Arial" w:cs="Arial" w:asciiTheme="minorAscii" w:hAnsiTheme="minorAscii" w:eastAsiaTheme="minorAscii" w:cstheme="minorAscii"/>
          <w:noProof w:val="0"/>
          <w:sz w:val="22"/>
          <w:szCs w:val="22"/>
          <w:lang w:val="en-GB"/>
        </w:rPr>
        <w:t>increasing</w:t>
      </w:r>
      <w:r w:rsidRPr="1FB80F97" w:rsidR="1DD5DDDD">
        <w:rPr>
          <w:rFonts w:ascii="Arial" w:hAnsi="Arial" w:eastAsia="Arial" w:cs="Arial" w:asciiTheme="minorAscii" w:hAnsiTheme="minorAscii" w:eastAsiaTheme="minorAscii" w:cstheme="minorAscii"/>
          <w:noProof w:val="0"/>
          <w:sz w:val="22"/>
          <w:szCs w:val="22"/>
          <w:lang w:val="en-GB"/>
        </w:rPr>
        <w:t xml:space="preserve"> the likelihood of adverse events (Francis, 2013). Conversely, effective leadership can enhance organisational learning, improve staff engagement, and support safer systems of care.</w:t>
      </w:r>
    </w:p>
    <w:p w:rsidR="1DD5DDDD" w:rsidP="1FB80F97" w:rsidRDefault="1DD5DDDD" w14:paraId="7706BE51" w14:textId="4D71499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1DD5DDDD">
        <w:rPr>
          <w:rFonts w:ascii="Arial" w:hAnsi="Arial" w:eastAsia="Arial" w:cs="Arial" w:asciiTheme="minorAscii" w:hAnsiTheme="minorAscii" w:eastAsiaTheme="minorAscii" w:cstheme="minorAscii"/>
          <w:noProof w:val="0"/>
          <w:sz w:val="22"/>
          <w:szCs w:val="22"/>
          <w:lang w:val="en-GB"/>
        </w:rPr>
        <w:t xml:space="preserve">This report critically analyses the selected case study using systems thinking, leadership theory, and governance frameworks. It will examine the underlying causes of the incident, evaluate the role of centralisation and decentralisation, assess leadership effectiveness, and </w:t>
      </w:r>
      <w:r w:rsidRPr="1FB80F97" w:rsidR="1DD5DDDD">
        <w:rPr>
          <w:rFonts w:ascii="Arial" w:hAnsi="Arial" w:eastAsia="Arial" w:cs="Arial" w:asciiTheme="minorAscii" w:hAnsiTheme="minorAscii" w:eastAsiaTheme="minorAscii" w:cstheme="minorAscii"/>
          <w:noProof w:val="0"/>
          <w:sz w:val="22"/>
          <w:szCs w:val="22"/>
          <w:lang w:val="en-GB"/>
        </w:rPr>
        <w:t>identify</w:t>
      </w:r>
      <w:r w:rsidRPr="1FB80F97" w:rsidR="1DD5DDDD">
        <w:rPr>
          <w:rFonts w:ascii="Arial" w:hAnsi="Arial" w:eastAsia="Arial" w:cs="Arial" w:asciiTheme="minorAscii" w:hAnsiTheme="minorAscii" w:eastAsiaTheme="minorAscii" w:cstheme="minorAscii"/>
          <w:noProof w:val="0"/>
          <w:sz w:val="22"/>
          <w:szCs w:val="22"/>
          <w:lang w:val="en-GB"/>
        </w:rPr>
        <w:t xml:space="preserve"> evidence-based strategies for improving performance and preventing similar incidents in the future.</w:t>
      </w:r>
    </w:p>
    <w:p w:rsidR="3BF0F694" w:rsidP="1FB80F97" w:rsidRDefault="3BF0F694" w14:paraId="11B93520" w14:textId="7B3209EF">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3BF0F694">
        <w:rPr>
          <w:rFonts w:ascii="Arial" w:hAnsi="Arial" w:eastAsia="Arial" w:cs="Arial" w:asciiTheme="minorAscii" w:hAnsiTheme="minorAscii" w:eastAsiaTheme="minorAscii" w:cstheme="minorAscii"/>
          <w:b w:val="1"/>
          <w:bCs w:val="1"/>
          <w:noProof w:val="0"/>
          <w:sz w:val="22"/>
          <w:szCs w:val="22"/>
          <w:lang w:val="en-GB"/>
        </w:rPr>
        <w:t>Main Body</w:t>
      </w:r>
      <w:r w:rsidRPr="1FB80F97" w:rsidR="4074A58D">
        <w:rPr>
          <w:rFonts w:ascii="Arial" w:hAnsi="Arial" w:eastAsia="Arial" w:cs="Arial" w:asciiTheme="minorAscii" w:hAnsiTheme="minorAscii" w:eastAsiaTheme="minorAscii" w:cstheme="minorAscii"/>
          <w:b w:val="1"/>
          <w:bCs w:val="1"/>
          <w:noProof w:val="0"/>
          <w:sz w:val="22"/>
          <w:szCs w:val="22"/>
          <w:lang w:val="en-GB"/>
        </w:rPr>
        <w:t xml:space="preserve"> </w:t>
      </w:r>
      <w:r w:rsidRPr="1FB80F97" w:rsidR="4074A58D">
        <w:rPr>
          <w:rFonts w:ascii="Arial" w:hAnsi="Arial" w:eastAsia="Arial" w:cs="Arial" w:asciiTheme="minorAscii" w:hAnsiTheme="minorAscii" w:eastAsiaTheme="minorAscii" w:cstheme="minorAscii"/>
          <w:b w:val="1"/>
          <w:bCs w:val="1"/>
          <w:noProof w:val="0"/>
          <w:sz w:val="22"/>
          <w:szCs w:val="22"/>
          <w:lang w:val="en-GB"/>
        </w:rPr>
        <w:t>Section A</w:t>
      </w:r>
    </w:p>
    <w:p w:rsidR="4074A58D" w:rsidP="1FB80F97" w:rsidRDefault="4074A58D" w14:paraId="5C810989" w14:textId="01F76C14">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4074A58D">
        <w:rPr>
          <w:rFonts w:ascii="Arial" w:hAnsi="Arial" w:eastAsia="Arial" w:cs="Arial" w:asciiTheme="minorAscii" w:hAnsiTheme="minorAscii" w:eastAsiaTheme="minorAscii" w:cstheme="minorAscii"/>
          <w:b w:val="1"/>
          <w:bCs w:val="1"/>
          <w:noProof w:val="0"/>
          <w:sz w:val="22"/>
          <w:szCs w:val="22"/>
          <w:lang w:val="en-GB"/>
        </w:rPr>
        <w:t>Identifying</w:t>
      </w:r>
      <w:r w:rsidRPr="1FB80F97" w:rsidR="4074A58D">
        <w:rPr>
          <w:rFonts w:ascii="Arial" w:hAnsi="Arial" w:eastAsia="Arial" w:cs="Arial" w:asciiTheme="minorAscii" w:hAnsiTheme="minorAscii" w:eastAsiaTheme="minorAscii" w:cstheme="minorAscii"/>
          <w:b w:val="1"/>
          <w:bCs w:val="1"/>
          <w:noProof w:val="0"/>
          <w:sz w:val="22"/>
          <w:szCs w:val="22"/>
          <w:lang w:val="en-GB"/>
        </w:rPr>
        <w:t xml:space="preserve"> the Problem and Setting the System Context</w:t>
      </w:r>
    </w:p>
    <w:p w:rsidR="4074A58D" w:rsidP="1FB80F97" w:rsidRDefault="4074A58D" w14:paraId="0A59AEA2" w14:textId="22F4A3E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074A58D">
        <w:rPr>
          <w:rFonts w:ascii="Arial" w:hAnsi="Arial" w:eastAsia="Arial" w:cs="Arial" w:asciiTheme="minorAscii" w:hAnsiTheme="minorAscii" w:eastAsiaTheme="minorAscii" w:cstheme="minorAscii"/>
          <w:noProof w:val="0"/>
          <w:sz w:val="22"/>
          <w:szCs w:val="22"/>
          <w:lang w:val="en-GB"/>
        </w:rPr>
        <w:t xml:space="preserve">The selected case study involves a four-week-old infant in the </w:t>
      </w:r>
      <w:r w:rsidRPr="1FB80F97" w:rsidR="526E82EA">
        <w:rPr>
          <w:rFonts w:ascii="Arial" w:hAnsi="Arial" w:eastAsia="Arial" w:cs="Arial" w:asciiTheme="minorAscii" w:hAnsiTheme="minorAscii" w:eastAsiaTheme="minorAscii" w:cstheme="minorAscii"/>
          <w:noProof w:val="0"/>
          <w:sz w:val="22"/>
          <w:szCs w:val="22"/>
          <w:lang w:val="en-GB"/>
        </w:rPr>
        <w:t>Northeast</w:t>
      </w:r>
      <w:r w:rsidRPr="1FB80F97" w:rsidR="4074A58D">
        <w:rPr>
          <w:rFonts w:ascii="Arial" w:hAnsi="Arial" w:eastAsia="Arial" w:cs="Arial" w:asciiTheme="minorAscii" w:hAnsiTheme="minorAscii" w:eastAsiaTheme="minorAscii" w:cstheme="minorAscii"/>
          <w:noProof w:val="0"/>
          <w:sz w:val="22"/>
          <w:szCs w:val="22"/>
          <w:lang w:val="en-GB"/>
        </w:rPr>
        <w:t xml:space="preserve"> and Yorkshire region who received a morphine sulphate oral solution at a dose twenty times higher than intended due to the dispensing of an incorrect formulation. Although the infant survived following treatment with naloxone, the incident reflects a significant failure in medication safety processes. Notably, national reporting </w:t>
      </w:r>
      <w:r w:rsidRPr="1FB80F97" w:rsidR="4074A58D">
        <w:rPr>
          <w:rFonts w:ascii="Arial" w:hAnsi="Arial" w:eastAsia="Arial" w:cs="Arial" w:asciiTheme="minorAscii" w:hAnsiTheme="minorAscii" w:eastAsiaTheme="minorAscii" w:cstheme="minorAscii"/>
          <w:noProof w:val="0"/>
          <w:sz w:val="22"/>
          <w:szCs w:val="22"/>
          <w:lang w:val="en-GB"/>
        </w:rPr>
        <w:t>indicates</w:t>
      </w:r>
      <w:r w:rsidRPr="1FB80F97" w:rsidR="4074A58D">
        <w:rPr>
          <w:rFonts w:ascii="Arial" w:hAnsi="Arial" w:eastAsia="Arial" w:cs="Arial" w:asciiTheme="minorAscii" w:hAnsiTheme="minorAscii" w:eastAsiaTheme="minorAscii" w:cstheme="minorAscii"/>
          <w:noProof w:val="0"/>
          <w:sz w:val="22"/>
          <w:szCs w:val="22"/>
          <w:lang w:val="en-GB"/>
        </w:rPr>
        <w:t xml:space="preserve"> that this is the fifth similar incident since 2018, with at least one resulting in death, suggesting that this is not an isolated occurrence but part of a broader systemic issue within healthcare delivery.</w:t>
      </w:r>
    </w:p>
    <w:p w:rsidR="4074A58D" w:rsidP="1FB80F97" w:rsidRDefault="4074A58D" w14:paraId="1472105A" w14:textId="3EB6BE3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074A58D">
        <w:rPr>
          <w:rFonts w:ascii="Arial" w:hAnsi="Arial" w:eastAsia="Arial" w:cs="Arial" w:asciiTheme="minorAscii" w:hAnsiTheme="minorAscii" w:eastAsiaTheme="minorAscii" w:cstheme="minorAscii"/>
          <w:noProof w:val="0"/>
          <w:sz w:val="22"/>
          <w:szCs w:val="22"/>
          <w:lang w:val="en-GB"/>
        </w:rPr>
        <w:t xml:space="preserve">From a global perspective, medication-related harm </w:t>
      </w:r>
      <w:r w:rsidRPr="1FB80F97" w:rsidR="4074A58D">
        <w:rPr>
          <w:rFonts w:ascii="Arial" w:hAnsi="Arial" w:eastAsia="Arial" w:cs="Arial" w:asciiTheme="minorAscii" w:hAnsiTheme="minorAscii" w:eastAsiaTheme="minorAscii" w:cstheme="minorAscii"/>
          <w:noProof w:val="0"/>
          <w:sz w:val="22"/>
          <w:szCs w:val="22"/>
          <w:lang w:val="en-GB"/>
        </w:rPr>
        <w:t>represents</w:t>
      </w:r>
      <w:r w:rsidRPr="1FB80F97" w:rsidR="4074A58D">
        <w:rPr>
          <w:rFonts w:ascii="Arial" w:hAnsi="Arial" w:eastAsia="Arial" w:cs="Arial" w:asciiTheme="minorAscii" w:hAnsiTheme="minorAscii" w:eastAsiaTheme="minorAscii" w:cstheme="minorAscii"/>
          <w:noProof w:val="0"/>
          <w:sz w:val="22"/>
          <w:szCs w:val="22"/>
          <w:lang w:val="en-GB"/>
        </w:rPr>
        <w:t xml:space="preserve"> a substantial burden on healthcare systems. The World Health Organization (WHO) estimates that medication errors affect </w:t>
      </w:r>
      <w:r w:rsidRPr="1FB80F97" w:rsidR="522A9F1B">
        <w:rPr>
          <w:rFonts w:ascii="Arial" w:hAnsi="Arial" w:eastAsia="Arial" w:cs="Arial" w:asciiTheme="minorAscii" w:hAnsiTheme="minorAscii" w:eastAsiaTheme="minorAscii" w:cstheme="minorAscii"/>
          <w:noProof w:val="0"/>
          <w:sz w:val="22"/>
          <w:szCs w:val="22"/>
          <w:lang w:val="en-GB"/>
        </w:rPr>
        <w:t>1</w:t>
      </w:r>
      <w:r w:rsidRPr="1FB80F97" w:rsidR="4074A58D">
        <w:rPr>
          <w:rFonts w:ascii="Arial" w:hAnsi="Arial" w:eastAsia="Arial" w:cs="Arial" w:asciiTheme="minorAscii" w:hAnsiTheme="minorAscii" w:eastAsiaTheme="minorAscii" w:cstheme="minorAscii"/>
          <w:noProof w:val="0"/>
          <w:sz w:val="22"/>
          <w:szCs w:val="22"/>
          <w:lang w:val="en-GB"/>
        </w:rPr>
        <w:t xml:space="preserve"> in 10 patients worldwide and cost an estimated $42 billion annually (WHO, 2017). This highlights medication safety as a critical international patient safety priority. Furthermore, the WHO’s “Medication Without Harm” initiative emphasises that many of these errors are preventable and often arise from system-level failures rather than individual negligence. At a national level, evidence further reinforces the scale of the issue. Elliott et al. (2018), in a large study published in BMJ Quality &amp; Safety, estimated that there are </w:t>
      </w:r>
      <w:r w:rsidRPr="1FB80F97" w:rsidR="1BC1688F">
        <w:rPr>
          <w:rFonts w:ascii="Arial" w:hAnsi="Arial" w:eastAsia="Arial" w:cs="Arial" w:asciiTheme="minorAscii" w:hAnsiTheme="minorAscii" w:eastAsiaTheme="minorAscii" w:cstheme="minorAscii"/>
          <w:noProof w:val="0"/>
          <w:sz w:val="22"/>
          <w:szCs w:val="22"/>
          <w:lang w:val="en-GB"/>
        </w:rPr>
        <w:t>237</w:t>
      </w:r>
      <w:r w:rsidRPr="1FB80F97" w:rsidR="4074A58D">
        <w:rPr>
          <w:rFonts w:ascii="Arial" w:hAnsi="Arial" w:eastAsia="Arial" w:cs="Arial" w:asciiTheme="minorAscii" w:hAnsiTheme="minorAscii" w:eastAsiaTheme="minorAscii" w:cstheme="minorAscii"/>
          <w:noProof w:val="0"/>
          <w:sz w:val="22"/>
          <w:szCs w:val="22"/>
          <w:lang w:val="en-GB"/>
        </w:rPr>
        <w:t xml:space="preserve"> million medication errors annually in England, with around 66 million considered potentially clinically significant. These errors contribute to an estimated 1,700–22,000 deaths each year and impose a financial burden of approximately £98 million on the NHS. This data </w:t>
      </w:r>
      <w:r w:rsidRPr="1FB80F97" w:rsidR="4074A58D">
        <w:rPr>
          <w:rFonts w:ascii="Arial" w:hAnsi="Arial" w:eastAsia="Arial" w:cs="Arial" w:asciiTheme="minorAscii" w:hAnsiTheme="minorAscii" w:eastAsiaTheme="minorAscii" w:cstheme="minorAscii"/>
          <w:noProof w:val="0"/>
          <w:sz w:val="22"/>
          <w:szCs w:val="22"/>
          <w:lang w:val="en-GB"/>
        </w:rPr>
        <w:t>demonstrates</w:t>
      </w:r>
      <w:r w:rsidRPr="1FB80F97" w:rsidR="4074A58D">
        <w:rPr>
          <w:rFonts w:ascii="Arial" w:hAnsi="Arial" w:eastAsia="Arial" w:cs="Arial" w:asciiTheme="minorAscii" w:hAnsiTheme="minorAscii" w:eastAsiaTheme="minorAscii" w:cstheme="minorAscii"/>
          <w:noProof w:val="0"/>
          <w:sz w:val="22"/>
          <w:szCs w:val="22"/>
          <w:lang w:val="en-GB"/>
        </w:rPr>
        <w:t xml:space="preserve"> that the incident described in the case study is symptomatic of wider systemic weaknesses in medication management processes across the healthcare system.</w:t>
      </w:r>
    </w:p>
    <w:p w:rsidR="4074A58D" w:rsidP="1FB80F97" w:rsidRDefault="4074A58D" w14:paraId="0BB03670" w14:textId="3A381B92">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074A58D">
        <w:rPr>
          <w:rFonts w:ascii="Arial" w:hAnsi="Arial" w:eastAsia="Arial" w:cs="Arial" w:asciiTheme="minorAscii" w:hAnsiTheme="minorAscii" w:eastAsiaTheme="minorAscii" w:cstheme="minorAscii"/>
          <w:noProof w:val="0"/>
          <w:sz w:val="22"/>
          <w:szCs w:val="22"/>
          <w:lang w:val="en-GB"/>
        </w:rPr>
        <w:t xml:space="preserve">In addition, organisations such as the Institute for Healthcare Improvement (IHI) have </w:t>
      </w:r>
      <w:r w:rsidRPr="1FB80F97" w:rsidR="4074A58D">
        <w:rPr>
          <w:rFonts w:ascii="Arial" w:hAnsi="Arial" w:eastAsia="Arial" w:cs="Arial" w:asciiTheme="minorAscii" w:hAnsiTheme="minorAscii" w:eastAsiaTheme="minorAscii" w:cstheme="minorAscii"/>
          <w:noProof w:val="0"/>
          <w:sz w:val="22"/>
          <w:szCs w:val="22"/>
          <w:lang w:val="en-GB"/>
        </w:rPr>
        <w:t>identified</w:t>
      </w:r>
      <w:r w:rsidRPr="1FB80F97" w:rsidR="4074A58D">
        <w:rPr>
          <w:rFonts w:ascii="Arial" w:hAnsi="Arial" w:eastAsia="Arial" w:cs="Arial" w:asciiTheme="minorAscii" w:hAnsiTheme="minorAscii" w:eastAsiaTheme="minorAscii" w:cstheme="minorAscii"/>
          <w:noProof w:val="0"/>
          <w:sz w:val="22"/>
          <w:szCs w:val="22"/>
          <w:lang w:val="en-GB"/>
        </w:rPr>
        <w:t xml:space="preserve"> medication errors as a leading cause of preventable harm, emphasising the importance of system redesign and leadership engagement in improving safety outcomes (IHI, 2020). The recurrence of similar incidents involving morphine dosing errors suggests persistent gaps in governance, standardisation, and communication across healthcare settings. </w:t>
      </w:r>
    </w:p>
    <w:p w:rsidR="4074A58D" w:rsidP="1FB80F97" w:rsidRDefault="4074A58D" w14:paraId="33FA6B20" w14:textId="00A3816E">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074A58D">
        <w:rPr>
          <w:rFonts w:ascii="Arial" w:hAnsi="Arial" w:eastAsia="Arial" w:cs="Arial" w:asciiTheme="minorAscii" w:hAnsiTheme="minorAscii" w:eastAsiaTheme="minorAscii" w:cstheme="minorAscii"/>
          <w:noProof w:val="0"/>
          <w:sz w:val="22"/>
          <w:szCs w:val="22"/>
          <w:lang w:val="en-GB"/>
        </w:rPr>
        <w:t xml:space="preserve">Applying systems thinking to this case reveals that the error cannot be attributed solely to an individual mistake but rather to a series of interconnected failures across multiple components of the healthcare system. Systems thinking, as articulated by Senge (2006), emphasises understanding how different elements within a system interact to produce outcomes. In this case, several systemic weaknesses can be </w:t>
      </w:r>
      <w:r w:rsidRPr="1FB80F97" w:rsidR="4074A58D">
        <w:rPr>
          <w:rFonts w:ascii="Arial" w:hAnsi="Arial" w:eastAsia="Arial" w:cs="Arial" w:asciiTheme="minorAscii" w:hAnsiTheme="minorAscii" w:eastAsiaTheme="minorAscii" w:cstheme="minorAscii"/>
          <w:noProof w:val="0"/>
          <w:sz w:val="22"/>
          <w:szCs w:val="22"/>
          <w:lang w:val="en-GB"/>
        </w:rPr>
        <w:t>identified</w:t>
      </w:r>
      <w:r w:rsidRPr="1FB80F97" w:rsidR="4074A58D">
        <w:rPr>
          <w:rFonts w:ascii="Arial" w:hAnsi="Arial" w:eastAsia="Arial" w:cs="Arial" w:asciiTheme="minorAscii" w:hAnsiTheme="minorAscii" w:eastAsiaTheme="minorAscii" w:cstheme="minorAscii"/>
          <w:noProof w:val="0"/>
          <w:sz w:val="22"/>
          <w:szCs w:val="22"/>
          <w:lang w:val="en-GB"/>
        </w:rPr>
        <w:t>.</w:t>
      </w:r>
    </w:p>
    <w:p w:rsidR="00526C32" w:rsidP="1FB80F97" w:rsidRDefault="00526C32" w14:paraId="390DFD39" w14:textId="2BBBC801">
      <w:pPr>
        <w:pStyle w:val="Normal"/>
        <w:spacing w:before="240" w:beforeAutospacing="off" w:after="240" w:afterAutospacing="off" w:line="360" w:lineRule="auto"/>
      </w:pPr>
      <w:r w:rsidR="00526C32">
        <w:drawing>
          <wp:inline wp14:editId="6EFDAD22" wp14:anchorId="79D29BA3">
            <wp:extent cx="5724525" cy="4295775"/>
            <wp:effectExtent l="0" t="0" r="0" b="0"/>
            <wp:docPr id="9872975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7297574" name="Picture 987297574"/>
                    <pic:cNvPicPr/>
                  </pic:nvPicPr>
                  <pic:blipFill>
                    <a:blip xmlns:r="http://schemas.openxmlformats.org/officeDocument/2006/relationships" r:embed="rId1216532022">
                      <a:extLst>
                        <a:ext uri="{28A0092B-C50C-407E-A947-70E740481C1C}">
                          <a14:useLocalDpi xmlns:a14="http://schemas.microsoft.com/office/drawing/2010/main"/>
                        </a:ext>
                      </a:extLst>
                    </a:blip>
                    <a:stretch>
                      <a:fillRect/>
                    </a:stretch>
                  </pic:blipFill>
                  <pic:spPr>
                    <a:xfrm>
                      <a:off x="0" y="0"/>
                      <a:ext cx="5724525" cy="4295775"/>
                    </a:xfrm>
                    <a:prstGeom prst="rect">
                      <a:avLst/>
                    </a:prstGeom>
                  </pic:spPr>
                </pic:pic>
              </a:graphicData>
            </a:graphic>
          </wp:inline>
        </w:drawing>
      </w:r>
    </w:p>
    <w:p w:rsidR="4074A58D" w:rsidP="1FB80F97" w:rsidRDefault="4074A58D" w14:paraId="51402DB5" w14:textId="460AEB2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074A58D">
        <w:rPr>
          <w:rFonts w:ascii="Arial" w:hAnsi="Arial" w:eastAsia="Arial" w:cs="Arial" w:asciiTheme="minorAscii" w:hAnsiTheme="minorAscii" w:eastAsiaTheme="minorAscii" w:cstheme="minorAscii"/>
          <w:noProof w:val="0"/>
          <w:sz w:val="22"/>
          <w:szCs w:val="22"/>
          <w:lang w:val="en-GB"/>
        </w:rPr>
        <w:t xml:space="preserve">Firstly, communication failures played </w:t>
      </w:r>
      <w:r w:rsidRPr="1FB80F97" w:rsidR="5067FD11">
        <w:rPr>
          <w:rFonts w:ascii="Arial" w:hAnsi="Arial" w:eastAsia="Arial" w:cs="Arial" w:asciiTheme="minorAscii" w:hAnsiTheme="minorAscii" w:eastAsiaTheme="minorAscii" w:cstheme="minorAscii"/>
          <w:noProof w:val="0"/>
          <w:sz w:val="22"/>
          <w:szCs w:val="22"/>
          <w:lang w:val="en-GB"/>
        </w:rPr>
        <w:t>a leading role</w:t>
      </w:r>
      <w:r w:rsidRPr="1FB80F97" w:rsidR="4074A58D">
        <w:rPr>
          <w:rFonts w:ascii="Arial" w:hAnsi="Arial" w:eastAsia="Arial" w:cs="Arial" w:asciiTheme="minorAscii" w:hAnsiTheme="minorAscii" w:eastAsiaTheme="minorAscii" w:cstheme="minorAscii"/>
          <w:noProof w:val="0"/>
          <w:sz w:val="22"/>
          <w:szCs w:val="22"/>
          <w:lang w:val="en-GB"/>
        </w:rPr>
        <w:t xml:space="preserve">. The incorrect formulation of morphine was supplied, </w:t>
      </w:r>
      <w:r w:rsidRPr="1FB80F97" w:rsidR="4074A58D">
        <w:rPr>
          <w:rFonts w:ascii="Arial" w:hAnsi="Arial" w:eastAsia="Arial" w:cs="Arial" w:asciiTheme="minorAscii" w:hAnsiTheme="minorAscii" w:eastAsiaTheme="minorAscii" w:cstheme="minorAscii"/>
          <w:noProof w:val="0"/>
          <w:sz w:val="22"/>
          <w:szCs w:val="22"/>
          <w:lang w:val="en-GB"/>
        </w:rPr>
        <w:t>indicating</w:t>
      </w:r>
      <w:r w:rsidRPr="1FB80F97" w:rsidR="4074A58D">
        <w:rPr>
          <w:rFonts w:ascii="Arial" w:hAnsi="Arial" w:eastAsia="Arial" w:cs="Arial" w:asciiTheme="minorAscii" w:hAnsiTheme="minorAscii" w:eastAsiaTheme="minorAscii" w:cstheme="minorAscii"/>
          <w:noProof w:val="0"/>
          <w:sz w:val="22"/>
          <w:szCs w:val="22"/>
          <w:lang w:val="en-GB"/>
        </w:rPr>
        <w:t xml:space="preserve"> a breakdown in information transfer between prescribing and dispensing stages. This suggests inadequate verification processes and potential ambiguity in prescribing instructions. Secondly, governance failures are </w:t>
      </w:r>
      <w:r w:rsidRPr="1FB80F97" w:rsidR="4074A58D">
        <w:rPr>
          <w:rFonts w:ascii="Arial" w:hAnsi="Arial" w:eastAsia="Arial" w:cs="Arial" w:asciiTheme="minorAscii" w:hAnsiTheme="minorAscii" w:eastAsiaTheme="minorAscii" w:cstheme="minorAscii"/>
          <w:noProof w:val="0"/>
          <w:sz w:val="22"/>
          <w:szCs w:val="22"/>
          <w:lang w:val="en-GB"/>
        </w:rPr>
        <w:t>evident</w:t>
      </w:r>
      <w:r w:rsidRPr="1FB80F97" w:rsidR="4074A58D">
        <w:rPr>
          <w:rFonts w:ascii="Arial" w:hAnsi="Arial" w:eastAsia="Arial" w:cs="Arial" w:asciiTheme="minorAscii" w:hAnsiTheme="minorAscii" w:eastAsiaTheme="minorAscii" w:cstheme="minorAscii"/>
          <w:noProof w:val="0"/>
          <w:sz w:val="22"/>
          <w:szCs w:val="22"/>
          <w:lang w:val="en-GB"/>
        </w:rPr>
        <w:t xml:space="preserve"> in the handling of ‘RED drugs</w:t>
      </w:r>
      <w:bookmarkStart w:name="_Int_joat1DTB" w:id="1784490976"/>
      <w:r w:rsidRPr="1FB80F97" w:rsidR="4074A58D">
        <w:rPr>
          <w:rFonts w:ascii="Arial" w:hAnsi="Arial" w:eastAsia="Arial" w:cs="Arial" w:asciiTheme="minorAscii" w:hAnsiTheme="minorAscii" w:eastAsiaTheme="minorAscii" w:cstheme="minorAscii"/>
          <w:noProof w:val="0"/>
          <w:sz w:val="22"/>
          <w:szCs w:val="22"/>
          <w:lang w:val="en-GB"/>
        </w:rPr>
        <w:t>’,</w:t>
      </w:r>
      <w:bookmarkEnd w:id="1784490976"/>
      <w:r w:rsidRPr="1FB80F97" w:rsidR="4074A58D">
        <w:rPr>
          <w:rFonts w:ascii="Arial" w:hAnsi="Arial" w:eastAsia="Arial" w:cs="Arial" w:asciiTheme="minorAscii" w:hAnsiTheme="minorAscii" w:eastAsiaTheme="minorAscii" w:cstheme="minorAscii"/>
          <w:noProof w:val="0"/>
          <w:sz w:val="22"/>
          <w:szCs w:val="22"/>
          <w:lang w:val="en-GB"/>
        </w:rPr>
        <w:t xml:space="preserve"> which are intended to be prescribed and dispensed within specialist settings only. The availability of such medication in a community context </w:t>
      </w:r>
      <w:r w:rsidRPr="1FB80F97" w:rsidR="4074A58D">
        <w:rPr>
          <w:rFonts w:ascii="Arial" w:hAnsi="Arial" w:eastAsia="Arial" w:cs="Arial" w:asciiTheme="minorAscii" w:hAnsiTheme="minorAscii" w:eastAsiaTheme="minorAscii" w:cstheme="minorAscii"/>
          <w:noProof w:val="0"/>
          <w:sz w:val="22"/>
          <w:szCs w:val="22"/>
          <w:lang w:val="en-GB"/>
        </w:rPr>
        <w:t>indicates</w:t>
      </w:r>
      <w:r w:rsidRPr="1FB80F97" w:rsidR="4074A58D">
        <w:rPr>
          <w:rFonts w:ascii="Arial" w:hAnsi="Arial" w:eastAsia="Arial" w:cs="Arial" w:asciiTheme="minorAscii" w:hAnsiTheme="minorAscii" w:eastAsiaTheme="minorAscii" w:cstheme="minorAscii"/>
          <w:noProof w:val="0"/>
          <w:sz w:val="22"/>
          <w:szCs w:val="22"/>
          <w:lang w:val="en-GB"/>
        </w:rPr>
        <w:t xml:space="preserve"> a breach of established protocols and insufficient oversight mechanisms.</w:t>
      </w:r>
    </w:p>
    <w:p w:rsidR="4074A58D" w:rsidP="1FB80F97" w:rsidRDefault="4074A58D" w14:paraId="024425A5" w14:textId="1A79263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074A58D">
        <w:rPr>
          <w:rFonts w:ascii="Arial" w:hAnsi="Arial" w:eastAsia="Arial" w:cs="Arial" w:asciiTheme="minorAscii" w:hAnsiTheme="minorAscii" w:eastAsiaTheme="minorAscii" w:cstheme="minorAscii"/>
          <w:noProof w:val="0"/>
          <w:sz w:val="22"/>
          <w:szCs w:val="22"/>
          <w:lang w:val="en-GB"/>
        </w:rPr>
        <w:t xml:space="preserve">Thirdly, there appear to be deficiencies in safety culture and accountability. High-reliability organisations typically employ multiple layers of checking to prevent such errors; however, the absence of effective double-check systems suggests a lack of robust safety processes. Reason’s (2000) Swiss Cheese Model provides a useful framework for understanding this incident, illustrating how multiple latent failures aligned to allow the error to occur. Underlying these issues are broader systemic challenges, including workforce pressures and resource constraints. NHS workforce data </w:t>
      </w:r>
      <w:r w:rsidRPr="1FB80F97" w:rsidR="4074A58D">
        <w:rPr>
          <w:rFonts w:ascii="Arial" w:hAnsi="Arial" w:eastAsia="Arial" w:cs="Arial" w:asciiTheme="minorAscii" w:hAnsiTheme="minorAscii" w:eastAsiaTheme="minorAscii" w:cstheme="minorAscii"/>
          <w:noProof w:val="0"/>
          <w:sz w:val="22"/>
          <w:szCs w:val="22"/>
          <w:lang w:val="en-GB"/>
        </w:rPr>
        <w:t>indicates</w:t>
      </w:r>
      <w:r w:rsidRPr="1FB80F97" w:rsidR="4074A58D">
        <w:rPr>
          <w:rFonts w:ascii="Arial" w:hAnsi="Arial" w:eastAsia="Arial" w:cs="Arial" w:asciiTheme="minorAscii" w:hAnsiTheme="minorAscii" w:eastAsiaTheme="minorAscii" w:cstheme="minorAscii"/>
          <w:noProof w:val="0"/>
          <w:sz w:val="22"/>
          <w:szCs w:val="22"/>
          <w:lang w:val="en-GB"/>
        </w:rPr>
        <w:t xml:space="preserve"> ongoing staff shortages across both pharmacy and nursing professions, which have been linked to increased risk of medication errors due to workload pressures and fatigue (NHS England, 2022). Additionally, variations in training and competency in handling high-risk medications may further contribute to inconsistencies in practice.</w:t>
      </w:r>
    </w:p>
    <w:p w:rsidR="4074A58D" w:rsidP="1FB80F97" w:rsidRDefault="4074A58D" w14:paraId="41633178" w14:textId="0AFA298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074A58D">
        <w:rPr>
          <w:rFonts w:ascii="Arial" w:hAnsi="Arial" w:eastAsia="Arial" w:cs="Arial" w:asciiTheme="minorAscii" w:hAnsiTheme="minorAscii" w:eastAsiaTheme="minorAscii" w:cstheme="minorAscii"/>
          <w:noProof w:val="0"/>
          <w:sz w:val="22"/>
          <w:szCs w:val="22"/>
          <w:lang w:val="en-GB"/>
        </w:rPr>
        <w:t xml:space="preserve">The governance context of this case spans multiple levels. At the national level, policies </w:t>
      </w:r>
      <w:r w:rsidRPr="1FB80F97" w:rsidR="4074A58D">
        <w:rPr>
          <w:rFonts w:ascii="Arial" w:hAnsi="Arial" w:eastAsia="Arial" w:cs="Arial" w:asciiTheme="minorAscii" w:hAnsiTheme="minorAscii" w:eastAsiaTheme="minorAscii" w:cstheme="minorAscii"/>
          <w:noProof w:val="0"/>
          <w:sz w:val="22"/>
          <w:szCs w:val="22"/>
          <w:lang w:val="en-GB"/>
        </w:rPr>
        <w:t>regarding</w:t>
      </w:r>
      <w:r w:rsidRPr="1FB80F97" w:rsidR="4074A58D">
        <w:rPr>
          <w:rFonts w:ascii="Arial" w:hAnsi="Arial" w:eastAsia="Arial" w:cs="Arial" w:asciiTheme="minorAscii" w:hAnsiTheme="minorAscii" w:eastAsiaTheme="minorAscii" w:cstheme="minorAscii"/>
          <w:noProof w:val="0"/>
          <w:sz w:val="22"/>
          <w:szCs w:val="22"/>
          <w:lang w:val="en-GB"/>
        </w:rPr>
        <w:t xml:space="preserve"> the classification and management of RED drugs are intended to standardise safe practice. However, the recurrence of similar incidents suggests limitations in policy implementation and monitoring. At the local level, healthcare organisations </w:t>
      </w:r>
      <w:r w:rsidRPr="1FB80F97" w:rsidR="4074A58D">
        <w:rPr>
          <w:rFonts w:ascii="Arial" w:hAnsi="Arial" w:eastAsia="Arial" w:cs="Arial" w:asciiTheme="minorAscii" w:hAnsiTheme="minorAscii" w:eastAsiaTheme="minorAscii" w:cstheme="minorAscii"/>
          <w:noProof w:val="0"/>
          <w:sz w:val="22"/>
          <w:szCs w:val="22"/>
          <w:lang w:val="en-GB"/>
        </w:rPr>
        <w:t>are responsible for</w:t>
      </w:r>
      <w:r w:rsidRPr="1FB80F97" w:rsidR="4074A58D">
        <w:rPr>
          <w:rFonts w:ascii="Arial" w:hAnsi="Arial" w:eastAsia="Arial" w:cs="Arial" w:asciiTheme="minorAscii" w:hAnsiTheme="minorAscii" w:eastAsiaTheme="minorAscii" w:cstheme="minorAscii"/>
          <w:noProof w:val="0"/>
          <w:sz w:val="22"/>
          <w:szCs w:val="22"/>
          <w:lang w:val="en-GB"/>
        </w:rPr>
        <w:t xml:space="preserve"> ensuring adherence to these policies through effective leadership, training, and audit processes. The failure to prevent this incident </w:t>
      </w:r>
      <w:r w:rsidRPr="1FB80F97" w:rsidR="4074A58D">
        <w:rPr>
          <w:rFonts w:ascii="Arial" w:hAnsi="Arial" w:eastAsia="Arial" w:cs="Arial" w:asciiTheme="minorAscii" w:hAnsiTheme="minorAscii" w:eastAsiaTheme="minorAscii" w:cstheme="minorAscii"/>
          <w:noProof w:val="0"/>
          <w:sz w:val="22"/>
          <w:szCs w:val="22"/>
          <w:lang w:val="en-GB"/>
        </w:rPr>
        <w:t>indicates</w:t>
      </w:r>
      <w:r w:rsidRPr="1FB80F97" w:rsidR="4074A58D">
        <w:rPr>
          <w:rFonts w:ascii="Arial" w:hAnsi="Arial" w:eastAsia="Arial" w:cs="Arial" w:asciiTheme="minorAscii" w:hAnsiTheme="minorAscii" w:eastAsiaTheme="minorAscii" w:cstheme="minorAscii"/>
          <w:noProof w:val="0"/>
          <w:sz w:val="22"/>
          <w:szCs w:val="22"/>
          <w:lang w:val="en-GB"/>
        </w:rPr>
        <w:t xml:space="preserve"> weaknesses in local governance structures, including insufficient accountability and oversight. To further illustrate the complexity of this system, a Rich Picture can be used as a visual tool to map the relationships, processes, and issues involved. The Rich Picture for this case should include key </w:t>
      </w:r>
      <w:r w:rsidRPr="1FB80F97" w:rsidR="298CC09E">
        <w:rPr>
          <w:rFonts w:ascii="Arial" w:hAnsi="Arial" w:eastAsia="Arial" w:cs="Arial" w:asciiTheme="minorAscii" w:hAnsiTheme="minorAscii" w:eastAsiaTheme="minorAscii" w:cstheme="minorAscii"/>
          <w:noProof w:val="0"/>
          <w:sz w:val="22"/>
          <w:szCs w:val="22"/>
          <w:lang w:val="en-GB"/>
        </w:rPr>
        <w:t>factors</w:t>
      </w:r>
      <w:r w:rsidRPr="1FB80F97" w:rsidR="4074A58D">
        <w:rPr>
          <w:rFonts w:ascii="Arial" w:hAnsi="Arial" w:eastAsia="Arial" w:cs="Arial" w:asciiTheme="minorAscii" w:hAnsiTheme="minorAscii" w:eastAsiaTheme="minorAscii" w:cstheme="minorAscii"/>
          <w:noProof w:val="0"/>
          <w:sz w:val="22"/>
          <w:szCs w:val="22"/>
          <w:lang w:val="en-GB"/>
        </w:rPr>
        <w:t xml:space="preserve"> such as general practitioners, hospital specialists, pharmacists, nurses, patients, and parents. It should depict the medication pathway, including prescribing, dispensing, and administration processes, highlighting where communication breakdowns occurred. Structural elements such as NHS policies, formularies, and IT systems should also be included, alongside emotional components such as parental anxiety and staff stress.</w:t>
      </w:r>
    </w:p>
    <w:p w:rsidR="4074A58D" w:rsidP="1FB80F97" w:rsidRDefault="4074A58D" w14:paraId="38D4FF77" w14:textId="739B00DD">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074A58D">
        <w:rPr>
          <w:rFonts w:ascii="Arial" w:hAnsi="Arial" w:eastAsia="Arial" w:cs="Arial" w:asciiTheme="minorAscii" w:hAnsiTheme="minorAscii" w:eastAsiaTheme="minorAscii" w:cstheme="minorAscii"/>
          <w:noProof w:val="0"/>
          <w:sz w:val="22"/>
          <w:szCs w:val="22"/>
          <w:lang w:val="en-GB"/>
        </w:rPr>
        <w:t xml:space="preserve">Importantly, the Rich Picture should illustrate feedback loops, such as incident reporting systems and audit mechanisms, and </w:t>
      </w:r>
      <w:r w:rsidRPr="1FB80F97" w:rsidR="4074A58D">
        <w:rPr>
          <w:rFonts w:ascii="Arial" w:hAnsi="Arial" w:eastAsia="Arial" w:cs="Arial" w:asciiTheme="minorAscii" w:hAnsiTheme="minorAscii" w:eastAsiaTheme="minorAscii" w:cstheme="minorAscii"/>
          <w:noProof w:val="0"/>
          <w:sz w:val="22"/>
          <w:szCs w:val="22"/>
          <w:lang w:val="en-GB"/>
        </w:rPr>
        <w:t>demonstrate</w:t>
      </w:r>
      <w:r w:rsidRPr="1FB80F97" w:rsidR="4074A58D">
        <w:rPr>
          <w:rFonts w:ascii="Arial" w:hAnsi="Arial" w:eastAsia="Arial" w:cs="Arial" w:asciiTheme="minorAscii" w:hAnsiTheme="minorAscii" w:eastAsiaTheme="minorAscii" w:cstheme="minorAscii"/>
          <w:noProof w:val="0"/>
          <w:sz w:val="22"/>
          <w:szCs w:val="22"/>
          <w:lang w:val="en-GB"/>
        </w:rPr>
        <w:t xml:space="preserve"> where these failed to function effectively. For example, delayed or incomplete reporting of </w:t>
      </w:r>
      <w:r w:rsidRPr="1FB80F97" w:rsidR="4074A58D">
        <w:rPr>
          <w:rFonts w:ascii="Arial" w:hAnsi="Arial" w:eastAsia="Arial" w:cs="Arial" w:asciiTheme="minorAscii" w:hAnsiTheme="minorAscii" w:eastAsiaTheme="minorAscii" w:cstheme="minorAscii"/>
          <w:noProof w:val="0"/>
          <w:sz w:val="22"/>
          <w:szCs w:val="22"/>
          <w:lang w:val="en-GB"/>
        </w:rPr>
        <w:t>previous</w:t>
      </w:r>
      <w:r w:rsidRPr="1FB80F97" w:rsidR="4074A58D">
        <w:rPr>
          <w:rFonts w:ascii="Arial" w:hAnsi="Arial" w:eastAsia="Arial" w:cs="Arial" w:asciiTheme="minorAscii" w:hAnsiTheme="minorAscii" w:eastAsiaTheme="minorAscii" w:cstheme="minorAscii"/>
          <w:noProof w:val="0"/>
          <w:sz w:val="22"/>
          <w:szCs w:val="22"/>
          <w:lang w:val="en-GB"/>
        </w:rPr>
        <w:t xml:space="preserve"> incidents may have limited organisational learning, allowing similar errors to recur. Arrows can be used to show the flow of information and </w:t>
      </w:r>
      <w:r w:rsidRPr="1FB80F97" w:rsidR="4074A58D">
        <w:rPr>
          <w:rFonts w:ascii="Arial" w:hAnsi="Arial" w:eastAsia="Arial" w:cs="Arial" w:asciiTheme="minorAscii" w:hAnsiTheme="minorAscii" w:eastAsiaTheme="minorAscii" w:cstheme="minorAscii"/>
          <w:noProof w:val="0"/>
          <w:sz w:val="22"/>
          <w:szCs w:val="22"/>
          <w:lang w:val="en-GB"/>
        </w:rPr>
        <w:t>identify</w:t>
      </w:r>
      <w:r w:rsidRPr="1FB80F97" w:rsidR="4074A58D">
        <w:rPr>
          <w:rFonts w:ascii="Arial" w:hAnsi="Arial" w:eastAsia="Arial" w:cs="Arial" w:asciiTheme="minorAscii" w:hAnsiTheme="minorAscii" w:eastAsiaTheme="minorAscii" w:cstheme="minorAscii"/>
          <w:noProof w:val="0"/>
          <w:sz w:val="22"/>
          <w:szCs w:val="22"/>
          <w:lang w:val="en-GB"/>
        </w:rPr>
        <w:t xml:space="preserve"> gaps or breakdowns within the system.</w:t>
      </w:r>
    </w:p>
    <w:p w:rsidR="4074A58D" w:rsidP="1FB80F97" w:rsidRDefault="4074A58D" w14:paraId="6CDE8DA6" w14:textId="3D3DA7B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074A58D">
        <w:rPr>
          <w:rFonts w:ascii="Arial" w:hAnsi="Arial" w:eastAsia="Arial" w:cs="Arial" w:asciiTheme="minorAscii" w:hAnsiTheme="minorAscii" w:eastAsiaTheme="minorAscii" w:cstheme="minorAscii"/>
          <w:noProof w:val="0"/>
          <w:sz w:val="22"/>
          <w:szCs w:val="22"/>
          <w:lang w:val="en-GB"/>
        </w:rPr>
        <w:t xml:space="preserve">In summary, the case reflects a complex interplay of system-level failures involving communication, governance, and leadership. </w:t>
      </w:r>
      <w:bookmarkStart w:name="_Int_QU6NgLRx" w:id="809907234"/>
      <w:r w:rsidRPr="1FB80F97" w:rsidR="4074A58D">
        <w:rPr>
          <w:rFonts w:ascii="Arial" w:hAnsi="Arial" w:eastAsia="Arial" w:cs="Arial" w:asciiTheme="minorAscii" w:hAnsiTheme="minorAscii" w:eastAsiaTheme="minorAscii" w:cstheme="minorAscii"/>
          <w:noProof w:val="0"/>
          <w:sz w:val="22"/>
          <w:szCs w:val="22"/>
          <w:lang w:val="en-GB"/>
        </w:rPr>
        <w:t>By situating the incident within both national and global contexts, it</w:t>
      </w:r>
      <w:bookmarkEnd w:id="809907234"/>
      <w:r w:rsidRPr="1FB80F97" w:rsidR="4074A58D">
        <w:rPr>
          <w:rFonts w:ascii="Arial" w:hAnsi="Arial" w:eastAsia="Arial" w:cs="Arial" w:asciiTheme="minorAscii" w:hAnsiTheme="minorAscii" w:eastAsiaTheme="minorAscii" w:cstheme="minorAscii"/>
          <w:noProof w:val="0"/>
          <w:sz w:val="22"/>
          <w:szCs w:val="22"/>
          <w:lang w:val="en-GB"/>
        </w:rPr>
        <w:t xml:space="preserve"> becomes </w:t>
      </w:r>
      <w:r w:rsidRPr="1FB80F97" w:rsidR="4074A58D">
        <w:rPr>
          <w:rFonts w:ascii="Arial" w:hAnsi="Arial" w:eastAsia="Arial" w:cs="Arial" w:asciiTheme="minorAscii" w:hAnsiTheme="minorAscii" w:eastAsiaTheme="minorAscii" w:cstheme="minorAscii"/>
          <w:noProof w:val="0"/>
          <w:sz w:val="22"/>
          <w:szCs w:val="22"/>
          <w:lang w:val="en-GB"/>
        </w:rPr>
        <w:t>evident</w:t>
      </w:r>
      <w:r w:rsidRPr="1FB80F97" w:rsidR="4074A58D">
        <w:rPr>
          <w:rFonts w:ascii="Arial" w:hAnsi="Arial" w:eastAsia="Arial" w:cs="Arial" w:asciiTheme="minorAscii" w:hAnsiTheme="minorAscii" w:eastAsiaTheme="minorAscii" w:cstheme="minorAscii"/>
          <w:noProof w:val="0"/>
          <w:sz w:val="22"/>
          <w:szCs w:val="22"/>
          <w:lang w:val="en-GB"/>
        </w:rPr>
        <w:t xml:space="preserve"> that medication safety is a persistent challenge requiring coordinated, system-wide interventions. A systems thinking approach highlights the need to move beyond individual blame and instead focus on strengthening processes, improving communication, and enhancing leadership and governance to prevent future harm.</w:t>
      </w:r>
    </w:p>
    <w:p w:rsidR="1FB80F97" w:rsidP="1FB80F97" w:rsidRDefault="1FB80F97" w14:paraId="2AD0E661" w14:textId="6AF21DFA">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FB80F97" w:rsidP="1FB80F97" w:rsidRDefault="1FB80F97" w14:paraId="39F50856" w14:textId="5FC3549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FB80F97" w:rsidP="1FB80F97" w:rsidRDefault="1FB80F97" w14:paraId="706A1A6E" w14:textId="66CBAD36">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FB80F97" w:rsidP="1FB80F97" w:rsidRDefault="1FB80F97" w14:paraId="131391AF" w14:textId="3049D953">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08E58AD8" w:rsidP="1FB80F97" w:rsidRDefault="08E58AD8" w14:paraId="41B4ACE5" w14:textId="55B3B250">
      <w:pPr>
        <w:pStyle w:val="Normal"/>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08E58AD8">
        <w:rPr>
          <w:rFonts w:ascii="Arial" w:hAnsi="Arial" w:eastAsia="Arial" w:cs="Arial" w:asciiTheme="minorAscii" w:hAnsiTheme="minorAscii" w:eastAsiaTheme="minorAscii" w:cstheme="minorAscii"/>
          <w:b w:val="1"/>
          <w:bCs w:val="1"/>
          <w:noProof w:val="0"/>
          <w:sz w:val="22"/>
          <w:szCs w:val="22"/>
          <w:lang w:val="en-GB"/>
        </w:rPr>
        <w:t>Main Body</w:t>
      </w:r>
    </w:p>
    <w:p w:rsidR="08E58AD8" w:rsidP="1FB80F97" w:rsidRDefault="08E58AD8" w14:paraId="626D0A15" w14:textId="51AB9B48">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08E58AD8">
        <w:rPr>
          <w:rFonts w:ascii="Arial" w:hAnsi="Arial" w:eastAsia="Arial" w:cs="Arial" w:asciiTheme="minorAscii" w:hAnsiTheme="minorAscii" w:eastAsiaTheme="minorAscii" w:cstheme="minorAscii"/>
          <w:b w:val="1"/>
          <w:bCs w:val="1"/>
          <w:noProof w:val="0"/>
          <w:sz w:val="22"/>
          <w:szCs w:val="22"/>
          <w:lang w:val="en-GB"/>
        </w:rPr>
        <w:t>b.</w:t>
      </w:r>
      <w:r w:rsidRPr="1FB80F97" w:rsidR="08E58AD8">
        <w:rPr>
          <w:rFonts w:ascii="Arial" w:hAnsi="Arial" w:eastAsia="Arial" w:cs="Arial" w:asciiTheme="minorAscii" w:hAnsiTheme="minorAscii" w:eastAsiaTheme="minorAscii" w:cstheme="minorAscii"/>
          <w:b w:val="1"/>
          <w:bCs w:val="1"/>
          <w:noProof w:val="0"/>
          <w:sz w:val="22"/>
          <w:szCs w:val="22"/>
          <w:lang w:val="en-GB"/>
        </w:rPr>
        <w:t xml:space="preserve"> Centralisation or Decentralisation within the Case Study</w:t>
      </w:r>
    </w:p>
    <w:p w:rsidR="4D20B002" w:rsidP="1FB80F97" w:rsidRDefault="4D20B002" w14:paraId="110C8493" w14:textId="0126EE36">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D20B002">
        <w:rPr>
          <w:rFonts w:ascii="Arial" w:hAnsi="Arial" w:eastAsia="Arial" w:cs="Arial" w:asciiTheme="minorAscii" w:hAnsiTheme="minorAscii" w:eastAsiaTheme="minorAscii" w:cstheme="minorAscii"/>
          <w:noProof w:val="0"/>
          <w:sz w:val="22"/>
          <w:szCs w:val="22"/>
          <w:lang w:val="en-GB"/>
        </w:rPr>
        <w:t xml:space="preserve">The structural configuration of healthcare systems, particularly the balance between centralisation and decentralisation, significantly influences organisational performance, decision-making processes, and patient safety outcomes. In the case of the morphine overdose involving a four-week-old infant, the interplay between centralised governance and decentralised operational practices reveals critical systemic weaknesses. A more nuanced and critical evaluation </w:t>
      </w:r>
      <w:r w:rsidRPr="1FB80F97" w:rsidR="4D20B002">
        <w:rPr>
          <w:rFonts w:ascii="Arial" w:hAnsi="Arial" w:eastAsia="Arial" w:cs="Arial" w:asciiTheme="minorAscii" w:hAnsiTheme="minorAscii" w:eastAsiaTheme="minorAscii" w:cstheme="minorAscii"/>
          <w:noProof w:val="0"/>
          <w:sz w:val="22"/>
          <w:szCs w:val="22"/>
          <w:lang w:val="en-GB"/>
        </w:rPr>
        <w:t>demonstrates</w:t>
      </w:r>
      <w:r w:rsidRPr="1FB80F97" w:rsidR="4D20B002">
        <w:rPr>
          <w:rFonts w:ascii="Arial" w:hAnsi="Arial" w:eastAsia="Arial" w:cs="Arial" w:asciiTheme="minorAscii" w:hAnsiTheme="minorAscii" w:eastAsiaTheme="minorAscii" w:cstheme="minorAscii"/>
          <w:noProof w:val="0"/>
          <w:sz w:val="22"/>
          <w:szCs w:val="22"/>
          <w:lang w:val="en-GB"/>
        </w:rPr>
        <w:t xml:space="preserve"> that neither approach, in isolation, is sufficient to ensure safe and effective care delivery; rather, it is the misalignment between the two that contributed to the adverse event.</w:t>
      </w:r>
      <w:r w:rsidRPr="1FB80F97" w:rsidR="2D90AE5E">
        <w:rPr>
          <w:rFonts w:ascii="Arial" w:hAnsi="Arial" w:eastAsia="Arial" w:cs="Arial" w:asciiTheme="minorAscii" w:hAnsiTheme="minorAscii" w:eastAsiaTheme="minorAscii" w:cstheme="minorAscii"/>
          <w:noProof w:val="0"/>
          <w:sz w:val="22"/>
          <w:szCs w:val="22"/>
          <w:lang w:val="en-GB"/>
        </w:rPr>
        <w:t xml:space="preserve"> </w:t>
      </w:r>
      <w:r w:rsidRPr="1FB80F97" w:rsidR="4D20B002">
        <w:rPr>
          <w:rFonts w:ascii="Arial" w:hAnsi="Arial" w:eastAsia="Arial" w:cs="Arial" w:asciiTheme="minorAscii" w:hAnsiTheme="minorAscii" w:eastAsiaTheme="minorAscii" w:cstheme="minorAscii"/>
          <w:noProof w:val="0"/>
          <w:sz w:val="22"/>
          <w:szCs w:val="22"/>
          <w:lang w:val="en-GB"/>
        </w:rPr>
        <w:t xml:space="preserve">Centralisation within the National Health Service (NHS) is primarily reflected in the development of national policies, clinical guidelines, and medication classifications designed to standardise practice and minimise risk. The designation of morphine sulphate oral solution as a ‘RED drug’ </w:t>
      </w:r>
      <w:r w:rsidRPr="1FB80F97" w:rsidR="4D20B002">
        <w:rPr>
          <w:rFonts w:ascii="Arial" w:hAnsi="Arial" w:eastAsia="Arial" w:cs="Arial" w:asciiTheme="minorAscii" w:hAnsiTheme="minorAscii" w:eastAsiaTheme="minorAscii" w:cstheme="minorAscii"/>
          <w:noProof w:val="0"/>
          <w:sz w:val="22"/>
          <w:szCs w:val="22"/>
          <w:lang w:val="en-GB"/>
        </w:rPr>
        <w:t>represents</w:t>
      </w:r>
      <w:r w:rsidRPr="1FB80F97" w:rsidR="4D20B002">
        <w:rPr>
          <w:rFonts w:ascii="Arial" w:hAnsi="Arial" w:eastAsia="Arial" w:cs="Arial" w:asciiTheme="minorAscii" w:hAnsiTheme="minorAscii" w:eastAsiaTheme="minorAscii" w:cstheme="minorAscii"/>
          <w:noProof w:val="0"/>
          <w:sz w:val="22"/>
          <w:szCs w:val="22"/>
          <w:lang w:val="en-GB"/>
        </w:rPr>
        <w:t xml:space="preserve"> a clear example of centralised control, whereby prescribing and dispensing are intended to be restricted to specialist settings. This approach aligns with broader patient safety strategies aimed at reducing variation and ensuring that high-risk medications are managed by appropriately trained professionals (Saltman et al., 2011).</w:t>
      </w:r>
    </w:p>
    <w:p w:rsidR="4D20B002" w:rsidP="1FB80F97" w:rsidRDefault="4D20B002" w14:paraId="048932F0" w14:textId="1020C3B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D20B002">
        <w:rPr>
          <w:rFonts w:ascii="Arial" w:hAnsi="Arial" w:eastAsia="Arial" w:cs="Arial" w:asciiTheme="minorAscii" w:hAnsiTheme="minorAscii" w:eastAsiaTheme="minorAscii" w:cstheme="minorAscii"/>
          <w:noProof w:val="0"/>
          <w:sz w:val="22"/>
          <w:szCs w:val="22"/>
          <w:lang w:val="en-GB"/>
        </w:rPr>
        <w:t xml:space="preserve">In theory, centralisation offers several advantages. It enables the establishment of uniform safety standards, </w:t>
      </w:r>
      <w:r w:rsidRPr="1FB80F97" w:rsidR="4D20B002">
        <w:rPr>
          <w:rFonts w:ascii="Arial" w:hAnsi="Arial" w:eastAsia="Arial" w:cs="Arial" w:asciiTheme="minorAscii" w:hAnsiTheme="minorAscii" w:eastAsiaTheme="minorAscii" w:cstheme="minorAscii"/>
          <w:noProof w:val="0"/>
          <w:sz w:val="22"/>
          <w:szCs w:val="22"/>
          <w:lang w:val="en-GB"/>
        </w:rPr>
        <w:t>facilitates</w:t>
      </w:r>
      <w:r w:rsidRPr="1FB80F97" w:rsidR="4D20B002">
        <w:rPr>
          <w:rFonts w:ascii="Arial" w:hAnsi="Arial" w:eastAsia="Arial" w:cs="Arial" w:asciiTheme="minorAscii" w:hAnsiTheme="minorAscii" w:eastAsiaTheme="minorAscii" w:cstheme="minorAscii"/>
          <w:noProof w:val="0"/>
          <w:sz w:val="22"/>
          <w:szCs w:val="22"/>
          <w:lang w:val="en-GB"/>
        </w:rPr>
        <w:t xml:space="preserve"> coordinated responses to national safety concerns, and provides clear frameworks for accountability. For example, following repeated medication incidents, central bodies such as NHS England and the Medicines and Healthcare products Regulatory Agency (MHRA) can issue safety alerts and mandate changes in practice. However, the effectiveness of such centralised mechanisms is contingent upon their translation into local practice. The recurrence of similar morphine-related incidents since 2018 </w:t>
      </w:r>
      <w:r w:rsidRPr="1FB80F97" w:rsidR="4D20B002">
        <w:rPr>
          <w:rFonts w:ascii="Arial" w:hAnsi="Arial" w:eastAsia="Arial" w:cs="Arial" w:asciiTheme="minorAscii" w:hAnsiTheme="minorAscii" w:eastAsiaTheme="minorAscii" w:cstheme="minorAscii"/>
          <w:noProof w:val="0"/>
          <w:sz w:val="22"/>
          <w:szCs w:val="22"/>
          <w:lang w:val="en-GB"/>
        </w:rPr>
        <w:t>indicates</w:t>
      </w:r>
      <w:r w:rsidRPr="1FB80F97" w:rsidR="4D20B002">
        <w:rPr>
          <w:rFonts w:ascii="Arial" w:hAnsi="Arial" w:eastAsia="Arial" w:cs="Arial" w:asciiTheme="minorAscii" w:hAnsiTheme="minorAscii" w:eastAsiaTheme="minorAscii" w:cstheme="minorAscii"/>
          <w:noProof w:val="0"/>
          <w:sz w:val="22"/>
          <w:szCs w:val="22"/>
          <w:lang w:val="en-GB"/>
        </w:rPr>
        <w:t xml:space="preserve"> that centralised policies, while necessary, have not been sufficient to prevent harm.</w:t>
      </w:r>
    </w:p>
    <w:p w:rsidR="4D20B002" w:rsidP="1FB80F97" w:rsidRDefault="4D20B002" w14:paraId="61EE404A" w14:textId="0039B51E">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D20B002">
        <w:rPr>
          <w:rFonts w:ascii="Arial" w:hAnsi="Arial" w:eastAsia="Arial" w:cs="Arial" w:asciiTheme="minorAscii" w:hAnsiTheme="minorAscii" w:eastAsiaTheme="minorAscii" w:cstheme="minorAscii"/>
          <w:noProof w:val="0"/>
          <w:sz w:val="22"/>
          <w:szCs w:val="22"/>
          <w:lang w:val="en-GB"/>
        </w:rPr>
        <w:t xml:space="preserve">A key limitation of centralisation lies in its reliance on hierarchical control and compliance. As highlighted by Fulop et al. (2019), overly centralised systems may struggle to engage frontline staff, particularly when policies are perceived as detached from the realities of clinical practice. In the present case, the existence of clear guidelines </w:t>
      </w:r>
      <w:r w:rsidRPr="1FB80F97" w:rsidR="4D20B002">
        <w:rPr>
          <w:rFonts w:ascii="Arial" w:hAnsi="Arial" w:eastAsia="Arial" w:cs="Arial" w:asciiTheme="minorAscii" w:hAnsiTheme="minorAscii" w:eastAsiaTheme="minorAscii" w:cstheme="minorAscii"/>
          <w:noProof w:val="0"/>
          <w:sz w:val="22"/>
          <w:szCs w:val="22"/>
          <w:lang w:val="en-GB"/>
        </w:rPr>
        <w:t>regarding</w:t>
      </w:r>
      <w:r w:rsidRPr="1FB80F97" w:rsidR="4D20B002">
        <w:rPr>
          <w:rFonts w:ascii="Arial" w:hAnsi="Arial" w:eastAsia="Arial" w:cs="Arial" w:asciiTheme="minorAscii" w:hAnsiTheme="minorAscii" w:eastAsiaTheme="minorAscii" w:cstheme="minorAscii"/>
          <w:noProof w:val="0"/>
          <w:sz w:val="22"/>
          <w:szCs w:val="22"/>
          <w:lang w:val="en-GB"/>
        </w:rPr>
        <w:t xml:space="preserve"> RED drugs did not prevent the inappropriate dispensing of morphine in a non-specialist context. This suggests that centralised directives were not effectively embedded within local workflows, potentially due to inadequate training, limited awareness, or insufficient reinforcement through audit and feedback mechanisms.</w:t>
      </w:r>
    </w:p>
    <w:p w:rsidR="4D20B002" w:rsidP="1FB80F97" w:rsidRDefault="4D20B002" w14:paraId="2DC1C903" w14:textId="3DA0A0D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D20B002">
        <w:rPr>
          <w:rFonts w:ascii="Arial" w:hAnsi="Arial" w:eastAsia="Arial" w:cs="Arial" w:asciiTheme="minorAscii" w:hAnsiTheme="minorAscii" w:eastAsiaTheme="minorAscii" w:cstheme="minorAscii"/>
          <w:noProof w:val="0"/>
          <w:sz w:val="22"/>
          <w:szCs w:val="22"/>
          <w:lang w:val="en-GB"/>
        </w:rPr>
        <w:t xml:space="preserve">Furthermore, centralisation can create a false sense of security, whereby the existence of policies is assumed to equate to safe practice. </w:t>
      </w:r>
      <w:r w:rsidRPr="1FB80F97" w:rsidR="44D5BAED">
        <w:rPr>
          <w:rFonts w:ascii="Arial" w:hAnsi="Arial" w:eastAsia="Arial" w:cs="Arial" w:asciiTheme="minorAscii" w:hAnsiTheme="minorAscii" w:eastAsiaTheme="minorAscii" w:cstheme="minorAscii"/>
          <w:noProof w:val="0"/>
          <w:sz w:val="22"/>
          <w:szCs w:val="22"/>
          <w:lang w:val="en-GB"/>
        </w:rPr>
        <w:t>Safety</w:t>
      </w:r>
      <w:r w:rsidRPr="1FB80F97" w:rsidR="4D20B002">
        <w:rPr>
          <w:rFonts w:ascii="Arial" w:hAnsi="Arial" w:eastAsia="Arial" w:cs="Arial" w:asciiTheme="minorAscii" w:hAnsiTheme="minorAscii" w:eastAsiaTheme="minorAscii" w:cstheme="minorAscii"/>
          <w:noProof w:val="0"/>
          <w:sz w:val="22"/>
          <w:szCs w:val="22"/>
          <w:lang w:val="en-GB"/>
        </w:rPr>
        <w:t xml:space="preserve"> is dependent on the consistent enactment of these policies at the point of care. The failure to ensure adherence reflects a gap in governance, where accountability for implementation is insufficiently defined or </w:t>
      </w:r>
      <w:r w:rsidRPr="1FB80F97" w:rsidR="4D20B002">
        <w:rPr>
          <w:rFonts w:ascii="Arial" w:hAnsi="Arial" w:eastAsia="Arial" w:cs="Arial" w:asciiTheme="minorAscii" w:hAnsiTheme="minorAscii" w:eastAsiaTheme="minorAscii" w:cstheme="minorAscii"/>
          <w:noProof w:val="0"/>
          <w:sz w:val="22"/>
          <w:szCs w:val="22"/>
          <w:lang w:val="en-GB"/>
        </w:rPr>
        <w:t>monitored</w:t>
      </w:r>
      <w:r w:rsidRPr="1FB80F97" w:rsidR="4D20B002">
        <w:rPr>
          <w:rFonts w:ascii="Arial" w:hAnsi="Arial" w:eastAsia="Arial" w:cs="Arial" w:asciiTheme="minorAscii" w:hAnsiTheme="minorAscii" w:eastAsiaTheme="minorAscii" w:cstheme="minorAscii"/>
          <w:noProof w:val="0"/>
          <w:sz w:val="22"/>
          <w:szCs w:val="22"/>
          <w:lang w:val="en-GB"/>
        </w:rPr>
        <w:t>. This is consistent with findings from the Francis Report (2013), which emphasised that formal structures alone cannot guarantee quality and safety without a supportive organisational culture and effective leadership.</w:t>
      </w:r>
      <w:r w:rsidRPr="1FB80F97" w:rsidR="2F1773F5">
        <w:rPr>
          <w:rFonts w:ascii="Arial" w:hAnsi="Arial" w:eastAsia="Arial" w:cs="Arial" w:asciiTheme="minorAscii" w:hAnsiTheme="minorAscii" w:eastAsiaTheme="minorAscii" w:cstheme="minorAscii"/>
          <w:noProof w:val="0"/>
          <w:sz w:val="22"/>
          <w:szCs w:val="22"/>
          <w:lang w:val="en-GB"/>
        </w:rPr>
        <w:t xml:space="preserve"> </w:t>
      </w:r>
      <w:r w:rsidRPr="1FB80F97" w:rsidR="4D20B002">
        <w:rPr>
          <w:rFonts w:ascii="Arial" w:hAnsi="Arial" w:eastAsia="Arial" w:cs="Arial" w:asciiTheme="minorAscii" w:hAnsiTheme="minorAscii" w:eastAsiaTheme="minorAscii" w:cstheme="minorAscii"/>
          <w:noProof w:val="0"/>
          <w:sz w:val="22"/>
          <w:szCs w:val="22"/>
          <w:lang w:val="en-GB"/>
        </w:rPr>
        <w:t>In contrast, decentralisation within the NHS grants significant autonomy to local organisations, including hospital trusts, general practitioners, and community pharmacies. This decentralised structure is intended to promote responsiveness, innovation, and adaptation to local population needs. In principle, decentralisation can enhance efficiency by enabling decisions to be made closer to the point of care, where contextual knowledge is greatest (Saltman et al., 2011).</w:t>
      </w:r>
      <w:r w:rsidRPr="1FB80F97" w:rsidR="15A29A9A">
        <w:rPr>
          <w:rFonts w:ascii="Arial" w:hAnsi="Arial" w:eastAsia="Arial" w:cs="Arial" w:asciiTheme="minorAscii" w:hAnsiTheme="minorAscii" w:eastAsiaTheme="minorAscii" w:cstheme="minorAscii"/>
          <w:noProof w:val="0"/>
          <w:sz w:val="22"/>
          <w:szCs w:val="22"/>
          <w:lang w:val="en-GB"/>
        </w:rPr>
        <w:t xml:space="preserve"> </w:t>
      </w:r>
      <w:r w:rsidRPr="1FB80F97" w:rsidR="4D20B002">
        <w:rPr>
          <w:rFonts w:ascii="Arial" w:hAnsi="Arial" w:eastAsia="Arial" w:cs="Arial" w:asciiTheme="minorAscii" w:hAnsiTheme="minorAscii" w:eastAsiaTheme="minorAscii" w:cstheme="minorAscii"/>
          <w:noProof w:val="0"/>
          <w:sz w:val="22"/>
          <w:szCs w:val="22"/>
          <w:lang w:val="en-GB"/>
        </w:rPr>
        <w:t xml:space="preserve">However, in the context of medication safety, decentralisation introduces considerable risks if not supported by robust governance systems. The case study illustrates how local autonomy in dispensing practices contributed to the error. The supply of an incorrect morphine formulation </w:t>
      </w:r>
      <w:r w:rsidRPr="1FB80F97" w:rsidR="4D20B002">
        <w:rPr>
          <w:rFonts w:ascii="Arial" w:hAnsi="Arial" w:eastAsia="Arial" w:cs="Arial" w:asciiTheme="minorAscii" w:hAnsiTheme="minorAscii" w:eastAsiaTheme="minorAscii" w:cstheme="minorAscii"/>
          <w:noProof w:val="0"/>
          <w:sz w:val="22"/>
          <w:szCs w:val="22"/>
          <w:lang w:val="en-GB"/>
        </w:rPr>
        <w:t>indicates</w:t>
      </w:r>
      <w:r w:rsidRPr="1FB80F97" w:rsidR="4D20B002">
        <w:rPr>
          <w:rFonts w:ascii="Arial" w:hAnsi="Arial" w:eastAsia="Arial" w:cs="Arial" w:asciiTheme="minorAscii" w:hAnsiTheme="minorAscii" w:eastAsiaTheme="minorAscii" w:cstheme="minorAscii"/>
          <w:noProof w:val="0"/>
          <w:sz w:val="22"/>
          <w:szCs w:val="22"/>
          <w:lang w:val="en-GB"/>
        </w:rPr>
        <w:t xml:space="preserve"> a failure of local safety checks, including verification processes and adherence to prescribing restrictions. This suggests that decentralised decision-making occurred without sufficient oversight or standardisation, increasing the likelihood of variation and error.</w:t>
      </w:r>
      <w:r w:rsidRPr="1FB80F97" w:rsidR="666E0670">
        <w:rPr>
          <w:rFonts w:ascii="Arial" w:hAnsi="Arial" w:eastAsia="Arial" w:cs="Arial" w:asciiTheme="minorAscii" w:hAnsiTheme="minorAscii" w:eastAsiaTheme="minorAscii" w:cstheme="minorAscii"/>
          <w:noProof w:val="0"/>
          <w:sz w:val="22"/>
          <w:szCs w:val="22"/>
          <w:lang w:val="en-GB"/>
        </w:rPr>
        <w:t xml:space="preserve"> </w:t>
      </w:r>
      <w:r w:rsidRPr="1FB80F97" w:rsidR="4D20B002">
        <w:rPr>
          <w:rFonts w:ascii="Arial" w:hAnsi="Arial" w:eastAsia="Arial" w:cs="Arial" w:asciiTheme="minorAscii" w:hAnsiTheme="minorAscii" w:eastAsiaTheme="minorAscii" w:cstheme="minorAscii"/>
          <w:noProof w:val="0"/>
          <w:sz w:val="22"/>
          <w:szCs w:val="22"/>
          <w:lang w:val="en-GB"/>
        </w:rPr>
        <w:t xml:space="preserve">Empirical evidence supports the association between decentralisation and variability in healthcare outcomes. Dixon-Woods et al. (2014) </w:t>
      </w:r>
      <w:r w:rsidRPr="1FB80F97" w:rsidR="4D20B002">
        <w:rPr>
          <w:rFonts w:ascii="Arial" w:hAnsi="Arial" w:eastAsia="Arial" w:cs="Arial" w:asciiTheme="minorAscii" w:hAnsiTheme="minorAscii" w:eastAsiaTheme="minorAscii" w:cstheme="minorAscii"/>
          <w:noProof w:val="0"/>
          <w:sz w:val="22"/>
          <w:szCs w:val="22"/>
          <w:lang w:val="en-GB"/>
        </w:rPr>
        <w:t>demonstrated</w:t>
      </w:r>
      <w:r w:rsidRPr="1FB80F97" w:rsidR="4D20B002">
        <w:rPr>
          <w:rFonts w:ascii="Arial" w:hAnsi="Arial" w:eastAsia="Arial" w:cs="Arial" w:asciiTheme="minorAscii" w:hAnsiTheme="minorAscii" w:eastAsiaTheme="minorAscii" w:cstheme="minorAscii"/>
          <w:noProof w:val="0"/>
          <w:sz w:val="22"/>
          <w:szCs w:val="22"/>
          <w:lang w:val="en-GB"/>
        </w:rPr>
        <w:t xml:space="preserve"> that differences in organisational culture and local practices can lead to significant disparities in patient safety, even within a unified national system. Similarly, Ashcroft et al. (2015) found that variations in pharmacy staffing and workload were linked to increased dispensing errors, highlighting how local resource constraints can directly </w:t>
      </w:r>
      <w:r w:rsidRPr="1FB80F97" w:rsidR="4D20B002">
        <w:rPr>
          <w:rFonts w:ascii="Arial" w:hAnsi="Arial" w:eastAsia="Arial" w:cs="Arial" w:asciiTheme="minorAscii" w:hAnsiTheme="minorAscii" w:eastAsiaTheme="minorAscii" w:cstheme="minorAscii"/>
          <w:noProof w:val="0"/>
          <w:sz w:val="22"/>
          <w:szCs w:val="22"/>
          <w:lang w:val="en-GB"/>
        </w:rPr>
        <w:t>impact</w:t>
      </w:r>
      <w:r w:rsidRPr="1FB80F97" w:rsidR="4D20B002">
        <w:rPr>
          <w:rFonts w:ascii="Arial" w:hAnsi="Arial" w:eastAsia="Arial" w:cs="Arial" w:asciiTheme="minorAscii" w:hAnsiTheme="minorAscii" w:eastAsiaTheme="minorAscii" w:cstheme="minorAscii"/>
          <w:noProof w:val="0"/>
          <w:sz w:val="22"/>
          <w:szCs w:val="22"/>
          <w:lang w:val="en-GB"/>
        </w:rPr>
        <w:t xml:space="preserve"> safety.</w:t>
      </w:r>
      <w:r w:rsidRPr="1FB80F97" w:rsidR="08D85D3F">
        <w:rPr>
          <w:rFonts w:ascii="Arial" w:hAnsi="Arial" w:eastAsia="Arial" w:cs="Arial" w:asciiTheme="minorAscii" w:hAnsiTheme="minorAscii" w:eastAsiaTheme="minorAscii" w:cstheme="minorAscii"/>
          <w:noProof w:val="0"/>
          <w:sz w:val="22"/>
          <w:szCs w:val="22"/>
          <w:lang w:val="en-GB"/>
        </w:rPr>
        <w:t xml:space="preserve"> </w:t>
      </w:r>
      <w:r w:rsidRPr="1FB80F97" w:rsidR="4D20B002">
        <w:rPr>
          <w:rFonts w:ascii="Arial" w:hAnsi="Arial" w:eastAsia="Arial" w:cs="Arial" w:asciiTheme="minorAscii" w:hAnsiTheme="minorAscii" w:eastAsiaTheme="minorAscii" w:cstheme="minorAscii"/>
          <w:noProof w:val="0"/>
          <w:sz w:val="22"/>
          <w:szCs w:val="22"/>
          <w:lang w:val="en-GB"/>
        </w:rPr>
        <w:t>In addition, decentralised systems often rely heavily on individual competence and vigilance, which can be compromised under conditions of high workload or insufficient training. Studies have shown that medication errors are more likely to occur in environments characterised by staffing shortages, time pressures, and inadequate support systems (</w:t>
      </w:r>
      <w:r w:rsidRPr="1FB80F97" w:rsidR="4D20B002">
        <w:rPr>
          <w:rFonts w:ascii="Arial" w:hAnsi="Arial" w:eastAsia="Arial" w:cs="Arial" w:asciiTheme="minorAscii" w:hAnsiTheme="minorAscii" w:eastAsiaTheme="minorAscii" w:cstheme="minorAscii"/>
          <w:noProof w:val="0"/>
          <w:sz w:val="22"/>
          <w:szCs w:val="22"/>
          <w:lang w:val="en-GB"/>
        </w:rPr>
        <w:t>Alsulami</w:t>
      </w:r>
      <w:r w:rsidRPr="1FB80F97" w:rsidR="4D20B002">
        <w:rPr>
          <w:rFonts w:ascii="Arial" w:hAnsi="Arial" w:eastAsia="Arial" w:cs="Arial" w:asciiTheme="minorAscii" w:hAnsiTheme="minorAscii" w:eastAsiaTheme="minorAscii" w:cstheme="minorAscii"/>
          <w:noProof w:val="0"/>
          <w:sz w:val="22"/>
          <w:szCs w:val="22"/>
          <w:lang w:val="en-GB"/>
        </w:rPr>
        <w:t xml:space="preserve"> et al., 2012). In the NHS, ongoing workforce challenges, including shortages in pharmacy and nursing staff, </w:t>
      </w:r>
      <w:r w:rsidRPr="1FB80F97" w:rsidR="4D20B002">
        <w:rPr>
          <w:rFonts w:ascii="Arial" w:hAnsi="Arial" w:eastAsia="Arial" w:cs="Arial" w:asciiTheme="minorAscii" w:hAnsiTheme="minorAscii" w:eastAsiaTheme="minorAscii" w:cstheme="minorAscii"/>
          <w:noProof w:val="0"/>
          <w:sz w:val="22"/>
          <w:szCs w:val="22"/>
          <w:lang w:val="en-GB"/>
        </w:rPr>
        <w:t>exacerbate</w:t>
      </w:r>
      <w:r w:rsidRPr="1FB80F97" w:rsidR="4D20B002">
        <w:rPr>
          <w:rFonts w:ascii="Arial" w:hAnsi="Arial" w:eastAsia="Arial" w:cs="Arial" w:asciiTheme="minorAscii" w:hAnsiTheme="minorAscii" w:eastAsiaTheme="minorAscii" w:cstheme="minorAscii"/>
          <w:noProof w:val="0"/>
          <w:sz w:val="22"/>
          <w:szCs w:val="22"/>
          <w:lang w:val="en-GB"/>
        </w:rPr>
        <w:t xml:space="preserve"> these risks and undermine the reliability of decentralised processes (NHS England, 2022).</w:t>
      </w:r>
    </w:p>
    <w:p w:rsidR="4D20B002" w:rsidP="1FB80F97" w:rsidRDefault="4D20B002" w14:paraId="3B0D71E2" w14:textId="7083C83A">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4D20B002">
        <w:rPr>
          <w:rFonts w:ascii="Arial" w:hAnsi="Arial" w:eastAsia="Arial" w:cs="Arial" w:asciiTheme="minorAscii" w:hAnsiTheme="minorAscii" w:eastAsiaTheme="minorAscii" w:cstheme="minorAscii"/>
          <w:noProof w:val="0"/>
          <w:sz w:val="22"/>
          <w:szCs w:val="22"/>
          <w:lang w:val="en-GB"/>
        </w:rPr>
        <w:t xml:space="preserve">A critical issue in this case is the lack of integration between centralised and decentralised components of the system. While central policies defined the </w:t>
      </w:r>
      <w:r w:rsidRPr="1FB80F97" w:rsidR="4D20B002">
        <w:rPr>
          <w:rFonts w:ascii="Arial" w:hAnsi="Arial" w:eastAsia="Arial" w:cs="Arial" w:asciiTheme="minorAscii" w:hAnsiTheme="minorAscii" w:eastAsiaTheme="minorAscii" w:cstheme="minorAscii"/>
          <w:noProof w:val="0"/>
          <w:sz w:val="22"/>
          <w:szCs w:val="22"/>
          <w:lang w:val="en-GB"/>
        </w:rPr>
        <w:t>appropriate management</w:t>
      </w:r>
      <w:r w:rsidRPr="1FB80F97" w:rsidR="4D20B002">
        <w:rPr>
          <w:rFonts w:ascii="Arial" w:hAnsi="Arial" w:eastAsia="Arial" w:cs="Arial" w:asciiTheme="minorAscii" w:hAnsiTheme="minorAscii" w:eastAsiaTheme="minorAscii" w:cstheme="minorAscii"/>
          <w:noProof w:val="0"/>
          <w:sz w:val="22"/>
          <w:szCs w:val="22"/>
          <w:lang w:val="en-GB"/>
        </w:rPr>
        <w:t xml:space="preserve"> of RED drugs, local systems </w:t>
      </w:r>
      <w:r w:rsidRPr="1FB80F97" w:rsidR="4D20B002">
        <w:rPr>
          <w:rFonts w:ascii="Arial" w:hAnsi="Arial" w:eastAsia="Arial" w:cs="Arial" w:asciiTheme="minorAscii" w:hAnsiTheme="minorAscii" w:eastAsiaTheme="minorAscii" w:cstheme="minorAscii"/>
          <w:noProof w:val="0"/>
          <w:sz w:val="22"/>
          <w:szCs w:val="22"/>
          <w:lang w:val="en-GB"/>
        </w:rPr>
        <w:t>failed to</w:t>
      </w:r>
      <w:r w:rsidRPr="1FB80F97" w:rsidR="4D20B002">
        <w:rPr>
          <w:rFonts w:ascii="Arial" w:hAnsi="Arial" w:eastAsia="Arial" w:cs="Arial" w:asciiTheme="minorAscii" w:hAnsiTheme="minorAscii" w:eastAsiaTheme="minorAscii" w:cstheme="minorAscii"/>
          <w:noProof w:val="0"/>
          <w:sz w:val="22"/>
          <w:szCs w:val="22"/>
          <w:lang w:val="en-GB"/>
        </w:rPr>
        <w:t xml:space="preserve"> operationalise these requirements effectively. This misalignment created a fragmented governance structure in which responsibility for patient safety was distributed but not clearly coordinated. As a result, multiple opportunities to prevent the error were missed, including at the prescribing, dispensing, and administration stages.</w:t>
      </w:r>
      <w:r w:rsidRPr="1FB80F97" w:rsidR="21CED8DF">
        <w:rPr>
          <w:rFonts w:ascii="Arial" w:hAnsi="Arial" w:eastAsia="Arial" w:cs="Arial" w:asciiTheme="minorAscii" w:hAnsiTheme="minorAscii" w:eastAsiaTheme="minorAscii" w:cstheme="minorAscii"/>
          <w:noProof w:val="0"/>
          <w:sz w:val="22"/>
          <w:szCs w:val="22"/>
          <w:lang w:val="en-GB"/>
        </w:rPr>
        <w:t xml:space="preserve"> </w:t>
      </w:r>
      <w:r w:rsidRPr="1FB80F97" w:rsidR="4D20B002">
        <w:rPr>
          <w:rFonts w:ascii="Arial" w:hAnsi="Arial" w:eastAsia="Arial" w:cs="Arial" w:asciiTheme="minorAscii" w:hAnsiTheme="minorAscii" w:eastAsiaTheme="minorAscii" w:cstheme="minorAscii"/>
          <w:noProof w:val="0"/>
          <w:sz w:val="22"/>
          <w:szCs w:val="22"/>
          <w:lang w:val="en-GB"/>
        </w:rPr>
        <w:t xml:space="preserve">From a systems thinking perspective, this reflects a failure to align </w:t>
      </w:r>
      <w:r w:rsidRPr="1FB80F97" w:rsidR="0065ACCF">
        <w:rPr>
          <w:rFonts w:ascii="Arial" w:hAnsi="Arial" w:eastAsia="Arial" w:cs="Arial" w:asciiTheme="minorAscii" w:hAnsiTheme="minorAscii" w:eastAsiaTheme="minorAscii" w:cstheme="minorAscii"/>
          <w:noProof w:val="0"/>
          <w:sz w:val="22"/>
          <w:szCs w:val="22"/>
          <w:lang w:val="en-GB"/>
        </w:rPr>
        <w:t>distinct parts</w:t>
      </w:r>
      <w:r w:rsidRPr="1FB80F97" w:rsidR="4D20B002">
        <w:rPr>
          <w:rFonts w:ascii="Arial" w:hAnsi="Arial" w:eastAsia="Arial" w:cs="Arial" w:asciiTheme="minorAscii" w:hAnsiTheme="minorAscii" w:eastAsiaTheme="minorAscii" w:cstheme="minorAscii"/>
          <w:noProof w:val="0"/>
          <w:sz w:val="22"/>
          <w:szCs w:val="22"/>
          <w:lang w:val="en-GB"/>
        </w:rPr>
        <w:t xml:space="preserve"> of the system towards a common goal. Senge (2006) emphasises that effective systems require coherence between structure, processes, and behaviours. In this case, the lack of alignment between national policy and local practice created conditions in which errors could occur and remain undetected until harm had already been caused.</w:t>
      </w:r>
      <w:r w:rsidRPr="1FB80F97" w:rsidR="2D175323">
        <w:rPr>
          <w:rFonts w:ascii="Arial" w:hAnsi="Arial" w:eastAsia="Arial" w:cs="Arial" w:asciiTheme="minorAscii" w:hAnsiTheme="minorAscii" w:eastAsiaTheme="minorAscii" w:cstheme="minorAscii"/>
          <w:noProof w:val="0"/>
          <w:sz w:val="22"/>
          <w:szCs w:val="22"/>
          <w:lang w:val="en-GB"/>
        </w:rPr>
        <w:t xml:space="preserve"> </w:t>
      </w:r>
      <w:r w:rsidRPr="1FB80F97" w:rsidR="4D20B002">
        <w:rPr>
          <w:rFonts w:ascii="Arial" w:hAnsi="Arial" w:eastAsia="Arial" w:cs="Arial" w:asciiTheme="minorAscii" w:hAnsiTheme="minorAscii" w:eastAsiaTheme="minorAscii" w:cstheme="minorAscii"/>
          <w:noProof w:val="0"/>
          <w:sz w:val="22"/>
          <w:szCs w:val="22"/>
          <w:lang w:val="en-GB"/>
        </w:rPr>
        <w:t xml:space="preserve">The implications for crisis management and accountability are particularly significant. In centralised systems, accountability is typically more clearly defined, as decision-making authority is concentrated. However, in decentralised systems, accountability can become diffuse, making it more difficult to </w:t>
      </w:r>
      <w:r w:rsidRPr="1FB80F97" w:rsidR="4D20B002">
        <w:rPr>
          <w:rFonts w:ascii="Arial" w:hAnsi="Arial" w:eastAsia="Arial" w:cs="Arial" w:asciiTheme="minorAscii" w:hAnsiTheme="minorAscii" w:eastAsiaTheme="minorAscii" w:cstheme="minorAscii"/>
          <w:noProof w:val="0"/>
          <w:sz w:val="22"/>
          <w:szCs w:val="22"/>
          <w:lang w:val="en-GB"/>
        </w:rPr>
        <w:t>identify</w:t>
      </w:r>
      <w:r w:rsidRPr="1FB80F97" w:rsidR="4D20B002">
        <w:rPr>
          <w:rFonts w:ascii="Arial" w:hAnsi="Arial" w:eastAsia="Arial" w:cs="Arial" w:asciiTheme="minorAscii" w:hAnsiTheme="minorAscii" w:eastAsiaTheme="minorAscii" w:cstheme="minorAscii"/>
          <w:noProof w:val="0"/>
          <w:sz w:val="22"/>
          <w:szCs w:val="22"/>
          <w:lang w:val="en-GB"/>
        </w:rPr>
        <w:t xml:space="preserve"> responsibility for failures. In this case, it is unclear whether the primary responsibility lies with national policymakers, local organisational leaders, or individual practitioners. This ambiguity can hinder learning and improvement, as it complicates efforts to </w:t>
      </w:r>
      <w:r w:rsidRPr="1FB80F97" w:rsidR="4D20B002">
        <w:rPr>
          <w:rFonts w:ascii="Arial" w:hAnsi="Arial" w:eastAsia="Arial" w:cs="Arial" w:asciiTheme="minorAscii" w:hAnsiTheme="minorAscii" w:eastAsiaTheme="minorAscii" w:cstheme="minorAscii"/>
          <w:noProof w:val="0"/>
          <w:sz w:val="22"/>
          <w:szCs w:val="22"/>
          <w:lang w:val="en-GB"/>
        </w:rPr>
        <w:t>identify</w:t>
      </w:r>
      <w:r w:rsidRPr="1FB80F97" w:rsidR="4D20B002">
        <w:rPr>
          <w:rFonts w:ascii="Arial" w:hAnsi="Arial" w:eastAsia="Arial" w:cs="Arial" w:asciiTheme="minorAscii" w:hAnsiTheme="minorAscii" w:eastAsiaTheme="minorAscii" w:cstheme="minorAscii"/>
          <w:noProof w:val="0"/>
          <w:sz w:val="22"/>
          <w:szCs w:val="22"/>
          <w:lang w:val="en-GB"/>
        </w:rPr>
        <w:t xml:space="preserve"> root causes and implement corrective actions.</w:t>
      </w:r>
    </w:p>
    <w:p w:rsidR="4D20B002" w:rsidP="1FB80F97" w:rsidRDefault="4D20B002" w14:paraId="1FD645DE" w14:textId="6558A691">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4D20B002">
        <w:rPr>
          <w:rFonts w:ascii="Arial" w:hAnsi="Arial" w:eastAsia="Arial" w:cs="Arial" w:asciiTheme="minorAscii" w:hAnsiTheme="minorAscii" w:eastAsiaTheme="minorAscii" w:cstheme="minorAscii"/>
          <w:noProof w:val="0"/>
          <w:sz w:val="22"/>
          <w:szCs w:val="22"/>
          <w:lang w:val="en-GB"/>
        </w:rPr>
        <w:t xml:space="preserve">Quantitative indicators further illustrate the challenges associated with this hybrid structure. Compliance with safety protocols, such as independent double-checking of high-risk medications, is known to vary widely across healthcare settings. </w:t>
      </w:r>
      <w:r w:rsidRPr="1FB80F97" w:rsidR="4D20B002">
        <w:rPr>
          <w:rFonts w:ascii="Arial" w:hAnsi="Arial" w:eastAsia="Arial" w:cs="Arial" w:asciiTheme="minorAscii" w:hAnsiTheme="minorAscii" w:eastAsiaTheme="minorAscii" w:cstheme="minorAscii"/>
          <w:noProof w:val="0"/>
          <w:sz w:val="22"/>
          <w:szCs w:val="22"/>
          <w:lang w:val="en-GB"/>
        </w:rPr>
        <w:t>Alsulami</w:t>
      </w:r>
      <w:r w:rsidRPr="1FB80F97" w:rsidR="4D20B002">
        <w:rPr>
          <w:rFonts w:ascii="Arial" w:hAnsi="Arial" w:eastAsia="Arial" w:cs="Arial" w:asciiTheme="minorAscii" w:hAnsiTheme="minorAscii" w:eastAsiaTheme="minorAscii" w:cstheme="minorAscii"/>
          <w:noProof w:val="0"/>
          <w:sz w:val="22"/>
          <w:szCs w:val="22"/>
          <w:lang w:val="en-GB"/>
        </w:rPr>
        <w:t xml:space="preserve"> et al. (2012) reported that adherence to double-checking procedures can be inconsistent, particularly in high-pressure environments. Additionally, Elliott et al. (2018) highlight the scale of medication errors within the NHS, suggesting that systemic issues, rather than isolated incidents, underpin these </w:t>
      </w:r>
      <w:r w:rsidRPr="1FB80F97" w:rsidR="7893BEC5">
        <w:rPr>
          <w:rFonts w:ascii="Arial" w:hAnsi="Arial" w:eastAsia="Arial" w:cs="Arial" w:asciiTheme="minorAscii" w:hAnsiTheme="minorAscii" w:eastAsiaTheme="minorAscii" w:cstheme="minorAscii"/>
          <w:noProof w:val="0"/>
          <w:sz w:val="22"/>
          <w:szCs w:val="22"/>
          <w:lang w:val="en-GB"/>
        </w:rPr>
        <w:t>failures. In</w:t>
      </w:r>
      <w:bookmarkStart w:name="_Int_DhDOsJEL" w:id="1618628667"/>
      <w:r w:rsidRPr="1FB80F97" w:rsidR="4D20B002">
        <w:rPr>
          <w:rFonts w:ascii="Arial" w:hAnsi="Arial" w:eastAsia="Arial" w:cs="Arial" w:asciiTheme="minorAscii" w:hAnsiTheme="minorAscii" w:eastAsiaTheme="minorAscii" w:cstheme="minorAscii"/>
          <w:noProof w:val="0"/>
          <w:sz w:val="22"/>
          <w:szCs w:val="22"/>
          <w:lang w:val="en-GB"/>
        </w:rPr>
        <w:t xml:space="preserve"> evaluating the effectiveness of the system structure </w:t>
      </w:r>
      <w:r w:rsidRPr="1FB80F97" w:rsidR="3F62C407">
        <w:rPr>
          <w:rFonts w:ascii="Arial" w:hAnsi="Arial" w:eastAsia="Arial" w:cs="Arial" w:asciiTheme="minorAscii" w:hAnsiTheme="minorAscii" w:eastAsiaTheme="minorAscii" w:cstheme="minorAscii"/>
          <w:noProof w:val="0"/>
          <w:sz w:val="22"/>
          <w:szCs w:val="22"/>
          <w:lang w:val="en-GB"/>
        </w:rPr>
        <w:t>in this</w:t>
      </w:r>
      <w:r w:rsidRPr="1FB80F97" w:rsidR="4D20B002">
        <w:rPr>
          <w:rFonts w:ascii="Arial" w:hAnsi="Arial" w:eastAsia="Arial" w:cs="Arial" w:asciiTheme="minorAscii" w:hAnsiTheme="minorAscii" w:eastAsiaTheme="minorAscii" w:cstheme="minorAscii"/>
          <w:noProof w:val="0"/>
          <w:sz w:val="22"/>
          <w:szCs w:val="22"/>
          <w:lang w:val="en-GB"/>
        </w:rPr>
        <w:t xml:space="preserve"> case, it</w:t>
      </w:r>
      <w:bookmarkEnd w:id="1618628667"/>
      <w:r w:rsidRPr="1FB80F97" w:rsidR="4D20B002">
        <w:rPr>
          <w:rFonts w:ascii="Arial" w:hAnsi="Arial" w:eastAsia="Arial" w:cs="Arial" w:asciiTheme="minorAscii" w:hAnsiTheme="minorAscii" w:eastAsiaTheme="minorAscii" w:cstheme="minorAscii"/>
          <w:noProof w:val="0"/>
          <w:sz w:val="22"/>
          <w:szCs w:val="22"/>
          <w:lang w:val="en-GB"/>
        </w:rPr>
        <w:t xml:space="preserve"> is </w:t>
      </w:r>
      <w:r w:rsidRPr="1FB80F97" w:rsidR="4D20B002">
        <w:rPr>
          <w:rFonts w:ascii="Arial" w:hAnsi="Arial" w:eastAsia="Arial" w:cs="Arial" w:asciiTheme="minorAscii" w:hAnsiTheme="minorAscii" w:eastAsiaTheme="minorAscii" w:cstheme="minorAscii"/>
          <w:noProof w:val="0"/>
          <w:sz w:val="22"/>
          <w:szCs w:val="22"/>
          <w:lang w:val="en-GB"/>
        </w:rPr>
        <w:t>evident</w:t>
      </w:r>
      <w:r w:rsidRPr="1FB80F97" w:rsidR="4D20B002">
        <w:rPr>
          <w:rFonts w:ascii="Arial" w:hAnsi="Arial" w:eastAsia="Arial" w:cs="Arial" w:asciiTheme="minorAscii" w:hAnsiTheme="minorAscii" w:eastAsiaTheme="minorAscii" w:cstheme="minorAscii"/>
          <w:noProof w:val="0"/>
          <w:sz w:val="22"/>
          <w:szCs w:val="22"/>
          <w:lang w:val="en-GB"/>
        </w:rPr>
        <w:t xml:space="preserve"> that the combination of centralised policy and decentralised execution did not function as intended. While centralisation provided a framework for safe practice, its impact was undermined by insufficient local implementation and oversight. Conversely, decentralisation enabled flexibility but introduced variability and reduced control. The absence of effective integration between these elements resulted in a system that was neither sufficiently controlled nor adequately adaptive.</w:t>
      </w:r>
      <w:r w:rsidRPr="1FB80F97" w:rsidR="3B5F6988">
        <w:rPr>
          <w:rFonts w:ascii="Arial" w:hAnsi="Arial" w:eastAsia="Arial" w:cs="Arial" w:asciiTheme="minorAscii" w:hAnsiTheme="minorAscii" w:eastAsiaTheme="minorAscii" w:cstheme="minorAscii"/>
          <w:noProof w:val="0"/>
          <w:sz w:val="22"/>
          <w:szCs w:val="22"/>
          <w:lang w:val="en-GB"/>
        </w:rPr>
        <w:t xml:space="preserve"> </w:t>
      </w:r>
      <w:r w:rsidRPr="1FB80F97" w:rsidR="4D20B002">
        <w:rPr>
          <w:rFonts w:ascii="Arial" w:hAnsi="Arial" w:eastAsia="Arial" w:cs="Arial" w:asciiTheme="minorAscii" w:hAnsiTheme="minorAscii" w:eastAsiaTheme="minorAscii" w:cstheme="minorAscii"/>
          <w:noProof w:val="0"/>
          <w:sz w:val="22"/>
          <w:szCs w:val="22"/>
          <w:lang w:val="en-GB"/>
        </w:rPr>
        <w:t xml:space="preserve">In conclusion, the morphine overdose incident </w:t>
      </w:r>
      <w:r w:rsidRPr="1FB80F97" w:rsidR="4D20B002">
        <w:rPr>
          <w:rFonts w:ascii="Arial" w:hAnsi="Arial" w:eastAsia="Arial" w:cs="Arial" w:asciiTheme="minorAscii" w:hAnsiTheme="minorAscii" w:eastAsiaTheme="minorAscii" w:cstheme="minorAscii"/>
          <w:noProof w:val="0"/>
          <w:sz w:val="22"/>
          <w:szCs w:val="22"/>
          <w:lang w:val="en-GB"/>
        </w:rPr>
        <w:t>demonstrates</w:t>
      </w:r>
      <w:r w:rsidRPr="1FB80F97" w:rsidR="4D20B002">
        <w:rPr>
          <w:rFonts w:ascii="Arial" w:hAnsi="Arial" w:eastAsia="Arial" w:cs="Arial" w:asciiTheme="minorAscii" w:hAnsiTheme="minorAscii" w:eastAsiaTheme="minorAscii" w:cstheme="minorAscii"/>
          <w:noProof w:val="0"/>
          <w:sz w:val="22"/>
          <w:szCs w:val="22"/>
          <w:lang w:val="en-GB"/>
        </w:rPr>
        <w:t xml:space="preserve"> that both centralisation and decentralisation have inherent strengths and limitations. Centralisation can promote consistency and </w:t>
      </w:r>
      <w:r w:rsidRPr="1FB80F97" w:rsidR="14350F38">
        <w:rPr>
          <w:rFonts w:ascii="Arial" w:hAnsi="Arial" w:eastAsia="Arial" w:cs="Arial" w:asciiTheme="minorAscii" w:hAnsiTheme="minorAscii" w:eastAsiaTheme="minorAscii" w:cstheme="minorAscii"/>
          <w:noProof w:val="0"/>
          <w:sz w:val="22"/>
          <w:szCs w:val="22"/>
          <w:lang w:val="en-GB"/>
        </w:rPr>
        <w:t>standardisation but</w:t>
      </w:r>
      <w:r w:rsidRPr="1FB80F97" w:rsidR="4D20B002">
        <w:rPr>
          <w:rFonts w:ascii="Arial" w:hAnsi="Arial" w:eastAsia="Arial" w:cs="Arial" w:asciiTheme="minorAscii" w:hAnsiTheme="minorAscii" w:eastAsiaTheme="minorAscii" w:cstheme="minorAscii"/>
          <w:noProof w:val="0"/>
          <w:sz w:val="22"/>
          <w:szCs w:val="22"/>
          <w:lang w:val="en-GB"/>
        </w:rPr>
        <w:t xml:space="preserve"> may lack responsiveness and engagement. Decentralisation can enhance flexibility and local </w:t>
      </w:r>
      <w:r w:rsidRPr="1FB80F97" w:rsidR="5F83B9B2">
        <w:rPr>
          <w:rFonts w:ascii="Arial" w:hAnsi="Arial" w:eastAsia="Arial" w:cs="Arial" w:asciiTheme="minorAscii" w:hAnsiTheme="minorAscii" w:eastAsiaTheme="minorAscii" w:cstheme="minorAscii"/>
          <w:noProof w:val="0"/>
          <w:sz w:val="22"/>
          <w:szCs w:val="22"/>
          <w:lang w:val="en-GB"/>
        </w:rPr>
        <w:t>ownership but</w:t>
      </w:r>
      <w:r w:rsidRPr="1FB80F97" w:rsidR="4D20B002">
        <w:rPr>
          <w:rFonts w:ascii="Arial" w:hAnsi="Arial" w:eastAsia="Arial" w:cs="Arial" w:asciiTheme="minorAscii" w:hAnsiTheme="minorAscii" w:eastAsiaTheme="minorAscii" w:cstheme="minorAscii"/>
          <w:noProof w:val="0"/>
          <w:sz w:val="22"/>
          <w:szCs w:val="22"/>
          <w:lang w:val="en-GB"/>
        </w:rPr>
        <w:t xml:space="preserve"> may lead to variability and reduced oversight. The key challenge lies in achieving </w:t>
      </w:r>
      <w:r w:rsidRPr="1FB80F97" w:rsidR="4D20B002">
        <w:rPr>
          <w:rFonts w:ascii="Arial" w:hAnsi="Arial" w:eastAsia="Arial" w:cs="Arial" w:asciiTheme="minorAscii" w:hAnsiTheme="minorAscii" w:eastAsiaTheme="minorAscii" w:cstheme="minorAscii"/>
          <w:noProof w:val="0"/>
          <w:sz w:val="22"/>
          <w:szCs w:val="22"/>
          <w:lang w:val="en-GB"/>
        </w:rPr>
        <w:t>an appropriate balance</w:t>
      </w:r>
      <w:r w:rsidRPr="1FB80F97" w:rsidR="4D20B002">
        <w:rPr>
          <w:rFonts w:ascii="Arial" w:hAnsi="Arial" w:eastAsia="Arial" w:cs="Arial" w:asciiTheme="minorAscii" w:hAnsiTheme="minorAscii" w:eastAsiaTheme="minorAscii" w:cstheme="minorAscii"/>
          <w:noProof w:val="0"/>
          <w:sz w:val="22"/>
          <w:szCs w:val="22"/>
          <w:lang w:val="en-GB"/>
        </w:rPr>
        <w:t xml:space="preserve"> between these approaches, supported by strong leadership, effective governance, and robust communication systems. Without such integration, healthcare systems </w:t>
      </w:r>
      <w:r w:rsidRPr="1FB80F97" w:rsidR="4D20B002">
        <w:rPr>
          <w:rFonts w:ascii="Arial" w:hAnsi="Arial" w:eastAsia="Arial" w:cs="Arial" w:asciiTheme="minorAscii" w:hAnsiTheme="minorAscii" w:eastAsiaTheme="minorAscii" w:cstheme="minorAscii"/>
          <w:noProof w:val="0"/>
          <w:sz w:val="22"/>
          <w:szCs w:val="22"/>
          <w:lang w:val="en-GB"/>
        </w:rPr>
        <w:t>remain</w:t>
      </w:r>
      <w:r w:rsidRPr="1FB80F97" w:rsidR="4D20B002">
        <w:rPr>
          <w:rFonts w:ascii="Arial" w:hAnsi="Arial" w:eastAsia="Arial" w:cs="Arial" w:asciiTheme="minorAscii" w:hAnsiTheme="minorAscii" w:eastAsiaTheme="minorAscii" w:cstheme="minorAscii"/>
          <w:noProof w:val="0"/>
          <w:sz w:val="22"/>
          <w:szCs w:val="22"/>
          <w:lang w:val="en-GB"/>
        </w:rPr>
        <w:t xml:space="preserve"> vulnerable to the types of failures </w:t>
      </w:r>
      <w:r w:rsidRPr="1FB80F97" w:rsidR="4D20B002">
        <w:rPr>
          <w:rFonts w:ascii="Arial" w:hAnsi="Arial" w:eastAsia="Arial" w:cs="Arial" w:asciiTheme="minorAscii" w:hAnsiTheme="minorAscii" w:eastAsiaTheme="minorAscii" w:cstheme="minorAscii"/>
          <w:noProof w:val="0"/>
          <w:sz w:val="22"/>
          <w:szCs w:val="22"/>
          <w:lang w:val="en-GB"/>
        </w:rPr>
        <w:t>observed</w:t>
      </w:r>
      <w:r w:rsidRPr="1FB80F97" w:rsidR="4D20B002">
        <w:rPr>
          <w:rFonts w:ascii="Arial" w:hAnsi="Arial" w:eastAsia="Arial" w:cs="Arial" w:asciiTheme="minorAscii" w:hAnsiTheme="minorAscii" w:eastAsiaTheme="minorAscii" w:cstheme="minorAscii"/>
          <w:noProof w:val="0"/>
          <w:sz w:val="22"/>
          <w:szCs w:val="22"/>
          <w:lang w:val="en-GB"/>
        </w:rPr>
        <w:t xml:space="preserve"> in this case.</w:t>
      </w:r>
    </w:p>
    <w:p w:rsidR="1FB80F97" w:rsidP="1FB80F97" w:rsidRDefault="1FB80F97" w14:paraId="0481EF61" w14:textId="4BEF8EBB">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05228AE2" w:rsidP="1FB80F97" w:rsidRDefault="05228AE2" w14:paraId="29D46B5E" w14:textId="0D31C77E">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05228AE2">
        <w:rPr>
          <w:rFonts w:ascii="Arial" w:hAnsi="Arial" w:eastAsia="Arial" w:cs="Arial" w:asciiTheme="minorAscii" w:hAnsiTheme="minorAscii" w:eastAsiaTheme="minorAscii" w:cstheme="minorAscii"/>
          <w:b w:val="1"/>
          <w:bCs w:val="1"/>
          <w:noProof w:val="0"/>
          <w:sz w:val="22"/>
          <w:szCs w:val="22"/>
          <w:lang w:val="en-GB"/>
        </w:rPr>
        <w:t>Main Body</w:t>
      </w:r>
    </w:p>
    <w:p w:rsidR="05228AE2" w:rsidP="1FB80F97" w:rsidRDefault="05228AE2" w14:paraId="2B06FBEE" w14:textId="2168D18D">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05228AE2">
        <w:rPr>
          <w:rFonts w:ascii="Arial" w:hAnsi="Arial" w:eastAsia="Arial" w:cs="Arial" w:asciiTheme="minorAscii" w:hAnsiTheme="minorAscii" w:eastAsiaTheme="minorAscii" w:cstheme="minorAscii"/>
          <w:b w:val="1"/>
          <w:bCs w:val="1"/>
          <w:noProof w:val="0"/>
          <w:sz w:val="22"/>
          <w:szCs w:val="22"/>
          <w:lang w:val="en-GB"/>
        </w:rPr>
        <w:t>c. Leadership Theories and Application to the Case Study</w:t>
      </w:r>
    </w:p>
    <w:p w:rsidR="05228AE2" w:rsidP="1FB80F97" w:rsidRDefault="05228AE2" w14:paraId="15E60C6D" w14:textId="6E13101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Leadership plays a pivotal role in shaping the safety, effectiveness, and overall performance of healthcare systems. In high-risk environments such as medication management, leadership influences not only decision-making processes but also organisational culture, staff behaviour, and the reliability of systems. The morphine overdose case highlights significant shortcomings in leadership at multiple levels, particularly in relation to safety culture, governance, and system oversight. A critical application of leadership theories provides insight into how these failures occurred and what alternative approaches may have mitigated the risk.</w:t>
      </w:r>
    </w:p>
    <w:p w:rsidR="05228AE2" w:rsidP="1FB80F97" w:rsidRDefault="05228AE2" w14:paraId="1739A98A" w14:textId="26D218D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Transformational leadership is widely regarded as one of the most effective approaches in healthcare, particularly in promoting patient safety and organisational change. Transformational leaders inspire and motivate staff through a shared vision, encourage innovation, and foster a culture of openness and learning (Bass and Riggio, 2006). In the context of the case study, the absence of a strong transformational leadership approach is </w:t>
      </w:r>
      <w:r w:rsidRPr="1FB80F97" w:rsidR="05228AE2">
        <w:rPr>
          <w:rFonts w:ascii="Arial" w:hAnsi="Arial" w:eastAsia="Arial" w:cs="Arial" w:asciiTheme="minorAscii" w:hAnsiTheme="minorAscii" w:eastAsiaTheme="minorAscii" w:cstheme="minorAscii"/>
          <w:noProof w:val="0"/>
          <w:sz w:val="22"/>
          <w:szCs w:val="22"/>
          <w:lang w:val="en-GB"/>
        </w:rPr>
        <w:t>evident</w:t>
      </w:r>
      <w:r w:rsidRPr="1FB80F97" w:rsidR="05228AE2">
        <w:rPr>
          <w:rFonts w:ascii="Arial" w:hAnsi="Arial" w:eastAsia="Arial" w:cs="Arial" w:asciiTheme="minorAscii" w:hAnsiTheme="minorAscii" w:eastAsiaTheme="minorAscii" w:cstheme="minorAscii"/>
          <w:noProof w:val="0"/>
          <w:sz w:val="22"/>
          <w:szCs w:val="22"/>
          <w:lang w:val="en-GB"/>
        </w:rPr>
        <w:t xml:space="preserve"> in the lack of a proactive safety culture. The recurrence of similar incidents suggests that lessons from </w:t>
      </w:r>
      <w:r w:rsidRPr="1FB80F97" w:rsidR="05228AE2">
        <w:rPr>
          <w:rFonts w:ascii="Arial" w:hAnsi="Arial" w:eastAsia="Arial" w:cs="Arial" w:asciiTheme="minorAscii" w:hAnsiTheme="minorAscii" w:eastAsiaTheme="minorAscii" w:cstheme="minorAscii"/>
          <w:noProof w:val="0"/>
          <w:sz w:val="22"/>
          <w:szCs w:val="22"/>
          <w:lang w:val="en-GB"/>
        </w:rPr>
        <w:t>previous</w:t>
      </w:r>
      <w:r w:rsidRPr="1FB80F97" w:rsidR="05228AE2">
        <w:rPr>
          <w:rFonts w:ascii="Arial" w:hAnsi="Arial" w:eastAsia="Arial" w:cs="Arial" w:asciiTheme="minorAscii" w:hAnsiTheme="minorAscii" w:eastAsiaTheme="minorAscii" w:cstheme="minorAscii"/>
          <w:noProof w:val="0"/>
          <w:sz w:val="22"/>
          <w:szCs w:val="22"/>
          <w:lang w:val="en-GB"/>
        </w:rPr>
        <w:t xml:space="preserve"> errors were not effectively embedded into practice, </w:t>
      </w:r>
      <w:r w:rsidRPr="1FB80F97" w:rsidR="05228AE2">
        <w:rPr>
          <w:rFonts w:ascii="Arial" w:hAnsi="Arial" w:eastAsia="Arial" w:cs="Arial" w:asciiTheme="minorAscii" w:hAnsiTheme="minorAscii" w:eastAsiaTheme="minorAscii" w:cstheme="minorAscii"/>
          <w:noProof w:val="0"/>
          <w:sz w:val="22"/>
          <w:szCs w:val="22"/>
          <w:lang w:val="en-GB"/>
        </w:rPr>
        <w:t>indicating</w:t>
      </w:r>
      <w:r w:rsidRPr="1FB80F97" w:rsidR="05228AE2">
        <w:rPr>
          <w:rFonts w:ascii="Arial" w:hAnsi="Arial" w:eastAsia="Arial" w:cs="Arial" w:asciiTheme="minorAscii" w:hAnsiTheme="minorAscii" w:eastAsiaTheme="minorAscii" w:cstheme="minorAscii"/>
          <w:noProof w:val="0"/>
          <w:sz w:val="22"/>
          <w:szCs w:val="22"/>
          <w:lang w:val="en-GB"/>
        </w:rPr>
        <w:t xml:space="preserve"> limited organisational learning.</w:t>
      </w:r>
    </w:p>
    <w:p w:rsidR="05228AE2" w:rsidP="1FB80F97" w:rsidRDefault="05228AE2" w14:paraId="4D19E2A1" w14:textId="475106ED">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Empirical evidence supports the positive impact of transformational leadership on healthcare outcomes. Boamah et al. (2018) found that transformational leadership is associated with improved patient safety outcomes, higher staff satisfaction, and reduced adverse events. In contrast, the failure to prevent repeated morphine dosing errors suggests that leadership within the organisation may have been more reactive than proactive, focusing on responding to incidents rather than </w:t>
      </w:r>
      <w:r w:rsidRPr="1FB80F97" w:rsidR="05228AE2">
        <w:rPr>
          <w:rFonts w:ascii="Arial" w:hAnsi="Arial" w:eastAsia="Arial" w:cs="Arial" w:asciiTheme="minorAscii" w:hAnsiTheme="minorAscii" w:eastAsiaTheme="minorAscii" w:cstheme="minorAscii"/>
          <w:noProof w:val="0"/>
          <w:sz w:val="22"/>
          <w:szCs w:val="22"/>
          <w:lang w:val="en-GB"/>
        </w:rPr>
        <w:t>anticipating</w:t>
      </w:r>
      <w:r w:rsidRPr="1FB80F97" w:rsidR="05228AE2">
        <w:rPr>
          <w:rFonts w:ascii="Arial" w:hAnsi="Arial" w:eastAsia="Arial" w:cs="Arial" w:asciiTheme="minorAscii" w:hAnsiTheme="minorAscii" w:eastAsiaTheme="minorAscii" w:cstheme="minorAscii"/>
          <w:noProof w:val="0"/>
          <w:sz w:val="22"/>
          <w:szCs w:val="22"/>
          <w:lang w:val="en-GB"/>
        </w:rPr>
        <w:t xml:space="preserve"> and preventing them. This reactive approach limits the organisation’s ability to develop resilience and adapt to emerging risks.</w:t>
      </w:r>
      <w:r w:rsidRPr="1FB80F97" w:rsidR="6AB27C37">
        <w:rPr>
          <w:rFonts w:ascii="Arial" w:hAnsi="Arial" w:eastAsia="Arial" w:cs="Arial" w:asciiTheme="minorAscii" w:hAnsiTheme="minorAscii" w:eastAsiaTheme="minorAscii" w:cstheme="minorAscii"/>
          <w:noProof w:val="0"/>
          <w:sz w:val="22"/>
          <w:szCs w:val="22"/>
          <w:lang w:val="en-GB"/>
        </w:rPr>
        <w:t xml:space="preserve"> </w:t>
      </w:r>
      <w:r w:rsidRPr="1FB80F97" w:rsidR="05228AE2">
        <w:rPr>
          <w:rFonts w:ascii="Arial" w:hAnsi="Arial" w:eastAsia="Arial" w:cs="Arial" w:asciiTheme="minorAscii" w:hAnsiTheme="minorAscii" w:eastAsiaTheme="minorAscii" w:cstheme="minorAscii"/>
          <w:noProof w:val="0"/>
          <w:sz w:val="22"/>
          <w:szCs w:val="22"/>
          <w:lang w:val="en-GB"/>
        </w:rPr>
        <w:t xml:space="preserve">Transactional leadership, which focuses on structure, compliance, and performance monitoring, is also relevant to this case. This leadership style emphasises adherence to </w:t>
      </w:r>
      <w:r w:rsidRPr="1FB80F97" w:rsidR="05228AE2">
        <w:rPr>
          <w:rFonts w:ascii="Arial" w:hAnsi="Arial" w:eastAsia="Arial" w:cs="Arial" w:asciiTheme="minorAscii" w:hAnsiTheme="minorAscii" w:eastAsiaTheme="minorAscii" w:cstheme="minorAscii"/>
          <w:noProof w:val="0"/>
          <w:sz w:val="22"/>
          <w:szCs w:val="22"/>
          <w:lang w:val="en-GB"/>
        </w:rPr>
        <w:t>established</w:t>
      </w:r>
      <w:r w:rsidRPr="1FB80F97" w:rsidR="05228AE2">
        <w:rPr>
          <w:rFonts w:ascii="Arial" w:hAnsi="Arial" w:eastAsia="Arial" w:cs="Arial" w:asciiTheme="minorAscii" w:hAnsiTheme="minorAscii" w:eastAsiaTheme="minorAscii" w:cstheme="minorAscii"/>
          <w:noProof w:val="0"/>
          <w:sz w:val="22"/>
          <w:szCs w:val="22"/>
          <w:lang w:val="en-GB"/>
        </w:rPr>
        <w:t xml:space="preserve"> rules and procedures, using rewards and sanctions to ensure compliance (Northouse, 2021). In theory, transactional leadership should support medication safety by ensuring that protocols, such as those governing RED drugs, are followed consistently. However, the occurrence of the error </w:t>
      </w:r>
      <w:r w:rsidRPr="1FB80F97" w:rsidR="05228AE2">
        <w:rPr>
          <w:rFonts w:ascii="Arial" w:hAnsi="Arial" w:eastAsia="Arial" w:cs="Arial" w:asciiTheme="minorAscii" w:hAnsiTheme="minorAscii" w:eastAsiaTheme="minorAscii" w:cstheme="minorAscii"/>
          <w:noProof w:val="0"/>
          <w:sz w:val="22"/>
          <w:szCs w:val="22"/>
          <w:lang w:val="en-GB"/>
        </w:rPr>
        <w:t>indicates</w:t>
      </w:r>
      <w:r w:rsidRPr="1FB80F97" w:rsidR="05228AE2">
        <w:rPr>
          <w:rFonts w:ascii="Arial" w:hAnsi="Arial" w:eastAsia="Arial" w:cs="Arial" w:asciiTheme="minorAscii" w:hAnsiTheme="minorAscii" w:eastAsiaTheme="minorAscii" w:cstheme="minorAscii"/>
          <w:noProof w:val="0"/>
          <w:sz w:val="22"/>
          <w:szCs w:val="22"/>
          <w:lang w:val="en-GB"/>
        </w:rPr>
        <w:t xml:space="preserve"> a failure in the enforcement of these procedures.</w:t>
      </w:r>
    </w:p>
    <w:p w:rsidR="05228AE2" w:rsidP="1FB80F97" w:rsidRDefault="05228AE2" w14:paraId="44763992" w14:textId="24AFE3A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The limitations of transactional leadership become </w:t>
      </w:r>
      <w:r w:rsidRPr="1FB80F97" w:rsidR="05228AE2">
        <w:rPr>
          <w:rFonts w:ascii="Arial" w:hAnsi="Arial" w:eastAsia="Arial" w:cs="Arial" w:asciiTheme="minorAscii" w:hAnsiTheme="minorAscii" w:eastAsiaTheme="minorAscii" w:cstheme="minorAscii"/>
          <w:noProof w:val="0"/>
          <w:sz w:val="22"/>
          <w:szCs w:val="22"/>
          <w:lang w:val="en-GB"/>
        </w:rPr>
        <w:t>apparent</w:t>
      </w:r>
      <w:r w:rsidRPr="1FB80F97" w:rsidR="05228AE2">
        <w:rPr>
          <w:rFonts w:ascii="Arial" w:hAnsi="Arial" w:eastAsia="Arial" w:cs="Arial" w:asciiTheme="minorAscii" w:hAnsiTheme="minorAscii" w:eastAsiaTheme="minorAscii" w:cstheme="minorAscii"/>
          <w:noProof w:val="0"/>
          <w:sz w:val="22"/>
          <w:szCs w:val="22"/>
          <w:lang w:val="en-GB"/>
        </w:rPr>
        <w:t xml:space="preserve"> when compliance is prioritised over understanding. Staff may follow procedures mechanically without fully appreciating their underlying rationale, reducing their ability to </w:t>
      </w:r>
      <w:r w:rsidRPr="1FB80F97" w:rsidR="05228AE2">
        <w:rPr>
          <w:rFonts w:ascii="Arial" w:hAnsi="Arial" w:eastAsia="Arial" w:cs="Arial" w:asciiTheme="minorAscii" w:hAnsiTheme="minorAscii" w:eastAsiaTheme="minorAscii" w:cstheme="minorAscii"/>
          <w:noProof w:val="0"/>
          <w:sz w:val="22"/>
          <w:szCs w:val="22"/>
          <w:lang w:val="en-GB"/>
        </w:rPr>
        <w:t>identify</w:t>
      </w:r>
      <w:r w:rsidRPr="1FB80F97" w:rsidR="05228AE2">
        <w:rPr>
          <w:rFonts w:ascii="Arial" w:hAnsi="Arial" w:eastAsia="Arial" w:cs="Arial" w:asciiTheme="minorAscii" w:hAnsiTheme="minorAscii" w:eastAsiaTheme="minorAscii" w:cstheme="minorAscii"/>
          <w:noProof w:val="0"/>
          <w:sz w:val="22"/>
          <w:szCs w:val="22"/>
          <w:lang w:val="en-GB"/>
        </w:rPr>
        <w:t xml:space="preserve"> and respond to anomalies. In this case, it is possible that existing protocols were either not fully understood or not rigorously enforced, reflecting a gap between formal rules and actual practice. Moreover, excessive reliance on transactional leadership can discourage open communication, as staff may fear blame or punishment for reporting errors (Reason, 2000).</w:t>
      </w:r>
    </w:p>
    <w:p w:rsidR="05228AE2" w:rsidP="1FB80F97" w:rsidRDefault="05228AE2" w14:paraId="456CF659" w14:textId="2E685FF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Situational leadership provides a more flexible framework, emphasising the need for leaders to adapt their approach based on the context and the needs of their team (Hersey et al., 2013). In high-risk situations involving vulnerable patients and complex medications, leaders should adopt a more directive and supportive style, ensuring that staff are adequately guided and that risks are actively managed. The failure to implement </w:t>
      </w:r>
      <w:r w:rsidRPr="1FB80F97" w:rsidR="05228AE2">
        <w:rPr>
          <w:rFonts w:ascii="Arial" w:hAnsi="Arial" w:eastAsia="Arial" w:cs="Arial" w:asciiTheme="minorAscii" w:hAnsiTheme="minorAscii" w:eastAsiaTheme="minorAscii" w:cstheme="minorAscii"/>
          <w:noProof w:val="0"/>
          <w:sz w:val="22"/>
          <w:szCs w:val="22"/>
          <w:lang w:val="en-GB"/>
        </w:rPr>
        <w:t>additional</w:t>
      </w:r>
      <w:r w:rsidRPr="1FB80F97" w:rsidR="05228AE2">
        <w:rPr>
          <w:rFonts w:ascii="Arial" w:hAnsi="Arial" w:eastAsia="Arial" w:cs="Arial" w:asciiTheme="minorAscii" w:hAnsiTheme="minorAscii" w:eastAsiaTheme="minorAscii" w:cstheme="minorAscii"/>
          <w:noProof w:val="0"/>
          <w:sz w:val="22"/>
          <w:szCs w:val="22"/>
          <w:lang w:val="en-GB"/>
        </w:rPr>
        <w:t xml:space="preserve"> safeguards for a high-risk medication such as morphine suggests that leadership did not adequately adapt to the demands of the situation.</w:t>
      </w:r>
    </w:p>
    <w:p w:rsidR="05228AE2" w:rsidP="1FB80F97" w:rsidRDefault="05228AE2" w14:paraId="02D07388" w14:textId="6065503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From a contingency perspective, effective leadership requires alignment between leadership style, organisational context, and the nature of the task (Fiedler, 1967). In the case study, the complexity and risk associated with paediatric medication management would </w:t>
      </w:r>
      <w:r w:rsidRPr="1FB80F97" w:rsidR="05228AE2">
        <w:rPr>
          <w:rFonts w:ascii="Arial" w:hAnsi="Arial" w:eastAsia="Arial" w:cs="Arial" w:asciiTheme="minorAscii" w:hAnsiTheme="minorAscii" w:eastAsiaTheme="minorAscii" w:cstheme="minorAscii"/>
          <w:noProof w:val="0"/>
          <w:sz w:val="22"/>
          <w:szCs w:val="22"/>
          <w:lang w:val="en-GB"/>
        </w:rPr>
        <w:t>necessitate</w:t>
      </w:r>
      <w:r w:rsidRPr="1FB80F97" w:rsidR="05228AE2">
        <w:rPr>
          <w:rFonts w:ascii="Arial" w:hAnsi="Arial" w:eastAsia="Arial" w:cs="Arial" w:asciiTheme="minorAscii" w:hAnsiTheme="minorAscii" w:eastAsiaTheme="minorAscii" w:cstheme="minorAscii"/>
          <w:noProof w:val="0"/>
          <w:sz w:val="22"/>
          <w:szCs w:val="22"/>
          <w:lang w:val="en-GB"/>
        </w:rPr>
        <w:t xml:space="preserve"> a highly structured and closely supervised approach. However, the absence of robust checking mechanisms and oversight </w:t>
      </w:r>
      <w:r w:rsidRPr="1FB80F97" w:rsidR="05228AE2">
        <w:rPr>
          <w:rFonts w:ascii="Arial" w:hAnsi="Arial" w:eastAsia="Arial" w:cs="Arial" w:asciiTheme="minorAscii" w:hAnsiTheme="minorAscii" w:eastAsiaTheme="minorAscii" w:cstheme="minorAscii"/>
          <w:noProof w:val="0"/>
          <w:sz w:val="22"/>
          <w:szCs w:val="22"/>
          <w:lang w:val="en-GB"/>
        </w:rPr>
        <w:t>indicates</w:t>
      </w:r>
      <w:r w:rsidRPr="1FB80F97" w:rsidR="05228AE2">
        <w:rPr>
          <w:rFonts w:ascii="Arial" w:hAnsi="Arial" w:eastAsia="Arial" w:cs="Arial" w:asciiTheme="minorAscii" w:hAnsiTheme="minorAscii" w:eastAsiaTheme="minorAscii" w:cstheme="minorAscii"/>
          <w:noProof w:val="0"/>
          <w:sz w:val="22"/>
          <w:szCs w:val="22"/>
          <w:lang w:val="en-GB"/>
        </w:rPr>
        <w:t xml:space="preserve"> a mismatch between leadership approach and situational requirements. This misalignment contributed to a system that was insufficiently controlled to prevent error.</w:t>
      </w:r>
    </w:p>
    <w:p w:rsidR="05228AE2" w:rsidP="1FB80F97" w:rsidRDefault="05228AE2" w14:paraId="2C4BB1FB" w14:textId="13717DD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Another relevant perspective is distributed leadership, which emphasises shared responsibility and collective engagement in decision-making processes. In healthcare, distributed leadership has been associated with improved team performance, enhanced communication, and greater staff engagement (West et al., 2015). The case study suggests that leadership was not effectively distributed, as multiple points of failure occurred without interception. A more distributed approach, where responsibility for safety is shared across the team, may have increased the likelihood of error detection.</w:t>
      </w:r>
    </w:p>
    <w:p w:rsidR="05228AE2" w:rsidP="1FB80F97" w:rsidRDefault="05228AE2" w14:paraId="0FC96728" w14:textId="7C3EFFD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Data from NHS staff surveys consistently highlight the importance of leadership in shaping organisational culture and safety outcomes. For example, teams reporting supportive and inclusive leadership </w:t>
      </w:r>
      <w:r w:rsidRPr="1FB80F97" w:rsidR="05228AE2">
        <w:rPr>
          <w:rFonts w:ascii="Arial" w:hAnsi="Arial" w:eastAsia="Arial" w:cs="Arial" w:asciiTheme="minorAscii" w:hAnsiTheme="minorAscii" w:eastAsiaTheme="minorAscii" w:cstheme="minorAscii"/>
          <w:noProof w:val="0"/>
          <w:sz w:val="22"/>
          <w:szCs w:val="22"/>
          <w:lang w:val="en-GB"/>
        </w:rPr>
        <w:t>demonstrate</w:t>
      </w:r>
      <w:r w:rsidRPr="1FB80F97" w:rsidR="05228AE2">
        <w:rPr>
          <w:rFonts w:ascii="Arial" w:hAnsi="Arial" w:eastAsia="Arial" w:cs="Arial" w:asciiTheme="minorAscii" w:hAnsiTheme="minorAscii" w:eastAsiaTheme="minorAscii" w:cstheme="minorAscii"/>
          <w:noProof w:val="0"/>
          <w:sz w:val="22"/>
          <w:szCs w:val="22"/>
          <w:lang w:val="en-GB"/>
        </w:rPr>
        <w:t xml:space="preserve"> higher levels of psychological safety, which is associated with increased incident reporting and learning (NHS Staff Survey, 2022). In the present case, the recurrence of similar incidents raises questions about whether staff felt empowered to raise concerns or challenge decisions, particularly in relation to high-risk medications.</w:t>
      </w:r>
    </w:p>
    <w:p w:rsidR="05228AE2" w:rsidP="1FB80F97" w:rsidRDefault="05228AE2" w14:paraId="3A212C55" w14:textId="0075ECD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A critical issue in this case is whether leadership was primarily reactive or proactive. Reactive leadership focuses on responding to incidents after they occur, often through investigation and corrective action. While this is necessary, it is insufficient to ensure long-term safety. Proactive leadership, by contrast, involves </w:t>
      </w:r>
      <w:r w:rsidRPr="1FB80F97" w:rsidR="05228AE2">
        <w:rPr>
          <w:rFonts w:ascii="Arial" w:hAnsi="Arial" w:eastAsia="Arial" w:cs="Arial" w:asciiTheme="minorAscii" w:hAnsiTheme="minorAscii" w:eastAsiaTheme="minorAscii" w:cstheme="minorAscii"/>
          <w:noProof w:val="0"/>
          <w:sz w:val="22"/>
          <w:szCs w:val="22"/>
          <w:lang w:val="en-GB"/>
        </w:rPr>
        <w:t>anticipating</w:t>
      </w:r>
      <w:r w:rsidRPr="1FB80F97" w:rsidR="05228AE2">
        <w:rPr>
          <w:rFonts w:ascii="Arial" w:hAnsi="Arial" w:eastAsia="Arial" w:cs="Arial" w:asciiTheme="minorAscii" w:hAnsiTheme="minorAscii" w:eastAsiaTheme="minorAscii" w:cstheme="minorAscii"/>
          <w:noProof w:val="0"/>
          <w:sz w:val="22"/>
          <w:szCs w:val="22"/>
          <w:lang w:val="en-GB"/>
        </w:rPr>
        <w:t xml:space="preserve"> risks, implementing preventive measures, and continuously </w:t>
      </w:r>
      <w:r w:rsidRPr="1FB80F97" w:rsidR="05228AE2">
        <w:rPr>
          <w:rFonts w:ascii="Arial" w:hAnsi="Arial" w:eastAsia="Arial" w:cs="Arial" w:asciiTheme="minorAscii" w:hAnsiTheme="minorAscii" w:eastAsiaTheme="minorAscii" w:cstheme="minorAscii"/>
          <w:noProof w:val="0"/>
          <w:sz w:val="22"/>
          <w:szCs w:val="22"/>
          <w:lang w:val="en-GB"/>
        </w:rPr>
        <w:t>monitoring</w:t>
      </w:r>
      <w:r w:rsidRPr="1FB80F97" w:rsidR="05228AE2">
        <w:rPr>
          <w:rFonts w:ascii="Arial" w:hAnsi="Arial" w:eastAsia="Arial" w:cs="Arial" w:asciiTheme="minorAscii" w:hAnsiTheme="minorAscii" w:eastAsiaTheme="minorAscii" w:cstheme="minorAscii"/>
          <w:noProof w:val="0"/>
          <w:sz w:val="22"/>
          <w:szCs w:val="22"/>
          <w:lang w:val="en-GB"/>
        </w:rPr>
        <w:t xml:space="preserve"> system performance (Reason, 2000). The repeated occurrence of morphine-related incidents suggests that leadership within the system was </w:t>
      </w:r>
      <w:r w:rsidRPr="1FB80F97" w:rsidR="75FC90C4">
        <w:rPr>
          <w:rFonts w:ascii="Arial" w:hAnsi="Arial" w:eastAsia="Arial" w:cs="Arial" w:asciiTheme="minorAscii" w:hAnsiTheme="minorAscii" w:eastAsiaTheme="minorAscii" w:cstheme="minorAscii"/>
          <w:noProof w:val="0"/>
          <w:sz w:val="22"/>
          <w:szCs w:val="22"/>
          <w:lang w:val="en-GB"/>
        </w:rPr>
        <w:t>reactive</w:t>
      </w:r>
      <w:r w:rsidRPr="1FB80F97" w:rsidR="05228AE2">
        <w:rPr>
          <w:rFonts w:ascii="Arial" w:hAnsi="Arial" w:eastAsia="Arial" w:cs="Arial" w:asciiTheme="minorAscii" w:hAnsiTheme="minorAscii" w:eastAsiaTheme="minorAscii" w:cstheme="minorAscii"/>
          <w:noProof w:val="0"/>
          <w:sz w:val="22"/>
          <w:szCs w:val="22"/>
          <w:lang w:val="en-GB"/>
        </w:rPr>
        <w:t>, with limited emphasis on prevention and system redesign.</w:t>
      </w:r>
    </w:p>
    <w:p w:rsidR="05228AE2" w:rsidP="1FB80F97" w:rsidRDefault="05228AE2" w14:paraId="2E85B524" w14:textId="0CF2231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Emotional intelligence is another important dimension of effective leadership in healthcare. Leaders with high emotional intelligence are better able to understand and respond to the needs of their staff, foster trust, and create a supportive environment (Goleman, 1998). In high-pressure environments, such as those involving medication management, emotionally intelligent leadership can enhance communication and reduce the likelihood of error. The </w:t>
      </w:r>
      <w:r w:rsidRPr="1FB80F97" w:rsidR="05228AE2">
        <w:rPr>
          <w:rFonts w:ascii="Arial" w:hAnsi="Arial" w:eastAsia="Arial" w:cs="Arial" w:asciiTheme="minorAscii" w:hAnsiTheme="minorAscii" w:eastAsiaTheme="minorAscii" w:cstheme="minorAscii"/>
          <w:noProof w:val="0"/>
          <w:sz w:val="22"/>
          <w:szCs w:val="22"/>
          <w:lang w:val="en-GB"/>
        </w:rPr>
        <w:t>apparent</w:t>
      </w:r>
      <w:r w:rsidRPr="1FB80F97" w:rsidR="05228AE2">
        <w:rPr>
          <w:rFonts w:ascii="Arial" w:hAnsi="Arial" w:eastAsia="Arial" w:cs="Arial" w:asciiTheme="minorAscii" w:hAnsiTheme="minorAscii" w:eastAsiaTheme="minorAscii" w:cstheme="minorAscii"/>
          <w:noProof w:val="0"/>
          <w:sz w:val="22"/>
          <w:szCs w:val="22"/>
          <w:lang w:val="en-GB"/>
        </w:rPr>
        <w:t xml:space="preserve"> lack of effective communication and escalation in this case may reflect limitations in this aspect of leadership.</w:t>
      </w:r>
    </w:p>
    <w:p w:rsidR="05228AE2" w:rsidP="1FB80F97" w:rsidRDefault="05228AE2" w14:paraId="534A06D8" w14:textId="235D462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Critically, the case </w:t>
      </w:r>
      <w:r w:rsidRPr="1FB80F97" w:rsidR="05228AE2">
        <w:rPr>
          <w:rFonts w:ascii="Arial" w:hAnsi="Arial" w:eastAsia="Arial" w:cs="Arial" w:asciiTheme="minorAscii" w:hAnsiTheme="minorAscii" w:eastAsiaTheme="minorAscii" w:cstheme="minorAscii"/>
          <w:noProof w:val="0"/>
          <w:sz w:val="22"/>
          <w:szCs w:val="22"/>
          <w:lang w:val="en-GB"/>
        </w:rPr>
        <w:t>demonstrates</w:t>
      </w:r>
      <w:r w:rsidRPr="1FB80F97" w:rsidR="05228AE2">
        <w:rPr>
          <w:rFonts w:ascii="Arial" w:hAnsi="Arial" w:eastAsia="Arial" w:cs="Arial" w:asciiTheme="minorAscii" w:hAnsiTheme="minorAscii" w:eastAsiaTheme="minorAscii" w:cstheme="minorAscii"/>
          <w:noProof w:val="0"/>
          <w:sz w:val="22"/>
          <w:szCs w:val="22"/>
          <w:lang w:val="en-GB"/>
        </w:rPr>
        <w:t xml:space="preserve"> that leadership failures were not confined to a single individual but were distributed across multiple levels of the system. At the organisational level, there was a failure to ensure that policies were effectively implemented and </w:t>
      </w:r>
      <w:r w:rsidRPr="1FB80F97" w:rsidR="05228AE2">
        <w:rPr>
          <w:rFonts w:ascii="Arial" w:hAnsi="Arial" w:eastAsia="Arial" w:cs="Arial" w:asciiTheme="minorAscii" w:hAnsiTheme="minorAscii" w:eastAsiaTheme="minorAscii" w:cstheme="minorAscii"/>
          <w:noProof w:val="0"/>
          <w:sz w:val="22"/>
          <w:szCs w:val="22"/>
          <w:lang w:val="en-GB"/>
        </w:rPr>
        <w:t>monitored</w:t>
      </w:r>
      <w:r w:rsidRPr="1FB80F97" w:rsidR="05228AE2">
        <w:rPr>
          <w:rFonts w:ascii="Arial" w:hAnsi="Arial" w:eastAsia="Arial" w:cs="Arial" w:asciiTheme="minorAscii" w:hAnsiTheme="minorAscii" w:eastAsiaTheme="minorAscii" w:cstheme="minorAscii"/>
          <w:noProof w:val="0"/>
          <w:sz w:val="22"/>
          <w:szCs w:val="22"/>
          <w:lang w:val="en-GB"/>
        </w:rPr>
        <w:t>. At the team level, there was a lack of effective communication and verification processes. At the individual level, there may have been gaps in knowledge or vigilance. This multi-level failure underscores the importance of viewing leadership as a system property rather than an individual attribute.</w:t>
      </w:r>
      <w:r w:rsidRPr="1FB80F97" w:rsidR="47AAC618">
        <w:rPr>
          <w:rFonts w:ascii="Arial" w:hAnsi="Arial" w:eastAsia="Arial" w:cs="Arial" w:asciiTheme="minorAscii" w:hAnsiTheme="minorAscii" w:eastAsiaTheme="minorAscii" w:cstheme="minorAscii"/>
          <w:noProof w:val="0"/>
          <w:sz w:val="22"/>
          <w:szCs w:val="22"/>
          <w:lang w:val="en-GB"/>
        </w:rPr>
        <w:t xml:space="preserve"> </w:t>
      </w:r>
      <w:r w:rsidRPr="1FB80F97" w:rsidR="05228AE2">
        <w:rPr>
          <w:rFonts w:ascii="Arial" w:hAnsi="Arial" w:eastAsia="Arial" w:cs="Arial" w:asciiTheme="minorAscii" w:hAnsiTheme="minorAscii" w:eastAsiaTheme="minorAscii" w:cstheme="minorAscii"/>
          <w:noProof w:val="0"/>
          <w:sz w:val="22"/>
          <w:szCs w:val="22"/>
          <w:lang w:val="en-GB"/>
        </w:rPr>
        <w:t xml:space="preserve">In evaluating what could have been done differently, a combination of leadership approaches would </w:t>
      </w:r>
      <w:r w:rsidRPr="1FB80F97" w:rsidR="29393424">
        <w:rPr>
          <w:rFonts w:ascii="Arial" w:hAnsi="Arial" w:eastAsia="Arial" w:cs="Arial" w:asciiTheme="minorAscii" w:hAnsiTheme="minorAscii" w:eastAsiaTheme="minorAscii" w:cstheme="minorAscii"/>
          <w:noProof w:val="0"/>
          <w:sz w:val="22"/>
          <w:szCs w:val="22"/>
          <w:lang w:val="en-GB"/>
        </w:rPr>
        <w:t>have</w:t>
      </w:r>
      <w:r w:rsidRPr="1FB80F97" w:rsidR="05228AE2">
        <w:rPr>
          <w:rFonts w:ascii="Arial" w:hAnsi="Arial" w:eastAsia="Arial" w:cs="Arial" w:asciiTheme="minorAscii" w:hAnsiTheme="minorAscii" w:eastAsiaTheme="minorAscii" w:cstheme="minorAscii"/>
          <w:noProof w:val="0"/>
          <w:sz w:val="22"/>
          <w:szCs w:val="22"/>
          <w:lang w:val="en-GB"/>
        </w:rPr>
        <w:t xml:space="preserve"> been more effective. Transformational leadership could have been used to </w:t>
      </w:r>
      <w:r w:rsidRPr="1FB80F97" w:rsidR="05228AE2">
        <w:rPr>
          <w:rFonts w:ascii="Arial" w:hAnsi="Arial" w:eastAsia="Arial" w:cs="Arial" w:asciiTheme="minorAscii" w:hAnsiTheme="minorAscii" w:eastAsiaTheme="minorAscii" w:cstheme="minorAscii"/>
          <w:noProof w:val="0"/>
          <w:sz w:val="22"/>
          <w:szCs w:val="22"/>
          <w:lang w:val="en-GB"/>
        </w:rPr>
        <w:t>establish</w:t>
      </w:r>
      <w:r w:rsidRPr="1FB80F97" w:rsidR="05228AE2">
        <w:rPr>
          <w:rFonts w:ascii="Arial" w:hAnsi="Arial" w:eastAsia="Arial" w:cs="Arial" w:asciiTheme="minorAscii" w:hAnsiTheme="minorAscii" w:eastAsiaTheme="minorAscii" w:cstheme="minorAscii"/>
          <w:noProof w:val="0"/>
          <w:sz w:val="22"/>
          <w:szCs w:val="22"/>
          <w:lang w:val="en-GB"/>
        </w:rPr>
        <w:t xml:space="preserve"> a strong safety culture and promote organisational learning. Transactional leadership could have ensured consistent adherence to protocols, particularly for high-risk medications. Situational leadership could have enabled adaptation to the specific risks associated with paediatric care. Additionally, a more distributed leadership model could have enhanced team engagement and accountability.</w:t>
      </w:r>
    </w:p>
    <w:p w:rsidR="05228AE2" w:rsidP="1FB80F97" w:rsidRDefault="05228AE2" w14:paraId="00205CD7" w14:textId="33811D5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In conclusion, the morphine overdose case highlights the critical role of leadership in shaping healthcare outcomes. The absence of proactive, adaptive, and inclusive leadership contributed to a system that was vulnerable to error. By integrating multiple leadership approaches and aligning them with organisational context and system demands, healthcare organisations can enhance safety, improve performance, and reduce the likelihood of similar incidents in the future.</w:t>
      </w:r>
    </w:p>
    <w:p w:rsidR="1FB80F97" w:rsidP="1FB80F97" w:rsidRDefault="1FB80F97" w14:paraId="2F37976B" w14:textId="37C41A13">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w:rsidR="05228AE2" w:rsidP="1FB80F97" w:rsidRDefault="05228AE2" w14:paraId="542F9E5D" w14:textId="7C19DDF6">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05228AE2">
        <w:rPr>
          <w:rFonts w:ascii="Arial" w:hAnsi="Arial" w:eastAsia="Arial" w:cs="Arial" w:asciiTheme="minorAscii" w:hAnsiTheme="minorAscii" w:eastAsiaTheme="minorAscii" w:cstheme="minorAscii"/>
          <w:b w:val="1"/>
          <w:bCs w:val="1"/>
          <w:noProof w:val="0"/>
          <w:sz w:val="22"/>
          <w:szCs w:val="22"/>
          <w:lang w:val="en-GB"/>
        </w:rPr>
        <w:t>Main Body</w:t>
      </w:r>
    </w:p>
    <w:p w:rsidR="05228AE2" w:rsidP="1FB80F97" w:rsidRDefault="05228AE2" w14:paraId="37A8669A" w14:textId="340D24B6">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05228AE2">
        <w:rPr>
          <w:rFonts w:ascii="Arial" w:hAnsi="Arial" w:eastAsia="Arial" w:cs="Arial" w:asciiTheme="minorAscii" w:hAnsiTheme="minorAscii" w:eastAsiaTheme="minorAscii" w:cstheme="minorAscii"/>
          <w:b w:val="1"/>
          <w:bCs w:val="1"/>
          <w:noProof w:val="0"/>
          <w:sz w:val="22"/>
          <w:szCs w:val="22"/>
          <w:lang w:val="en-GB"/>
        </w:rPr>
        <w:t>d. Improvement, and Lessons Learned</w:t>
      </w:r>
    </w:p>
    <w:p w:rsidR="05228AE2" w:rsidP="1FB80F97" w:rsidRDefault="05228AE2" w14:paraId="391A7709" w14:textId="67E94AF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The morphine overdose incident illustrates how failures in leadership, governance, and system design can converge to produce significant patient harm. A critical evaluation of the case reveals multiple missed opportunities for intervention, as well as clear areas where evidence-based improvements could enhance safety and organisational performance. Importantly, these improvements must be understood not as isolated interventions but as components of an integrated system approach.</w:t>
      </w:r>
    </w:p>
    <w:p w:rsidR="05228AE2" w:rsidP="1FB80F97" w:rsidRDefault="05228AE2" w14:paraId="7CD85006" w14:textId="2F5FB4D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One of the most significant issues </w:t>
      </w:r>
      <w:r w:rsidRPr="1FB80F97" w:rsidR="05228AE2">
        <w:rPr>
          <w:rFonts w:ascii="Arial" w:hAnsi="Arial" w:eastAsia="Arial" w:cs="Arial" w:asciiTheme="minorAscii" w:hAnsiTheme="minorAscii" w:eastAsiaTheme="minorAscii" w:cstheme="minorAscii"/>
          <w:noProof w:val="0"/>
          <w:sz w:val="22"/>
          <w:szCs w:val="22"/>
          <w:lang w:val="en-GB"/>
        </w:rPr>
        <w:t>identified</w:t>
      </w:r>
      <w:r w:rsidRPr="1FB80F97" w:rsidR="05228AE2">
        <w:rPr>
          <w:rFonts w:ascii="Arial" w:hAnsi="Arial" w:eastAsia="Arial" w:cs="Arial" w:asciiTheme="minorAscii" w:hAnsiTheme="minorAscii" w:eastAsiaTheme="minorAscii" w:cstheme="minorAscii"/>
          <w:noProof w:val="0"/>
          <w:sz w:val="22"/>
          <w:szCs w:val="22"/>
          <w:lang w:val="en-GB"/>
        </w:rPr>
        <w:t xml:space="preserve"> in this case is the failure of medication safety processes, particularly in relation to high-risk drugs. Evidence suggests that medication errors </w:t>
      </w:r>
      <w:r w:rsidRPr="1FB80F97" w:rsidR="05228AE2">
        <w:rPr>
          <w:rFonts w:ascii="Arial" w:hAnsi="Arial" w:eastAsia="Arial" w:cs="Arial" w:asciiTheme="minorAscii" w:hAnsiTheme="minorAscii" w:eastAsiaTheme="minorAscii" w:cstheme="minorAscii"/>
          <w:noProof w:val="0"/>
          <w:sz w:val="22"/>
          <w:szCs w:val="22"/>
          <w:lang w:val="en-GB"/>
        </w:rPr>
        <w:t>remain</w:t>
      </w:r>
      <w:r w:rsidRPr="1FB80F97" w:rsidR="05228AE2">
        <w:rPr>
          <w:rFonts w:ascii="Arial" w:hAnsi="Arial" w:eastAsia="Arial" w:cs="Arial" w:asciiTheme="minorAscii" w:hAnsiTheme="minorAscii" w:eastAsiaTheme="minorAscii" w:cstheme="minorAscii"/>
          <w:noProof w:val="0"/>
          <w:sz w:val="22"/>
          <w:szCs w:val="22"/>
          <w:lang w:val="en-GB"/>
        </w:rPr>
        <w:t xml:space="preserve"> a persistent challenge within healthcare systems, with Elliott et al. (2018) estimating 237 million medication errors annually in England. In this context, the dispensing of an incorrect morphine formulation reflects a breakdown in standard safety mechanisms, including verification and double-checking processes. High-reliability organisations typically employ multiple layers of defence to prevent such errors; however, in this case, these safeguards were either absent or ineffective.</w:t>
      </w:r>
    </w:p>
    <w:p w:rsidR="05228AE2" w:rsidP="1FB80F97" w:rsidRDefault="05228AE2" w14:paraId="12A68EE2" w14:textId="7BF0E9A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An important improvement strategy involves the implementation of technological solutions, such as electronic prescribing and barcode medication administration systems. These systems have been shown to significantly reduce medication errors by improving accuracy and enabling real-time verification (Keers et al., 2013). For example, barcode systems ensure that the correct medication, dose, and patient are matched before administration, reducing reliance on manual processes. However, the effectiveness of such technologies depends on </w:t>
      </w:r>
      <w:r w:rsidRPr="1FB80F97" w:rsidR="05228AE2">
        <w:rPr>
          <w:rFonts w:ascii="Arial" w:hAnsi="Arial" w:eastAsia="Arial" w:cs="Arial" w:asciiTheme="minorAscii" w:hAnsiTheme="minorAscii" w:eastAsiaTheme="minorAscii" w:cstheme="minorAscii"/>
          <w:noProof w:val="0"/>
          <w:sz w:val="22"/>
          <w:szCs w:val="22"/>
          <w:lang w:val="en-GB"/>
        </w:rPr>
        <w:t>appropriate implementation</w:t>
      </w:r>
      <w:r w:rsidRPr="1FB80F97" w:rsidR="05228AE2">
        <w:rPr>
          <w:rFonts w:ascii="Arial" w:hAnsi="Arial" w:eastAsia="Arial" w:cs="Arial" w:asciiTheme="minorAscii" w:hAnsiTheme="minorAscii" w:eastAsiaTheme="minorAscii" w:cstheme="minorAscii"/>
          <w:noProof w:val="0"/>
          <w:sz w:val="22"/>
          <w:szCs w:val="22"/>
          <w:lang w:val="en-GB"/>
        </w:rPr>
        <w:t>, staff training, and integration into existing workflows.</w:t>
      </w:r>
    </w:p>
    <w:p w:rsidR="05228AE2" w:rsidP="1FB80F97" w:rsidRDefault="05228AE2" w14:paraId="1A649CF1" w14:textId="0B26922B">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A second critical issue relates to communication failures across </w:t>
      </w:r>
      <w:r w:rsidRPr="1FB80F97" w:rsidR="5DA6C708">
        <w:rPr>
          <w:rFonts w:ascii="Arial" w:hAnsi="Arial" w:eastAsia="Arial" w:cs="Arial" w:asciiTheme="minorAscii" w:hAnsiTheme="minorAscii" w:eastAsiaTheme="minorAscii" w:cstheme="minorAscii"/>
          <w:noProof w:val="0"/>
          <w:sz w:val="22"/>
          <w:szCs w:val="22"/>
          <w:lang w:val="en-GB"/>
        </w:rPr>
        <w:t>distinct stages</w:t>
      </w:r>
      <w:r w:rsidRPr="1FB80F97" w:rsidR="05228AE2">
        <w:rPr>
          <w:rFonts w:ascii="Arial" w:hAnsi="Arial" w:eastAsia="Arial" w:cs="Arial" w:asciiTheme="minorAscii" w:hAnsiTheme="minorAscii" w:eastAsiaTheme="minorAscii" w:cstheme="minorAscii"/>
          <w:noProof w:val="0"/>
          <w:sz w:val="22"/>
          <w:szCs w:val="22"/>
          <w:lang w:val="en-GB"/>
        </w:rPr>
        <w:t xml:space="preserve"> of the medication pathway. The transition from prescribing to dispensing and administration involves multiple professionals, each of whom plays a role in ensuring accuracy. In the case study, the breakdown in communication suggests that information was either incomplete, unclear, or not adequately verified. Research </w:t>
      </w:r>
      <w:r w:rsidRPr="1FB80F97" w:rsidR="05228AE2">
        <w:rPr>
          <w:rFonts w:ascii="Arial" w:hAnsi="Arial" w:eastAsia="Arial" w:cs="Arial" w:asciiTheme="minorAscii" w:hAnsiTheme="minorAscii" w:eastAsiaTheme="minorAscii" w:cstheme="minorAscii"/>
          <w:noProof w:val="0"/>
          <w:sz w:val="22"/>
          <w:szCs w:val="22"/>
          <w:lang w:val="en-GB"/>
        </w:rPr>
        <w:t>indicates</w:t>
      </w:r>
      <w:r w:rsidRPr="1FB80F97" w:rsidR="05228AE2">
        <w:rPr>
          <w:rFonts w:ascii="Arial" w:hAnsi="Arial" w:eastAsia="Arial" w:cs="Arial" w:asciiTheme="minorAscii" w:hAnsiTheme="minorAscii" w:eastAsiaTheme="minorAscii" w:cstheme="minorAscii"/>
          <w:noProof w:val="0"/>
          <w:sz w:val="22"/>
          <w:szCs w:val="22"/>
          <w:lang w:val="en-GB"/>
        </w:rPr>
        <w:t xml:space="preserve"> that communication failures are a leading cause of adverse events in healthcare, contributing to </w:t>
      </w:r>
      <w:r w:rsidRPr="1FB80F97" w:rsidR="06935AC7">
        <w:rPr>
          <w:rFonts w:ascii="Arial" w:hAnsi="Arial" w:eastAsia="Arial" w:cs="Arial" w:asciiTheme="minorAscii" w:hAnsiTheme="minorAscii" w:eastAsiaTheme="minorAscii" w:cstheme="minorAscii"/>
          <w:noProof w:val="0"/>
          <w:sz w:val="22"/>
          <w:szCs w:val="22"/>
          <w:lang w:val="en-GB"/>
        </w:rPr>
        <w:t>a considerable proportion</w:t>
      </w:r>
      <w:r w:rsidRPr="1FB80F97" w:rsidR="05228AE2">
        <w:rPr>
          <w:rFonts w:ascii="Arial" w:hAnsi="Arial" w:eastAsia="Arial" w:cs="Arial" w:asciiTheme="minorAscii" w:hAnsiTheme="minorAscii" w:eastAsiaTheme="minorAscii" w:cstheme="minorAscii"/>
          <w:noProof w:val="0"/>
          <w:sz w:val="22"/>
          <w:szCs w:val="22"/>
          <w:lang w:val="en-GB"/>
        </w:rPr>
        <w:t xml:space="preserve"> of medication errors (Leonard et al., 2004).</w:t>
      </w:r>
    </w:p>
    <w:p w:rsidR="05228AE2" w:rsidP="1FB80F97" w:rsidRDefault="05228AE2" w14:paraId="4CC4D646" w14:textId="4E7D5992">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To address this issue, structured communication tools such as SBAR (Situation, Background, Assessment, Recommendation) can be implemented to standardise information exchange and reduce ambiguity. Additionally, the introduction of regular safety huddles can provide opportunities for teams to discuss risks, share concerns, and reinforce safety practices. These interventions not only improve communication but also contribute to the development of a more open and collaborative safety culture.</w:t>
      </w:r>
    </w:p>
    <w:p w:rsidR="05228AE2" w:rsidP="1FB80F97" w:rsidRDefault="05228AE2" w14:paraId="66A560C0" w14:textId="7F4968A6">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Governance failures also played </w:t>
      </w:r>
      <w:r w:rsidRPr="1FB80F97" w:rsidR="4B808730">
        <w:rPr>
          <w:rFonts w:ascii="Arial" w:hAnsi="Arial" w:eastAsia="Arial" w:cs="Arial" w:asciiTheme="minorAscii" w:hAnsiTheme="minorAscii" w:eastAsiaTheme="minorAscii" w:cstheme="minorAscii"/>
          <w:noProof w:val="0"/>
          <w:sz w:val="22"/>
          <w:szCs w:val="22"/>
          <w:lang w:val="en-GB"/>
        </w:rPr>
        <w:t>a significant role</w:t>
      </w:r>
      <w:r w:rsidRPr="1FB80F97" w:rsidR="05228AE2">
        <w:rPr>
          <w:rFonts w:ascii="Arial" w:hAnsi="Arial" w:eastAsia="Arial" w:cs="Arial" w:asciiTheme="minorAscii" w:hAnsiTheme="minorAscii" w:eastAsiaTheme="minorAscii" w:cstheme="minorAscii"/>
          <w:noProof w:val="0"/>
          <w:sz w:val="22"/>
          <w:szCs w:val="22"/>
          <w:lang w:val="en-GB"/>
        </w:rPr>
        <w:t xml:space="preserve"> in this case, particularly in relation to the management of RED drugs. The existence of national policies restricting the use of such medications </w:t>
      </w:r>
      <w:r w:rsidRPr="1FB80F97" w:rsidR="05228AE2">
        <w:rPr>
          <w:rFonts w:ascii="Arial" w:hAnsi="Arial" w:eastAsia="Arial" w:cs="Arial" w:asciiTheme="minorAscii" w:hAnsiTheme="minorAscii" w:eastAsiaTheme="minorAscii" w:cstheme="minorAscii"/>
          <w:noProof w:val="0"/>
          <w:sz w:val="22"/>
          <w:szCs w:val="22"/>
          <w:lang w:val="en-GB"/>
        </w:rPr>
        <w:t>indicates</w:t>
      </w:r>
      <w:r w:rsidRPr="1FB80F97" w:rsidR="05228AE2">
        <w:rPr>
          <w:rFonts w:ascii="Arial" w:hAnsi="Arial" w:eastAsia="Arial" w:cs="Arial" w:asciiTheme="minorAscii" w:hAnsiTheme="minorAscii" w:eastAsiaTheme="minorAscii" w:cstheme="minorAscii"/>
          <w:noProof w:val="0"/>
          <w:sz w:val="22"/>
          <w:szCs w:val="22"/>
          <w:lang w:val="en-GB"/>
        </w:rPr>
        <w:t xml:space="preserve"> that </w:t>
      </w:r>
      <w:r w:rsidRPr="1FB80F97" w:rsidR="05228AE2">
        <w:rPr>
          <w:rFonts w:ascii="Arial" w:hAnsi="Arial" w:eastAsia="Arial" w:cs="Arial" w:asciiTheme="minorAscii" w:hAnsiTheme="minorAscii" w:eastAsiaTheme="minorAscii" w:cstheme="minorAscii"/>
          <w:noProof w:val="0"/>
          <w:sz w:val="22"/>
          <w:szCs w:val="22"/>
          <w:lang w:val="en-GB"/>
        </w:rPr>
        <w:t>appropriate safeguards</w:t>
      </w:r>
      <w:r w:rsidRPr="1FB80F97" w:rsidR="05228AE2">
        <w:rPr>
          <w:rFonts w:ascii="Arial" w:hAnsi="Arial" w:eastAsia="Arial" w:cs="Arial" w:asciiTheme="minorAscii" w:hAnsiTheme="minorAscii" w:eastAsiaTheme="minorAscii" w:cstheme="minorAscii"/>
          <w:noProof w:val="0"/>
          <w:sz w:val="22"/>
          <w:szCs w:val="22"/>
          <w:lang w:val="en-GB"/>
        </w:rPr>
        <w:t xml:space="preserve"> were in place at a strategic level. However, the failure to enforce these policies at the local level highlights weaknesses in accountability and oversight. The recurrence of similar incidents suggests that monitoring and audit processes were insufficient to detect and address deviations from expected practice.</w:t>
      </w:r>
    </w:p>
    <w:p w:rsidR="05228AE2" w:rsidP="1FB80F97" w:rsidRDefault="05228AE2" w14:paraId="25F0B4C2" w14:textId="0CABC83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Strengthening governance requires the establishment of clear accountability structures, supported by regular audits and feedback mechanisms. For example, organisations can implement routine reviews of prescribing and dispensing practices for high-risk medications, ensuring that any deviations are </w:t>
      </w:r>
      <w:r w:rsidRPr="1FB80F97" w:rsidR="05228AE2">
        <w:rPr>
          <w:rFonts w:ascii="Arial" w:hAnsi="Arial" w:eastAsia="Arial" w:cs="Arial" w:asciiTheme="minorAscii" w:hAnsiTheme="minorAscii" w:eastAsiaTheme="minorAscii" w:cstheme="minorAscii"/>
          <w:noProof w:val="0"/>
          <w:sz w:val="22"/>
          <w:szCs w:val="22"/>
          <w:lang w:val="en-GB"/>
        </w:rPr>
        <w:t>identified</w:t>
      </w:r>
      <w:r w:rsidRPr="1FB80F97" w:rsidR="05228AE2">
        <w:rPr>
          <w:rFonts w:ascii="Arial" w:hAnsi="Arial" w:eastAsia="Arial" w:cs="Arial" w:asciiTheme="minorAscii" w:hAnsiTheme="minorAscii" w:eastAsiaTheme="minorAscii" w:cstheme="minorAscii"/>
          <w:noProof w:val="0"/>
          <w:sz w:val="22"/>
          <w:szCs w:val="22"/>
          <w:lang w:val="en-GB"/>
        </w:rPr>
        <w:t xml:space="preserve"> and addressed promptly. Additionally, incident reporting systems must be </w:t>
      </w:r>
      <w:r w:rsidRPr="1FB80F97" w:rsidR="05228AE2">
        <w:rPr>
          <w:rFonts w:ascii="Arial" w:hAnsi="Arial" w:eastAsia="Arial" w:cs="Arial" w:asciiTheme="minorAscii" w:hAnsiTheme="minorAscii" w:eastAsiaTheme="minorAscii" w:cstheme="minorAscii"/>
          <w:noProof w:val="0"/>
          <w:sz w:val="22"/>
          <w:szCs w:val="22"/>
          <w:lang w:val="en-GB"/>
        </w:rPr>
        <w:t>timely</w:t>
      </w:r>
      <w:r w:rsidRPr="1FB80F97" w:rsidR="05228AE2">
        <w:rPr>
          <w:rFonts w:ascii="Arial" w:hAnsi="Arial" w:eastAsia="Arial" w:cs="Arial" w:asciiTheme="minorAscii" w:hAnsiTheme="minorAscii" w:eastAsiaTheme="minorAscii" w:cstheme="minorAscii"/>
          <w:noProof w:val="0"/>
          <w:sz w:val="22"/>
          <w:szCs w:val="22"/>
          <w:lang w:val="en-GB"/>
        </w:rPr>
        <w:t>, transparent, and linked to learning processes. Evidence suggests that delays in reporting and a lack of feedback can undermine organisational learning and allow errors to recur (Waring, 2005).</w:t>
      </w:r>
      <w:r w:rsidRPr="1FB80F97" w:rsidR="181997DE">
        <w:rPr>
          <w:rFonts w:ascii="Arial" w:hAnsi="Arial" w:eastAsia="Arial" w:cs="Arial" w:asciiTheme="minorAscii" w:hAnsiTheme="minorAscii" w:eastAsiaTheme="minorAscii" w:cstheme="minorAscii"/>
          <w:noProof w:val="0"/>
          <w:sz w:val="22"/>
          <w:szCs w:val="22"/>
          <w:lang w:val="en-GB"/>
        </w:rPr>
        <w:t xml:space="preserve"> </w:t>
      </w:r>
      <w:r w:rsidRPr="1FB80F97" w:rsidR="05228AE2">
        <w:rPr>
          <w:rFonts w:ascii="Arial" w:hAnsi="Arial" w:eastAsia="Arial" w:cs="Arial" w:asciiTheme="minorAscii" w:hAnsiTheme="minorAscii" w:eastAsiaTheme="minorAscii" w:cstheme="minorAscii"/>
          <w:noProof w:val="0"/>
          <w:sz w:val="22"/>
          <w:szCs w:val="22"/>
          <w:lang w:val="en-GB"/>
        </w:rPr>
        <w:t xml:space="preserve">Leadership is a critical enabler of these improvements, as it shapes organisational culture and influences how systems are implemented and sustained. The case study highlights a lack of proactive leadership in </w:t>
      </w:r>
      <w:r w:rsidRPr="1FB80F97" w:rsidR="05228AE2">
        <w:rPr>
          <w:rFonts w:ascii="Arial" w:hAnsi="Arial" w:eastAsia="Arial" w:cs="Arial" w:asciiTheme="minorAscii" w:hAnsiTheme="minorAscii" w:eastAsiaTheme="minorAscii" w:cstheme="minorAscii"/>
          <w:noProof w:val="0"/>
          <w:sz w:val="22"/>
          <w:szCs w:val="22"/>
          <w:lang w:val="en-GB"/>
        </w:rPr>
        <w:t>anticipating</w:t>
      </w:r>
      <w:r w:rsidRPr="1FB80F97" w:rsidR="05228AE2">
        <w:rPr>
          <w:rFonts w:ascii="Arial" w:hAnsi="Arial" w:eastAsia="Arial" w:cs="Arial" w:asciiTheme="minorAscii" w:hAnsiTheme="minorAscii" w:eastAsiaTheme="minorAscii" w:cstheme="minorAscii"/>
          <w:noProof w:val="0"/>
          <w:sz w:val="22"/>
          <w:szCs w:val="22"/>
          <w:lang w:val="en-GB"/>
        </w:rPr>
        <w:t xml:space="preserve"> and mitigating risks. Transformational leadership, with its emphasis on vision, engagement, and cultural change, could play a key role in fostering a safety-oriented environment. Leaders must actively promote psychological safety, enabling staff to speak up about concerns without fear of blame or retribution.</w:t>
      </w:r>
      <w:r w:rsidRPr="1FB80F97" w:rsidR="6751EDB1">
        <w:rPr>
          <w:rFonts w:ascii="Arial" w:hAnsi="Arial" w:eastAsia="Arial" w:cs="Arial" w:asciiTheme="minorAscii" w:hAnsiTheme="minorAscii" w:eastAsiaTheme="minorAscii" w:cstheme="minorAscii"/>
          <w:noProof w:val="0"/>
          <w:sz w:val="22"/>
          <w:szCs w:val="22"/>
          <w:lang w:val="en-GB"/>
        </w:rPr>
        <w:t xml:space="preserve"> </w:t>
      </w:r>
      <w:r w:rsidRPr="1FB80F97" w:rsidR="05228AE2">
        <w:rPr>
          <w:rFonts w:ascii="Arial" w:hAnsi="Arial" w:eastAsia="Arial" w:cs="Arial" w:asciiTheme="minorAscii" w:hAnsiTheme="minorAscii" w:eastAsiaTheme="minorAscii" w:cstheme="minorAscii"/>
          <w:noProof w:val="0"/>
          <w:sz w:val="22"/>
          <w:szCs w:val="22"/>
          <w:lang w:val="en-GB"/>
        </w:rPr>
        <w:t xml:space="preserve">At the same time, transactional leadership </w:t>
      </w:r>
      <w:r w:rsidRPr="1FB80F97" w:rsidR="05228AE2">
        <w:rPr>
          <w:rFonts w:ascii="Arial" w:hAnsi="Arial" w:eastAsia="Arial" w:cs="Arial" w:asciiTheme="minorAscii" w:hAnsiTheme="minorAscii" w:eastAsiaTheme="minorAscii" w:cstheme="minorAscii"/>
          <w:noProof w:val="0"/>
          <w:sz w:val="22"/>
          <w:szCs w:val="22"/>
          <w:lang w:val="en-GB"/>
        </w:rPr>
        <w:t>remains</w:t>
      </w:r>
      <w:r w:rsidRPr="1FB80F97" w:rsidR="05228AE2">
        <w:rPr>
          <w:rFonts w:ascii="Arial" w:hAnsi="Arial" w:eastAsia="Arial" w:cs="Arial" w:asciiTheme="minorAscii" w:hAnsiTheme="minorAscii" w:eastAsiaTheme="minorAscii" w:cstheme="minorAscii"/>
          <w:noProof w:val="0"/>
          <w:sz w:val="22"/>
          <w:szCs w:val="22"/>
          <w:lang w:val="en-GB"/>
        </w:rPr>
        <w:t xml:space="preserve"> important in ensuring compliance with established protocols. For high-risk processes such as medication management, clear expectations and consistent enforcement of rules are essential. However, these approaches must be balanced, as excessive reliance on compliance alone can discourage critical thinking and reduce staff engagement. A more integrated leadership approach, combining transformational, transactional, and situational elements, is therefore </w:t>
      </w:r>
      <w:r w:rsidRPr="1FB80F97" w:rsidR="05228AE2">
        <w:rPr>
          <w:rFonts w:ascii="Arial" w:hAnsi="Arial" w:eastAsia="Arial" w:cs="Arial" w:asciiTheme="minorAscii" w:hAnsiTheme="minorAscii" w:eastAsiaTheme="minorAscii" w:cstheme="minorAscii"/>
          <w:noProof w:val="0"/>
          <w:sz w:val="22"/>
          <w:szCs w:val="22"/>
          <w:lang w:val="en-GB"/>
        </w:rPr>
        <w:t>required</w:t>
      </w:r>
      <w:r w:rsidRPr="1FB80F97" w:rsidR="05228AE2">
        <w:rPr>
          <w:rFonts w:ascii="Arial" w:hAnsi="Arial" w:eastAsia="Arial" w:cs="Arial" w:asciiTheme="minorAscii" w:hAnsiTheme="minorAscii" w:eastAsiaTheme="minorAscii" w:cstheme="minorAscii"/>
          <w:noProof w:val="0"/>
          <w:sz w:val="22"/>
          <w:szCs w:val="22"/>
          <w:lang w:val="en-GB"/>
        </w:rPr>
        <w:t>.</w:t>
      </w:r>
    </w:p>
    <w:p w:rsidR="05228AE2" w:rsidP="1FB80F97" w:rsidRDefault="05228AE2" w14:paraId="28FED55D" w14:textId="3A78856D">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From a systems thinking perspective, the interaction between leadership, governance, and system design is central to understanding both the problem and potential solutions. The case </w:t>
      </w:r>
      <w:r w:rsidRPr="1FB80F97" w:rsidR="05228AE2">
        <w:rPr>
          <w:rFonts w:ascii="Arial" w:hAnsi="Arial" w:eastAsia="Arial" w:cs="Arial" w:asciiTheme="minorAscii" w:hAnsiTheme="minorAscii" w:eastAsiaTheme="minorAscii" w:cstheme="minorAscii"/>
          <w:noProof w:val="0"/>
          <w:sz w:val="22"/>
          <w:szCs w:val="22"/>
          <w:lang w:val="en-GB"/>
        </w:rPr>
        <w:t>demonstrates</w:t>
      </w:r>
      <w:r w:rsidRPr="1FB80F97" w:rsidR="05228AE2">
        <w:rPr>
          <w:rFonts w:ascii="Arial" w:hAnsi="Arial" w:eastAsia="Arial" w:cs="Arial" w:asciiTheme="minorAscii" w:hAnsiTheme="minorAscii" w:eastAsiaTheme="minorAscii" w:cstheme="minorAscii"/>
          <w:noProof w:val="0"/>
          <w:sz w:val="22"/>
          <w:szCs w:val="22"/>
          <w:lang w:val="en-GB"/>
        </w:rPr>
        <w:t xml:space="preserve"> how weaknesses in each of these areas can reinforce one another, creating conditions in which errors are more likely to occur. For example, inadequate leadership may result in poor communication and weak safety culture, which in turn undermines the effectiveness of governance mechanisms. Similarly, ineffective governance may </w:t>
      </w:r>
      <w:r w:rsidRPr="1FB80F97" w:rsidR="05228AE2">
        <w:rPr>
          <w:rFonts w:ascii="Arial" w:hAnsi="Arial" w:eastAsia="Arial" w:cs="Arial" w:asciiTheme="minorAscii" w:hAnsiTheme="minorAscii" w:eastAsiaTheme="minorAscii" w:cstheme="minorAscii"/>
          <w:noProof w:val="0"/>
          <w:sz w:val="22"/>
          <w:szCs w:val="22"/>
          <w:lang w:val="en-GB"/>
        </w:rPr>
        <w:t>fail to</w:t>
      </w:r>
      <w:r w:rsidRPr="1FB80F97" w:rsidR="05228AE2">
        <w:rPr>
          <w:rFonts w:ascii="Arial" w:hAnsi="Arial" w:eastAsia="Arial" w:cs="Arial" w:asciiTheme="minorAscii" w:hAnsiTheme="minorAscii" w:eastAsiaTheme="minorAscii" w:cstheme="minorAscii"/>
          <w:noProof w:val="0"/>
          <w:sz w:val="22"/>
          <w:szCs w:val="22"/>
          <w:lang w:val="en-GB"/>
        </w:rPr>
        <w:t xml:space="preserve"> support leaders in implementing and sustaining improvements.</w:t>
      </w:r>
    </w:p>
    <w:p w:rsidR="05228AE2" w:rsidP="1FB80F97" w:rsidRDefault="05228AE2" w14:paraId="3D5FE2EE" w14:textId="3BD6F977">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An important lesson from this case is the need to move beyond a focus on individual error and instead address the underlying system conditions that contribute to failure. Reason (2000) emphasises that human error is inevitable, but its consequences can be mitigated through the design of resilient systems. In this case, the absence of robust safeguards allowed a single error to progress through multiple stages of the system without interception.</w:t>
      </w:r>
    </w:p>
    <w:p w:rsidR="05228AE2" w:rsidP="1FB80F97" w:rsidRDefault="05228AE2" w14:paraId="35BE7601" w14:textId="762E094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Another key lesson is the importance of organisational learning. The recurrence of similar incidents suggests that </w:t>
      </w:r>
      <w:r w:rsidRPr="1FB80F97" w:rsidR="05228AE2">
        <w:rPr>
          <w:rFonts w:ascii="Arial" w:hAnsi="Arial" w:eastAsia="Arial" w:cs="Arial" w:asciiTheme="minorAscii" w:hAnsiTheme="minorAscii" w:eastAsiaTheme="minorAscii" w:cstheme="minorAscii"/>
          <w:noProof w:val="0"/>
          <w:sz w:val="22"/>
          <w:szCs w:val="22"/>
          <w:lang w:val="en-GB"/>
        </w:rPr>
        <w:t>previous</w:t>
      </w:r>
      <w:r w:rsidRPr="1FB80F97" w:rsidR="05228AE2">
        <w:rPr>
          <w:rFonts w:ascii="Arial" w:hAnsi="Arial" w:eastAsia="Arial" w:cs="Arial" w:asciiTheme="minorAscii" w:hAnsiTheme="minorAscii" w:eastAsiaTheme="minorAscii" w:cstheme="minorAscii"/>
          <w:noProof w:val="0"/>
          <w:sz w:val="22"/>
          <w:szCs w:val="22"/>
          <w:lang w:val="en-GB"/>
        </w:rPr>
        <w:t xml:space="preserve"> errors were not effectively analysed or translated into system improvements. Learning organisations actively seek to understand the causes of failure, share insights across the system, and implement changes to prevent recurrence (Senge, 2006). This requires not only effective data collection and analysis but also leadership commitment to continuous improvement.</w:t>
      </w:r>
      <w:r w:rsidRPr="1FB80F97" w:rsidR="676A13BB">
        <w:rPr>
          <w:rFonts w:ascii="Arial" w:hAnsi="Arial" w:eastAsia="Arial" w:cs="Arial" w:asciiTheme="minorAscii" w:hAnsiTheme="minorAscii" w:eastAsiaTheme="minorAscii" w:cstheme="minorAscii"/>
          <w:noProof w:val="0"/>
          <w:sz w:val="22"/>
          <w:szCs w:val="22"/>
          <w:lang w:val="en-GB"/>
        </w:rPr>
        <w:t xml:space="preserve"> </w:t>
      </w:r>
      <w:r w:rsidRPr="1FB80F97" w:rsidR="05228AE2">
        <w:rPr>
          <w:rFonts w:ascii="Arial" w:hAnsi="Arial" w:eastAsia="Arial" w:cs="Arial" w:asciiTheme="minorAscii" w:hAnsiTheme="minorAscii" w:eastAsiaTheme="minorAscii" w:cstheme="minorAscii"/>
          <w:noProof w:val="0"/>
          <w:sz w:val="22"/>
          <w:szCs w:val="22"/>
          <w:lang w:val="en-GB"/>
        </w:rPr>
        <w:t>The integration of centralised and decentralised approaches is also critical. Centralised policies must be supported by effective local implementation, while decentralised autonomy must be accompanied by strong accountability and oversight. In the absence of such integration, systems become fragmented, increasing the risk of error. This case highlights the need for better alignment between national directives and local practice, supported by clear communication and shared responsibility.</w:t>
      </w:r>
      <w:r w:rsidRPr="1FB80F97" w:rsidR="7C1237E6">
        <w:rPr>
          <w:rFonts w:ascii="Arial" w:hAnsi="Arial" w:eastAsia="Arial" w:cs="Arial" w:asciiTheme="minorAscii" w:hAnsiTheme="minorAscii" w:eastAsiaTheme="minorAscii" w:cstheme="minorAscii"/>
          <w:noProof w:val="0"/>
          <w:sz w:val="22"/>
          <w:szCs w:val="22"/>
          <w:lang w:val="en-GB"/>
        </w:rPr>
        <w:t xml:space="preserve"> </w:t>
      </w:r>
      <w:r w:rsidRPr="1FB80F97" w:rsidR="05228AE2">
        <w:rPr>
          <w:rFonts w:ascii="Arial" w:hAnsi="Arial" w:eastAsia="Arial" w:cs="Arial" w:asciiTheme="minorAscii" w:hAnsiTheme="minorAscii" w:eastAsiaTheme="minorAscii" w:cstheme="minorAscii"/>
          <w:noProof w:val="0"/>
          <w:sz w:val="22"/>
          <w:szCs w:val="22"/>
          <w:lang w:val="en-GB"/>
        </w:rPr>
        <w:t xml:space="preserve">Finally, the use of data is essential in driving improvement and ensuring accountability. Healthcare organisations must utilise performance data, incident reports, and audit findings to </w:t>
      </w:r>
      <w:r w:rsidRPr="1FB80F97" w:rsidR="05228AE2">
        <w:rPr>
          <w:rFonts w:ascii="Arial" w:hAnsi="Arial" w:eastAsia="Arial" w:cs="Arial" w:asciiTheme="minorAscii" w:hAnsiTheme="minorAscii" w:eastAsiaTheme="minorAscii" w:cstheme="minorAscii"/>
          <w:noProof w:val="0"/>
          <w:sz w:val="22"/>
          <w:szCs w:val="22"/>
          <w:lang w:val="en-GB"/>
        </w:rPr>
        <w:t>identify</w:t>
      </w:r>
      <w:r w:rsidRPr="1FB80F97" w:rsidR="05228AE2">
        <w:rPr>
          <w:rFonts w:ascii="Arial" w:hAnsi="Arial" w:eastAsia="Arial" w:cs="Arial" w:asciiTheme="minorAscii" w:hAnsiTheme="minorAscii" w:eastAsiaTheme="minorAscii" w:cstheme="minorAscii"/>
          <w:noProof w:val="0"/>
          <w:sz w:val="22"/>
          <w:szCs w:val="22"/>
          <w:lang w:val="en-GB"/>
        </w:rPr>
        <w:t xml:space="preserve"> trends, </w:t>
      </w:r>
      <w:r w:rsidRPr="1FB80F97" w:rsidR="05228AE2">
        <w:rPr>
          <w:rFonts w:ascii="Arial" w:hAnsi="Arial" w:eastAsia="Arial" w:cs="Arial" w:asciiTheme="minorAscii" w:hAnsiTheme="minorAscii" w:eastAsiaTheme="minorAscii" w:cstheme="minorAscii"/>
          <w:noProof w:val="0"/>
          <w:sz w:val="22"/>
          <w:szCs w:val="22"/>
          <w:lang w:val="en-GB"/>
        </w:rPr>
        <w:t>monitor</w:t>
      </w:r>
      <w:r w:rsidRPr="1FB80F97" w:rsidR="05228AE2">
        <w:rPr>
          <w:rFonts w:ascii="Arial" w:hAnsi="Arial" w:eastAsia="Arial" w:cs="Arial" w:asciiTheme="minorAscii" w:hAnsiTheme="minorAscii" w:eastAsiaTheme="minorAscii" w:cstheme="minorAscii"/>
          <w:noProof w:val="0"/>
          <w:sz w:val="22"/>
          <w:szCs w:val="22"/>
          <w:lang w:val="en-GB"/>
        </w:rPr>
        <w:t xml:space="preserve"> progress, and inform decision-making. For example, tracking medication error rates and compliance with safety protocols can </w:t>
      </w:r>
      <w:r w:rsidRPr="1FB80F97" w:rsidR="05228AE2">
        <w:rPr>
          <w:rFonts w:ascii="Arial" w:hAnsi="Arial" w:eastAsia="Arial" w:cs="Arial" w:asciiTheme="minorAscii" w:hAnsiTheme="minorAscii" w:eastAsiaTheme="minorAscii" w:cstheme="minorAscii"/>
          <w:noProof w:val="0"/>
          <w:sz w:val="22"/>
          <w:szCs w:val="22"/>
          <w:lang w:val="en-GB"/>
        </w:rPr>
        <w:t>provide</w:t>
      </w:r>
      <w:r w:rsidRPr="1FB80F97" w:rsidR="05228AE2">
        <w:rPr>
          <w:rFonts w:ascii="Arial" w:hAnsi="Arial" w:eastAsia="Arial" w:cs="Arial" w:asciiTheme="minorAscii" w:hAnsiTheme="minorAscii" w:eastAsiaTheme="minorAscii" w:cstheme="minorAscii"/>
          <w:noProof w:val="0"/>
          <w:sz w:val="22"/>
          <w:szCs w:val="22"/>
          <w:lang w:val="en-GB"/>
        </w:rPr>
        <w:t xml:space="preserve"> valuable insights into system performance. However, data must be used proactively rather than retrospectively, enabling organisations to </w:t>
      </w:r>
      <w:r w:rsidRPr="1FB80F97" w:rsidR="05228AE2">
        <w:rPr>
          <w:rFonts w:ascii="Arial" w:hAnsi="Arial" w:eastAsia="Arial" w:cs="Arial" w:asciiTheme="minorAscii" w:hAnsiTheme="minorAscii" w:eastAsiaTheme="minorAscii" w:cstheme="minorAscii"/>
          <w:noProof w:val="0"/>
          <w:sz w:val="22"/>
          <w:szCs w:val="22"/>
          <w:lang w:val="en-GB"/>
        </w:rPr>
        <w:t>identify</w:t>
      </w:r>
      <w:r w:rsidRPr="1FB80F97" w:rsidR="05228AE2">
        <w:rPr>
          <w:rFonts w:ascii="Arial" w:hAnsi="Arial" w:eastAsia="Arial" w:cs="Arial" w:asciiTheme="minorAscii" w:hAnsiTheme="minorAscii" w:eastAsiaTheme="minorAscii" w:cstheme="minorAscii"/>
          <w:noProof w:val="0"/>
          <w:sz w:val="22"/>
          <w:szCs w:val="22"/>
          <w:lang w:val="en-GB"/>
        </w:rPr>
        <w:t xml:space="preserve"> risks before they result in harm.</w:t>
      </w:r>
      <w:r w:rsidRPr="1FB80F97" w:rsidR="64913490">
        <w:rPr>
          <w:rFonts w:ascii="Arial" w:hAnsi="Arial" w:eastAsia="Arial" w:cs="Arial" w:asciiTheme="minorAscii" w:hAnsiTheme="minorAscii" w:eastAsiaTheme="minorAscii" w:cstheme="minorAscii"/>
          <w:noProof w:val="0"/>
          <w:sz w:val="22"/>
          <w:szCs w:val="22"/>
          <w:lang w:val="en-GB"/>
        </w:rPr>
        <w:t xml:space="preserve"> </w:t>
      </w:r>
      <w:r w:rsidRPr="1FB80F97" w:rsidR="05228AE2">
        <w:rPr>
          <w:rFonts w:ascii="Arial" w:hAnsi="Arial" w:eastAsia="Arial" w:cs="Arial" w:asciiTheme="minorAscii" w:hAnsiTheme="minorAscii" w:eastAsiaTheme="minorAscii" w:cstheme="minorAscii"/>
          <w:noProof w:val="0"/>
          <w:sz w:val="22"/>
          <w:szCs w:val="22"/>
          <w:lang w:val="en-GB"/>
        </w:rPr>
        <w:t>In conclusion, the morphine overdose case underscores the importance of adopting a comprehensive, system-wide approach to improvement. By addressing weaknesses in medication safety processes, communication, governance, and leadership, healthcare organisations can enhance their capacity to deliver safe and effective care. The lessons learned from this case are not limited to a single organisation but are applicable across healthcare systems, highlighting the need for coordinated, evidence-based strategies to reduce harm and improve outcomes.</w:t>
      </w:r>
    </w:p>
    <w:p w:rsidR="05228AE2" w:rsidP="1FB80F97" w:rsidRDefault="05228AE2" w14:paraId="0D7A9E4F" w14:textId="236180D7">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05228AE2">
        <w:rPr>
          <w:rFonts w:ascii="Arial" w:hAnsi="Arial" w:eastAsia="Arial" w:cs="Arial" w:asciiTheme="minorAscii" w:hAnsiTheme="minorAscii" w:eastAsiaTheme="minorAscii" w:cstheme="minorAscii"/>
          <w:b w:val="1"/>
          <w:bCs w:val="1"/>
          <w:noProof w:val="0"/>
          <w:sz w:val="22"/>
          <w:szCs w:val="22"/>
          <w:lang w:val="en-GB"/>
        </w:rPr>
        <w:t>Recommendations</w:t>
      </w:r>
    </w:p>
    <w:p w:rsidR="05228AE2" w:rsidP="1FB80F97" w:rsidRDefault="05228AE2" w14:paraId="4AE45EF7" w14:textId="714D64E3">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The analysis of the morphine overdose case highlights the need for a comprehensive and system-wide approach to improvement, integrating leadership, governance, and technological interventions. The following recommendations are proposed to enhance patient safety, strengthen system performance, and prevent recurrence of similar incidents.</w:t>
      </w:r>
    </w:p>
    <w:p w:rsidR="05228AE2" w:rsidP="1FB80F97" w:rsidRDefault="05228AE2" w14:paraId="38AE0427" w14:textId="63F7C956">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Firstly, it is essential to adopt a </w:t>
      </w:r>
      <w:r w:rsidRPr="1FB80F97" w:rsidR="547F9ECE">
        <w:rPr>
          <w:rFonts w:ascii="Arial" w:hAnsi="Arial" w:eastAsia="Arial" w:cs="Arial" w:asciiTheme="minorAscii" w:hAnsiTheme="minorAscii" w:eastAsiaTheme="minorAscii" w:cstheme="minorAscii"/>
          <w:noProof w:val="0"/>
          <w:sz w:val="22"/>
          <w:szCs w:val="22"/>
          <w:lang w:val="en-GB"/>
        </w:rPr>
        <w:t>transformational</w:t>
      </w:r>
      <w:r w:rsidRPr="1FB80F97" w:rsidR="05228AE2">
        <w:rPr>
          <w:rFonts w:ascii="Arial" w:hAnsi="Arial" w:eastAsia="Arial" w:cs="Arial" w:asciiTheme="minorAscii" w:hAnsiTheme="minorAscii" w:eastAsiaTheme="minorAscii" w:cstheme="minorAscii"/>
          <w:noProof w:val="0"/>
          <w:sz w:val="22"/>
          <w:szCs w:val="22"/>
          <w:lang w:val="en-GB"/>
        </w:rPr>
        <w:t xml:space="preserve"> leadership approach across healthcare organisations. Transformational leadership has been shown to improve patient safety outcomes, staff engagement, and organisational learning (Boamah et al., 2018). Leaders should actively promote a culture of safety, openness, and continuous improvement, encouraging staff to report concerns and </w:t>
      </w:r>
      <w:r w:rsidRPr="1FB80F97" w:rsidR="05228AE2">
        <w:rPr>
          <w:rFonts w:ascii="Arial" w:hAnsi="Arial" w:eastAsia="Arial" w:cs="Arial" w:asciiTheme="minorAscii" w:hAnsiTheme="minorAscii" w:eastAsiaTheme="minorAscii" w:cstheme="minorAscii"/>
          <w:noProof w:val="0"/>
          <w:sz w:val="22"/>
          <w:szCs w:val="22"/>
          <w:lang w:val="en-GB"/>
        </w:rPr>
        <w:t>participate</w:t>
      </w:r>
      <w:r w:rsidRPr="1FB80F97" w:rsidR="05228AE2">
        <w:rPr>
          <w:rFonts w:ascii="Arial" w:hAnsi="Arial" w:eastAsia="Arial" w:cs="Arial" w:asciiTheme="minorAscii" w:hAnsiTheme="minorAscii" w:eastAsiaTheme="minorAscii" w:cstheme="minorAscii"/>
          <w:noProof w:val="0"/>
          <w:sz w:val="22"/>
          <w:szCs w:val="22"/>
          <w:lang w:val="en-GB"/>
        </w:rPr>
        <w:t xml:space="preserve"> in decision-making processes. This should be supported by the development of psychological safety, where individuals feel confident to challenge decisions and highlight potential risks without fear of blame.</w:t>
      </w:r>
    </w:p>
    <w:p w:rsidR="05228AE2" w:rsidP="1FB80F97" w:rsidRDefault="05228AE2" w14:paraId="75E4DA07" w14:textId="67DB96D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Secondly, governance structures must be strengthened to ensure clearer accountability and consistent implementation of national policies. This includes reinforcing the management of high-risk medications such as RED drugs through regular audits, compliance monitoring, and clear lines of responsibility. Organisations should implement routine checks on prescribing and dispensing practices, ensuring adherence to </w:t>
      </w:r>
      <w:r w:rsidRPr="1FB80F97" w:rsidR="05228AE2">
        <w:rPr>
          <w:rFonts w:ascii="Arial" w:hAnsi="Arial" w:eastAsia="Arial" w:cs="Arial" w:asciiTheme="minorAscii" w:hAnsiTheme="minorAscii" w:eastAsiaTheme="minorAscii" w:cstheme="minorAscii"/>
          <w:noProof w:val="0"/>
          <w:sz w:val="22"/>
          <w:szCs w:val="22"/>
          <w:lang w:val="en-GB"/>
        </w:rPr>
        <w:t>established</w:t>
      </w:r>
      <w:r w:rsidRPr="1FB80F97" w:rsidR="05228AE2">
        <w:rPr>
          <w:rFonts w:ascii="Arial" w:hAnsi="Arial" w:eastAsia="Arial" w:cs="Arial" w:asciiTheme="minorAscii" w:hAnsiTheme="minorAscii" w:eastAsiaTheme="minorAscii" w:cstheme="minorAscii"/>
          <w:noProof w:val="0"/>
          <w:sz w:val="22"/>
          <w:szCs w:val="22"/>
          <w:lang w:val="en-GB"/>
        </w:rPr>
        <w:t xml:space="preserve"> guidelines. In addition, incident reporting systems should be improved to ensure </w:t>
      </w:r>
      <w:r w:rsidRPr="1FB80F97" w:rsidR="05228AE2">
        <w:rPr>
          <w:rFonts w:ascii="Arial" w:hAnsi="Arial" w:eastAsia="Arial" w:cs="Arial" w:asciiTheme="minorAscii" w:hAnsiTheme="minorAscii" w:eastAsiaTheme="minorAscii" w:cstheme="minorAscii"/>
          <w:noProof w:val="0"/>
          <w:sz w:val="22"/>
          <w:szCs w:val="22"/>
          <w:lang w:val="en-GB"/>
        </w:rPr>
        <w:t>timely</w:t>
      </w:r>
      <w:r w:rsidRPr="1FB80F97" w:rsidR="05228AE2">
        <w:rPr>
          <w:rFonts w:ascii="Arial" w:hAnsi="Arial" w:eastAsia="Arial" w:cs="Arial" w:asciiTheme="minorAscii" w:hAnsiTheme="minorAscii" w:eastAsiaTheme="minorAscii" w:cstheme="minorAscii"/>
          <w:noProof w:val="0"/>
          <w:sz w:val="22"/>
          <w:szCs w:val="22"/>
          <w:lang w:val="en-GB"/>
        </w:rPr>
        <w:t xml:space="preserve"> reporting, transparency, and effective feedback loops, enabling organisations to learn from errors and implement corrective actions promptly.</w:t>
      </w:r>
    </w:p>
    <w:p w:rsidR="05228AE2" w:rsidP="1FB80F97" w:rsidRDefault="05228AE2" w14:paraId="6BFC56A8" w14:textId="494E3B3D">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Thirdly, the integration of digital technologies is critical in reducing medication errors and improving system reliability. Electronic prescribing systems and barcode medication administration should be implemented across healthcare settings to minimise human error and enhance accuracy. Evidence suggests that such technologies can significantly reduce medication-related harm when effectively integrated into clinical workflows (Keers et al., 2013). However, successful implementation requires adequate staff training, ongoing support, and alignment with organisational processes.</w:t>
      </w:r>
    </w:p>
    <w:p w:rsidR="05228AE2" w:rsidP="1FB80F97" w:rsidRDefault="05228AE2" w14:paraId="58792EF2" w14:textId="49ABF48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Improving communication and teamwork is another key priority. Structured communication tools, such as SBAR, should be embedded into routine practice to standardise information exchange and reduce ambiguity. Additionally, regular multidisciplinary safety huddles should be introduced to </w:t>
      </w:r>
      <w:r w:rsidRPr="1FB80F97" w:rsidR="05228AE2">
        <w:rPr>
          <w:rFonts w:ascii="Arial" w:hAnsi="Arial" w:eastAsia="Arial" w:cs="Arial" w:asciiTheme="minorAscii" w:hAnsiTheme="minorAscii" w:eastAsiaTheme="minorAscii" w:cstheme="minorAscii"/>
          <w:noProof w:val="0"/>
          <w:sz w:val="22"/>
          <w:szCs w:val="22"/>
          <w:lang w:val="en-GB"/>
        </w:rPr>
        <w:t>facilitate</w:t>
      </w:r>
      <w:r w:rsidRPr="1FB80F97" w:rsidR="05228AE2">
        <w:rPr>
          <w:rFonts w:ascii="Arial" w:hAnsi="Arial" w:eastAsia="Arial" w:cs="Arial" w:asciiTheme="minorAscii" w:hAnsiTheme="minorAscii" w:eastAsiaTheme="minorAscii" w:cstheme="minorAscii"/>
          <w:noProof w:val="0"/>
          <w:sz w:val="22"/>
          <w:szCs w:val="22"/>
          <w:lang w:val="en-GB"/>
        </w:rPr>
        <w:t xml:space="preserve"> proactive identification of risks, enhance team collaboration, and reinforce shared accountability for patient safety. These interventions contribute to a more cohesive and responsive system.</w:t>
      </w:r>
    </w:p>
    <w:p w:rsidR="05228AE2" w:rsidP="1FB80F97" w:rsidRDefault="05228AE2" w14:paraId="778148E2" w14:textId="5EA0B28D">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From an efficiency perspective, both technical and allocative efficiency should be addressed. Reducing medication errors can lead to significant cost savings by preventing avoidable harm, reducing hospital admissions, and minimising resource wastage. Resources should be </w:t>
      </w:r>
      <w:r w:rsidRPr="1FB80F97" w:rsidR="05228AE2">
        <w:rPr>
          <w:rFonts w:ascii="Arial" w:hAnsi="Arial" w:eastAsia="Arial" w:cs="Arial" w:asciiTheme="minorAscii" w:hAnsiTheme="minorAscii" w:eastAsiaTheme="minorAscii" w:cstheme="minorAscii"/>
          <w:noProof w:val="0"/>
          <w:sz w:val="22"/>
          <w:szCs w:val="22"/>
          <w:lang w:val="en-GB"/>
        </w:rPr>
        <w:t>allocated</w:t>
      </w:r>
      <w:r w:rsidRPr="1FB80F97" w:rsidR="05228AE2">
        <w:rPr>
          <w:rFonts w:ascii="Arial" w:hAnsi="Arial" w:eastAsia="Arial" w:cs="Arial" w:asciiTheme="minorAscii" w:hAnsiTheme="minorAscii" w:eastAsiaTheme="minorAscii" w:cstheme="minorAscii"/>
          <w:noProof w:val="0"/>
          <w:sz w:val="22"/>
          <w:szCs w:val="22"/>
          <w:lang w:val="en-GB"/>
        </w:rPr>
        <w:t xml:space="preserve"> towards high-impact interventions, such as staff training, digital systems, and workforce support, to maximise value and improve outcomes. Workforce planning is particularly important, as adequate staffing levels and skill mix are essential for </w:t>
      </w:r>
      <w:r w:rsidRPr="1FB80F97" w:rsidR="05228AE2">
        <w:rPr>
          <w:rFonts w:ascii="Arial" w:hAnsi="Arial" w:eastAsia="Arial" w:cs="Arial" w:asciiTheme="minorAscii" w:hAnsiTheme="minorAscii" w:eastAsiaTheme="minorAscii" w:cstheme="minorAscii"/>
          <w:noProof w:val="0"/>
          <w:sz w:val="22"/>
          <w:szCs w:val="22"/>
          <w:lang w:val="en-GB"/>
        </w:rPr>
        <w:t>maintaining</w:t>
      </w:r>
      <w:r w:rsidRPr="1FB80F97" w:rsidR="05228AE2">
        <w:rPr>
          <w:rFonts w:ascii="Arial" w:hAnsi="Arial" w:eastAsia="Arial" w:cs="Arial" w:asciiTheme="minorAscii" w:hAnsiTheme="minorAscii" w:eastAsiaTheme="minorAscii" w:cstheme="minorAscii"/>
          <w:noProof w:val="0"/>
          <w:sz w:val="22"/>
          <w:szCs w:val="22"/>
          <w:lang w:val="en-GB"/>
        </w:rPr>
        <w:t xml:space="preserve"> safe and effective care delivery.</w:t>
      </w:r>
    </w:p>
    <w:p w:rsidR="05228AE2" w:rsidP="1FB80F97" w:rsidRDefault="05228AE2" w14:paraId="63023DF8" w14:textId="1C461A5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Continuous learning and stakeholder engagement must also be prioritised. Healthcare organisations should adopt a learning systems approach, using data from incident reports, audits, and performance metrics to inform decision-making and drive improvement. Patients and families should be actively involved in safety initiatives, as their perspectives can </w:t>
      </w:r>
      <w:r w:rsidRPr="1FB80F97" w:rsidR="05228AE2">
        <w:rPr>
          <w:rFonts w:ascii="Arial" w:hAnsi="Arial" w:eastAsia="Arial" w:cs="Arial" w:asciiTheme="minorAscii" w:hAnsiTheme="minorAscii" w:eastAsiaTheme="minorAscii" w:cstheme="minorAscii"/>
          <w:noProof w:val="0"/>
          <w:sz w:val="22"/>
          <w:szCs w:val="22"/>
          <w:lang w:val="en-GB"/>
        </w:rPr>
        <w:t>provide</w:t>
      </w:r>
      <w:r w:rsidRPr="1FB80F97" w:rsidR="05228AE2">
        <w:rPr>
          <w:rFonts w:ascii="Arial" w:hAnsi="Arial" w:eastAsia="Arial" w:cs="Arial" w:asciiTheme="minorAscii" w:hAnsiTheme="minorAscii" w:eastAsiaTheme="minorAscii" w:cstheme="minorAscii"/>
          <w:noProof w:val="0"/>
          <w:sz w:val="22"/>
          <w:szCs w:val="22"/>
          <w:lang w:val="en-GB"/>
        </w:rPr>
        <w:t xml:space="preserve"> valuable insights into system weaknesses and opportunities for improvement. Co-production of services, where patients collaborate with healthcare professionals in designing and evaluating care processes, can enhance both quality and safety.</w:t>
      </w:r>
    </w:p>
    <w:p w:rsidR="05228AE2" w:rsidP="1FB80F97" w:rsidRDefault="05228AE2" w14:paraId="265C2865" w14:textId="1343BF1D">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Finally, greater alignment between centralised policies and decentralised practice is </w:t>
      </w:r>
      <w:r w:rsidRPr="1FB80F97" w:rsidR="05228AE2">
        <w:rPr>
          <w:rFonts w:ascii="Arial" w:hAnsi="Arial" w:eastAsia="Arial" w:cs="Arial" w:asciiTheme="minorAscii" w:hAnsiTheme="minorAscii" w:eastAsiaTheme="minorAscii" w:cstheme="minorAscii"/>
          <w:noProof w:val="0"/>
          <w:sz w:val="22"/>
          <w:szCs w:val="22"/>
          <w:lang w:val="en-GB"/>
        </w:rPr>
        <w:t>required</w:t>
      </w:r>
      <w:r w:rsidRPr="1FB80F97" w:rsidR="05228AE2">
        <w:rPr>
          <w:rFonts w:ascii="Arial" w:hAnsi="Arial" w:eastAsia="Arial" w:cs="Arial" w:asciiTheme="minorAscii" w:hAnsiTheme="minorAscii" w:eastAsiaTheme="minorAscii" w:cstheme="minorAscii"/>
          <w:noProof w:val="0"/>
          <w:sz w:val="22"/>
          <w:szCs w:val="22"/>
          <w:lang w:val="en-GB"/>
        </w:rPr>
        <w:t xml:space="preserve">. National guidelines must be supported by effective local implementation, with clear communication, training, and monitoring mechanisms. At the same time, local organisations should be empowered to adapt these policies to their specific contexts while </w:t>
      </w:r>
      <w:r w:rsidRPr="1FB80F97" w:rsidR="05228AE2">
        <w:rPr>
          <w:rFonts w:ascii="Arial" w:hAnsi="Arial" w:eastAsia="Arial" w:cs="Arial" w:asciiTheme="minorAscii" w:hAnsiTheme="minorAscii" w:eastAsiaTheme="minorAscii" w:cstheme="minorAscii"/>
          <w:noProof w:val="0"/>
          <w:sz w:val="22"/>
          <w:szCs w:val="22"/>
          <w:lang w:val="en-GB"/>
        </w:rPr>
        <w:t>maintaining</w:t>
      </w:r>
      <w:r w:rsidRPr="1FB80F97" w:rsidR="05228AE2">
        <w:rPr>
          <w:rFonts w:ascii="Arial" w:hAnsi="Arial" w:eastAsia="Arial" w:cs="Arial" w:asciiTheme="minorAscii" w:hAnsiTheme="minorAscii" w:eastAsiaTheme="minorAscii" w:cstheme="minorAscii"/>
          <w:noProof w:val="0"/>
          <w:sz w:val="22"/>
          <w:szCs w:val="22"/>
          <w:lang w:val="en-GB"/>
        </w:rPr>
        <w:t xml:space="preserve"> accountability for outcomes. This integrated approach will ensure that the strengths of both centralisation and decentralisation are utilised effectively.</w:t>
      </w:r>
    </w:p>
    <w:p w:rsidR="05228AE2" w:rsidP="1FB80F97" w:rsidRDefault="05228AE2" w14:paraId="4DD8A547" w14:textId="0C772ACA">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In summary, improving patient safety in this context requires a multifaceted strategy that combines leadership development, strengthened governance, technological innovation, and enhanced communication. By adopting these recommendations, healthcare organisations can build more resilient systems, improve performance, and reduce the likelihood of similar incidents in the future.</w:t>
      </w:r>
    </w:p>
    <w:p w:rsidR="1FB80F97" w:rsidP="1FB80F97" w:rsidRDefault="1FB80F97" w14:paraId="03407F5E" w14:textId="7A906DC9">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w:rsidR="1FB80F97" w:rsidP="1FB80F97" w:rsidRDefault="1FB80F97" w14:paraId="137A0257" w14:textId="01979A60">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w:rsidR="1FB80F97" w:rsidP="1FB80F97" w:rsidRDefault="1FB80F97" w14:paraId="1CC9449C" w14:textId="73C5C38A">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w:rsidR="1FB80F97" w:rsidP="1FB80F97" w:rsidRDefault="1FB80F97" w14:paraId="3DA88BA4" w14:textId="16611630">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w:rsidR="1FB80F97" w:rsidP="1FB80F97" w:rsidRDefault="1FB80F97" w14:paraId="6DB77696" w14:textId="19CE0E00">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w:rsidR="1FB80F97" w:rsidP="1FB80F97" w:rsidRDefault="1FB80F97" w14:paraId="27DFF2E3" w14:textId="0D4B974E">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w:rsidR="05228AE2" w:rsidP="1FB80F97" w:rsidRDefault="05228AE2" w14:paraId="1FE4833E" w14:textId="07F4959E">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05228AE2">
        <w:rPr>
          <w:rFonts w:ascii="Arial" w:hAnsi="Arial" w:eastAsia="Arial" w:cs="Arial" w:asciiTheme="minorAscii" w:hAnsiTheme="minorAscii" w:eastAsiaTheme="minorAscii" w:cstheme="minorAscii"/>
          <w:b w:val="1"/>
          <w:bCs w:val="1"/>
          <w:noProof w:val="0"/>
          <w:sz w:val="22"/>
          <w:szCs w:val="22"/>
          <w:lang w:val="en-GB"/>
        </w:rPr>
        <w:t>Conclusion</w:t>
      </w:r>
    </w:p>
    <w:p w:rsidR="05228AE2" w:rsidP="1FB80F97" w:rsidRDefault="05228AE2" w14:paraId="424531B0" w14:textId="5D5878F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This report has critically analysed the morphine overdose incident involving a four-week-old infant, </w:t>
      </w:r>
      <w:r w:rsidRPr="1FB80F97" w:rsidR="05228AE2">
        <w:rPr>
          <w:rFonts w:ascii="Arial" w:hAnsi="Arial" w:eastAsia="Arial" w:cs="Arial" w:asciiTheme="minorAscii" w:hAnsiTheme="minorAscii" w:eastAsiaTheme="minorAscii" w:cstheme="minorAscii"/>
          <w:noProof w:val="0"/>
          <w:sz w:val="22"/>
          <w:szCs w:val="22"/>
          <w:lang w:val="en-GB"/>
        </w:rPr>
        <w:t>demonstrating</w:t>
      </w:r>
      <w:r w:rsidRPr="1FB80F97" w:rsidR="05228AE2">
        <w:rPr>
          <w:rFonts w:ascii="Arial" w:hAnsi="Arial" w:eastAsia="Arial" w:cs="Arial" w:asciiTheme="minorAscii" w:hAnsiTheme="minorAscii" w:eastAsiaTheme="minorAscii" w:cstheme="minorAscii"/>
          <w:noProof w:val="0"/>
          <w:sz w:val="22"/>
          <w:szCs w:val="22"/>
          <w:lang w:val="en-GB"/>
        </w:rPr>
        <w:t xml:space="preserve"> how failures in leadership, governance, and system design can lead to significant patient harm. By applying systems thinking, the analysis has shown that the incident was not the result of a single error but rather a series of interconnected failures across prescribing, dispensing, and organisational processes.</w:t>
      </w:r>
    </w:p>
    <w:p w:rsidR="05228AE2" w:rsidP="1FB80F97" w:rsidRDefault="05228AE2" w14:paraId="6C0453E4" w14:textId="2B69188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The findings highlight the importance of effective leadership in shaping organisational culture, promoting patient safety, and ensuring the successful implementation of policies. The absence of proactive, adaptive, and inclusive leadership contributed to a system that was unable to </w:t>
      </w:r>
      <w:r w:rsidRPr="1FB80F97" w:rsidR="05228AE2">
        <w:rPr>
          <w:rFonts w:ascii="Arial" w:hAnsi="Arial" w:eastAsia="Arial" w:cs="Arial" w:asciiTheme="minorAscii" w:hAnsiTheme="minorAscii" w:eastAsiaTheme="minorAscii" w:cstheme="minorAscii"/>
          <w:noProof w:val="0"/>
          <w:sz w:val="22"/>
          <w:szCs w:val="22"/>
          <w:lang w:val="en-GB"/>
        </w:rPr>
        <w:t>anticipate</w:t>
      </w:r>
      <w:r w:rsidRPr="1FB80F97" w:rsidR="05228AE2">
        <w:rPr>
          <w:rFonts w:ascii="Arial" w:hAnsi="Arial" w:eastAsia="Arial" w:cs="Arial" w:asciiTheme="minorAscii" w:hAnsiTheme="minorAscii" w:eastAsiaTheme="minorAscii" w:cstheme="minorAscii"/>
          <w:noProof w:val="0"/>
          <w:sz w:val="22"/>
          <w:szCs w:val="22"/>
          <w:lang w:val="en-GB"/>
        </w:rPr>
        <w:t xml:space="preserve"> and prevent risk. Similarly, the analysis of centralisation and decentralisation revealed that while national policies provided a framework for safe practice, their effectiveness was undermined by inconsistent local implementation and weak governance structures.</w:t>
      </w:r>
    </w:p>
    <w:p w:rsidR="05228AE2" w:rsidP="1FB80F97" w:rsidRDefault="05228AE2" w14:paraId="681E897D" w14:textId="08B683B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 xml:space="preserve">The application of leadership theories further </w:t>
      </w:r>
      <w:r w:rsidRPr="1FB80F97" w:rsidR="05228AE2">
        <w:rPr>
          <w:rFonts w:ascii="Arial" w:hAnsi="Arial" w:eastAsia="Arial" w:cs="Arial" w:asciiTheme="minorAscii" w:hAnsiTheme="minorAscii" w:eastAsiaTheme="minorAscii" w:cstheme="minorAscii"/>
          <w:noProof w:val="0"/>
          <w:sz w:val="22"/>
          <w:szCs w:val="22"/>
          <w:lang w:val="en-GB"/>
        </w:rPr>
        <w:t>demonstrated</w:t>
      </w:r>
      <w:r w:rsidRPr="1FB80F97" w:rsidR="05228AE2">
        <w:rPr>
          <w:rFonts w:ascii="Arial" w:hAnsi="Arial" w:eastAsia="Arial" w:cs="Arial" w:asciiTheme="minorAscii" w:hAnsiTheme="minorAscii" w:eastAsiaTheme="minorAscii" w:cstheme="minorAscii"/>
          <w:noProof w:val="0"/>
          <w:sz w:val="22"/>
          <w:szCs w:val="22"/>
          <w:lang w:val="en-GB"/>
        </w:rPr>
        <w:t xml:space="preserve"> that a combination of transformational, transactional, and situational leadership approaches is necessary to address the complexities of healthcare systems. Leadership must not only ensure compliance with established protocols but also foster a culture of learning, communication, and continuous improvement. Without such integration, systems </w:t>
      </w:r>
      <w:r w:rsidRPr="1FB80F97" w:rsidR="05228AE2">
        <w:rPr>
          <w:rFonts w:ascii="Arial" w:hAnsi="Arial" w:eastAsia="Arial" w:cs="Arial" w:asciiTheme="minorAscii" w:hAnsiTheme="minorAscii" w:eastAsiaTheme="minorAscii" w:cstheme="minorAscii"/>
          <w:noProof w:val="0"/>
          <w:sz w:val="22"/>
          <w:szCs w:val="22"/>
          <w:lang w:val="en-GB"/>
        </w:rPr>
        <w:t>remain</w:t>
      </w:r>
      <w:r w:rsidRPr="1FB80F97" w:rsidR="05228AE2">
        <w:rPr>
          <w:rFonts w:ascii="Arial" w:hAnsi="Arial" w:eastAsia="Arial" w:cs="Arial" w:asciiTheme="minorAscii" w:hAnsiTheme="minorAscii" w:eastAsiaTheme="minorAscii" w:cstheme="minorAscii"/>
          <w:noProof w:val="0"/>
          <w:sz w:val="22"/>
          <w:szCs w:val="22"/>
          <w:lang w:val="en-GB"/>
        </w:rPr>
        <w:t xml:space="preserve"> vulnerable to recurring failures.</w:t>
      </w:r>
    </w:p>
    <w:p w:rsidR="05228AE2" w:rsidP="1FB80F97" w:rsidRDefault="05228AE2" w14:paraId="451FC200" w14:textId="38F3864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Importantly, this report has emphasised the value of systems thinking in understanding and addressing healthcare challenges. By focusing on the interactions between people, processes, and structures, systems thinking enables a more comprehensive approach to improvement, moving beyond individual blame towards sustainable system redesign.</w:t>
      </w:r>
    </w:p>
    <w:p w:rsidR="05228AE2" w:rsidP="1FB80F97" w:rsidRDefault="05228AE2" w14:paraId="489C81A2" w14:textId="53775FF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1FB80F97" w:rsidR="05228AE2">
        <w:rPr>
          <w:rFonts w:ascii="Arial" w:hAnsi="Arial" w:eastAsia="Arial" w:cs="Arial" w:asciiTheme="minorAscii" w:hAnsiTheme="minorAscii" w:eastAsiaTheme="minorAscii" w:cstheme="minorAscii"/>
          <w:noProof w:val="0"/>
          <w:sz w:val="22"/>
          <w:szCs w:val="22"/>
          <w:lang w:val="en-GB"/>
        </w:rPr>
        <w:t>In conclusion, improving patient safety and organisational performance requires coordinated action across leadership, governance, and system design. The lessons drawn from this case are applicable across healthcare systems, underscoring the need for evidence-based strategies, strong leadership, and continuous learning to drive meaningful and lasting change.</w:t>
      </w:r>
    </w:p>
    <w:p w:rsidR="1FB80F97" w:rsidP="1FB80F97" w:rsidRDefault="1FB80F97" w14:paraId="256F5937" w14:textId="6CC5DBB9">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FB80F97" w:rsidP="1FB80F97" w:rsidRDefault="1FB80F97" w14:paraId="36653322" w14:textId="4AFE671A">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1FB80F97" w:rsidP="1FB80F97" w:rsidRDefault="1FB80F97" w14:paraId="729A56E7" w14:textId="77EEED0E">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w:rsidR="05228AE2" w:rsidP="1FB80F97" w:rsidRDefault="05228AE2" w14:paraId="1E2AA02D" w14:textId="1294A4D0">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1FB80F97" w:rsidR="05228AE2">
        <w:rPr>
          <w:rFonts w:ascii="Arial" w:hAnsi="Arial" w:eastAsia="Arial" w:cs="Arial" w:asciiTheme="minorAscii" w:hAnsiTheme="minorAscii" w:eastAsiaTheme="minorAscii" w:cstheme="minorAscii"/>
          <w:b w:val="1"/>
          <w:bCs w:val="1"/>
          <w:noProof w:val="0"/>
          <w:sz w:val="22"/>
          <w:szCs w:val="22"/>
          <w:lang w:val="en-GB"/>
        </w:rPr>
        <w:t>References</w:t>
      </w:r>
    </w:p>
    <w:p w:rsidR="1604F1DD" w:rsidP="1FB80F97" w:rsidRDefault="1604F1DD" w14:paraId="715D49C1" w14:textId="7D38B3F2">
      <w:pPr>
        <w:spacing w:before="240" w:beforeAutospacing="off" w:after="240" w:afterAutospacing="off"/>
      </w:pPr>
      <w:r w:rsidRPr="1FB80F97" w:rsidR="1604F1DD">
        <w:rPr>
          <w:rFonts w:ascii="Arial" w:hAnsi="Arial" w:eastAsia="Arial" w:cs="Arial"/>
          <w:noProof w:val="0"/>
          <w:sz w:val="22"/>
          <w:szCs w:val="22"/>
          <w:lang w:val="en-GB"/>
        </w:rPr>
        <w:t xml:space="preserve">Alsulami, Z., Conroy, S. and Choonara, I. (2012) ‘Double checking the administration of medicines: what is the evidence?’, </w:t>
      </w:r>
      <w:r w:rsidRPr="1FB80F97" w:rsidR="1604F1DD">
        <w:rPr>
          <w:rFonts w:ascii="Arial" w:hAnsi="Arial" w:eastAsia="Arial" w:cs="Arial"/>
          <w:i w:val="1"/>
          <w:iCs w:val="1"/>
          <w:noProof w:val="0"/>
          <w:sz w:val="22"/>
          <w:szCs w:val="22"/>
          <w:lang w:val="en-GB"/>
        </w:rPr>
        <w:t>Archives of Disease in Childhood</w:t>
      </w:r>
      <w:r w:rsidRPr="1FB80F97" w:rsidR="1604F1DD">
        <w:rPr>
          <w:rFonts w:ascii="Arial" w:hAnsi="Arial" w:eastAsia="Arial" w:cs="Arial"/>
          <w:noProof w:val="0"/>
          <w:sz w:val="22"/>
          <w:szCs w:val="22"/>
          <w:lang w:val="en-GB"/>
        </w:rPr>
        <w:t>, 97(9), pp. 833–837.</w:t>
      </w:r>
    </w:p>
    <w:p w:rsidR="1604F1DD" w:rsidP="1FB80F97" w:rsidRDefault="1604F1DD" w14:paraId="7C08EF13" w14:textId="32FD4E18">
      <w:pPr>
        <w:spacing w:before="240" w:beforeAutospacing="off" w:after="240" w:afterAutospacing="off"/>
      </w:pPr>
      <w:r w:rsidRPr="1FB80F97" w:rsidR="1604F1DD">
        <w:rPr>
          <w:rFonts w:ascii="Arial" w:hAnsi="Arial" w:eastAsia="Arial" w:cs="Arial"/>
          <w:noProof w:val="0"/>
          <w:sz w:val="22"/>
          <w:szCs w:val="22"/>
          <w:lang w:val="en-GB"/>
        </w:rPr>
        <w:t xml:space="preserve">Ashcroft, D.M. et al. (2015) ‘Prospective study of dispensing errors in community pharmacies’, </w:t>
      </w:r>
      <w:r w:rsidRPr="1FB80F97" w:rsidR="1604F1DD">
        <w:rPr>
          <w:rFonts w:ascii="Arial" w:hAnsi="Arial" w:eastAsia="Arial" w:cs="Arial"/>
          <w:i w:val="1"/>
          <w:iCs w:val="1"/>
          <w:noProof w:val="0"/>
          <w:sz w:val="22"/>
          <w:szCs w:val="22"/>
          <w:lang w:val="en-GB"/>
        </w:rPr>
        <w:t>BMJ Quality &amp; Safety</w:t>
      </w:r>
      <w:r w:rsidRPr="1FB80F97" w:rsidR="1604F1DD">
        <w:rPr>
          <w:rFonts w:ascii="Arial" w:hAnsi="Arial" w:eastAsia="Arial" w:cs="Arial"/>
          <w:noProof w:val="0"/>
          <w:sz w:val="22"/>
          <w:szCs w:val="22"/>
          <w:lang w:val="en-GB"/>
        </w:rPr>
        <w:t>, 24(11), pp. 728–735.</w:t>
      </w:r>
    </w:p>
    <w:p w:rsidR="1604F1DD" w:rsidP="1FB80F97" w:rsidRDefault="1604F1DD" w14:paraId="2F78A572" w14:textId="2DBAFCFB">
      <w:pPr>
        <w:spacing w:before="240" w:beforeAutospacing="off" w:after="240" w:afterAutospacing="off"/>
      </w:pPr>
      <w:r w:rsidRPr="1FB80F97" w:rsidR="1604F1DD">
        <w:rPr>
          <w:rFonts w:ascii="Arial" w:hAnsi="Arial" w:eastAsia="Arial" w:cs="Arial"/>
          <w:noProof w:val="0"/>
          <w:sz w:val="22"/>
          <w:szCs w:val="22"/>
          <w:lang w:val="en-GB"/>
        </w:rPr>
        <w:t xml:space="preserve">Bass, B.M. and Riggio, R.E. (2006) </w:t>
      </w:r>
      <w:r w:rsidRPr="1FB80F97" w:rsidR="1604F1DD">
        <w:rPr>
          <w:rFonts w:ascii="Arial" w:hAnsi="Arial" w:eastAsia="Arial" w:cs="Arial"/>
          <w:i w:val="1"/>
          <w:iCs w:val="1"/>
          <w:noProof w:val="0"/>
          <w:sz w:val="22"/>
          <w:szCs w:val="22"/>
          <w:lang w:val="en-GB"/>
        </w:rPr>
        <w:t>Transformational Leadership</w:t>
      </w:r>
      <w:r w:rsidRPr="1FB80F97" w:rsidR="1604F1DD">
        <w:rPr>
          <w:rFonts w:ascii="Arial" w:hAnsi="Arial" w:eastAsia="Arial" w:cs="Arial"/>
          <w:noProof w:val="0"/>
          <w:sz w:val="22"/>
          <w:szCs w:val="22"/>
          <w:lang w:val="en-GB"/>
        </w:rPr>
        <w:t>. 2nd edn. Mahwah, NJ: Lawrence Erlbaum.</w:t>
      </w:r>
    </w:p>
    <w:p w:rsidR="1604F1DD" w:rsidP="1FB80F97" w:rsidRDefault="1604F1DD" w14:paraId="5BEA9DD1" w14:textId="018DA791">
      <w:pPr>
        <w:spacing w:before="240" w:beforeAutospacing="off" w:after="240" w:afterAutospacing="off"/>
      </w:pPr>
      <w:r w:rsidRPr="1FB80F97" w:rsidR="1604F1DD">
        <w:rPr>
          <w:rFonts w:ascii="Arial" w:hAnsi="Arial" w:eastAsia="Arial" w:cs="Arial"/>
          <w:noProof w:val="0"/>
          <w:sz w:val="22"/>
          <w:szCs w:val="22"/>
          <w:lang w:val="en-GB"/>
        </w:rPr>
        <w:t xml:space="preserve">Boamah, S.A. et al. (2018) ‘Effect of transformational leadership on job satisfaction and patient safety outcomes’, </w:t>
      </w:r>
      <w:r w:rsidRPr="1FB80F97" w:rsidR="1604F1DD">
        <w:rPr>
          <w:rFonts w:ascii="Arial" w:hAnsi="Arial" w:eastAsia="Arial" w:cs="Arial"/>
          <w:i w:val="1"/>
          <w:iCs w:val="1"/>
          <w:noProof w:val="0"/>
          <w:sz w:val="22"/>
          <w:szCs w:val="22"/>
          <w:lang w:val="en-GB"/>
        </w:rPr>
        <w:t>Nursing Outlook</w:t>
      </w:r>
      <w:r w:rsidRPr="1FB80F97" w:rsidR="1604F1DD">
        <w:rPr>
          <w:rFonts w:ascii="Arial" w:hAnsi="Arial" w:eastAsia="Arial" w:cs="Arial"/>
          <w:noProof w:val="0"/>
          <w:sz w:val="22"/>
          <w:szCs w:val="22"/>
          <w:lang w:val="en-GB"/>
        </w:rPr>
        <w:t>, 66(2), pp. 180–189.</w:t>
      </w:r>
    </w:p>
    <w:p w:rsidR="1604F1DD" w:rsidP="1FB80F97" w:rsidRDefault="1604F1DD" w14:paraId="211B1204" w14:textId="2929A070">
      <w:pPr>
        <w:spacing w:before="240" w:beforeAutospacing="off" w:after="240" w:afterAutospacing="off"/>
      </w:pPr>
      <w:r w:rsidRPr="1FB80F97" w:rsidR="1604F1DD">
        <w:rPr>
          <w:rFonts w:ascii="Arial" w:hAnsi="Arial" w:eastAsia="Arial" w:cs="Arial"/>
          <w:noProof w:val="0"/>
          <w:sz w:val="22"/>
          <w:szCs w:val="22"/>
          <w:lang w:val="en-GB"/>
        </w:rPr>
        <w:t xml:space="preserve">Care Quality Commission (CQC) (2023) </w:t>
      </w:r>
      <w:r w:rsidRPr="1FB80F97" w:rsidR="1604F1DD">
        <w:rPr>
          <w:rFonts w:ascii="Arial" w:hAnsi="Arial" w:eastAsia="Arial" w:cs="Arial"/>
          <w:i w:val="1"/>
          <w:iCs w:val="1"/>
          <w:noProof w:val="0"/>
          <w:sz w:val="22"/>
          <w:szCs w:val="22"/>
          <w:lang w:val="en-GB"/>
        </w:rPr>
        <w:t>State of Care Report</w:t>
      </w:r>
      <w:r w:rsidRPr="1FB80F97" w:rsidR="1604F1DD">
        <w:rPr>
          <w:rFonts w:ascii="Arial" w:hAnsi="Arial" w:eastAsia="Arial" w:cs="Arial"/>
          <w:noProof w:val="0"/>
          <w:sz w:val="22"/>
          <w:szCs w:val="22"/>
          <w:lang w:val="en-GB"/>
        </w:rPr>
        <w:t>. London: CQC.</w:t>
      </w:r>
    </w:p>
    <w:p w:rsidR="1604F1DD" w:rsidP="1FB80F97" w:rsidRDefault="1604F1DD" w14:paraId="50B8ECDB" w14:textId="499D8976">
      <w:pPr>
        <w:spacing w:before="240" w:beforeAutospacing="off" w:after="240" w:afterAutospacing="off"/>
      </w:pPr>
      <w:r w:rsidRPr="1FB80F97" w:rsidR="1604F1DD">
        <w:rPr>
          <w:rFonts w:ascii="Arial" w:hAnsi="Arial" w:eastAsia="Arial" w:cs="Arial"/>
          <w:noProof w:val="0"/>
          <w:sz w:val="22"/>
          <w:szCs w:val="22"/>
          <w:lang w:val="en-GB"/>
        </w:rPr>
        <w:t xml:space="preserve">Department of Health and Social Care (2019) </w:t>
      </w:r>
      <w:r w:rsidRPr="1FB80F97" w:rsidR="1604F1DD">
        <w:rPr>
          <w:rFonts w:ascii="Arial" w:hAnsi="Arial" w:eastAsia="Arial" w:cs="Arial"/>
          <w:i w:val="1"/>
          <w:iCs w:val="1"/>
          <w:noProof w:val="0"/>
          <w:sz w:val="22"/>
          <w:szCs w:val="22"/>
          <w:lang w:val="en-GB"/>
        </w:rPr>
        <w:t>The NHS Patient Safety Strategy</w:t>
      </w:r>
      <w:r w:rsidRPr="1FB80F97" w:rsidR="1604F1DD">
        <w:rPr>
          <w:rFonts w:ascii="Arial" w:hAnsi="Arial" w:eastAsia="Arial" w:cs="Arial"/>
          <w:noProof w:val="0"/>
          <w:sz w:val="22"/>
          <w:szCs w:val="22"/>
          <w:lang w:val="en-GB"/>
        </w:rPr>
        <w:t>. London: DHSC.</w:t>
      </w:r>
    </w:p>
    <w:p w:rsidR="1604F1DD" w:rsidP="1FB80F97" w:rsidRDefault="1604F1DD" w14:paraId="2124F2E8" w14:textId="5E1E1B87">
      <w:pPr>
        <w:spacing w:before="240" w:beforeAutospacing="off" w:after="240" w:afterAutospacing="off"/>
      </w:pPr>
      <w:r w:rsidRPr="1FB80F97" w:rsidR="1604F1DD">
        <w:rPr>
          <w:rFonts w:ascii="Arial" w:hAnsi="Arial" w:eastAsia="Arial" w:cs="Arial"/>
          <w:noProof w:val="0"/>
          <w:sz w:val="22"/>
          <w:szCs w:val="22"/>
          <w:lang w:val="en-GB"/>
        </w:rPr>
        <w:t xml:space="preserve">Dixon-Woods, M. et al. (2014) ‘Culture and behaviour in the NHS’, </w:t>
      </w:r>
      <w:r w:rsidRPr="1FB80F97" w:rsidR="1604F1DD">
        <w:rPr>
          <w:rFonts w:ascii="Arial" w:hAnsi="Arial" w:eastAsia="Arial" w:cs="Arial"/>
          <w:i w:val="1"/>
          <w:iCs w:val="1"/>
          <w:noProof w:val="0"/>
          <w:sz w:val="22"/>
          <w:szCs w:val="22"/>
          <w:lang w:val="en-GB"/>
        </w:rPr>
        <w:t>BMJ Quality &amp; Safety</w:t>
      </w:r>
      <w:r w:rsidRPr="1FB80F97" w:rsidR="1604F1DD">
        <w:rPr>
          <w:rFonts w:ascii="Arial" w:hAnsi="Arial" w:eastAsia="Arial" w:cs="Arial"/>
          <w:noProof w:val="0"/>
          <w:sz w:val="22"/>
          <w:szCs w:val="22"/>
          <w:lang w:val="en-GB"/>
        </w:rPr>
        <w:t>, 23(2), pp. 106–115.</w:t>
      </w:r>
    </w:p>
    <w:p w:rsidR="1604F1DD" w:rsidP="1FB80F97" w:rsidRDefault="1604F1DD" w14:paraId="4B0AAD70" w14:textId="04551AEB">
      <w:pPr>
        <w:spacing w:before="240" w:beforeAutospacing="off" w:after="240" w:afterAutospacing="off"/>
      </w:pPr>
      <w:r w:rsidRPr="1FB80F97" w:rsidR="1604F1DD">
        <w:rPr>
          <w:rFonts w:ascii="Arial" w:hAnsi="Arial" w:eastAsia="Arial" w:cs="Arial"/>
          <w:noProof w:val="0"/>
          <w:sz w:val="22"/>
          <w:szCs w:val="22"/>
          <w:lang w:val="en-GB"/>
        </w:rPr>
        <w:t xml:space="preserve">Edmondson, A.C. (2018) </w:t>
      </w:r>
      <w:r w:rsidRPr="1FB80F97" w:rsidR="1604F1DD">
        <w:rPr>
          <w:rFonts w:ascii="Arial" w:hAnsi="Arial" w:eastAsia="Arial" w:cs="Arial"/>
          <w:i w:val="1"/>
          <w:iCs w:val="1"/>
          <w:noProof w:val="0"/>
          <w:sz w:val="22"/>
          <w:szCs w:val="22"/>
          <w:lang w:val="en-GB"/>
        </w:rPr>
        <w:t>The Fearless Organization: Creating Psychological Safety in the Workplace</w:t>
      </w:r>
      <w:r w:rsidRPr="1FB80F97" w:rsidR="1604F1DD">
        <w:rPr>
          <w:rFonts w:ascii="Arial" w:hAnsi="Arial" w:eastAsia="Arial" w:cs="Arial"/>
          <w:noProof w:val="0"/>
          <w:sz w:val="22"/>
          <w:szCs w:val="22"/>
          <w:lang w:val="en-GB"/>
        </w:rPr>
        <w:t>. Hoboken: Wiley.</w:t>
      </w:r>
    </w:p>
    <w:p w:rsidR="1604F1DD" w:rsidP="1FB80F97" w:rsidRDefault="1604F1DD" w14:paraId="6C5F87E4" w14:textId="52ADE0C0">
      <w:pPr>
        <w:spacing w:before="240" w:beforeAutospacing="off" w:after="240" w:afterAutospacing="off"/>
      </w:pPr>
      <w:r w:rsidRPr="1FB80F97" w:rsidR="1604F1DD">
        <w:rPr>
          <w:rFonts w:ascii="Arial" w:hAnsi="Arial" w:eastAsia="Arial" w:cs="Arial"/>
          <w:noProof w:val="0"/>
          <w:sz w:val="22"/>
          <w:szCs w:val="22"/>
          <w:lang w:val="en-GB"/>
        </w:rPr>
        <w:t xml:space="preserve">Elliott, R.A. et al. (2018) ‘Prevalence and economic burden of medication errors’, </w:t>
      </w:r>
      <w:r w:rsidRPr="1FB80F97" w:rsidR="1604F1DD">
        <w:rPr>
          <w:rFonts w:ascii="Arial" w:hAnsi="Arial" w:eastAsia="Arial" w:cs="Arial"/>
          <w:i w:val="1"/>
          <w:iCs w:val="1"/>
          <w:noProof w:val="0"/>
          <w:sz w:val="22"/>
          <w:szCs w:val="22"/>
          <w:lang w:val="en-GB"/>
        </w:rPr>
        <w:t>BMJ Quality &amp; Safety</w:t>
      </w:r>
      <w:r w:rsidRPr="1FB80F97" w:rsidR="1604F1DD">
        <w:rPr>
          <w:rFonts w:ascii="Arial" w:hAnsi="Arial" w:eastAsia="Arial" w:cs="Arial"/>
          <w:noProof w:val="0"/>
          <w:sz w:val="22"/>
          <w:szCs w:val="22"/>
          <w:lang w:val="en-GB"/>
        </w:rPr>
        <w:t>, 27(9), pp. 734–740.</w:t>
      </w:r>
    </w:p>
    <w:p w:rsidR="1604F1DD" w:rsidP="1FB80F97" w:rsidRDefault="1604F1DD" w14:paraId="2DE5AC5C" w14:textId="74931564">
      <w:pPr>
        <w:spacing w:before="240" w:beforeAutospacing="off" w:after="240" w:afterAutospacing="off"/>
      </w:pPr>
      <w:r w:rsidRPr="1FB80F97" w:rsidR="1604F1DD">
        <w:rPr>
          <w:rFonts w:ascii="Arial" w:hAnsi="Arial" w:eastAsia="Arial" w:cs="Arial"/>
          <w:noProof w:val="0"/>
          <w:sz w:val="22"/>
          <w:szCs w:val="22"/>
          <w:lang w:val="en-GB"/>
        </w:rPr>
        <w:t xml:space="preserve">Fiedler, F.E. (1967) </w:t>
      </w:r>
      <w:r w:rsidRPr="1FB80F97" w:rsidR="1604F1DD">
        <w:rPr>
          <w:rFonts w:ascii="Arial" w:hAnsi="Arial" w:eastAsia="Arial" w:cs="Arial"/>
          <w:i w:val="1"/>
          <w:iCs w:val="1"/>
          <w:noProof w:val="0"/>
          <w:sz w:val="22"/>
          <w:szCs w:val="22"/>
          <w:lang w:val="en-GB"/>
        </w:rPr>
        <w:t>A Theory of Leadership Effectiveness</w:t>
      </w:r>
      <w:r w:rsidRPr="1FB80F97" w:rsidR="1604F1DD">
        <w:rPr>
          <w:rFonts w:ascii="Arial" w:hAnsi="Arial" w:eastAsia="Arial" w:cs="Arial"/>
          <w:noProof w:val="0"/>
          <w:sz w:val="22"/>
          <w:szCs w:val="22"/>
          <w:lang w:val="en-GB"/>
        </w:rPr>
        <w:t>. New York: McGraw-Hill.</w:t>
      </w:r>
    </w:p>
    <w:p w:rsidR="1604F1DD" w:rsidP="1FB80F97" w:rsidRDefault="1604F1DD" w14:paraId="5406AA2D" w14:textId="50B840CE">
      <w:pPr>
        <w:spacing w:before="240" w:beforeAutospacing="off" w:after="240" w:afterAutospacing="off"/>
      </w:pPr>
      <w:r w:rsidRPr="1FB80F97" w:rsidR="1604F1DD">
        <w:rPr>
          <w:rFonts w:ascii="Arial" w:hAnsi="Arial" w:eastAsia="Arial" w:cs="Arial"/>
          <w:noProof w:val="0"/>
          <w:sz w:val="22"/>
          <w:szCs w:val="22"/>
          <w:lang w:val="en-GB"/>
        </w:rPr>
        <w:t xml:space="preserve">Francis, R. (2013) </w:t>
      </w:r>
      <w:r w:rsidRPr="1FB80F97" w:rsidR="1604F1DD">
        <w:rPr>
          <w:rFonts w:ascii="Arial" w:hAnsi="Arial" w:eastAsia="Arial" w:cs="Arial"/>
          <w:i w:val="1"/>
          <w:iCs w:val="1"/>
          <w:noProof w:val="0"/>
          <w:sz w:val="22"/>
          <w:szCs w:val="22"/>
          <w:lang w:val="en-GB"/>
        </w:rPr>
        <w:t>Report of the Mid Staffordshire NHS Foundation Trust Public Inquiry</w:t>
      </w:r>
      <w:r w:rsidRPr="1FB80F97" w:rsidR="1604F1DD">
        <w:rPr>
          <w:rFonts w:ascii="Arial" w:hAnsi="Arial" w:eastAsia="Arial" w:cs="Arial"/>
          <w:noProof w:val="0"/>
          <w:sz w:val="22"/>
          <w:szCs w:val="22"/>
          <w:lang w:val="en-GB"/>
        </w:rPr>
        <w:t>. London: The Stationery Office.</w:t>
      </w:r>
    </w:p>
    <w:p w:rsidR="1604F1DD" w:rsidP="1FB80F97" w:rsidRDefault="1604F1DD" w14:paraId="3B70F14E" w14:textId="2ACC09D4">
      <w:pPr>
        <w:spacing w:before="240" w:beforeAutospacing="off" w:after="240" w:afterAutospacing="off"/>
      </w:pPr>
      <w:r w:rsidRPr="1FB80F97" w:rsidR="1604F1DD">
        <w:rPr>
          <w:rFonts w:ascii="Arial" w:hAnsi="Arial" w:eastAsia="Arial" w:cs="Arial"/>
          <w:noProof w:val="0"/>
          <w:sz w:val="22"/>
          <w:szCs w:val="22"/>
          <w:lang w:val="en-GB"/>
        </w:rPr>
        <w:t xml:space="preserve">Fulop, N.J. et al. (2019) ‘Leadership for healthcare improvement’, </w:t>
      </w:r>
      <w:r w:rsidRPr="1FB80F97" w:rsidR="1604F1DD">
        <w:rPr>
          <w:rFonts w:ascii="Arial" w:hAnsi="Arial" w:eastAsia="Arial" w:cs="Arial"/>
          <w:i w:val="1"/>
          <w:iCs w:val="1"/>
          <w:noProof w:val="0"/>
          <w:sz w:val="22"/>
          <w:szCs w:val="22"/>
          <w:lang w:val="en-GB"/>
        </w:rPr>
        <w:t>BMJ Leader</w:t>
      </w:r>
      <w:r w:rsidRPr="1FB80F97" w:rsidR="1604F1DD">
        <w:rPr>
          <w:rFonts w:ascii="Arial" w:hAnsi="Arial" w:eastAsia="Arial" w:cs="Arial"/>
          <w:noProof w:val="0"/>
          <w:sz w:val="22"/>
          <w:szCs w:val="22"/>
          <w:lang w:val="en-GB"/>
        </w:rPr>
        <w:t>, 3(1), pp. 1–4.</w:t>
      </w:r>
    </w:p>
    <w:p w:rsidR="1604F1DD" w:rsidP="1FB80F97" w:rsidRDefault="1604F1DD" w14:paraId="5BF24038" w14:textId="4101FBD2">
      <w:pPr>
        <w:spacing w:before="240" w:beforeAutospacing="off" w:after="240" w:afterAutospacing="off"/>
      </w:pPr>
      <w:r w:rsidRPr="1FB80F97" w:rsidR="1604F1DD">
        <w:rPr>
          <w:rFonts w:ascii="Arial" w:hAnsi="Arial" w:eastAsia="Arial" w:cs="Arial"/>
          <w:noProof w:val="0"/>
          <w:sz w:val="22"/>
          <w:szCs w:val="22"/>
          <w:lang w:val="en-GB"/>
        </w:rPr>
        <w:t xml:space="preserve">Goleman, D. (1998) </w:t>
      </w:r>
      <w:r w:rsidRPr="1FB80F97" w:rsidR="1604F1DD">
        <w:rPr>
          <w:rFonts w:ascii="Arial" w:hAnsi="Arial" w:eastAsia="Arial" w:cs="Arial"/>
          <w:i w:val="1"/>
          <w:iCs w:val="1"/>
          <w:noProof w:val="0"/>
          <w:sz w:val="22"/>
          <w:szCs w:val="22"/>
          <w:lang w:val="en-GB"/>
        </w:rPr>
        <w:t>Working with Emotional Intelligence</w:t>
      </w:r>
      <w:r w:rsidRPr="1FB80F97" w:rsidR="1604F1DD">
        <w:rPr>
          <w:rFonts w:ascii="Arial" w:hAnsi="Arial" w:eastAsia="Arial" w:cs="Arial"/>
          <w:noProof w:val="0"/>
          <w:sz w:val="22"/>
          <w:szCs w:val="22"/>
          <w:lang w:val="en-GB"/>
        </w:rPr>
        <w:t>. London: Bloomsbury.</w:t>
      </w:r>
    </w:p>
    <w:p w:rsidR="1604F1DD" w:rsidP="1FB80F97" w:rsidRDefault="1604F1DD" w14:paraId="75EE4DA2" w14:textId="7B57B0AB">
      <w:pPr>
        <w:spacing w:before="240" w:beforeAutospacing="off" w:after="240" w:afterAutospacing="off"/>
      </w:pPr>
      <w:r w:rsidRPr="1FB80F97" w:rsidR="1604F1DD">
        <w:rPr>
          <w:rFonts w:ascii="Arial" w:hAnsi="Arial" w:eastAsia="Arial" w:cs="Arial"/>
          <w:noProof w:val="0"/>
          <w:sz w:val="22"/>
          <w:szCs w:val="22"/>
          <w:lang w:val="en-GB"/>
        </w:rPr>
        <w:t xml:space="preserve">Griffiths, P. et al. (2018) ‘Nurse staffing levels and patient outcomes’, </w:t>
      </w:r>
      <w:r w:rsidRPr="1FB80F97" w:rsidR="1604F1DD">
        <w:rPr>
          <w:rFonts w:ascii="Arial" w:hAnsi="Arial" w:eastAsia="Arial" w:cs="Arial"/>
          <w:i w:val="1"/>
          <w:iCs w:val="1"/>
          <w:noProof w:val="0"/>
          <w:sz w:val="22"/>
          <w:szCs w:val="22"/>
          <w:lang w:val="en-GB"/>
        </w:rPr>
        <w:t>BMJ Open</w:t>
      </w:r>
      <w:r w:rsidRPr="1FB80F97" w:rsidR="1604F1DD">
        <w:rPr>
          <w:rFonts w:ascii="Arial" w:hAnsi="Arial" w:eastAsia="Arial" w:cs="Arial"/>
          <w:noProof w:val="0"/>
          <w:sz w:val="22"/>
          <w:szCs w:val="22"/>
          <w:lang w:val="en-GB"/>
        </w:rPr>
        <w:t>, 8(9).</w:t>
      </w:r>
    </w:p>
    <w:p w:rsidR="1604F1DD" w:rsidP="1FB80F97" w:rsidRDefault="1604F1DD" w14:paraId="6CD105FB" w14:textId="7747BE93">
      <w:pPr>
        <w:spacing w:before="240" w:beforeAutospacing="off" w:after="240" w:afterAutospacing="off"/>
      </w:pPr>
      <w:r w:rsidRPr="1FB80F97" w:rsidR="1604F1DD">
        <w:rPr>
          <w:rFonts w:ascii="Arial" w:hAnsi="Arial" w:eastAsia="Arial" w:cs="Arial"/>
          <w:noProof w:val="0"/>
          <w:sz w:val="22"/>
          <w:szCs w:val="22"/>
          <w:lang w:val="en-GB"/>
        </w:rPr>
        <w:t xml:space="preserve">Hersey, P., Blanchard, K.H. and Johnson, D.E. (2013) </w:t>
      </w:r>
      <w:r w:rsidRPr="1FB80F97" w:rsidR="1604F1DD">
        <w:rPr>
          <w:rFonts w:ascii="Arial" w:hAnsi="Arial" w:eastAsia="Arial" w:cs="Arial"/>
          <w:i w:val="1"/>
          <w:iCs w:val="1"/>
          <w:noProof w:val="0"/>
          <w:sz w:val="22"/>
          <w:szCs w:val="22"/>
          <w:lang w:val="en-GB"/>
        </w:rPr>
        <w:t>Management of Organizational Behavior</w:t>
      </w:r>
      <w:r w:rsidRPr="1FB80F97" w:rsidR="1604F1DD">
        <w:rPr>
          <w:rFonts w:ascii="Arial" w:hAnsi="Arial" w:eastAsia="Arial" w:cs="Arial"/>
          <w:noProof w:val="0"/>
          <w:sz w:val="22"/>
          <w:szCs w:val="22"/>
          <w:lang w:val="en-GB"/>
        </w:rPr>
        <w:t>. 10th edn. Harlow: Pearson.</w:t>
      </w:r>
    </w:p>
    <w:p w:rsidR="1604F1DD" w:rsidP="1FB80F97" w:rsidRDefault="1604F1DD" w14:paraId="3E6ABB40" w14:textId="5DBED183">
      <w:pPr>
        <w:spacing w:before="240" w:beforeAutospacing="off" w:after="240" w:afterAutospacing="off"/>
      </w:pPr>
      <w:r w:rsidRPr="1FB80F97" w:rsidR="1604F1DD">
        <w:rPr>
          <w:rFonts w:ascii="Arial" w:hAnsi="Arial" w:eastAsia="Arial" w:cs="Arial"/>
          <w:noProof w:val="0"/>
          <w:sz w:val="22"/>
          <w:szCs w:val="22"/>
          <w:lang w:val="en-GB"/>
        </w:rPr>
        <w:t xml:space="preserve">Institute for Healthcare Improvement (IHI) (2020) </w:t>
      </w:r>
      <w:r w:rsidRPr="1FB80F97" w:rsidR="1604F1DD">
        <w:rPr>
          <w:rFonts w:ascii="Arial" w:hAnsi="Arial" w:eastAsia="Arial" w:cs="Arial"/>
          <w:i w:val="1"/>
          <w:iCs w:val="1"/>
          <w:noProof w:val="0"/>
          <w:sz w:val="22"/>
          <w:szCs w:val="22"/>
          <w:lang w:val="en-GB"/>
        </w:rPr>
        <w:t>Patient Safety Essentials Toolkit</w:t>
      </w:r>
      <w:r w:rsidRPr="1FB80F97" w:rsidR="1604F1DD">
        <w:rPr>
          <w:rFonts w:ascii="Arial" w:hAnsi="Arial" w:eastAsia="Arial" w:cs="Arial"/>
          <w:noProof w:val="0"/>
          <w:sz w:val="22"/>
          <w:szCs w:val="22"/>
          <w:lang w:val="en-GB"/>
        </w:rPr>
        <w:t>.</w:t>
      </w:r>
    </w:p>
    <w:p w:rsidR="1604F1DD" w:rsidP="1FB80F97" w:rsidRDefault="1604F1DD" w14:paraId="467A6A48" w14:textId="0F259653">
      <w:pPr>
        <w:spacing w:before="240" w:beforeAutospacing="off" w:after="240" w:afterAutospacing="off"/>
      </w:pPr>
      <w:r w:rsidRPr="1FB80F97" w:rsidR="1604F1DD">
        <w:rPr>
          <w:rFonts w:ascii="Arial" w:hAnsi="Arial" w:eastAsia="Arial" w:cs="Arial"/>
          <w:noProof w:val="0"/>
          <w:sz w:val="22"/>
          <w:szCs w:val="22"/>
          <w:lang w:val="en-GB"/>
        </w:rPr>
        <w:t xml:space="preserve">Keers, R.N. et al. (2013) ‘Causes of medication administration errors’, </w:t>
      </w:r>
      <w:r w:rsidRPr="1FB80F97" w:rsidR="1604F1DD">
        <w:rPr>
          <w:rFonts w:ascii="Arial" w:hAnsi="Arial" w:eastAsia="Arial" w:cs="Arial"/>
          <w:i w:val="1"/>
          <w:iCs w:val="1"/>
          <w:noProof w:val="0"/>
          <w:sz w:val="22"/>
          <w:szCs w:val="22"/>
          <w:lang w:val="en-GB"/>
        </w:rPr>
        <w:t>Drug Safety</w:t>
      </w:r>
      <w:r w:rsidRPr="1FB80F97" w:rsidR="1604F1DD">
        <w:rPr>
          <w:rFonts w:ascii="Arial" w:hAnsi="Arial" w:eastAsia="Arial" w:cs="Arial"/>
          <w:noProof w:val="0"/>
          <w:sz w:val="22"/>
          <w:szCs w:val="22"/>
          <w:lang w:val="en-GB"/>
        </w:rPr>
        <w:t>, 36(11), pp. 1045–1067.</w:t>
      </w:r>
    </w:p>
    <w:p w:rsidR="1604F1DD" w:rsidP="1FB80F97" w:rsidRDefault="1604F1DD" w14:paraId="5F72A7AC" w14:textId="2C354893">
      <w:pPr>
        <w:spacing w:before="240" w:beforeAutospacing="off" w:after="240" w:afterAutospacing="off"/>
      </w:pPr>
      <w:r w:rsidRPr="1FB80F97" w:rsidR="1604F1DD">
        <w:rPr>
          <w:rFonts w:ascii="Arial" w:hAnsi="Arial" w:eastAsia="Arial" w:cs="Arial"/>
          <w:noProof w:val="0"/>
          <w:sz w:val="22"/>
          <w:szCs w:val="22"/>
          <w:lang w:val="en-GB"/>
        </w:rPr>
        <w:t xml:space="preserve">Kotter, J.P. (2012) </w:t>
      </w:r>
      <w:r w:rsidRPr="1FB80F97" w:rsidR="1604F1DD">
        <w:rPr>
          <w:rFonts w:ascii="Arial" w:hAnsi="Arial" w:eastAsia="Arial" w:cs="Arial"/>
          <w:i w:val="1"/>
          <w:iCs w:val="1"/>
          <w:noProof w:val="0"/>
          <w:sz w:val="22"/>
          <w:szCs w:val="22"/>
          <w:lang w:val="en-GB"/>
        </w:rPr>
        <w:t>Leading Change</w:t>
      </w:r>
      <w:r w:rsidRPr="1FB80F97" w:rsidR="1604F1DD">
        <w:rPr>
          <w:rFonts w:ascii="Arial" w:hAnsi="Arial" w:eastAsia="Arial" w:cs="Arial"/>
          <w:noProof w:val="0"/>
          <w:sz w:val="22"/>
          <w:szCs w:val="22"/>
          <w:lang w:val="en-GB"/>
        </w:rPr>
        <w:t>. Boston: Harvard Business Review Press.</w:t>
      </w:r>
    </w:p>
    <w:p w:rsidR="1604F1DD" w:rsidP="1FB80F97" w:rsidRDefault="1604F1DD" w14:paraId="049F1DDD" w14:textId="10D08415">
      <w:pPr>
        <w:spacing w:before="240" w:beforeAutospacing="off" w:after="240" w:afterAutospacing="off"/>
      </w:pPr>
      <w:r w:rsidRPr="1FB80F97" w:rsidR="1604F1DD">
        <w:rPr>
          <w:rFonts w:ascii="Arial" w:hAnsi="Arial" w:eastAsia="Arial" w:cs="Arial"/>
          <w:noProof w:val="0"/>
          <w:sz w:val="22"/>
          <w:szCs w:val="22"/>
          <w:lang w:val="en-GB"/>
        </w:rPr>
        <w:t xml:space="preserve">Leonard, M., Graham, S. and Bonacum, D. (2004) ‘The human factor’, </w:t>
      </w:r>
      <w:r w:rsidRPr="1FB80F97" w:rsidR="1604F1DD">
        <w:rPr>
          <w:rFonts w:ascii="Arial" w:hAnsi="Arial" w:eastAsia="Arial" w:cs="Arial"/>
          <w:i w:val="1"/>
          <w:iCs w:val="1"/>
          <w:noProof w:val="0"/>
          <w:sz w:val="22"/>
          <w:szCs w:val="22"/>
          <w:lang w:val="en-GB"/>
        </w:rPr>
        <w:t>Quality and Safety in Health Care</w:t>
      </w:r>
      <w:r w:rsidRPr="1FB80F97" w:rsidR="1604F1DD">
        <w:rPr>
          <w:rFonts w:ascii="Arial" w:hAnsi="Arial" w:eastAsia="Arial" w:cs="Arial"/>
          <w:noProof w:val="0"/>
          <w:sz w:val="22"/>
          <w:szCs w:val="22"/>
          <w:lang w:val="en-GB"/>
        </w:rPr>
        <w:t>, 13(suppl 1), pp. i85–i90.</w:t>
      </w:r>
    </w:p>
    <w:p w:rsidR="1604F1DD" w:rsidP="1FB80F97" w:rsidRDefault="1604F1DD" w14:paraId="6FF481AF" w14:textId="0996AA82">
      <w:pPr>
        <w:spacing w:before="240" w:beforeAutospacing="off" w:after="240" w:afterAutospacing="off"/>
      </w:pPr>
      <w:r w:rsidRPr="1FB80F97" w:rsidR="1604F1DD">
        <w:rPr>
          <w:rFonts w:ascii="Arial" w:hAnsi="Arial" w:eastAsia="Arial" w:cs="Arial"/>
          <w:noProof w:val="0"/>
          <w:sz w:val="22"/>
          <w:szCs w:val="22"/>
          <w:lang w:val="en-GB"/>
        </w:rPr>
        <w:t xml:space="preserve">Manojlovich, M. (2007) ‘Power and empowerment in nursing’, </w:t>
      </w:r>
      <w:r w:rsidRPr="1FB80F97" w:rsidR="1604F1DD">
        <w:rPr>
          <w:rFonts w:ascii="Arial" w:hAnsi="Arial" w:eastAsia="Arial" w:cs="Arial"/>
          <w:i w:val="1"/>
          <w:iCs w:val="1"/>
          <w:noProof w:val="0"/>
          <w:sz w:val="22"/>
          <w:szCs w:val="22"/>
          <w:lang w:val="en-GB"/>
        </w:rPr>
        <w:t>Journal of Nursing Administration</w:t>
      </w:r>
      <w:r w:rsidRPr="1FB80F97" w:rsidR="1604F1DD">
        <w:rPr>
          <w:rFonts w:ascii="Arial" w:hAnsi="Arial" w:eastAsia="Arial" w:cs="Arial"/>
          <w:noProof w:val="0"/>
          <w:sz w:val="22"/>
          <w:szCs w:val="22"/>
          <w:lang w:val="en-GB"/>
        </w:rPr>
        <w:t>, 37(1), pp. 41–47.</w:t>
      </w:r>
    </w:p>
    <w:p w:rsidR="1604F1DD" w:rsidP="1FB80F97" w:rsidRDefault="1604F1DD" w14:paraId="1388DA97" w14:textId="42EBC530">
      <w:pPr>
        <w:spacing w:before="240" w:beforeAutospacing="off" w:after="240" w:afterAutospacing="off"/>
      </w:pPr>
      <w:r w:rsidRPr="1FB80F97" w:rsidR="1604F1DD">
        <w:rPr>
          <w:rFonts w:ascii="Arial" w:hAnsi="Arial" w:eastAsia="Arial" w:cs="Arial"/>
          <w:noProof w:val="0"/>
          <w:sz w:val="22"/>
          <w:szCs w:val="22"/>
          <w:lang w:val="en-GB"/>
        </w:rPr>
        <w:t xml:space="preserve">NHS England (2022) </w:t>
      </w:r>
      <w:r w:rsidRPr="1FB80F97" w:rsidR="1604F1DD">
        <w:rPr>
          <w:rFonts w:ascii="Arial" w:hAnsi="Arial" w:eastAsia="Arial" w:cs="Arial"/>
          <w:i w:val="1"/>
          <w:iCs w:val="1"/>
          <w:noProof w:val="0"/>
          <w:sz w:val="22"/>
          <w:szCs w:val="22"/>
          <w:lang w:val="en-GB"/>
        </w:rPr>
        <w:t>NHS Workforce Statistics</w:t>
      </w:r>
      <w:r w:rsidRPr="1FB80F97" w:rsidR="1604F1DD">
        <w:rPr>
          <w:rFonts w:ascii="Arial" w:hAnsi="Arial" w:eastAsia="Arial" w:cs="Arial"/>
          <w:noProof w:val="0"/>
          <w:sz w:val="22"/>
          <w:szCs w:val="22"/>
          <w:lang w:val="en-GB"/>
        </w:rPr>
        <w:t>.</w:t>
      </w:r>
    </w:p>
    <w:p w:rsidR="1604F1DD" w:rsidP="1FB80F97" w:rsidRDefault="1604F1DD" w14:paraId="18DD142F" w14:textId="7A37B644">
      <w:pPr>
        <w:spacing w:before="240" w:beforeAutospacing="off" w:after="240" w:afterAutospacing="off"/>
      </w:pPr>
      <w:r w:rsidRPr="1FB80F97" w:rsidR="1604F1DD">
        <w:rPr>
          <w:rFonts w:ascii="Arial" w:hAnsi="Arial" w:eastAsia="Arial" w:cs="Arial"/>
          <w:noProof w:val="0"/>
          <w:sz w:val="22"/>
          <w:szCs w:val="22"/>
          <w:lang w:val="en-GB"/>
        </w:rPr>
        <w:t xml:space="preserve">NHS England (2019) </w:t>
      </w:r>
      <w:r w:rsidRPr="1FB80F97" w:rsidR="1604F1DD">
        <w:rPr>
          <w:rFonts w:ascii="Arial" w:hAnsi="Arial" w:eastAsia="Arial" w:cs="Arial"/>
          <w:i w:val="1"/>
          <w:iCs w:val="1"/>
          <w:noProof w:val="0"/>
          <w:sz w:val="22"/>
          <w:szCs w:val="22"/>
          <w:lang w:val="en-GB"/>
        </w:rPr>
        <w:t>The NHS Patient Safety Strategy</w:t>
      </w:r>
      <w:r w:rsidRPr="1FB80F97" w:rsidR="1604F1DD">
        <w:rPr>
          <w:rFonts w:ascii="Arial" w:hAnsi="Arial" w:eastAsia="Arial" w:cs="Arial"/>
          <w:noProof w:val="0"/>
          <w:sz w:val="22"/>
          <w:szCs w:val="22"/>
          <w:lang w:val="en-GB"/>
        </w:rPr>
        <w:t>.</w:t>
      </w:r>
    </w:p>
    <w:p w:rsidR="1604F1DD" w:rsidP="1FB80F97" w:rsidRDefault="1604F1DD" w14:paraId="7D99BB5E" w14:textId="0AB3F42D">
      <w:pPr>
        <w:spacing w:before="240" w:beforeAutospacing="off" w:after="240" w:afterAutospacing="off"/>
      </w:pPr>
      <w:r w:rsidRPr="1FB80F97" w:rsidR="1604F1DD">
        <w:rPr>
          <w:rFonts w:ascii="Arial" w:hAnsi="Arial" w:eastAsia="Arial" w:cs="Arial"/>
          <w:noProof w:val="0"/>
          <w:sz w:val="22"/>
          <w:szCs w:val="22"/>
          <w:lang w:val="en-GB"/>
        </w:rPr>
        <w:t xml:space="preserve">NHS Staff Survey (2022) </w:t>
      </w:r>
      <w:r w:rsidRPr="1FB80F97" w:rsidR="1604F1DD">
        <w:rPr>
          <w:rFonts w:ascii="Arial" w:hAnsi="Arial" w:eastAsia="Arial" w:cs="Arial"/>
          <w:i w:val="1"/>
          <w:iCs w:val="1"/>
          <w:noProof w:val="0"/>
          <w:sz w:val="22"/>
          <w:szCs w:val="22"/>
          <w:lang w:val="en-GB"/>
        </w:rPr>
        <w:t>National Results Briefing</w:t>
      </w:r>
      <w:r w:rsidRPr="1FB80F97" w:rsidR="1604F1DD">
        <w:rPr>
          <w:rFonts w:ascii="Arial" w:hAnsi="Arial" w:eastAsia="Arial" w:cs="Arial"/>
          <w:noProof w:val="0"/>
          <w:sz w:val="22"/>
          <w:szCs w:val="22"/>
          <w:lang w:val="en-GB"/>
        </w:rPr>
        <w:t>.</w:t>
      </w:r>
    </w:p>
    <w:p w:rsidR="1604F1DD" w:rsidP="1FB80F97" w:rsidRDefault="1604F1DD" w14:paraId="2CCBFE58" w14:textId="71F63F30">
      <w:pPr>
        <w:spacing w:before="240" w:beforeAutospacing="off" w:after="240" w:afterAutospacing="off"/>
      </w:pPr>
      <w:r w:rsidRPr="1FB80F97" w:rsidR="1604F1DD">
        <w:rPr>
          <w:rFonts w:ascii="Arial" w:hAnsi="Arial" w:eastAsia="Arial" w:cs="Arial"/>
          <w:noProof w:val="0"/>
          <w:sz w:val="22"/>
          <w:szCs w:val="22"/>
          <w:lang w:val="en-GB"/>
        </w:rPr>
        <w:t xml:space="preserve">Northouse, P.G. (2021) </w:t>
      </w:r>
      <w:r w:rsidRPr="1FB80F97" w:rsidR="1604F1DD">
        <w:rPr>
          <w:rFonts w:ascii="Arial" w:hAnsi="Arial" w:eastAsia="Arial" w:cs="Arial"/>
          <w:i w:val="1"/>
          <w:iCs w:val="1"/>
          <w:noProof w:val="0"/>
          <w:sz w:val="22"/>
          <w:szCs w:val="22"/>
          <w:lang w:val="en-GB"/>
        </w:rPr>
        <w:t>Leadership: Theory and Practice</w:t>
      </w:r>
      <w:r w:rsidRPr="1FB80F97" w:rsidR="1604F1DD">
        <w:rPr>
          <w:rFonts w:ascii="Arial" w:hAnsi="Arial" w:eastAsia="Arial" w:cs="Arial"/>
          <w:noProof w:val="0"/>
          <w:sz w:val="22"/>
          <w:szCs w:val="22"/>
          <w:lang w:val="en-GB"/>
        </w:rPr>
        <w:t>. 9th edn. London: Sage.</w:t>
      </w:r>
    </w:p>
    <w:p w:rsidR="1604F1DD" w:rsidP="1FB80F97" w:rsidRDefault="1604F1DD" w14:paraId="2C36F54F" w14:textId="43CD6236">
      <w:pPr>
        <w:spacing w:before="240" w:beforeAutospacing="off" w:after="240" w:afterAutospacing="off"/>
      </w:pPr>
      <w:r w:rsidRPr="1FB80F97" w:rsidR="1604F1DD">
        <w:rPr>
          <w:rFonts w:ascii="Arial" w:hAnsi="Arial" w:eastAsia="Arial" w:cs="Arial"/>
          <w:noProof w:val="0"/>
          <w:sz w:val="22"/>
          <w:szCs w:val="22"/>
          <w:lang w:val="en-GB"/>
        </w:rPr>
        <w:t xml:space="preserve">Reason, J. (2000) ‘Human error: models and management’, </w:t>
      </w:r>
      <w:r w:rsidRPr="1FB80F97" w:rsidR="1604F1DD">
        <w:rPr>
          <w:rFonts w:ascii="Arial" w:hAnsi="Arial" w:eastAsia="Arial" w:cs="Arial"/>
          <w:i w:val="1"/>
          <w:iCs w:val="1"/>
          <w:noProof w:val="0"/>
          <w:sz w:val="22"/>
          <w:szCs w:val="22"/>
          <w:lang w:val="en-GB"/>
        </w:rPr>
        <w:t>BMJ</w:t>
      </w:r>
      <w:r w:rsidRPr="1FB80F97" w:rsidR="1604F1DD">
        <w:rPr>
          <w:rFonts w:ascii="Arial" w:hAnsi="Arial" w:eastAsia="Arial" w:cs="Arial"/>
          <w:noProof w:val="0"/>
          <w:sz w:val="22"/>
          <w:szCs w:val="22"/>
          <w:lang w:val="en-GB"/>
        </w:rPr>
        <w:t>, 320(7237), pp. 768–770.</w:t>
      </w:r>
    </w:p>
    <w:p w:rsidR="1604F1DD" w:rsidP="1FB80F97" w:rsidRDefault="1604F1DD" w14:paraId="57B396F7" w14:textId="071FCF19">
      <w:pPr>
        <w:spacing w:before="240" w:beforeAutospacing="off" w:after="240" w:afterAutospacing="off"/>
      </w:pPr>
      <w:r w:rsidRPr="1FB80F97" w:rsidR="1604F1DD">
        <w:rPr>
          <w:rFonts w:ascii="Arial" w:hAnsi="Arial" w:eastAsia="Arial" w:cs="Arial"/>
          <w:noProof w:val="0"/>
          <w:sz w:val="22"/>
          <w:szCs w:val="22"/>
          <w:lang w:val="en-GB"/>
        </w:rPr>
        <w:t xml:space="preserve">Salas, E. et al. (2005) ‘Teamwork in healthcare’, </w:t>
      </w:r>
      <w:r w:rsidRPr="1FB80F97" w:rsidR="1604F1DD">
        <w:rPr>
          <w:rFonts w:ascii="Arial" w:hAnsi="Arial" w:eastAsia="Arial" w:cs="Arial"/>
          <w:i w:val="1"/>
          <w:iCs w:val="1"/>
          <w:noProof w:val="0"/>
          <w:sz w:val="22"/>
          <w:szCs w:val="22"/>
          <w:lang w:val="en-GB"/>
        </w:rPr>
        <w:t>BMJ Quality &amp; Safety</w:t>
      </w:r>
      <w:r w:rsidRPr="1FB80F97" w:rsidR="1604F1DD">
        <w:rPr>
          <w:rFonts w:ascii="Arial" w:hAnsi="Arial" w:eastAsia="Arial" w:cs="Arial"/>
          <w:noProof w:val="0"/>
          <w:sz w:val="22"/>
          <w:szCs w:val="22"/>
          <w:lang w:val="en-GB"/>
        </w:rPr>
        <w:t>, 14(6), pp. 396–401.</w:t>
      </w:r>
    </w:p>
    <w:p w:rsidR="1604F1DD" w:rsidP="1FB80F97" w:rsidRDefault="1604F1DD" w14:paraId="3A9611FE" w14:textId="08D5BCD4">
      <w:pPr>
        <w:spacing w:before="240" w:beforeAutospacing="off" w:after="240" w:afterAutospacing="off"/>
      </w:pPr>
      <w:r w:rsidRPr="1FB80F97" w:rsidR="1604F1DD">
        <w:rPr>
          <w:rFonts w:ascii="Arial" w:hAnsi="Arial" w:eastAsia="Arial" w:cs="Arial"/>
          <w:noProof w:val="0"/>
          <w:sz w:val="22"/>
          <w:szCs w:val="22"/>
          <w:lang w:val="en-GB"/>
        </w:rPr>
        <w:t xml:space="preserve">Saltman, R.B., Bankauskaite, V. and Vrangbæk, K. (2011) </w:t>
      </w:r>
      <w:r w:rsidRPr="1FB80F97" w:rsidR="1604F1DD">
        <w:rPr>
          <w:rFonts w:ascii="Arial" w:hAnsi="Arial" w:eastAsia="Arial" w:cs="Arial"/>
          <w:i w:val="1"/>
          <w:iCs w:val="1"/>
          <w:noProof w:val="0"/>
          <w:sz w:val="22"/>
          <w:szCs w:val="22"/>
          <w:lang w:val="en-GB"/>
        </w:rPr>
        <w:t>Decentralization in Health Care</w:t>
      </w:r>
      <w:r w:rsidRPr="1FB80F97" w:rsidR="1604F1DD">
        <w:rPr>
          <w:rFonts w:ascii="Arial" w:hAnsi="Arial" w:eastAsia="Arial" w:cs="Arial"/>
          <w:noProof w:val="0"/>
          <w:sz w:val="22"/>
          <w:szCs w:val="22"/>
          <w:lang w:val="en-GB"/>
        </w:rPr>
        <w:t>. Maidenhead: Open University Press.</w:t>
      </w:r>
    </w:p>
    <w:p w:rsidR="1604F1DD" w:rsidP="1FB80F97" w:rsidRDefault="1604F1DD" w14:paraId="2C3B5551" w14:textId="40AB214A">
      <w:pPr>
        <w:spacing w:before="240" w:beforeAutospacing="off" w:after="240" w:afterAutospacing="off"/>
      </w:pPr>
      <w:r w:rsidRPr="1FB80F97" w:rsidR="1604F1DD">
        <w:rPr>
          <w:rFonts w:ascii="Arial" w:hAnsi="Arial" w:eastAsia="Arial" w:cs="Arial"/>
          <w:noProof w:val="0"/>
          <w:sz w:val="22"/>
          <w:szCs w:val="22"/>
          <w:lang w:val="en-GB"/>
        </w:rPr>
        <w:t xml:space="preserve">Schein, E.H. (2010) </w:t>
      </w:r>
      <w:r w:rsidRPr="1FB80F97" w:rsidR="1604F1DD">
        <w:rPr>
          <w:rFonts w:ascii="Arial" w:hAnsi="Arial" w:eastAsia="Arial" w:cs="Arial"/>
          <w:i w:val="1"/>
          <w:iCs w:val="1"/>
          <w:noProof w:val="0"/>
          <w:sz w:val="22"/>
          <w:szCs w:val="22"/>
          <w:lang w:val="en-GB"/>
        </w:rPr>
        <w:t>Organizational Culture and Leadership</w:t>
      </w:r>
      <w:r w:rsidRPr="1FB80F97" w:rsidR="1604F1DD">
        <w:rPr>
          <w:rFonts w:ascii="Arial" w:hAnsi="Arial" w:eastAsia="Arial" w:cs="Arial"/>
          <w:noProof w:val="0"/>
          <w:sz w:val="22"/>
          <w:szCs w:val="22"/>
          <w:lang w:val="en-GB"/>
        </w:rPr>
        <w:t>. 4th edn. San Francisco: Jossey-Bass.</w:t>
      </w:r>
    </w:p>
    <w:p w:rsidR="1604F1DD" w:rsidP="1FB80F97" w:rsidRDefault="1604F1DD" w14:paraId="20A5F691" w14:textId="690B17C3">
      <w:pPr>
        <w:spacing w:before="240" w:beforeAutospacing="off" w:after="240" w:afterAutospacing="off"/>
      </w:pPr>
      <w:r w:rsidRPr="1FB80F97" w:rsidR="1604F1DD">
        <w:rPr>
          <w:rFonts w:ascii="Arial" w:hAnsi="Arial" w:eastAsia="Arial" w:cs="Arial"/>
          <w:noProof w:val="0"/>
          <w:sz w:val="22"/>
          <w:szCs w:val="22"/>
          <w:lang w:val="en-GB"/>
        </w:rPr>
        <w:t xml:space="preserve">Senge, P.M. (2006) </w:t>
      </w:r>
      <w:r w:rsidRPr="1FB80F97" w:rsidR="1604F1DD">
        <w:rPr>
          <w:rFonts w:ascii="Arial" w:hAnsi="Arial" w:eastAsia="Arial" w:cs="Arial"/>
          <w:i w:val="1"/>
          <w:iCs w:val="1"/>
          <w:noProof w:val="0"/>
          <w:sz w:val="22"/>
          <w:szCs w:val="22"/>
          <w:lang w:val="en-GB"/>
        </w:rPr>
        <w:t>The Fifth Discipline</w:t>
      </w:r>
      <w:r w:rsidRPr="1FB80F97" w:rsidR="1604F1DD">
        <w:rPr>
          <w:rFonts w:ascii="Arial" w:hAnsi="Arial" w:eastAsia="Arial" w:cs="Arial"/>
          <w:noProof w:val="0"/>
          <w:sz w:val="22"/>
          <w:szCs w:val="22"/>
          <w:lang w:val="en-GB"/>
        </w:rPr>
        <w:t>. London: Random House.</w:t>
      </w:r>
    </w:p>
    <w:p w:rsidR="1604F1DD" w:rsidP="1FB80F97" w:rsidRDefault="1604F1DD" w14:paraId="544E1101" w14:textId="6595F42D">
      <w:pPr>
        <w:spacing w:before="240" w:beforeAutospacing="off" w:after="240" w:afterAutospacing="off"/>
      </w:pPr>
      <w:r w:rsidRPr="1FB80F97" w:rsidR="1604F1DD">
        <w:rPr>
          <w:rFonts w:ascii="Arial" w:hAnsi="Arial" w:eastAsia="Arial" w:cs="Arial"/>
          <w:noProof w:val="0"/>
          <w:sz w:val="22"/>
          <w:szCs w:val="22"/>
          <w:lang w:val="en-GB"/>
        </w:rPr>
        <w:t xml:space="preserve">West, M. et al. (2015) </w:t>
      </w:r>
      <w:r w:rsidRPr="1FB80F97" w:rsidR="1604F1DD">
        <w:rPr>
          <w:rFonts w:ascii="Arial" w:hAnsi="Arial" w:eastAsia="Arial" w:cs="Arial"/>
          <w:i w:val="1"/>
          <w:iCs w:val="1"/>
          <w:noProof w:val="0"/>
          <w:sz w:val="22"/>
          <w:szCs w:val="22"/>
          <w:lang w:val="en-GB"/>
        </w:rPr>
        <w:t>Leadership and Leadership Development in Health Care</w:t>
      </w:r>
      <w:r w:rsidRPr="1FB80F97" w:rsidR="1604F1DD">
        <w:rPr>
          <w:rFonts w:ascii="Arial" w:hAnsi="Arial" w:eastAsia="Arial" w:cs="Arial"/>
          <w:noProof w:val="0"/>
          <w:sz w:val="22"/>
          <w:szCs w:val="22"/>
          <w:lang w:val="en-GB"/>
        </w:rPr>
        <w:t>. London: The King’s Fund.</w:t>
      </w:r>
    </w:p>
    <w:p w:rsidR="1604F1DD" w:rsidP="1FB80F97" w:rsidRDefault="1604F1DD" w14:paraId="7C70CDD3" w14:textId="5EE5726E">
      <w:pPr>
        <w:spacing w:before="240" w:beforeAutospacing="off" w:after="240" w:afterAutospacing="off"/>
      </w:pPr>
      <w:r w:rsidRPr="1FB80F97" w:rsidR="1604F1DD">
        <w:rPr>
          <w:rFonts w:ascii="Arial" w:hAnsi="Arial" w:eastAsia="Arial" w:cs="Arial"/>
          <w:noProof w:val="0"/>
          <w:sz w:val="22"/>
          <w:szCs w:val="22"/>
          <w:lang w:val="en-GB"/>
        </w:rPr>
        <w:t xml:space="preserve">World Health Organization (WHO) (2017) </w:t>
      </w:r>
      <w:r w:rsidRPr="1FB80F97" w:rsidR="1604F1DD">
        <w:rPr>
          <w:rFonts w:ascii="Arial" w:hAnsi="Arial" w:eastAsia="Arial" w:cs="Arial"/>
          <w:i w:val="1"/>
          <w:iCs w:val="1"/>
          <w:noProof w:val="0"/>
          <w:sz w:val="22"/>
          <w:szCs w:val="22"/>
          <w:lang w:val="en-GB"/>
        </w:rPr>
        <w:t>Medication Without Harm</w:t>
      </w:r>
      <w:r w:rsidRPr="1FB80F97" w:rsidR="1604F1DD">
        <w:rPr>
          <w:rFonts w:ascii="Arial" w:hAnsi="Arial" w:eastAsia="Arial" w:cs="Arial"/>
          <w:noProof w:val="0"/>
          <w:sz w:val="22"/>
          <w:szCs w:val="22"/>
          <w:lang w:val="en-GB"/>
        </w:rPr>
        <w:t>.</w:t>
      </w:r>
    </w:p>
    <w:p w:rsidR="1604F1DD" w:rsidP="1FB80F97" w:rsidRDefault="1604F1DD" w14:paraId="17F4E909" w14:textId="46A2F9AB">
      <w:pPr>
        <w:spacing w:before="240" w:beforeAutospacing="off" w:after="240" w:afterAutospacing="off"/>
      </w:pPr>
      <w:r w:rsidRPr="1FB80F97" w:rsidR="1604F1DD">
        <w:rPr>
          <w:rFonts w:ascii="Arial" w:hAnsi="Arial" w:eastAsia="Arial" w:cs="Arial"/>
          <w:noProof w:val="0"/>
          <w:sz w:val="22"/>
          <w:szCs w:val="22"/>
          <w:lang w:val="en-GB"/>
        </w:rPr>
        <w:t xml:space="preserve">World Health Organization (WHO) (2019) </w:t>
      </w:r>
      <w:r w:rsidRPr="1FB80F97" w:rsidR="1604F1DD">
        <w:rPr>
          <w:rFonts w:ascii="Arial" w:hAnsi="Arial" w:eastAsia="Arial" w:cs="Arial"/>
          <w:i w:val="1"/>
          <w:iCs w:val="1"/>
          <w:noProof w:val="0"/>
          <w:sz w:val="22"/>
          <w:szCs w:val="22"/>
          <w:lang w:val="en-GB"/>
        </w:rPr>
        <w:t>Patient Safety: Global Action Plan</w:t>
      </w:r>
      <w:r w:rsidRPr="1FB80F97" w:rsidR="1604F1DD">
        <w:rPr>
          <w:rFonts w:ascii="Arial" w:hAnsi="Arial" w:eastAsia="Arial" w:cs="Arial"/>
          <w:noProof w:val="0"/>
          <w:sz w:val="22"/>
          <w:szCs w:val="22"/>
          <w:lang w:val="en-GB"/>
        </w:rPr>
        <w:t>.</w:t>
      </w:r>
    </w:p>
    <w:p w:rsidR="1FB80F97" w:rsidP="1FB80F97" w:rsidRDefault="1FB80F97" w14:paraId="1BDF44C6" w14:textId="1E801FD0">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p w:rsidR="1FB80F97" w:rsidP="1FB80F97" w:rsidRDefault="1FB80F97" w14:paraId="43F5CB87" w14:textId="76063DF0">
      <w:pPr>
        <w:pStyle w:val="Normal"/>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p>
    <w:p w:rsidR="1FB80F97" w:rsidP="1FB80F97" w:rsidRDefault="1FB80F97" w14:paraId="210A9D1D" w14:textId="458747AE">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5QDqqhcPh6K3em" int2:id="YmMOAF8R">
      <int2:state int2:type="spell" int2:value="Rejected"/>
    </int2:textHash>
    <int2:textHash int2:hashCode="JXKJycsgEokOye" int2:id="tdBEucds">
      <int2:state int2:type="spell" int2:value="Rejected"/>
    </int2:textHash>
    <int2:textHash int2:hashCode="iPagtYVtBkOzTw" int2:id="qNN2LlVK">
      <int2:state int2:type="spell" int2:value="Rejected"/>
    </int2:textHash>
    <int2:textHash int2:hashCode="ewnzblLx/mgkkY" int2:id="0hIedK4o">
      <int2:state int2:type="spell" int2:value="Rejected"/>
    </int2:textHash>
    <int2:textHash int2:hashCode="Y7rxyEYEGk+h8X" int2:id="dzA9ZK88">
      <int2:state int2:type="spell" int2:value="Rejected"/>
    </int2:textHash>
    <int2:textHash int2:hashCode="nsyB/0kUDRnP7U" int2:id="OdlOZ7yp">
      <int2:state int2:type="spell" int2:value="Rejected"/>
    </int2:textHash>
    <int2:textHash int2:hashCode="8LH0devowYl4kJ" int2:id="pYEP5bNc">
      <int2:state int2:type="spell" int2:value="Rejected"/>
    </int2:textHash>
    <int2:textHash int2:hashCode="c+mjPB1EkSXysj" int2:id="jCTe57Pa">
      <int2:state int2:type="spell" int2:value="Rejected"/>
    </int2:textHash>
    <int2:bookmark int2:bookmarkName="_Int_joat1DTB" int2:invalidationBookmarkName="" int2:hashCode="NkPdJ9i9g1wpGP" int2:id="rrTwxmLh">
      <int2:state int2:type="style" int2:value="Rejected"/>
    </int2:bookmark>
    <int2:bookmark int2:bookmarkName="_Int_DhDOsJEL" int2:invalidationBookmarkName="" int2:hashCode="fN3s9b/4ol5ZCu" int2:id="DodeyrhR">
      <int2:state int2:type="style" int2:value="Rejected"/>
    </int2:bookmark>
    <int2:bookmark int2:bookmarkName="_Int_QU6NgLRx" int2:invalidationBookmarkName="" int2:hashCode="c78Q3rg7ctIrDw" int2:id="ediduNLt">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a24145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4f633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9446E1"/>
    <w:rsid w:val="00526C32"/>
    <w:rsid w:val="0065ACCF"/>
    <w:rsid w:val="0379471D"/>
    <w:rsid w:val="04C33673"/>
    <w:rsid w:val="05228AE2"/>
    <w:rsid w:val="0558DBA0"/>
    <w:rsid w:val="06935AC7"/>
    <w:rsid w:val="06E7DD99"/>
    <w:rsid w:val="0734A0E8"/>
    <w:rsid w:val="08D85D3F"/>
    <w:rsid w:val="08E58AD8"/>
    <w:rsid w:val="08FA1DD0"/>
    <w:rsid w:val="095FE454"/>
    <w:rsid w:val="0A2FDC65"/>
    <w:rsid w:val="135B5077"/>
    <w:rsid w:val="14350F38"/>
    <w:rsid w:val="143C2784"/>
    <w:rsid w:val="15A29A9A"/>
    <w:rsid w:val="15FD4A18"/>
    <w:rsid w:val="1604F1DD"/>
    <w:rsid w:val="1658ECC2"/>
    <w:rsid w:val="178DB347"/>
    <w:rsid w:val="181997DE"/>
    <w:rsid w:val="18E90B71"/>
    <w:rsid w:val="1935DE8B"/>
    <w:rsid w:val="1BC1688F"/>
    <w:rsid w:val="1C54DA99"/>
    <w:rsid w:val="1DD5DDDD"/>
    <w:rsid w:val="1DDCD404"/>
    <w:rsid w:val="1F6E1446"/>
    <w:rsid w:val="1F814AC9"/>
    <w:rsid w:val="1FB80F97"/>
    <w:rsid w:val="21CED8DF"/>
    <w:rsid w:val="22C1040B"/>
    <w:rsid w:val="2702625A"/>
    <w:rsid w:val="27870798"/>
    <w:rsid w:val="291AFEFF"/>
    <w:rsid w:val="29393424"/>
    <w:rsid w:val="298CC09E"/>
    <w:rsid w:val="2D175323"/>
    <w:rsid w:val="2D90AE5E"/>
    <w:rsid w:val="2E8CBBD5"/>
    <w:rsid w:val="2F1773F5"/>
    <w:rsid w:val="309808F0"/>
    <w:rsid w:val="344AFD8D"/>
    <w:rsid w:val="3726ED44"/>
    <w:rsid w:val="3B5F6988"/>
    <w:rsid w:val="3BF0F694"/>
    <w:rsid w:val="3F62C407"/>
    <w:rsid w:val="4074A58D"/>
    <w:rsid w:val="43021766"/>
    <w:rsid w:val="4336BB2F"/>
    <w:rsid w:val="44D5BAED"/>
    <w:rsid w:val="453F1210"/>
    <w:rsid w:val="471E0139"/>
    <w:rsid w:val="47AAC618"/>
    <w:rsid w:val="482323E9"/>
    <w:rsid w:val="4A225B19"/>
    <w:rsid w:val="4A7F5605"/>
    <w:rsid w:val="4B808730"/>
    <w:rsid w:val="4D20B002"/>
    <w:rsid w:val="5067FD11"/>
    <w:rsid w:val="522A9F1B"/>
    <w:rsid w:val="526E82EA"/>
    <w:rsid w:val="53F64938"/>
    <w:rsid w:val="547F9ECE"/>
    <w:rsid w:val="57D71621"/>
    <w:rsid w:val="58706788"/>
    <w:rsid w:val="58BBE4E0"/>
    <w:rsid w:val="5B5A5913"/>
    <w:rsid w:val="5C9BEB65"/>
    <w:rsid w:val="5DA6C708"/>
    <w:rsid w:val="5F83B9B2"/>
    <w:rsid w:val="5FAAABBD"/>
    <w:rsid w:val="614A0778"/>
    <w:rsid w:val="6192D830"/>
    <w:rsid w:val="61D44FE2"/>
    <w:rsid w:val="64913490"/>
    <w:rsid w:val="6556684A"/>
    <w:rsid w:val="6579BD9B"/>
    <w:rsid w:val="663AFD09"/>
    <w:rsid w:val="666E0670"/>
    <w:rsid w:val="66E6335F"/>
    <w:rsid w:val="6751EDB1"/>
    <w:rsid w:val="676A13BB"/>
    <w:rsid w:val="68959889"/>
    <w:rsid w:val="69FE520A"/>
    <w:rsid w:val="6AB27C37"/>
    <w:rsid w:val="6CA9FA25"/>
    <w:rsid w:val="6D3B05C4"/>
    <w:rsid w:val="6E9446E1"/>
    <w:rsid w:val="714CC4AA"/>
    <w:rsid w:val="75FC90C4"/>
    <w:rsid w:val="7893BEC5"/>
    <w:rsid w:val="7A3B857B"/>
    <w:rsid w:val="7AE5A68B"/>
    <w:rsid w:val="7C1237E6"/>
    <w:rsid w:val="7C2FEA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446E1"/>
  <w15:chartTrackingRefBased/>
  <w15:docId w15:val="{D08ADFA7-5DA9-48D7-ADC9-B020B4FC1E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658ECC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658ECC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1FB80F97"/>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130b00444e24117" /><Relationship Type="http://schemas.openxmlformats.org/officeDocument/2006/relationships/image" Target="/media/image.jpg" Id="rId1216532022" /><Relationship Type="http://schemas.openxmlformats.org/officeDocument/2006/relationships/numbering" Target="/word/numbering.xml" Id="R5547abef445047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Ayesha Masood (2220784)</dc:creator>
  <keywords/>
  <dc:description/>
  <lastModifiedBy>Ayesha Masood (2220784)</lastModifiedBy>
  <revision>3</revision>
  <dcterms:created xsi:type="dcterms:W3CDTF">2026-03-18T12:55:34.2541967Z</dcterms:created>
  <dcterms:modified xsi:type="dcterms:W3CDTF">2026-03-25T17:47:51.9544702Z</dcterms:modified>
</coreProperties>
</file>