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738743698"/>
        <w:docPartObj>
          <w:docPartGallery w:val="Cover Pages"/>
          <w:docPartUnique/>
        </w:docPartObj>
      </w:sdtPr>
      <w:sdtEndPr>
        <w:rPr>
          <w:rFonts w:eastAsiaTheme="minorHAnsi"/>
          <w:color w:val="auto"/>
          <w:sz w:val="24"/>
          <w:szCs w:val="24"/>
          <w:lang w:val="en-GB" w:eastAsia="en-US"/>
        </w:rPr>
      </w:sdtEndPr>
      <w:sdtContent>
        <w:p w:rsidR="00A13DDC" w:rsidRDefault="00A13DDC">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A13DDC" w:rsidRPr="00A13DDC" w:rsidRDefault="00A13DD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8"/>
              <w:szCs w:val="48"/>
            </w:rPr>
          </w:pPr>
          <w:sdt>
            <w:sdtPr>
              <w:rPr>
                <w:rFonts w:asciiTheme="majorHAnsi" w:eastAsiaTheme="majorEastAsia" w:hAnsiTheme="majorHAnsi" w:cstheme="majorBidi"/>
                <w:caps/>
                <w:color w:val="4472C4" w:themeColor="accent1"/>
                <w:sz w:val="48"/>
                <w:szCs w:val="48"/>
              </w:rPr>
              <w:alias w:val="Title"/>
              <w:tag w:val=""/>
              <w:id w:val="1735040861"/>
              <w:placeholder>
                <w:docPart w:val="08B4A3A8EC6811469925AAEACA274369"/>
              </w:placeholder>
              <w:dataBinding w:prefixMappings="xmlns:ns0='http://purl.org/dc/elements/1.1/' xmlns:ns1='http://schemas.openxmlformats.org/package/2006/metadata/core-properties' " w:xpath="/ns1:coreProperties[1]/ns0:title[1]" w:storeItemID="{6C3C8BC8-F283-45AE-878A-BAB7291924A1}"/>
              <w:text/>
            </w:sdtPr>
            <w:sdtContent>
              <w:r w:rsidRPr="00A13DDC">
                <w:rPr>
                  <w:rFonts w:asciiTheme="majorHAnsi" w:eastAsiaTheme="majorEastAsia" w:hAnsiTheme="majorHAnsi" w:cstheme="majorBidi"/>
                  <w:caps/>
                  <w:color w:val="4472C4" w:themeColor="accent1"/>
                  <w:sz w:val="48"/>
                  <w:szCs w:val="48"/>
                </w:rPr>
                <w:t xml:space="preserve">Does </w:t>
              </w:r>
            </w:sdtContent>
          </w:sdt>
          <w:r w:rsidRPr="00A13DDC">
            <w:rPr>
              <w:rFonts w:asciiTheme="majorHAnsi" w:eastAsiaTheme="majorEastAsia" w:hAnsiTheme="majorHAnsi" w:cstheme="majorBidi"/>
              <w:caps/>
              <w:color w:val="4472C4" w:themeColor="accent1"/>
              <w:sz w:val="48"/>
              <w:szCs w:val="48"/>
            </w:rPr>
            <w:t>Statutory Interpretation diminish the status of legislation in uk law</w:t>
          </w:r>
          <w:r>
            <w:rPr>
              <w:rFonts w:asciiTheme="majorHAnsi" w:eastAsiaTheme="majorEastAsia" w:hAnsiTheme="majorHAnsi" w:cstheme="majorBidi"/>
              <w:caps/>
              <w:color w:val="4472C4" w:themeColor="accent1"/>
              <w:sz w:val="48"/>
              <w:szCs w:val="48"/>
            </w:rPr>
            <w:t>?</w:t>
          </w:r>
        </w:p>
        <w:sdt>
          <w:sdtPr>
            <w:rPr>
              <w:color w:val="4472C4" w:themeColor="accent1"/>
              <w:sz w:val="28"/>
              <w:szCs w:val="28"/>
            </w:rPr>
            <w:alias w:val="Subtitle"/>
            <w:tag w:val=""/>
            <w:id w:val="328029620"/>
            <w:placeholder>
              <w:docPart w:val="72A0E55C5F92904D945CF8E4EF191236"/>
            </w:placeholder>
            <w:dataBinding w:prefixMappings="xmlns:ns0='http://purl.org/dc/elements/1.1/' xmlns:ns1='http://schemas.openxmlformats.org/package/2006/metadata/core-properties' " w:xpath="/ns1:coreProperties[1]/ns0:subject[1]" w:storeItemID="{6C3C8BC8-F283-45AE-878A-BAB7291924A1}"/>
            <w:text/>
          </w:sdtPr>
          <w:sdtContent>
            <w:p w:rsidR="00A13DDC" w:rsidRDefault="00A13DDC">
              <w:pPr>
                <w:pStyle w:val="NoSpacing"/>
                <w:jc w:val="center"/>
                <w:rPr>
                  <w:color w:val="4472C4" w:themeColor="accent1"/>
                  <w:sz w:val="28"/>
                  <w:szCs w:val="28"/>
                </w:rPr>
              </w:pPr>
              <w:r>
                <w:rPr>
                  <w:color w:val="4472C4" w:themeColor="accent1"/>
                  <w:sz w:val="28"/>
                  <w:szCs w:val="28"/>
                </w:rPr>
                <w:t>Law and the Legal Process: Assignment 2</w:t>
              </w:r>
            </w:p>
          </w:sdtContent>
        </w:sdt>
        <w:p w:rsidR="00A13DDC" w:rsidRDefault="00A13DDC">
          <w:pPr>
            <w:pStyle w:val="NoSpacing"/>
            <w:spacing w:before="480"/>
            <w:jc w:val="center"/>
            <w:rPr>
              <w:color w:val="4472C4" w:themeColor="accent1"/>
            </w:rPr>
          </w:pPr>
          <w:r w:rsidRPr="00A13DDC">
            <w:rPr>
              <w:rFonts w:ascii="Times New Roman" w:eastAsia="Times New Roman" w:hAnsi="Times New Roman" w:cs="Times New Roman"/>
              <w:noProof/>
            </w:rPr>
            <w:drawing>
              <wp:anchor distT="0" distB="0" distL="114300" distR="114300" simplePos="0" relativeHeight="251660288" behindDoc="0" locked="0" layoutInCell="1" allowOverlap="1" wp14:anchorId="7AE56589">
                <wp:simplePos x="0" y="0"/>
                <wp:positionH relativeFrom="margin">
                  <wp:posOffset>-381000</wp:posOffset>
                </wp:positionH>
                <wp:positionV relativeFrom="margin">
                  <wp:posOffset>4077970</wp:posOffset>
                </wp:positionV>
                <wp:extent cx="6513830" cy="3949700"/>
                <wp:effectExtent l="0" t="0" r="1270" b="0"/>
                <wp:wrapSquare wrapText="bothSides"/>
                <wp:docPr id="1" name="Picture 1" descr="Magistrates' court proceedings - what to expect | Business Law Don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istrates' court proceedings - what to expect | Business Law Donu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513830" cy="3949700"/>
                        </a:xfrm>
                        <a:prstGeom prst="rect">
                          <a:avLst/>
                        </a:prstGeom>
                        <a:noFill/>
                        <a:ln>
                          <a:noFill/>
                        </a:ln>
                      </pic:spPr>
                    </pic:pic>
                  </a:graphicData>
                </a:graphic>
              </wp:anchor>
            </w:drawing>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A13DDC" w:rsidRPr="00A13DDC" w:rsidRDefault="00A13DDC" w:rsidP="00A13DDC">
          <w:pPr>
            <w:rPr>
              <w:rFonts w:ascii="Times New Roman" w:eastAsia="Times New Roman" w:hAnsi="Times New Roman" w:cs="Times New Roman"/>
            </w:rPr>
          </w:pPr>
          <w:r w:rsidRPr="00A13DDC">
            <w:rPr>
              <w:rFonts w:ascii="Times New Roman" w:eastAsia="Times New Roman" w:hAnsi="Times New Roman" w:cs="Times New Roman"/>
            </w:rPr>
            <w:fldChar w:fldCharType="begin"/>
          </w:r>
          <w:r w:rsidRPr="00A13DDC">
            <w:rPr>
              <w:rFonts w:ascii="Times New Roman" w:eastAsia="Times New Roman" w:hAnsi="Times New Roman" w:cs="Times New Roman"/>
            </w:rPr>
            <w:instrText xml:space="preserve"> INCLUDEPICTURE "/var/folders/qn/lpj0lr595tx7tk06hqyw77yh0000gp/T/com.microsoft.Word/WebArchiveCopyPasteTempFiles/magistrates-court-proceedings-what-to-expect_1049504825.jpg" \* MERGEFORMATINET </w:instrText>
          </w:r>
          <w:r w:rsidRPr="00A13DDC">
            <w:rPr>
              <w:rFonts w:ascii="Times New Roman" w:eastAsia="Times New Roman" w:hAnsi="Times New Roman" w:cs="Times New Roman"/>
            </w:rPr>
            <w:fldChar w:fldCharType="separate"/>
          </w:r>
          <w:r w:rsidRPr="00A13DDC">
            <w:rPr>
              <w:rFonts w:ascii="Times New Roman" w:eastAsia="Times New Roman" w:hAnsi="Times New Roman" w:cs="Times New Roman"/>
            </w:rPr>
            <w:fldChar w:fldCharType="end"/>
          </w:r>
        </w:p>
        <w:p w:rsidR="00A13DDC" w:rsidRPr="00A13DDC" w:rsidRDefault="00A13DDC" w:rsidP="00A13DDC">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posOffset>0</wp:posOffset>
                    </wp:positionH>
                    <wp:positionV relativeFrom="page">
                      <wp:posOffset>9093200</wp:posOffset>
                    </wp:positionV>
                    <wp:extent cx="6553200" cy="589915"/>
                    <wp:effectExtent l="0" t="0" r="0" b="6985"/>
                    <wp:wrapNone/>
                    <wp:docPr id="142" name="Text Box 142"/>
                    <wp:cNvGraphicFramePr/>
                    <a:graphic xmlns:a="http://schemas.openxmlformats.org/drawingml/2006/main">
                      <a:graphicData uri="http://schemas.microsoft.com/office/word/2010/wordprocessingShape">
                        <wps:wsp>
                          <wps:cNvSpPr txBox="1"/>
                          <wps:spPr>
                            <a:xfrm>
                              <a:off x="0" y="0"/>
                              <a:ext cx="655320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13DDC" w:rsidRDefault="00A13DDC" w:rsidP="00A13DDC">
                                <w:pPr>
                                  <w:pStyle w:val="NoSpacing"/>
                                  <w:spacing w:after="40"/>
                                  <w:rPr>
                                    <w:caps/>
                                    <w:color w:val="4472C4" w:themeColor="accent1"/>
                                    <w:sz w:val="28"/>
                                    <w:szCs w:val="28"/>
                                  </w:rPr>
                                </w:pPr>
                              </w:p>
                              <w:p w:rsidR="00A13DDC" w:rsidRDefault="00A13DD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By James Hudson</w:t>
                                    </w:r>
                                  </w:sdtContent>
                                </w:sdt>
                              </w:p>
                              <w:p w:rsidR="00A13DDC" w:rsidRDefault="00A13DDC">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0;margin-top:716pt;width:516pt;height:46.4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AWvldQIAAFYFAAAOAAAAZHJzL2Uyb0RvYy54bWysVFFP2zAQfp+0/2D5faSFFUFFijoQ0yQE&#13;&#10;CJh4dh2bRnN8nu026X79PjtJQWwvTHtxLnffne++u/PZedcYtlU+1GRLPj2YcKaspKq2zyX//nj1&#13;&#10;6YSzEIWthCGrSr5TgZ8vPn44a91cHdKaTKU8QxAb5q0r+TpGNy+KINeqEeGAnLIwavKNiPj1z0Xl&#13;&#10;RYvojSkOJ5PjoiVfOU9ShQDtZW/kixxfayXjrdZBRWZKjtxiPn0+V+ksFmdi/uyFW9dySEP8QxaN&#13;&#10;qC0u3Ye6FFGwja//CNXU0lMgHQ8kNQVpXUuVa0A108mbah7WwqlcC8gJbk9T+H9h5c32zrO6Qu8+&#13;&#10;H3JmRYMmPaousi/UsaQDQ60LcwAfHKCxgwHoUR+gTIV32jfpi5IY7OB6t+c3hZNQHs9mR2gaZxK2&#13;&#10;2cnp6XSWwhQv3s6H+FVRw5JQco/+ZVrF9jrEHjpC0mWWrmpjcg+NZS1uOJpNssPeguDGJqzK0zCE&#13;&#10;SRX1mWcp7oxKGGPvlQYbuYCkyHOoLoxnW4EJElIqG3PtOS7QCaWRxHscB/xLVu9x7usYbyYb985N&#13;&#10;bcnn6t+kXf0YU9Y9Hpy/qjuJsVt1Q6dXVO3QaE/9sgQnr2p041qEeCc8tgMNxMbHWxzaEFinQeJs&#13;&#10;Tf7X3/QJj6GFlbMW21by8HMjvOLMfLMY57Sao+BHYTUKdtNcEOif4i1xMotw8NGMovbUPOEhWKZb&#13;&#10;YBJW4q6Sr0bxIvY7j4dEquUyg7CATsRr++BkCp26kWbrsXsS3g0DGDG6NzTuoZi/mcMemzwtLTeR&#13;&#10;dJ2HNBHaszgQjeXNYz48NOl1eP2fUS/P4eI3AAAA//8DAFBLAwQUAAYACAAAACEAh6ipEt0AAAAQ&#13;&#10;AQAADwAAAGRycy9kb3ducmV2LnhtbExPTU/DMAy9I/EfIiNxQZtL6Sbomk6MiTOiwD1rTFvROFWT&#13;&#10;bWW/Ho8LXKxnP/l9FOvJ9epAY+g8a7idJ6CIa287bjS8vz3P7kGFaNia3jNp+KYA6/LyojC59Ud+&#13;&#10;pUMVGyUiHHKjoY1xyBFD3ZIzYe4HYuE+/ehMlHVs0I7mKOKuxzRJluhMx+LQmoGeWqq/qr3TcHM6&#13;&#10;bRcDZh+jQ6xeMt50HjdaX19N25WMxxWoSFP8+4BzB8kPpQTb+T3boHoN0ibKNbtLBZ355BftBC3S&#13;&#10;7AGwLPB/kfIHAAD//wMAUEsBAi0AFAAGAAgAAAAhALaDOJL+AAAA4QEAABMAAAAAAAAAAAAAAAAA&#13;&#10;AAAAAFtDb250ZW50X1R5cGVzXS54bWxQSwECLQAUAAYACAAAACEAOP0h/9YAAACUAQAACwAAAAAA&#13;&#10;AAAAAAAAAAAvAQAAX3JlbHMvLnJlbHNQSwECLQAUAAYACAAAACEAbQFr5XUCAABWBQAADgAAAAAA&#13;&#10;AAAAAAAAAAAuAgAAZHJzL2Uyb0RvYy54bWxQSwECLQAUAAYACAAAACEAh6ipEt0AAAAQAQAADwAA&#13;&#10;AAAAAAAAAAAAAADPBAAAZHJzL2Rvd25yZXYueG1sUEsFBgAAAAAEAAQA8wAAANkFAAAAAA==&#13;&#10;" filled="f" stroked="f" strokeweight=".5pt">
                    <v:textbox inset="0,0,0,0">
                      <w:txbxContent>
                        <w:p w:rsidR="00A13DDC" w:rsidRDefault="00A13DDC" w:rsidP="00A13DDC">
                          <w:pPr>
                            <w:pStyle w:val="NoSpacing"/>
                            <w:spacing w:after="40"/>
                            <w:rPr>
                              <w:caps/>
                              <w:color w:val="4472C4" w:themeColor="accent1"/>
                              <w:sz w:val="28"/>
                              <w:szCs w:val="28"/>
                            </w:rPr>
                          </w:pPr>
                        </w:p>
                        <w:p w:rsidR="00A13DDC" w:rsidRDefault="00A13DD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By James Hudson</w:t>
                              </w:r>
                            </w:sdtContent>
                          </w:sdt>
                        </w:p>
                        <w:p w:rsidR="00A13DDC" w:rsidRDefault="00A13DDC">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br w:type="page"/>
          </w:r>
        </w:p>
      </w:sdtContent>
    </w:sdt>
    <w:p w:rsidR="00A13DDC" w:rsidRDefault="00A13DDC" w:rsidP="00A13DDC">
      <w:pPr>
        <w:rPr>
          <w:rFonts w:ascii="Arial" w:hAnsi="Arial" w:cs="Arial"/>
        </w:rPr>
      </w:pPr>
      <w:r>
        <w:rPr>
          <w:rFonts w:ascii="Arial" w:hAnsi="Arial" w:cs="Arial"/>
        </w:rPr>
        <w:lastRenderedPageBreak/>
        <w:t>In this Assignment I will be going to answer this question, whether Statutory Interpretation has a negative influence on the status and relevance of legislation in UK law. But first, there must first be a better understanding of the current landscape and state of UK law, and how legislation is used to help influence and justify decisions made in case law in current institutions of Law, such as the courts of England and Wales. Legislation is an example of Law, that can be used as a reference point for members of the court to help them come to a final decision on certain crimes and issues in court but dos Statuary interpretation. In this Assignment. This assignment will consist of finding the definition of Statutory Interpretation, and how it relates to legislation and it is used to interpret crimes committed in case law, and how a court can go about coming to a fair outcome for both the defendant, and victim, if and why Statutory Interpretation is necessary in current UK Law, whether Statutory Interpretation can cause problems within certain case law within the UK based on whether interpreting law in a certain way can come to a wrong immoral outcome, and finally whether there is any rules that justify and support Statutory Interpretation and maybe prove whether it really is and should be a massive factor, within British case law.</w:t>
      </w:r>
    </w:p>
    <w:p w:rsidR="00A13DDC" w:rsidRDefault="00A13DDC" w:rsidP="00A13DDC">
      <w:pPr>
        <w:rPr>
          <w:rFonts w:ascii="Arial" w:hAnsi="Arial" w:cs="Arial"/>
        </w:rPr>
      </w:pPr>
    </w:p>
    <w:p w:rsidR="00A13DDC" w:rsidRPr="00A13DDC" w:rsidRDefault="00A13DDC" w:rsidP="00A13DDC">
      <w:pPr>
        <w:rPr>
          <w:rFonts w:ascii="Arial" w:hAnsi="Arial" w:cs="Arial"/>
        </w:rPr>
      </w:pPr>
      <w:r w:rsidRPr="00A13DDC">
        <w:rPr>
          <w:rFonts w:ascii="Arial" w:hAnsi="Arial" w:cs="Arial"/>
        </w:rPr>
        <w:t>First</w:t>
      </w:r>
      <w:r>
        <w:rPr>
          <w:rFonts w:ascii="Arial" w:hAnsi="Arial" w:cs="Arial"/>
        </w:rPr>
        <w:t>,</w:t>
      </w:r>
      <w:r w:rsidRPr="00A13DDC">
        <w:rPr>
          <w:rFonts w:ascii="Arial" w:hAnsi="Arial" w:cs="Arial"/>
        </w:rPr>
        <w:t xml:space="preserve"> according to </w:t>
      </w:r>
      <w:sdt>
        <w:sdtPr>
          <w:rPr>
            <w:rFonts w:ascii="Arial" w:hAnsi="Arial" w:cs="Arial"/>
          </w:rPr>
          <w:id w:val="340752120"/>
          <w:citation/>
        </w:sdtPr>
        <w:sdtContent>
          <w:r w:rsidRPr="00A13DDC">
            <w:rPr>
              <w:rFonts w:ascii="Arial" w:hAnsi="Arial" w:cs="Arial"/>
            </w:rPr>
            <w:fldChar w:fldCharType="begin"/>
          </w:r>
          <w:r w:rsidRPr="00A13DDC">
            <w:rPr>
              <w:rFonts w:ascii="Arial" w:hAnsi="Arial" w:cs="Arial"/>
            </w:rPr>
            <w:instrText xml:space="preserve"> CITATION Ell17 \l 2057 </w:instrText>
          </w:r>
          <w:r w:rsidRPr="00A13DDC">
            <w:rPr>
              <w:rFonts w:ascii="Arial" w:hAnsi="Arial" w:cs="Arial"/>
            </w:rPr>
            <w:fldChar w:fldCharType="separate"/>
          </w:r>
          <w:r w:rsidRPr="00A13DDC">
            <w:rPr>
              <w:rFonts w:ascii="Arial" w:hAnsi="Arial" w:cs="Arial"/>
              <w:noProof/>
            </w:rPr>
            <w:t>(Elliott &amp; Quinn, 2017)</w:t>
          </w:r>
          <w:r w:rsidRPr="00A13DDC">
            <w:rPr>
              <w:rFonts w:ascii="Arial" w:hAnsi="Arial" w:cs="Arial"/>
            </w:rPr>
            <w:fldChar w:fldCharType="end"/>
          </w:r>
        </w:sdtContent>
      </w:sdt>
      <w:r w:rsidRPr="00A13DDC">
        <w:rPr>
          <w:rFonts w:ascii="Arial" w:hAnsi="Arial" w:cs="Arial"/>
        </w:rPr>
        <w:t xml:space="preserve">, Statutory Interpretation can be identified as a way for judges of a court and other branches of law in the UK, to interpret certain examples of legislation used during a court session as </w:t>
      </w:r>
      <w:r>
        <w:rPr>
          <w:rFonts w:ascii="Arial" w:hAnsi="Arial" w:cs="Arial"/>
        </w:rPr>
        <w:t>how a type of</w:t>
      </w:r>
      <w:r w:rsidRPr="00A13DDC">
        <w:rPr>
          <w:rFonts w:ascii="Arial" w:hAnsi="Arial" w:cs="Arial"/>
        </w:rPr>
        <w:t xml:space="preserve"> legislations could have ‘more than one meaning’, and “is not always clear and they have to interpret it”. This shows that even though ‘Parliamentary Legislation is written out carefully’, there is still the issue of these legislations being misinterpreted or manipulated from its</w:t>
      </w:r>
      <w:r>
        <w:rPr>
          <w:rFonts w:ascii="Arial" w:hAnsi="Arial" w:cs="Arial"/>
        </w:rPr>
        <w:t xml:space="preserve"> original,</w:t>
      </w:r>
      <w:r w:rsidRPr="00A13DDC">
        <w:rPr>
          <w:rFonts w:ascii="Arial" w:hAnsi="Arial" w:cs="Arial"/>
        </w:rPr>
        <w:t xml:space="preserve"> intended meaning and won’t follow the ‘parliamentary intention’. </w:t>
      </w:r>
      <w:r>
        <w:rPr>
          <w:rFonts w:ascii="Arial" w:hAnsi="Arial" w:cs="Arial"/>
        </w:rPr>
        <w:t xml:space="preserve">Statutory Interpretation is related to Parliamentary Intention, as whereas the latter is as mentioned is a way for members of the court to interpret legislation through its original intention and goal, Parliamentary Intension is ‘a very slippery practice’. As stated by </w:t>
      </w:r>
      <w:sdt>
        <w:sdtPr>
          <w:rPr>
            <w:rFonts w:ascii="Arial" w:hAnsi="Arial" w:cs="Arial"/>
          </w:rPr>
          <w:id w:val="1834418535"/>
          <w:citation/>
        </w:sdtPr>
        <w:sdtContent>
          <w:r>
            <w:rPr>
              <w:rFonts w:ascii="Arial" w:hAnsi="Arial" w:cs="Arial"/>
            </w:rPr>
            <w:fldChar w:fldCharType="begin"/>
          </w:r>
          <w:r>
            <w:rPr>
              <w:rFonts w:ascii="Arial" w:hAnsi="Arial" w:cs="Arial"/>
            </w:rPr>
            <w:instrText xml:space="preserve"> CITATION Ale20 \l 2057 </w:instrText>
          </w:r>
          <w:r>
            <w:rPr>
              <w:rFonts w:ascii="Arial" w:hAnsi="Arial" w:cs="Arial"/>
            </w:rPr>
            <w:fldChar w:fldCharType="separate"/>
          </w:r>
          <w:r w:rsidRPr="00A13DDC">
            <w:rPr>
              <w:rFonts w:ascii="Arial" w:hAnsi="Arial" w:cs="Arial"/>
              <w:noProof/>
            </w:rPr>
            <w:t>(Latham-Gambi, 2020)</w:t>
          </w:r>
          <w:r>
            <w:rPr>
              <w:rFonts w:ascii="Arial" w:hAnsi="Arial" w:cs="Arial"/>
            </w:rPr>
            <w:fldChar w:fldCharType="end"/>
          </w:r>
        </w:sdtContent>
      </w:sdt>
      <w:r>
        <w:rPr>
          <w:rFonts w:ascii="Arial" w:hAnsi="Arial" w:cs="Arial"/>
        </w:rPr>
        <w:t xml:space="preserve"> in an article the UK Constitutional Law Association, he states “the relevant parliamentary intention is not the policy intention, but the legislative intention: </w:t>
      </w:r>
      <w:r w:rsidRPr="00A13DDC">
        <w:rPr>
          <w:rFonts w:ascii="Arial" w:eastAsia="Times New Roman" w:hAnsi="Arial" w:cs="Arial"/>
          <w:bCs/>
        </w:rPr>
        <w:t>Parliament's intention to enact the statutory provision as law</w:t>
      </w:r>
      <w:r>
        <w:rPr>
          <w:rFonts w:ascii="Arial" w:eastAsia="Times New Roman" w:hAnsi="Arial" w:cs="Arial"/>
          <w:bCs/>
        </w:rPr>
        <w:t>”. This means that it refers to the exact intention of the creator of the Legislation.</w:t>
      </w:r>
      <w:r>
        <w:rPr>
          <w:rFonts w:ascii="Times New Roman" w:eastAsia="Times New Roman" w:hAnsi="Times New Roman" w:cs="Times New Roman"/>
        </w:rPr>
        <w:t xml:space="preserve"> </w:t>
      </w:r>
      <w:r>
        <w:rPr>
          <w:rFonts w:ascii="Arial" w:hAnsi="Arial" w:cs="Arial"/>
        </w:rPr>
        <w:t>From further research into Statutory Interpretation</w:t>
      </w:r>
      <w:r w:rsidRPr="00A13DDC">
        <w:rPr>
          <w:rFonts w:ascii="Arial" w:hAnsi="Arial" w:cs="Arial"/>
        </w:rPr>
        <w:t xml:space="preserve">, </w:t>
      </w:r>
      <w:sdt>
        <w:sdtPr>
          <w:rPr>
            <w:rFonts w:ascii="Arial" w:hAnsi="Arial" w:cs="Arial"/>
          </w:rPr>
          <w:id w:val="-1464962334"/>
          <w:citation/>
        </w:sdtPr>
        <w:sdtContent>
          <w:r w:rsidRPr="00A13DDC">
            <w:rPr>
              <w:rFonts w:ascii="Arial" w:hAnsi="Arial" w:cs="Arial"/>
            </w:rPr>
            <w:fldChar w:fldCharType="begin"/>
          </w:r>
          <w:r w:rsidRPr="00A13DDC">
            <w:rPr>
              <w:rFonts w:ascii="Arial" w:hAnsi="Arial" w:cs="Arial"/>
            </w:rPr>
            <w:instrText xml:space="preserve"> CITATION Law091 \l 2057 </w:instrText>
          </w:r>
          <w:r w:rsidRPr="00A13DDC">
            <w:rPr>
              <w:rFonts w:ascii="Arial" w:hAnsi="Arial" w:cs="Arial"/>
            </w:rPr>
            <w:fldChar w:fldCharType="separate"/>
          </w:r>
          <w:r w:rsidRPr="00A13DDC">
            <w:rPr>
              <w:rFonts w:ascii="Arial" w:hAnsi="Arial" w:cs="Arial"/>
              <w:noProof/>
            </w:rPr>
            <w:t>(Law &amp; Martin, 2009)</w:t>
          </w:r>
          <w:r w:rsidRPr="00A13DDC">
            <w:rPr>
              <w:rFonts w:ascii="Arial" w:hAnsi="Arial" w:cs="Arial"/>
            </w:rPr>
            <w:fldChar w:fldCharType="end"/>
          </w:r>
        </w:sdtContent>
      </w:sdt>
      <w:r w:rsidRPr="00A13DDC">
        <w:rPr>
          <w:rFonts w:ascii="Arial" w:hAnsi="Arial" w:cs="Arial"/>
        </w:rPr>
        <w:t xml:space="preserve">, highlights some of the rules for Statutory Interpretation. </w:t>
      </w:r>
      <w:r>
        <w:rPr>
          <w:rFonts w:ascii="Arial" w:hAnsi="Arial" w:cs="Arial"/>
        </w:rPr>
        <w:t>T</w:t>
      </w:r>
      <w:r w:rsidRPr="00A13DDC">
        <w:rPr>
          <w:rFonts w:ascii="Arial" w:hAnsi="Arial" w:cs="Arial"/>
        </w:rPr>
        <w:t xml:space="preserve">he rules and principles of statutory interpretation </w:t>
      </w:r>
      <w:r w:rsidRPr="00A13DDC">
        <w:rPr>
          <w:rFonts w:ascii="Arial" w:hAnsi="Arial" w:cs="Arial"/>
        </w:rPr>
        <w:t>include; an</w:t>
      </w:r>
      <w:r w:rsidRPr="00A13DDC">
        <w:rPr>
          <w:rFonts w:ascii="Arial" w:hAnsi="Arial" w:cs="Arial"/>
        </w:rPr>
        <w:t xml:space="preserve"> act “must be construed”, to avoid any “internal inconsistencies” and loopholes within new laws between the people of the court, and the defendant; </w:t>
      </w:r>
      <w:r>
        <w:rPr>
          <w:rFonts w:ascii="Arial" w:hAnsi="Arial" w:cs="Arial"/>
        </w:rPr>
        <w:t>w</w:t>
      </w:r>
      <w:r w:rsidRPr="00A13DDC">
        <w:rPr>
          <w:rFonts w:ascii="Arial" w:hAnsi="Arial" w:cs="Arial"/>
        </w:rPr>
        <w:t xml:space="preserve">ords with one main meaning must “be given that meaning whatever the result.” </w:t>
      </w:r>
      <w:r>
        <w:rPr>
          <w:rFonts w:ascii="Arial" w:hAnsi="Arial" w:cs="Arial"/>
        </w:rPr>
        <w:t>o</w:t>
      </w:r>
      <w:r w:rsidRPr="00A13DDC">
        <w:rPr>
          <w:rFonts w:ascii="Arial" w:hAnsi="Arial" w:cs="Arial"/>
        </w:rPr>
        <w:t>f the proceedings.</w:t>
      </w:r>
      <w:r>
        <w:rPr>
          <w:rFonts w:ascii="Arial" w:hAnsi="Arial" w:cs="Arial"/>
        </w:rPr>
        <w:t xml:space="preserve"> </w:t>
      </w:r>
      <w:r w:rsidRPr="00A13DDC">
        <w:rPr>
          <w:rFonts w:ascii="Arial" w:hAnsi="Arial" w:cs="Arial"/>
        </w:rPr>
        <w:t>There</w:t>
      </w:r>
      <w:r>
        <w:rPr>
          <w:rFonts w:ascii="Arial" w:hAnsi="Arial" w:cs="Arial"/>
        </w:rPr>
        <w:t xml:space="preserve"> are</w:t>
      </w:r>
      <w:r w:rsidRPr="00A13DDC">
        <w:rPr>
          <w:rFonts w:ascii="Arial" w:hAnsi="Arial" w:cs="Arial"/>
        </w:rPr>
        <w:t xml:space="preserve"> many other rules, however as shown by some of the principles</w:t>
      </w:r>
      <w:r>
        <w:rPr>
          <w:rFonts w:ascii="Arial" w:hAnsi="Arial" w:cs="Arial"/>
        </w:rPr>
        <w:t xml:space="preserve"> mentioned</w:t>
      </w:r>
      <w:r w:rsidRPr="00A13DDC">
        <w:rPr>
          <w:rFonts w:ascii="Arial" w:hAnsi="Arial" w:cs="Arial"/>
        </w:rPr>
        <w:t xml:space="preserve">, they are in place to avoid confusion and </w:t>
      </w:r>
      <w:r>
        <w:rPr>
          <w:rFonts w:ascii="Arial" w:hAnsi="Arial" w:cs="Arial"/>
        </w:rPr>
        <w:t>misinterpretation</w:t>
      </w:r>
      <w:r w:rsidRPr="00A13DDC">
        <w:rPr>
          <w:rFonts w:ascii="Arial" w:hAnsi="Arial" w:cs="Arial"/>
        </w:rPr>
        <w:t xml:space="preserve"> to avoid difficulties during court cases and </w:t>
      </w:r>
      <w:r w:rsidRPr="00A13DDC">
        <w:rPr>
          <w:rFonts w:ascii="Arial" w:hAnsi="Arial" w:cs="Arial"/>
        </w:rPr>
        <w:t>hearings.</w:t>
      </w:r>
      <w:r>
        <w:rPr>
          <w:rFonts w:ascii="Arial" w:hAnsi="Arial" w:cs="Arial"/>
        </w:rPr>
        <w:t xml:space="preserve"> </w:t>
      </w:r>
      <w:r>
        <w:rPr>
          <w:rFonts w:ascii="Arial" w:hAnsi="Arial" w:cs="Arial"/>
        </w:rPr>
        <w:t xml:space="preserve">Statutes, according to </w:t>
      </w:r>
      <w:sdt>
        <w:sdtPr>
          <w:rPr>
            <w:rFonts w:ascii="Arial" w:hAnsi="Arial" w:cs="Arial"/>
          </w:rPr>
          <w:id w:val="-341008338"/>
          <w:citation/>
        </w:sdtPr>
        <w:sdtContent>
          <w:r>
            <w:rPr>
              <w:rFonts w:ascii="Arial" w:hAnsi="Arial" w:cs="Arial"/>
            </w:rPr>
            <w:fldChar w:fldCharType="begin"/>
          </w:r>
          <w:r>
            <w:rPr>
              <w:rFonts w:ascii="Arial" w:hAnsi="Arial" w:cs="Arial"/>
            </w:rPr>
            <w:instrText xml:space="preserve"> CITATION UKP22 \l 2057 </w:instrText>
          </w:r>
          <w:r>
            <w:rPr>
              <w:rFonts w:ascii="Arial" w:hAnsi="Arial" w:cs="Arial"/>
            </w:rPr>
            <w:fldChar w:fldCharType="separate"/>
          </w:r>
          <w:r w:rsidRPr="00A13DDC">
            <w:rPr>
              <w:rFonts w:ascii="Arial" w:hAnsi="Arial" w:cs="Arial"/>
              <w:noProof/>
            </w:rPr>
            <w:t>(UK Parliament, 2022)</w:t>
          </w:r>
          <w:r>
            <w:rPr>
              <w:rFonts w:ascii="Arial" w:hAnsi="Arial" w:cs="Arial"/>
            </w:rPr>
            <w:fldChar w:fldCharType="end"/>
          </w:r>
        </w:sdtContent>
      </w:sdt>
      <w:r>
        <w:rPr>
          <w:rFonts w:ascii="Arial" w:hAnsi="Arial" w:cs="Arial"/>
        </w:rPr>
        <w:t>, can be identified as ‘An Act of Parliament’</w:t>
      </w:r>
      <w:r>
        <w:rPr>
          <w:rFonts w:ascii="Arial" w:hAnsi="Arial" w:cs="Arial"/>
        </w:rPr>
        <w:t xml:space="preserve"> and can also be known as “a law made by the UK Parliament”.</w:t>
      </w:r>
    </w:p>
    <w:p w:rsidR="00A13DDC" w:rsidRDefault="00A13DDC" w:rsidP="00A13DDC">
      <w:pPr>
        <w:rPr>
          <w:rFonts w:ascii="Arial" w:hAnsi="Arial" w:cs="Arial"/>
        </w:rPr>
      </w:pPr>
    </w:p>
    <w:p w:rsidR="00A13DDC" w:rsidRDefault="00A13DDC" w:rsidP="00A13DDC">
      <w:pPr>
        <w:rPr>
          <w:rFonts w:ascii="Arial" w:hAnsi="Arial" w:cs="Arial"/>
        </w:rPr>
      </w:pPr>
      <w:r>
        <w:rPr>
          <w:rFonts w:ascii="Arial" w:hAnsi="Arial" w:cs="Arial"/>
        </w:rPr>
        <w:t xml:space="preserve">Statutory Interpretation is necessary and is considered important in the UK legal system by members of the court such as the Juries. This is because Statutory Interpretation, as stated on a source </w:t>
      </w:r>
      <w:sdt>
        <w:sdtPr>
          <w:rPr>
            <w:rFonts w:ascii="Arial" w:hAnsi="Arial" w:cs="Arial"/>
          </w:rPr>
          <w:id w:val="1397393106"/>
          <w:citation/>
        </w:sdtPr>
        <w:sdtContent>
          <w:r>
            <w:rPr>
              <w:rFonts w:ascii="Arial" w:hAnsi="Arial" w:cs="Arial"/>
            </w:rPr>
            <w:fldChar w:fldCharType="begin"/>
          </w:r>
          <w:r>
            <w:rPr>
              <w:rFonts w:ascii="Arial" w:hAnsi="Arial" w:cs="Arial"/>
            </w:rPr>
            <w:instrText xml:space="preserve"> CITATION Nic22 \l 2057 </w:instrText>
          </w:r>
          <w:r>
            <w:rPr>
              <w:rFonts w:ascii="Arial" w:hAnsi="Arial" w:cs="Arial"/>
            </w:rPr>
            <w:fldChar w:fldCharType="separate"/>
          </w:r>
          <w:r w:rsidRPr="00A13DDC">
            <w:rPr>
              <w:rFonts w:ascii="Arial" w:hAnsi="Arial" w:cs="Arial"/>
              <w:noProof/>
            </w:rPr>
            <w:t>(LLB, 2022)</w:t>
          </w:r>
          <w:r>
            <w:rPr>
              <w:rFonts w:ascii="Arial" w:hAnsi="Arial" w:cs="Arial"/>
            </w:rPr>
            <w:fldChar w:fldCharType="end"/>
          </w:r>
        </w:sdtContent>
      </w:sdt>
      <w:r>
        <w:rPr>
          <w:rFonts w:ascii="Arial" w:hAnsi="Arial" w:cs="Arial"/>
        </w:rPr>
        <w:t xml:space="preserve"> as a concept “may be required where complexity and uncertainty arises”, and upholds the original meaning and intention of types of legislation by the person or people who wrote it, and diminishes the amount of loopholes that may be exploited due to how the legislation, also known as a statute, was written. </w:t>
      </w:r>
      <w:r>
        <w:rPr>
          <w:rFonts w:ascii="Arial" w:hAnsi="Arial" w:cs="Arial"/>
        </w:rPr>
        <w:t xml:space="preserve">Statutes have to go through a process where they start off </w:t>
      </w:r>
      <w:r>
        <w:rPr>
          <w:rFonts w:ascii="Arial" w:hAnsi="Arial" w:cs="Arial"/>
        </w:rPr>
        <w:lastRenderedPageBreak/>
        <w:t>as bills or suggestions</w:t>
      </w:r>
      <w:r>
        <w:rPr>
          <w:rFonts w:ascii="Arial" w:hAnsi="Arial" w:cs="Arial"/>
        </w:rPr>
        <w:t>, brought up by members of the court who would find their intention useful, to justify an appropriate punishment, so that justice is fairly the verdict of certain cases,</w:t>
      </w:r>
      <w:r>
        <w:rPr>
          <w:rFonts w:ascii="Arial" w:hAnsi="Arial" w:cs="Arial"/>
        </w:rPr>
        <w:t xml:space="preserve"> in either the House of Commons or Lords. If agreed on by the House, it </w:t>
      </w:r>
      <w:r>
        <w:rPr>
          <w:rFonts w:ascii="Arial" w:hAnsi="Arial" w:cs="Arial"/>
        </w:rPr>
        <w:t>will be</w:t>
      </w:r>
      <w:r>
        <w:rPr>
          <w:rFonts w:ascii="Arial" w:hAnsi="Arial" w:cs="Arial"/>
        </w:rPr>
        <w:t xml:space="preserve"> given ‘Royal Assent’ by the Monarch, the bill is then made an Act. </w:t>
      </w:r>
      <w:r>
        <w:rPr>
          <w:rFonts w:ascii="Arial" w:hAnsi="Arial" w:cs="Arial"/>
        </w:rPr>
        <w:t>Furthermore</w:t>
      </w:r>
      <w:r>
        <w:rPr>
          <w:rFonts w:ascii="Arial" w:hAnsi="Arial" w:cs="Arial"/>
        </w:rPr>
        <w:t xml:space="preserve">, according to another source, </w:t>
      </w:r>
      <w:sdt>
        <w:sdtPr>
          <w:rPr>
            <w:rFonts w:ascii="Arial" w:hAnsi="Arial" w:cs="Arial"/>
          </w:rPr>
          <w:id w:val="1779605314"/>
          <w:citation/>
        </w:sdtPr>
        <w:sdtContent>
          <w:r>
            <w:rPr>
              <w:rFonts w:ascii="Arial" w:hAnsi="Arial" w:cs="Arial"/>
            </w:rPr>
            <w:fldChar w:fldCharType="begin"/>
          </w:r>
          <w:r>
            <w:rPr>
              <w:rFonts w:ascii="Arial" w:hAnsi="Arial" w:cs="Arial"/>
            </w:rPr>
            <w:instrText xml:space="preserve"> CITATION Mar12 \l 2057 </w:instrText>
          </w:r>
          <w:r>
            <w:rPr>
              <w:rFonts w:ascii="Arial" w:hAnsi="Arial" w:cs="Arial"/>
            </w:rPr>
            <w:fldChar w:fldCharType="separate"/>
          </w:r>
          <w:r w:rsidRPr="00A13DDC">
            <w:rPr>
              <w:rFonts w:ascii="Arial" w:hAnsi="Arial" w:cs="Arial"/>
              <w:noProof/>
            </w:rPr>
            <w:t>(Partington, 2012)</w:t>
          </w:r>
          <w:r>
            <w:rPr>
              <w:rFonts w:ascii="Arial" w:hAnsi="Arial" w:cs="Arial"/>
            </w:rPr>
            <w:fldChar w:fldCharType="end"/>
          </w:r>
        </w:sdtContent>
      </w:sdt>
      <w:r>
        <w:rPr>
          <w:rFonts w:ascii="Arial" w:hAnsi="Arial" w:cs="Arial"/>
        </w:rPr>
        <w:t>, Statutes are an example of ‘Primary Legislation’, meaning that there are no external influences other than those who write the Act.</w:t>
      </w:r>
      <w:r>
        <w:rPr>
          <w:rFonts w:ascii="Arial" w:hAnsi="Arial" w:cs="Arial"/>
        </w:rPr>
        <w:t xml:space="preserve"> Primary Legislation, according to </w:t>
      </w:r>
      <w:sdt>
        <w:sdtPr>
          <w:rPr>
            <w:rFonts w:ascii="Arial" w:hAnsi="Arial" w:cs="Arial"/>
          </w:rPr>
          <w:id w:val="1150493210"/>
          <w:citation/>
        </w:sdtPr>
        <w:sdtContent>
          <w:r>
            <w:rPr>
              <w:rFonts w:ascii="Arial" w:hAnsi="Arial" w:cs="Arial"/>
            </w:rPr>
            <w:fldChar w:fldCharType="begin"/>
          </w:r>
          <w:r>
            <w:rPr>
              <w:rFonts w:ascii="Arial" w:hAnsi="Arial" w:cs="Arial"/>
            </w:rPr>
            <w:instrText xml:space="preserve"> CITATION UKP221 \l 2057 </w:instrText>
          </w:r>
          <w:r>
            <w:rPr>
              <w:rFonts w:ascii="Arial" w:hAnsi="Arial" w:cs="Arial"/>
            </w:rPr>
            <w:fldChar w:fldCharType="separate"/>
          </w:r>
          <w:r w:rsidRPr="00A13DDC">
            <w:rPr>
              <w:rFonts w:ascii="Arial" w:hAnsi="Arial" w:cs="Arial"/>
              <w:noProof/>
            </w:rPr>
            <w:t>(UK Parliament, 2022)</w:t>
          </w:r>
          <w:r>
            <w:rPr>
              <w:rFonts w:ascii="Arial" w:hAnsi="Arial" w:cs="Arial"/>
            </w:rPr>
            <w:fldChar w:fldCharType="end"/>
          </w:r>
        </w:sdtContent>
      </w:sdt>
      <w:r>
        <w:rPr>
          <w:rFonts w:ascii="Arial" w:hAnsi="Arial" w:cs="Arial"/>
        </w:rPr>
        <w:t xml:space="preserve">, is ‘the general term’ used to explain “main laws passed by legislative bodies of the UK, including the UK Parliament”. This includes statutes passed by the House of Commons, and the House of Lords. </w:t>
      </w:r>
    </w:p>
    <w:p w:rsidR="00A13DDC" w:rsidRDefault="00A13DDC" w:rsidP="00A13DDC">
      <w:pPr>
        <w:rPr>
          <w:rFonts w:ascii="Arial" w:hAnsi="Arial" w:cs="Arial"/>
        </w:rPr>
      </w:pPr>
    </w:p>
    <w:p w:rsidR="00A13DDC" w:rsidRPr="00A13DDC" w:rsidRDefault="00A13DDC" w:rsidP="00A13DDC">
      <w:pPr>
        <w:rPr>
          <w:rFonts w:ascii="Arial" w:hAnsi="Arial" w:cs="Arial"/>
        </w:rPr>
      </w:pPr>
      <w:r>
        <w:rPr>
          <w:rFonts w:ascii="Arial" w:hAnsi="Arial" w:cs="Arial"/>
        </w:rPr>
        <w:t xml:space="preserve">An argument can be made, that the members of parliament who write these acts should be more specific with the exact meaning and intention, and there should be more rules in place to prevent confusion on the original meaning and intention of an Act of Parliament, and the so that the law included in the Act, can be followed easily. To understand how these Acts are made, and the process they go through to be made official, an article written by </w:t>
      </w:r>
      <w:sdt>
        <w:sdtPr>
          <w:rPr>
            <w:rFonts w:ascii="Arial" w:hAnsi="Arial" w:cs="Arial"/>
          </w:rPr>
          <w:id w:val="-1535345119"/>
          <w:citation/>
        </w:sdtPr>
        <w:sdtContent>
          <w:r>
            <w:rPr>
              <w:rFonts w:ascii="Arial" w:hAnsi="Arial" w:cs="Arial"/>
            </w:rPr>
            <w:fldChar w:fldCharType="begin"/>
          </w:r>
          <w:r>
            <w:rPr>
              <w:rFonts w:ascii="Arial" w:hAnsi="Arial" w:cs="Arial"/>
            </w:rPr>
            <w:instrText xml:space="preserve"> CITATION Pey21 \l 2057 </w:instrText>
          </w:r>
          <w:r>
            <w:rPr>
              <w:rFonts w:ascii="Arial" w:hAnsi="Arial" w:cs="Arial"/>
            </w:rPr>
            <w:fldChar w:fldCharType="separate"/>
          </w:r>
          <w:r w:rsidRPr="00A13DDC">
            <w:rPr>
              <w:rFonts w:ascii="Arial" w:hAnsi="Arial" w:cs="Arial"/>
              <w:noProof/>
            </w:rPr>
            <w:t>(Pey, 2021)</w:t>
          </w:r>
          <w:r>
            <w:rPr>
              <w:rFonts w:ascii="Arial" w:hAnsi="Arial" w:cs="Arial"/>
            </w:rPr>
            <w:fldChar w:fldCharType="end"/>
          </w:r>
        </w:sdtContent>
      </w:sdt>
      <w:r>
        <w:rPr>
          <w:rFonts w:ascii="Arial" w:hAnsi="Arial" w:cs="Arial"/>
        </w:rPr>
        <w:t xml:space="preserve">, explains how just that, how they are made, and covers some examples of the theoretical issues that come with the formation of these acts. The article clams that, some statutes can vary, from being really big, to quite small. This source also claims that statutes can also vary complexity and specificity to the case law they were made to resolve, and come to a fair verdict. It states that “some statutes are rigorously detailed” showing that they are very specific to the case law to be able to convict people of same crime easier, however some can be described as ‘extremely vague’. This explains how loopholes and problems within the legislation could be found, as some pieces of legislation are so ‘vague’ and lack enough clarity, to justify the true purpose and intention of the statute. However, Legislation should not be made too complex. Another source </w:t>
      </w:r>
      <w:sdt>
        <w:sdtPr>
          <w:rPr>
            <w:rFonts w:ascii="Arial" w:hAnsi="Arial" w:cs="Arial"/>
          </w:rPr>
          <w:id w:val="599454733"/>
          <w:citation/>
        </w:sdtPr>
        <w:sdtContent>
          <w:r>
            <w:rPr>
              <w:rFonts w:ascii="Arial" w:hAnsi="Arial" w:cs="Arial"/>
            </w:rPr>
            <w:fldChar w:fldCharType="begin"/>
          </w:r>
          <w:r>
            <w:rPr>
              <w:rFonts w:ascii="Arial" w:hAnsi="Arial" w:cs="Arial"/>
            </w:rPr>
            <w:instrText xml:space="preserve">CITATION Off13 \l 2057 </w:instrText>
          </w:r>
          <w:r>
            <w:rPr>
              <w:rFonts w:ascii="Arial" w:hAnsi="Arial" w:cs="Arial"/>
            </w:rPr>
            <w:fldChar w:fldCharType="separate"/>
          </w:r>
          <w:r w:rsidRPr="00A13DDC">
            <w:rPr>
              <w:rFonts w:ascii="Arial" w:hAnsi="Arial" w:cs="Arial"/>
              <w:noProof/>
            </w:rPr>
            <w:t>(Office of Parliamentary Counsel, 2013)</w:t>
          </w:r>
          <w:r>
            <w:rPr>
              <w:rFonts w:ascii="Arial" w:hAnsi="Arial" w:cs="Arial"/>
            </w:rPr>
            <w:fldChar w:fldCharType="end"/>
          </w:r>
        </w:sdtContent>
      </w:sdt>
      <w:r>
        <w:rPr>
          <w:rFonts w:ascii="Arial" w:hAnsi="Arial" w:cs="Arial"/>
        </w:rPr>
        <w:t xml:space="preserve"> states that legislation should be easier to read in modern times because </w:t>
      </w:r>
      <w:r w:rsidRPr="00A13DDC">
        <w:rPr>
          <w:rFonts w:ascii="Arial" w:hAnsi="Arial" w:cs="Arial"/>
        </w:rPr>
        <w:t>“</w:t>
      </w:r>
      <w:r w:rsidRPr="00A13DDC">
        <w:rPr>
          <w:rFonts w:ascii="Arial" w:hAnsi="Arial" w:cs="Arial"/>
        </w:rPr>
        <w:t>It gives effect to policy, translating abstract principles and very specific provisions into legal remedies, while mediating between the (often) conflicting objectives, views and expectations of legislators and users</w:t>
      </w:r>
      <w:r>
        <w:rPr>
          <w:rFonts w:ascii="Arial" w:hAnsi="Arial" w:cs="Arial"/>
        </w:rPr>
        <w:t>”. This means that due to the complexity of current legislation, it is harder to understand, and creates difficulty to understand. This is the reason why we have statutory interpretation, to understand legislation better due to the original complexity.</w:t>
      </w:r>
    </w:p>
    <w:p w:rsidR="00A13DDC" w:rsidRDefault="00A13DDC" w:rsidP="00A13DDC">
      <w:pPr>
        <w:rPr>
          <w:rFonts w:ascii="Arial" w:hAnsi="Arial" w:cs="Arial"/>
        </w:rPr>
      </w:pPr>
    </w:p>
    <w:p w:rsidR="00A13DDC" w:rsidRDefault="00A13DDC" w:rsidP="00A13DDC">
      <w:pPr>
        <w:rPr>
          <w:rFonts w:ascii="Arial" w:hAnsi="Arial" w:cs="Arial"/>
        </w:rPr>
      </w:pPr>
      <w:r>
        <w:rPr>
          <w:rFonts w:ascii="Arial" w:hAnsi="Arial" w:cs="Arial"/>
        </w:rPr>
        <w:t xml:space="preserve">As previously mentioned, Statutory Interpretation is a great way for members of the court to find the correct way of interpreting legislation and using it the way the writer intended to avoid confusion and abuse over the source material. There is very little that may be considered wrong with the theory. The intention of Statutory Interpretation according to a Journal </w:t>
      </w:r>
      <w:sdt>
        <w:sdtPr>
          <w:rPr>
            <w:rFonts w:ascii="Arial" w:hAnsi="Arial" w:cs="Arial"/>
          </w:rPr>
          <w:id w:val="961696746"/>
          <w:citation/>
        </w:sdtPr>
        <w:sdtContent>
          <w:r>
            <w:rPr>
              <w:rFonts w:ascii="Arial" w:hAnsi="Arial" w:cs="Arial"/>
            </w:rPr>
            <w:fldChar w:fldCharType="begin"/>
          </w:r>
          <w:r>
            <w:rPr>
              <w:rFonts w:ascii="Arial" w:hAnsi="Arial" w:cs="Arial"/>
            </w:rPr>
            <w:instrText xml:space="preserve">CITATION UKG69 \l 2057 </w:instrText>
          </w:r>
          <w:r>
            <w:rPr>
              <w:rFonts w:ascii="Arial" w:hAnsi="Arial" w:cs="Arial"/>
            </w:rPr>
            <w:fldChar w:fldCharType="separate"/>
          </w:r>
          <w:r w:rsidRPr="00A13DDC">
            <w:rPr>
              <w:rFonts w:ascii="Arial" w:hAnsi="Arial" w:cs="Arial"/>
              <w:noProof/>
            </w:rPr>
            <w:t>(Her Majesty's Stationary Office, 1969)</w:t>
          </w:r>
          <w:r>
            <w:rPr>
              <w:rFonts w:ascii="Arial" w:hAnsi="Arial" w:cs="Arial"/>
            </w:rPr>
            <w:fldChar w:fldCharType="end"/>
          </w:r>
        </w:sdtContent>
      </w:sdt>
      <w:r>
        <w:rPr>
          <w:rFonts w:ascii="Arial" w:hAnsi="Arial" w:cs="Arial"/>
        </w:rPr>
        <w:t>, is to analyse the ‘Context provided by the Statute’</w:t>
      </w:r>
      <w:r>
        <w:rPr>
          <w:rFonts w:ascii="Arial" w:hAnsi="Arial" w:cs="Arial"/>
        </w:rPr>
        <w:t xml:space="preserve">, </w:t>
      </w:r>
      <w:r>
        <w:rPr>
          <w:rFonts w:ascii="Arial" w:hAnsi="Arial" w:cs="Arial"/>
        </w:rPr>
        <w:t xml:space="preserve">meaning analysing the context </w:t>
      </w:r>
      <w:r>
        <w:rPr>
          <w:rFonts w:ascii="Arial" w:hAnsi="Arial" w:cs="Arial"/>
        </w:rPr>
        <w:t xml:space="preserve">and </w:t>
      </w:r>
      <w:r>
        <w:rPr>
          <w:rFonts w:ascii="Arial" w:hAnsi="Arial" w:cs="Arial"/>
        </w:rPr>
        <w:t>‘</w:t>
      </w:r>
      <w:r>
        <w:rPr>
          <w:rFonts w:ascii="Arial" w:hAnsi="Arial" w:cs="Arial"/>
        </w:rPr>
        <w:t>punctuation</w:t>
      </w:r>
      <w:r>
        <w:rPr>
          <w:rFonts w:ascii="Arial" w:hAnsi="Arial" w:cs="Arial"/>
        </w:rPr>
        <w:t>’</w:t>
      </w:r>
      <w:r>
        <w:rPr>
          <w:rFonts w:ascii="Arial" w:hAnsi="Arial" w:cs="Arial"/>
        </w:rPr>
        <w:t xml:space="preserve"> of the legislation</w:t>
      </w:r>
      <w:r>
        <w:rPr>
          <w:rFonts w:ascii="Arial" w:hAnsi="Arial" w:cs="Arial"/>
        </w:rPr>
        <w:t xml:space="preserve">, to determine the actual definition of the Legislation. This shows that Statutory Interpretation, has little to know effect on the status of the Legislation it is being used on, as it is only in place to understand the original intention of the wording of the Legislation. The only issue that may come with using Statutory Interpretation, would be if it is used on dated Legislation, that may need to be updated, so it is in more touch, and relevant to modern times. This is because Legislation in the UK, could date back hundreds of years, without change, therefore making the principles of the legislation somewhat obsolete, and due to Statutory Interpretation, it has to be used in the context of when it was made. As shown from </w:t>
      </w:r>
      <w:sdt>
        <w:sdtPr>
          <w:rPr>
            <w:rFonts w:ascii="Arial" w:hAnsi="Arial" w:cs="Arial"/>
          </w:rPr>
          <w:id w:val="1996914688"/>
          <w:citation/>
        </w:sdtPr>
        <w:sdtContent>
          <w:r>
            <w:rPr>
              <w:rFonts w:ascii="Arial" w:hAnsi="Arial" w:cs="Arial"/>
            </w:rPr>
            <w:fldChar w:fldCharType="begin"/>
          </w:r>
          <w:r>
            <w:rPr>
              <w:rFonts w:ascii="Arial" w:hAnsi="Arial" w:cs="Arial"/>
            </w:rPr>
            <w:instrText xml:space="preserve"> CITATION UKG88 \l 2057 </w:instrText>
          </w:r>
          <w:r>
            <w:rPr>
              <w:rFonts w:ascii="Arial" w:hAnsi="Arial" w:cs="Arial"/>
            </w:rPr>
            <w:fldChar w:fldCharType="separate"/>
          </w:r>
          <w:r w:rsidRPr="00A13DDC">
            <w:rPr>
              <w:rFonts w:ascii="Arial" w:hAnsi="Arial" w:cs="Arial"/>
              <w:noProof/>
            </w:rPr>
            <w:t>(UK Government, 1988)</w:t>
          </w:r>
          <w:r>
            <w:rPr>
              <w:rFonts w:ascii="Arial" w:hAnsi="Arial" w:cs="Arial"/>
            </w:rPr>
            <w:fldChar w:fldCharType="end"/>
          </w:r>
        </w:sdtContent>
      </w:sdt>
      <w:r>
        <w:rPr>
          <w:rFonts w:ascii="Arial" w:hAnsi="Arial" w:cs="Arial"/>
        </w:rPr>
        <w:t xml:space="preserve"> there is 4 Legislation acts in the UK that can date all the way back to 1801. These acts include: the ‘Crown Debts Act 1801’; the Public Notaries Act 1801’; as well as 2 others being the ‘House of Commons’ Act’s which have both been disqualified, but one of them has been repealed. This shows that even though the acts mentioned, would not be used for common cases today, there are acts that have not been repealed for over 100 plus years.</w:t>
      </w:r>
    </w:p>
    <w:p w:rsidR="00A13DDC" w:rsidRDefault="00A13DDC" w:rsidP="00A13DDC"/>
    <w:p w:rsidR="00A13DDC" w:rsidRDefault="00A13DDC" w:rsidP="00A13DDC">
      <w:pPr>
        <w:rPr>
          <w:rFonts w:ascii="Arial" w:hAnsi="Arial" w:cs="Arial"/>
        </w:rPr>
      </w:pPr>
      <w:r w:rsidRPr="00A13DDC">
        <w:rPr>
          <w:rFonts w:ascii="Arial" w:hAnsi="Arial" w:cs="Arial"/>
        </w:rPr>
        <w:t xml:space="preserve">In conclusion, this report has shown the </w:t>
      </w:r>
      <w:r>
        <w:rPr>
          <w:rFonts w:ascii="Arial" w:hAnsi="Arial" w:cs="Arial"/>
        </w:rPr>
        <w:t xml:space="preserve">definition, </w:t>
      </w:r>
      <w:r w:rsidRPr="00A13DDC">
        <w:rPr>
          <w:rFonts w:ascii="Arial" w:hAnsi="Arial" w:cs="Arial"/>
        </w:rPr>
        <w:t>importance and the role of Statutory interpretation within the British Legal System</w:t>
      </w:r>
      <w:r>
        <w:rPr>
          <w:rFonts w:ascii="Arial" w:hAnsi="Arial" w:cs="Arial"/>
        </w:rPr>
        <w:t xml:space="preserve"> and how it used to justify current legislation; The rules of Statutory interpretation and how it works, how it is necessary to ensure that legislation is followed and is used as intended by those who wrote it, and also discussed whether it is obsolete in modern times. To answer the question presented at the start, I believe that Statutory Interpretation, does not diminish and dampen the status of legislation, as overall, it is a theoretical method of understanding the correct meaning of legislation, so that when specific acts are used within court to make decisions, they are justified by the true meaning.</w:t>
      </w:r>
    </w:p>
    <w:p w:rsidR="00A13DDC" w:rsidRDefault="00A13DDC" w:rsidP="00A13DDC">
      <w:pPr>
        <w:rPr>
          <w:rFonts w:ascii="Arial" w:hAnsi="Arial" w:cs="Arial"/>
        </w:rPr>
      </w:pPr>
    </w:p>
    <w:sdt>
      <w:sdtPr>
        <w:id w:val="1695265764"/>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rsidR="00A13DDC" w:rsidRDefault="00A13DDC">
          <w:pPr>
            <w:pStyle w:val="Heading1"/>
          </w:pPr>
          <w:r>
            <w:t>Bibliography</w:t>
          </w:r>
        </w:p>
        <w:sdt>
          <w:sdtPr>
            <w:id w:val="111145805"/>
            <w:bibliography/>
          </w:sdtPr>
          <w:sdtContent>
            <w:p w:rsidR="00A13DDC" w:rsidRDefault="00A13DDC" w:rsidP="00A13DDC">
              <w:pPr>
                <w:pStyle w:val="Bibliography"/>
                <w:rPr>
                  <w:noProof/>
                  <w:lang w:val="en-US"/>
                </w:rPr>
              </w:pPr>
              <w:r>
                <w:fldChar w:fldCharType="begin"/>
              </w:r>
              <w:r>
                <w:instrText xml:space="preserve"> BIBLIOGRAPHY </w:instrText>
              </w:r>
              <w:r>
                <w:fldChar w:fldCharType="separate"/>
              </w:r>
              <w:r>
                <w:rPr>
                  <w:noProof/>
                  <w:lang w:val="en-US"/>
                </w:rPr>
                <w:t xml:space="preserve">Elliott, C. &amp; Quinn, F., 2017. </w:t>
              </w:r>
              <w:r>
                <w:rPr>
                  <w:i/>
                  <w:iCs/>
                  <w:noProof/>
                  <w:lang w:val="en-US"/>
                </w:rPr>
                <w:t xml:space="preserve">English Legal System. </w:t>
              </w:r>
              <w:r>
                <w:rPr>
                  <w:noProof/>
                  <w:lang w:val="en-US"/>
                </w:rPr>
                <w:t>18 ed. Edinburgh: Pearsons.</w:t>
              </w:r>
            </w:p>
            <w:p w:rsidR="00A13DDC" w:rsidRDefault="00A13DDC" w:rsidP="00A13DDC">
              <w:pPr>
                <w:pStyle w:val="Bibliography"/>
                <w:rPr>
                  <w:noProof/>
                  <w:lang w:val="en-US"/>
                </w:rPr>
              </w:pPr>
              <w:r>
                <w:rPr>
                  <w:noProof/>
                  <w:lang w:val="en-US"/>
                </w:rPr>
                <w:t xml:space="preserve">Her Majesty's Stationary Office, 1969. </w:t>
              </w:r>
              <w:r>
                <w:rPr>
                  <w:i/>
                  <w:iCs/>
                  <w:noProof/>
                  <w:lang w:val="en-US"/>
                </w:rPr>
                <w:t xml:space="preserve">The interpretation of Statutes.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https://assets.publishing.service.gov.uk/government/uploads/system/uploads/attachment_data/file/228894/0256.pdf</w:t>
              </w:r>
              <w:r>
                <w:rPr>
                  <w:noProof/>
                  <w:lang w:val="en-US"/>
                </w:rPr>
                <w:br/>
                <w:t>[Accessed 28 April 2022].</w:t>
              </w:r>
            </w:p>
            <w:p w:rsidR="00A13DDC" w:rsidRDefault="00A13DDC" w:rsidP="00A13DDC">
              <w:pPr>
                <w:pStyle w:val="Bibliography"/>
                <w:rPr>
                  <w:noProof/>
                  <w:lang w:val="en-US"/>
                </w:rPr>
              </w:pPr>
              <w:r>
                <w:rPr>
                  <w:noProof/>
                  <w:lang w:val="en-US"/>
                </w:rPr>
                <w:t xml:space="preserve">Latham-Gambi, A., 2020. </w:t>
              </w:r>
              <w:r>
                <w:rPr>
                  <w:i/>
                  <w:iCs/>
                  <w:noProof/>
                  <w:lang w:val="en-US"/>
                </w:rPr>
                <w:t xml:space="preserve">What is Parliament doing when it legislates? Legislative Intention and Parliamentary Sovereignty in Privacy International.. </w:t>
              </w:r>
              <w:r>
                <w:rPr>
                  <w:noProof/>
                  <w:lang w:val="en-US"/>
                </w:rPr>
                <w:t xml:space="preserve">[Online] </w:t>
              </w:r>
              <w:r>
                <w:rPr>
                  <w:noProof/>
                  <w:lang w:val="en-US"/>
                </w:rPr>
                <w:br/>
                <w:t xml:space="preserve">Available at: </w:t>
              </w:r>
              <w:r>
                <w:rPr>
                  <w:noProof/>
                  <w:u w:val="single"/>
                  <w:lang w:val="en-US"/>
                </w:rPr>
                <w:t>https://ukconstitutionallaw.org/2020/04/20/alexander-latham-gambi-what-is-parliament-doing-when-it-legislates-legislative-intention-and-parliamentary-sovereignty-in-privacy-international/</w:t>
              </w:r>
              <w:r>
                <w:rPr>
                  <w:noProof/>
                  <w:lang w:val="en-US"/>
                </w:rPr>
                <w:br/>
                <w:t>[Accessed 28 April 2022].</w:t>
              </w:r>
            </w:p>
            <w:p w:rsidR="00A13DDC" w:rsidRDefault="00A13DDC" w:rsidP="00A13DDC">
              <w:pPr>
                <w:pStyle w:val="Bibliography"/>
                <w:rPr>
                  <w:noProof/>
                  <w:lang w:val="en-US"/>
                </w:rPr>
              </w:pPr>
              <w:r>
                <w:rPr>
                  <w:noProof/>
                  <w:lang w:val="en-US"/>
                </w:rPr>
                <w:t xml:space="preserve">Law, J. &amp; Martin, E., 2009. </w:t>
              </w:r>
              <w:r>
                <w:rPr>
                  <w:i/>
                  <w:iCs/>
                  <w:noProof/>
                  <w:lang w:val="en-US"/>
                </w:rPr>
                <w:t xml:space="preserve">Oxford Dictionary of Law. </w:t>
              </w:r>
              <w:r>
                <w:rPr>
                  <w:noProof/>
                  <w:lang w:val="en-US"/>
                </w:rPr>
                <w:t>7th Edition ed. New York: Oxford University Press.</w:t>
              </w:r>
            </w:p>
            <w:p w:rsidR="00A13DDC" w:rsidRDefault="00A13DDC" w:rsidP="00A13DDC">
              <w:pPr>
                <w:pStyle w:val="Bibliography"/>
                <w:rPr>
                  <w:noProof/>
                  <w:lang w:val="en-US"/>
                </w:rPr>
              </w:pPr>
              <w:r>
                <w:rPr>
                  <w:noProof/>
                  <w:lang w:val="en-US"/>
                </w:rPr>
                <w:t xml:space="preserve">LLB, N. L., 2022. </w:t>
              </w:r>
              <w:r>
                <w:rPr>
                  <w:i/>
                  <w:iCs/>
                  <w:noProof/>
                  <w:lang w:val="en-US"/>
                </w:rPr>
                <w:t xml:space="preserve">Statutory Interpretation. </w:t>
              </w:r>
              <w:r>
                <w:rPr>
                  <w:noProof/>
                  <w:lang w:val="en-US"/>
                </w:rPr>
                <w:t xml:space="preserve">[Online] </w:t>
              </w:r>
              <w:r>
                <w:rPr>
                  <w:noProof/>
                  <w:lang w:val="en-US"/>
                </w:rPr>
                <w:br/>
                <w:t xml:space="preserve">Available at: </w:t>
              </w:r>
              <w:r>
                <w:rPr>
                  <w:noProof/>
                  <w:u w:val="single"/>
                  <w:lang w:val="en-US"/>
                </w:rPr>
                <w:t>https://www.inbrief.co.uk/legal-system/statutory-interpretation/</w:t>
              </w:r>
              <w:r>
                <w:rPr>
                  <w:noProof/>
                  <w:lang w:val="en-US"/>
                </w:rPr>
                <w:br/>
                <w:t>[Accessed 25 April 2022].</w:t>
              </w:r>
            </w:p>
            <w:p w:rsidR="00A13DDC" w:rsidRDefault="00A13DDC" w:rsidP="00A13DDC">
              <w:pPr>
                <w:pStyle w:val="Bibliography"/>
                <w:rPr>
                  <w:noProof/>
                  <w:lang w:val="en-US"/>
                </w:rPr>
              </w:pPr>
              <w:r>
                <w:rPr>
                  <w:noProof/>
                  <w:lang w:val="en-US"/>
                </w:rPr>
                <w:t xml:space="preserve">Office of Parliamentary Counsel, 2013. </w:t>
              </w:r>
              <w:r>
                <w:rPr>
                  <w:i/>
                  <w:iCs/>
                  <w:noProof/>
                  <w:lang w:val="en-US"/>
                </w:rPr>
                <w:t xml:space="preserve">When Law becomes too complex, </w:t>
              </w:r>
              <w:r>
                <w:rPr>
                  <w:noProof/>
                  <w:lang w:val="en-US"/>
                </w:rPr>
                <w:t>London: Cabinet Office.</w:t>
              </w:r>
            </w:p>
            <w:p w:rsidR="00A13DDC" w:rsidRDefault="00A13DDC" w:rsidP="00A13DDC">
              <w:pPr>
                <w:pStyle w:val="Bibliography"/>
                <w:rPr>
                  <w:noProof/>
                  <w:lang w:val="en-US"/>
                </w:rPr>
              </w:pPr>
              <w:r>
                <w:rPr>
                  <w:noProof/>
                  <w:lang w:val="en-US"/>
                </w:rPr>
                <w:t xml:space="preserve">Oxford Reference, 2022. </w:t>
              </w:r>
              <w:r>
                <w:rPr>
                  <w:i/>
                  <w:iCs/>
                  <w:noProof/>
                  <w:lang w:val="en-US"/>
                </w:rPr>
                <w:t xml:space="preserve">Oxford Reference. </w:t>
              </w:r>
              <w:r>
                <w:rPr>
                  <w:noProof/>
                  <w:lang w:val="en-US"/>
                </w:rPr>
                <w:t xml:space="preserve">[Online] </w:t>
              </w:r>
              <w:r>
                <w:rPr>
                  <w:noProof/>
                  <w:lang w:val="en-US"/>
                </w:rPr>
                <w:br/>
                <w:t xml:space="preserve">Available at: </w:t>
              </w:r>
              <w:r>
                <w:rPr>
                  <w:noProof/>
                  <w:u w:val="single"/>
                  <w:lang w:val="en-US"/>
                </w:rPr>
                <w:t>https://www.oxfordreference.com/view/10.1093/oi/authority.20110803100529647</w:t>
              </w:r>
              <w:r>
                <w:rPr>
                  <w:noProof/>
                  <w:lang w:val="en-US"/>
                </w:rPr>
                <w:br/>
                <w:t>[Accessed 18 April 2022].</w:t>
              </w:r>
            </w:p>
            <w:p w:rsidR="00A13DDC" w:rsidRDefault="00A13DDC" w:rsidP="00A13DDC">
              <w:pPr>
                <w:pStyle w:val="Bibliography"/>
                <w:rPr>
                  <w:noProof/>
                  <w:lang w:val="en-US"/>
                </w:rPr>
              </w:pPr>
              <w:r>
                <w:rPr>
                  <w:noProof/>
                  <w:lang w:val="en-US"/>
                </w:rPr>
                <w:t xml:space="preserve">Partington, M., 2012. </w:t>
              </w:r>
              <w:r>
                <w:rPr>
                  <w:i/>
                  <w:iCs/>
                  <w:noProof/>
                  <w:lang w:val="en-US"/>
                </w:rPr>
                <w:t xml:space="preserve">An Introduction to the English Legal System. </w:t>
              </w:r>
              <w:r>
                <w:rPr>
                  <w:noProof/>
                  <w:lang w:val="en-US"/>
                </w:rPr>
                <w:t>2012-2013 ed. Oxford: Oxford University Press.</w:t>
              </w:r>
            </w:p>
            <w:p w:rsidR="00A13DDC" w:rsidRDefault="00A13DDC" w:rsidP="00A13DDC">
              <w:pPr>
                <w:pStyle w:val="Bibliography"/>
                <w:rPr>
                  <w:noProof/>
                  <w:lang w:val="en-US"/>
                </w:rPr>
              </w:pPr>
              <w:r>
                <w:rPr>
                  <w:noProof/>
                  <w:lang w:val="en-US"/>
                </w:rPr>
                <w:t xml:space="preserve">Pey, R. R.-S., 2021. </w:t>
              </w:r>
              <w:r>
                <w:rPr>
                  <w:i/>
                  <w:iCs/>
                  <w:noProof/>
                  <w:lang w:val="en-US"/>
                </w:rPr>
                <w:t xml:space="preserve">Staturory Interpretation Explained. </w:t>
              </w:r>
              <w:r>
                <w:rPr>
                  <w:noProof/>
                  <w:lang w:val="en-US"/>
                </w:rPr>
                <w:t xml:space="preserve">[Online] </w:t>
              </w:r>
              <w:r>
                <w:rPr>
                  <w:noProof/>
                  <w:lang w:val="en-US"/>
                </w:rPr>
                <w:br/>
                <w:t xml:space="preserve">Available at: </w:t>
              </w:r>
              <w:r>
                <w:rPr>
                  <w:noProof/>
                  <w:u w:val="single"/>
                  <w:lang w:val="en-US"/>
                </w:rPr>
                <w:t>https://www.culs.org.uk/per-incuriam/statutory-interpretation-explained</w:t>
              </w:r>
              <w:r>
                <w:rPr>
                  <w:noProof/>
                  <w:lang w:val="en-US"/>
                </w:rPr>
                <w:br/>
                <w:t>[Accessed 25 April 2022].</w:t>
              </w:r>
            </w:p>
            <w:p w:rsidR="00A13DDC" w:rsidRDefault="00A13DDC" w:rsidP="00A13DDC">
              <w:pPr>
                <w:pStyle w:val="Bibliography"/>
                <w:rPr>
                  <w:noProof/>
                  <w:lang w:val="en-US"/>
                </w:rPr>
              </w:pPr>
              <w:r>
                <w:rPr>
                  <w:noProof/>
                  <w:lang w:val="en-US"/>
                </w:rPr>
                <w:lastRenderedPageBreak/>
                <w:t xml:space="preserve">Pey, R. R.-S., 2021. </w:t>
              </w:r>
              <w:r>
                <w:rPr>
                  <w:i/>
                  <w:iCs/>
                  <w:noProof/>
                  <w:lang w:val="en-US"/>
                </w:rPr>
                <w:t xml:space="preserve">Statutory Interpretation Explained. </w:t>
              </w:r>
              <w:r>
                <w:rPr>
                  <w:noProof/>
                  <w:lang w:val="en-US"/>
                </w:rPr>
                <w:t xml:space="preserve">[Online] </w:t>
              </w:r>
              <w:r>
                <w:rPr>
                  <w:noProof/>
                  <w:lang w:val="en-US"/>
                </w:rPr>
                <w:br/>
                <w:t xml:space="preserve">Available at: </w:t>
              </w:r>
              <w:r>
                <w:rPr>
                  <w:noProof/>
                  <w:u w:val="single"/>
                  <w:lang w:val="en-US"/>
                </w:rPr>
                <w:t>https://www.culs.org.uk/per-incuriam/statutory-interpretation-explained</w:t>
              </w:r>
              <w:r>
                <w:rPr>
                  <w:noProof/>
                  <w:lang w:val="en-US"/>
                </w:rPr>
                <w:br/>
                <w:t>[Accessed 25 April 2022].</w:t>
              </w:r>
            </w:p>
            <w:p w:rsidR="00A13DDC" w:rsidRDefault="00A13DDC" w:rsidP="00A13DDC">
              <w:pPr>
                <w:pStyle w:val="Bibliography"/>
                <w:rPr>
                  <w:noProof/>
                  <w:lang w:val="en-US"/>
                </w:rPr>
              </w:pPr>
              <w:r>
                <w:rPr>
                  <w:noProof/>
                  <w:lang w:val="en-US"/>
                </w:rPr>
                <w:t xml:space="preserve">Pey, R. R.-S., 2021. </w:t>
              </w:r>
              <w:r>
                <w:rPr>
                  <w:i/>
                  <w:iCs/>
                  <w:noProof/>
                  <w:lang w:val="en-US"/>
                </w:rPr>
                <w:t xml:space="preserve">Statutory Interpretation Explained. </w:t>
              </w:r>
              <w:r>
                <w:rPr>
                  <w:noProof/>
                  <w:lang w:val="en-US"/>
                </w:rPr>
                <w:t xml:space="preserve">[Online] </w:t>
              </w:r>
              <w:r>
                <w:rPr>
                  <w:noProof/>
                  <w:lang w:val="en-US"/>
                </w:rPr>
                <w:br/>
                <w:t xml:space="preserve">Available at: </w:t>
              </w:r>
              <w:r>
                <w:rPr>
                  <w:noProof/>
                  <w:u w:val="single"/>
                  <w:lang w:val="en-US"/>
                </w:rPr>
                <w:t>https://www.culs.org.uk/per-incuriam/statutory-interpretation-explained</w:t>
              </w:r>
              <w:r>
                <w:rPr>
                  <w:noProof/>
                  <w:lang w:val="en-US"/>
                </w:rPr>
                <w:br/>
                <w:t>[Accessed 23 April 2022].</w:t>
              </w:r>
            </w:p>
            <w:p w:rsidR="00A13DDC" w:rsidRDefault="00A13DDC" w:rsidP="00A13DDC">
              <w:pPr>
                <w:pStyle w:val="Bibliography"/>
                <w:rPr>
                  <w:noProof/>
                  <w:lang w:val="en-US"/>
                </w:rPr>
              </w:pPr>
              <w:r>
                <w:rPr>
                  <w:noProof/>
                  <w:lang w:val="en-US"/>
                </w:rPr>
                <w:t xml:space="preserve">UK Government, 1988. </w:t>
              </w:r>
              <w:r>
                <w:rPr>
                  <w:i/>
                  <w:iCs/>
                  <w:noProof/>
                  <w:lang w:val="en-US"/>
                </w:rPr>
                <w:t xml:space="preserve">UK Public General Acts from 1900-1909. </w:t>
              </w:r>
              <w:r>
                <w:rPr>
                  <w:noProof/>
                  <w:lang w:val="en-US"/>
                </w:rPr>
                <w:t xml:space="preserve">[Online] </w:t>
              </w:r>
              <w:r>
                <w:rPr>
                  <w:noProof/>
                  <w:lang w:val="en-US"/>
                </w:rPr>
                <w:br/>
                <w:t xml:space="preserve">Available at: </w:t>
              </w:r>
              <w:r>
                <w:rPr>
                  <w:noProof/>
                  <w:u w:val="single"/>
                  <w:lang w:val="en-US"/>
                </w:rPr>
                <w:t>https://www.legislation.gov.uk/ukpga/1900-1909</w:t>
              </w:r>
              <w:r>
                <w:rPr>
                  <w:noProof/>
                  <w:lang w:val="en-US"/>
                </w:rPr>
                <w:br/>
                <w:t>[Accessed 28 April 2022].</w:t>
              </w:r>
            </w:p>
            <w:p w:rsidR="00A13DDC" w:rsidRDefault="00A13DDC" w:rsidP="00A13DDC">
              <w:pPr>
                <w:pStyle w:val="Bibliography"/>
                <w:rPr>
                  <w:noProof/>
                  <w:lang w:val="en-US"/>
                </w:rPr>
              </w:pPr>
              <w:r>
                <w:rPr>
                  <w:noProof/>
                  <w:lang w:val="en-US"/>
                </w:rPr>
                <w:t xml:space="preserve">UK Parliament, 2022. </w:t>
              </w:r>
              <w:r>
                <w:rPr>
                  <w:i/>
                  <w:iCs/>
                  <w:noProof/>
                  <w:lang w:val="en-US"/>
                </w:rPr>
                <w:t xml:space="preserve">Primary legislation. </w:t>
              </w:r>
              <w:r>
                <w:rPr>
                  <w:noProof/>
                  <w:lang w:val="en-US"/>
                </w:rPr>
                <w:t xml:space="preserve">[Online] </w:t>
              </w:r>
              <w:r>
                <w:rPr>
                  <w:noProof/>
                  <w:lang w:val="en-US"/>
                </w:rPr>
                <w:br/>
                <w:t xml:space="preserve">Available at: </w:t>
              </w:r>
              <w:r>
                <w:rPr>
                  <w:noProof/>
                  <w:u w:val="single"/>
                  <w:lang w:val="en-US"/>
                </w:rPr>
                <w:t>https://www.parliament.uk/site-information/glossary/primary-legislation/</w:t>
              </w:r>
              <w:r>
                <w:rPr>
                  <w:noProof/>
                  <w:lang w:val="en-US"/>
                </w:rPr>
                <w:br/>
                <w:t>[Accessed 29 April 2022].</w:t>
              </w:r>
            </w:p>
            <w:p w:rsidR="00A13DDC" w:rsidRDefault="00A13DDC" w:rsidP="00A13DDC">
              <w:pPr>
                <w:pStyle w:val="Bibliography"/>
                <w:rPr>
                  <w:noProof/>
                  <w:lang w:val="en-US"/>
                </w:rPr>
              </w:pPr>
              <w:r>
                <w:rPr>
                  <w:noProof/>
                  <w:lang w:val="en-US"/>
                </w:rPr>
                <w:t xml:space="preserve">UK Parliament, 2022. </w:t>
              </w:r>
              <w:r>
                <w:rPr>
                  <w:i/>
                  <w:iCs/>
                  <w:noProof/>
                  <w:lang w:val="en-US"/>
                </w:rPr>
                <w:t xml:space="preserve">Statute. </w:t>
              </w:r>
              <w:r>
                <w:rPr>
                  <w:noProof/>
                  <w:lang w:val="en-US"/>
                </w:rPr>
                <w:t xml:space="preserve">[Online] </w:t>
              </w:r>
              <w:r>
                <w:rPr>
                  <w:noProof/>
                  <w:lang w:val="en-US"/>
                </w:rPr>
                <w:br/>
                <w:t xml:space="preserve">Available at: </w:t>
              </w:r>
              <w:r>
                <w:rPr>
                  <w:noProof/>
                  <w:u w:val="single"/>
                  <w:lang w:val="en-US"/>
                </w:rPr>
                <w:t>https://www.parliament.uk/site-information/glossary/statutes/</w:t>
              </w:r>
              <w:r>
                <w:rPr>
                  <w:noProof/>
                  <w:lang w:val="en-US"/>
                </w:rPr>
                <w:br/>
                <w:t>[Accessed 26 April 2022].</w:t>
              </w:r>
            </w:p>
            <w:p w:rsidR="00A13DDC" w:rsidRDefault="00A13DDC" w:rsidP="00A13DDC">
              <w:r>
                <w:rPr>
                  <w:b/>
                  <w:bCs/>
                  <w:noProof/>
                </w:rPr>
                <w:fldChar w:fldCharType="end"/>
              </w:r>
            </w:p>
          </w:sdtContent>
        </w:sdt>
      </w:sdtContent>
    </w:sdt>
    <w:p w:rsidR="00A13DDC" w:rsidRDefault="00A13DDC" w:rsidP="00A13DDC">
      <w:pPr>
        <w:rPr>
          <w:rFonts w:ascii="Arial" w:hAnsi="Arial" w:cs="Arial"/>
        </w:rPr>
      </w:pPr>
      <w:bookmarkStart w:id="0" w:name="_GoBack"/>
      <w:bookmarkEnd w:id="0"/>
    </w:p>
    <w:p w:rsidR="00A13DDC" w:rsidRDefault="00A13DDC" w:rsidP="00A13DDC">
      <w:pPr>
        <w:rPr>
          <w:rFonts w:ascii="Arial" w:hAnsi="Arial" w:cs="Arial"/>
        </w:rPr>
      </w:pPr>
    </w:p>
    <w:sdt>
      <w:sdtPr>
        <w:id w:val="-1192143817"/>
        <w:docPartObj>
          <w:docPartGallery w:val="Bibliographies"/>
          <w:docPartUnique/>
        </w:docPartObj>
      </w:sdtPr>
      <w:sdtContent>
        <w:p w:rsidR="00A13DDC" w:rsidRDefault="00A13DDC" w:rsidP="00A13DDC">
          <w:pPr>
            <w:pStyle w:val="Heading1"/>
          </w:pPr>
        </w:p>
        <w:p w:rsidR="00A13DDC" w:rsidRDefault="00A13DDC" w:rsidP="00A13DDC"/>
      </w:sdtContent>
    </w:sdt>
    <w:sectPr w:rsidR="00A13DDC" w:rsidSect="00A13DDC">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897AB1"/>
    <w:multiLevelType w:val="hybridMultilevel"/>
    <w:tmpl w:val="3A3EA6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DDC"/>
    <w:rsid w:val="00145FFA"/>
    <w:rsid w:val="0015708D"/>
    <w:rsid w:val="00A13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8E474"/>
  <w15:chartTrackingRefBased/>
  <w15:docId w15:val="{ECC24C28-40E0-6D45-92A2-92ADFEB0B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3DD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13DDC"/>
    <w:rPr>
      <w:rFonts w:eastAsiaTheme="minorEastAsia"/>
      <w:sz w:val="22"/>
      <w:szCs w:val="22"/>
      <w:lang w:val="en-US" w:eastAsia="zh-CN"/>
    </w:rPr>
  </w:style>
  <w:style w:type="character" w:customStyle="1" w:styleId="NoSpacingChar">
    <w:name w:val="No Spacing Char"/>
    <w:basedOn w:val="DefaultParagraphFont"/>
    <w:link w:val="NoSpacing"/>
    <w:uiPriority w:val="1"/>
    <w:rsid w:val="00A13DDC"/>
    <w:rPr>
      <w:rFonts w:eastAsiaTheme="minorEastAsia"/>
      <w:sz w:val="22"/>
      <w:szCs w:val="22"/>
      <w:lang w:val="en-US" w:eastAsia="zh-CN"/>
    </w:rPr>
  </w:style>
  <w:style w:type="paragraph" w:styleId="ListParagraph">
    <w:name w:val="List Paragraph"/>
    <w:basedOn w:val="Normal"/>
    <w:uiPriority w:val="34"/>
    <w:qFormat/>
    <w:rsid w:val="00A13DDC"/>
    <w:pPr>
      <w:ind w:left="720"/>
      <w:contextualSpacing/>
    </w:pPr>
  </w:style>
  <w:style w:type="character" w:customStyle="1" w:styleId="Heading1Char">
    <w:name w:val="Heading 1 Char"/>
    <w:basedOn w:val="DefaultParagraphFont"/>
    <w:link w:val="Heading1"/>
    <w:uiPriority w:val="9"/>
    <w:rsid w:val="00A13DD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13DDC"/>
  </w:style>
  <w:style w:type="paragraph" w:styleId="NormalWeb">
    <w:name w:val="Normal (Web)"/>
    <w:basedOn w:val="Normal"/>
    <w:uiPriority w:val="99"/>
    <w:semiHidden/>
    <w:unhideWhenUsed/>
    <w:rsid w:val="00A13DDC"/>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430598">
      <w:bodyDiv w:val="1"/>
      <w:marLeft w:val="0"/>
      <w:marRight w:val="0"/>
      <w:marTop w:val="0"/>
      <w:marBottom w:val="0"/>
      <w:divBdr>
        <w:top w:val="none" w:sz="0" w:space="0" w:color="auto"/>
        <w:left w:val="none" w:sz="0" w:space="0" w:color="auto"/>
        <w:bottom w:val="none" w:sz="0" w:space="0" w:color="auto"/>
        <w:right w:val="none" w:sz="0" w:space="0" w:color="auto"/>
      </w:divBdr>
    </w:div>
    <w:div w:id="99838880">
      <w:bodyDiv w:val="1"/>
      <w:marLeft w:val="0"/>
      <w:marRight w:val="0"/>
      <w:marTop w:val="0"/>
      <w:marBottom w:val="0"/>
      <w:divBdr>
        <w:top w:val="none" w:sz="0" w:space="0" w:color="auto"/>
        <w:left w:val="none" w:sz="0" w:space="0" w:color="auto"/>
        <w:bottom w:val="none" w:sz="0" w:space="0" w:color="auto"/>
        <w:right w:val="none" w:sz="0" w:space="0" w:color="auto"/>
      </w:divBdr>
    </w:div>
    <w:div w:id="104277458">
      <w:bodyDiv w:val="1"/>
      <w:marLeft w:val="0"/>
      <w:marRight w:val="0"/>
      <w:marTop w:val="0"/>
      <w:marBottom w:val="0"/>
      <w:divBdr>
        <w:top w:val="none" w:sz="0" w:space="0" w:color="auto"/>
        <w:left w:val="none" w:sz="0" w:space="0" w:color="auto"/>
        <w:bottom w:val="none" w:sz="0" w:space="0" w:color="auto"/>
        <w:right w:val="none" w:sz="0" w:space="0" w:color="auto"/>
      </w:divBdr>
    </w:div>
    <w:div w:id="243925470">
      <w:bodyDiv w:val="1"/>
      <w:marLeft w:val="0"/>
      <w:marRight w:val="0"/>
      <w:marTop w:val="0"/>
      <w:marBottom w:val="0"/>
      <w:divBdr>
        <w:top w:val="none" w:sz="0" w:space="0" w:color="auto"/>
        <w:left w:val="none" w:sz="0" w:space="0" w:color="auto"/>
        <w:bottom w:val="none" w:sz="0" w:space="0" w:color="auto"/>
        <w:right w:val="none" w:sz="0" w:space="0" w:color="auto"/>
      </w:divBdr>
    </w:div>
    <w:div w:id="246814796">
      <w:bodyDiv w:val="1"/>
      <w:marLeft w:val="0"/>
      <w:marRight w:val="0"/>
      <w:marTop w:val="0"/>
      <w:marBottom w:val="0"/>
      <w:divBdr>
        <w:top w:val="none" w:sz="0" w:space="0" w:color="auto"/>
        <w:left w:val="none" w:sz="0" w:space="0" w:color="auto"/>
        <w:bottom w:val="none" w:sz="0" w:space="0" w:color="auto"/>
        <w:right w:val="none" w:sz="0" w:space="0" w:color="auto"/>
      </w:divBdr>
    </w:div>
    <w:div w:id="541863879">
      <w:bodyDiv w:val="1"/>
      <w:marLeft w:val="0"/>
      <w:marRight w:val="0"/>
      <w:marTop w:val="0"/>
      <w:marBottom w:val="0"/>
      <w:divBdr>
        <w:top w:val="none" w:sz="0" w:space="0" w:color="auto"/>
        <w:left w:val="none" w:sz="0" w:space="0" w:color="auto"/>
        <w:bottom w:val="none" w:sz="0" w:space="0" w:color="auto"/>
        <w:right w:val="none" w:sz="0" w:space="0" w:color="auto"/>
      </w:divBdr>
    </w:div>
    <w:div w:id="664091466">
      <w:bodyDiv w:val="1"/>
      <w:marLeft w:val="0"/>
      <w:marRight w:val="0"/>
      <w:marTop w:val="0"/>
      <w:marBottom w:val="0"/>
      <w:divBdr>
        <w:top w:val="none" w:sz="0" w:space="0" w:color="auto"/>
        <w:left w:val="none" w:sz="0" w:space="0" w:color="auto"/>
        <w:bottom w:val="none" w:sz="0" w:space="0" w:color="auto"/>
        <w:right w:val="none" w:sz="0" w:space="0" w:color="auto"/>
      </w:divBdr>
    </w:div>
    <w:div w:id="738215559">
      <w:bodyDiv w:val="1"/>
      <w:marLeft w:val="0"/>
      <w:marRight w:val="0"/>
      <w:marTop w:val="0"/>
      <w:marBottom w:val="0"/>
      <w:divBdr>
        <w:top w:val="none" w:sz="0" w:space="0" w:color="auto"/>
        <w:left w:val="none" w:sz="0" w:space="0" w:color="auto"/>
        <w:bottom w:val="none" w:sz="0" w:space="0" w:color="auto"/>
        <w:right w:val="none" w:sz="0" w:space="0" w:color="auto"/>
      </w:divBdr>
    </w:div>
    <w:div w:id="795677825">
      <w:bodyDiv w:val="1"/>
      <w:marLeft w:val="0"/>
      <w:marRight w:val="0"/>
      <w:marTop w:val="0"/>
      <w:marBottom w:val="0"/>
      <w:divBdr>
        <w:top w:val="none" w:sz="0" w:space="0" w:color="auto"/>
        <w:left w:val="none" w:sz="0" w:space="0" w:color="auto"/>
        <w:bottom w:val="none" w:sz="0" w:space="0" w:color="auto"/>
        <w:right w:val="none" w:sz="0" w:space="0" w:color="auto"/>
      </w:divBdr>
    </w:div>
    <w:div w:id="854266235">
      <w:bodyDiv w:val="1"/>
      <w:marLeft w:val="0"/>
      <w:marRight w:val="0"/>
      <w:marTop w:val="0"/>
      <w:marBottom w:val="0"/>
      <w:divBdr>
        <w:top w:val="none" w:sz="0" w:space="0" w:color="auto"/>
        <w:left w:val="none" w:sz="0" w:space="0" w:color="auto"/>
        <w:bottom w:val="none" w:sz="0" w:space="0" w:color="auto"/>
        <w:right w:val="none" w:sz="0" w:space="0" w:color="auto"/>
      </w:divBdr>
    </w:div>
    <w:div w:id="886720594">
      <w:bodyDiv w:val="1"/>
      <w:marLeft w:val="0"/>
      <w:marRight w:val="0"/>
      <w:marTop w:val="0"/>
      <w:marBottom w:val="0"/>
      <w:divBdr>
        <w:top w:val="none" w:sz="0" w:space="0" w:color="auto"/>
        <w:left w:val="none" w:sz="0" w:space="0" w:color="auto"/>
        <w:bottom w:val="none" w:sz="0" w:space="0" w:color="auto"/>
        <w:right w:val="none" w:sz="0" w:space="0" w:color="auto"/>
      </w:divBdr>
    </w:div>
    <w:div w:id="1195114523">
      <w:bodyDiv w:val="1"/>
      <w:marLeft w:val="0"/>
      <w:marRight w:val="0"/>
      <w:marTop w:val="0"/>
      <w:marBottom w:val="0"/>
      <w:divBdr>
        <w:top w:val="none" w:sz="0" w:space="0" w:color="auto"/>
        <w:left w:val="none" w:sz="0" w:space="0" w:color="auto"/>
        <w:bottom w:val="none" w:sz="0" w:space="0" w:color="auto"/>
        <w:right w:val="none" w:sz="0" w:space="0" w:color="auto"/>
      </w:divBdr>
    </w:div>
    <w:div w:id="1253931404">
      <w:bodyDiv w:val="1"/>
      <w:marLeft w:val="0"/>
      <w:marRight w:val="0"/>
      <w:marTop w:val="0"/>
      <w:marBottom w:val="0"/>
      <w:divBdr>
        <w:top w:val="none" w:sz="0" w:space="0" w:color="auto"/>
        <w:left w:val="none" w:sz="0" w:space="0" w:color="auto"/>
        <w:bottom w:val="none" w:sz="0" w:space="0" w:color="auto"/>
        <w:right w:val="none" w:sz="0" w:space="0" w:color="auto"/>
      </w:divBdr>
    </w:div>
    <w:div w:id="1256553912">
      <w:bodyDiv w:val="1"/>
      <w:marLeft w:val="0"/>
      <w:marRight w:val="0"/>
      <w:marTop w:val="0"/>
      <w:marBottom w:val="0"/>
      <w:divBdr>
        <w:top w:val="none" w:sz="0" w:space="0" w:color="auto"/>
        <w:left w:val="none" w:sz="0" w:space="0" w:color="auto"/>
        <w:bottom w:val="none" w:sz="0" w:space="0" w:color="auto"/>
        <w:right w:val="none" w:sz="0" w:space="0" w:color="auto"/>
      </w:divBdr>
    </w:div>
    <w:div w:id="1316449863">
      <w:bodyDiv w:val="1"/>
      <w:marLeft w:val="0"/>
      <w:marRight w:val="0"/>
      <w:marTop w:val="0"/>
      <w:marBottom w:val="0"/>
      <w:divBdr>
        <w:top w:val="none" w:sz="0" w:space="0" w:color="auto"/>
        <w:left w:val="none" w:sz="0" w:space="0" w:color="auto"/>
        <w:bottom w:val="none" w:sz="0" w:space="0" w:color="auto"/>
        <w:right w:val="none" w:sz="0" w:space="0" w:color="auto"/>
      </w:divBdr>
    </w:div>
    <w:div w:id="1321230781">
      <w:bodyDiv w:val="1"/>
      <w:marLeft w:val="0"/>
      <w:marRight w:val="0"/>
      <w:marTop w:val="0"/>
      <w:marBottom w:val="0"/>
      <w:divBdr>
        <w:top w:val="none" w:sz="0" w:space="0" w:color="auto"/>
        <w:left w:val="none" w:sz="0" w:space="0" w:color="auto"/>
        <w:bottom w:val="none" w:sz="0" w:space="0" w:color="auto"/>
        <w:right w:val="none" w:sz="0" w:space="0" w:color="auto"/>
      </w:divBdr>
    </w:div>
    <w:div w:id="1428691111">
      <w:bodyDiv w:val="1"/>
      <w:marLeft w:val="0"/>
      <w:marRight w:val="0"/>
      <w:marTop w:val="0"/>
      <w:marBottom w:val="0"/>
      <w:divBdr>
        <w:top w:val="none" w:sz="0" w:space="0" w:color="auto"/>
        <w:left w:val="none" w:sz="0" w:space="0" w:color="auto"/>
        <w:bottom w:val="none" w:sz="0" w:space="0" w:color="auto"/>
        <w:right w:val="none" w:sz="0" w:space="0" w:color="auto"/>
      </w:divBdr>
      <w:divsChild>
        <w:div w:id="960301292">
          <w:marLeft w:val="0"/>
          <w:marRight w:val="0"/>
          <w:marTop w:val="0"/>
          <w:marBottom w:val="0"/>
          <w:divBdr>
            <w:top w:val="none" w:sz="0" w:space="0" w:color="auto"/>
            <w:left w:val="none" w:sz="0" w:space="0" w:color="auto"/>
            <w:bottom w:val="none" w:sz="0" w:space="0" w:color="auto"/>
            <w:right w:val="none" w:sz="0" w:space="0" w:color="auto"/>
          </w:divBdr>
          <w:divsChild>
            <w:div w:id="1066685707">
              <w:marLeft w:val="0"/>
              <w:marRight w:val="0"/>
              <w:marTop w:val="0"/>
              <w:marBottom w:val="0"/>
              <w:divBdr>
                <w:top w:val="none" w:sz="0" w:space="0" w:color="auto"/>
                <w:left w:val="none" w:sz="0" w:space="0" w:color="auto"/>
                <w:bottom w:val="none" w:sz="0" w:space="0" w:color="auto"/>
                <w:right w:val="none" w:sz="0" w:space="0" w:color="auto"/>
              </w:divBdr>
              <w:divsChild>
                <w:div w:id="1355761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127852">
      <w:bodyDiv w:val="1"/>
      <w:marLeft w:val="0"/>
      <w:marRight w:val="0"/>
      <w:marTop w:val="0"/>
      <w:marBottom w:val="0"/>
      <w:divBdr>
        <w:top w:val="none" w:sz="0" w:space="0" w:color="auto"/>
        <w:left w:val="none" w:sz="0" w:space="0" w:color="auto"/>
        <w:bottom w:val="none" w:sz="0" w:space="0" w:color="auto"/>
        <w:right w:val="none" w:sz="0" w:space="0" w:color="auto"/>
      </w:divBdr>
    </w:div>
    <w:div w:id="1620409812">
      <w:bodyDiv w:val="1"/>
      <w:marLeft w:val="0"/>
      <w:marRight w:val="0"/>
      <w:marTop w:val="0"/>
      <w:marBottom w:val="0"/>
      <w:divBdr>
        <w:top w:val="none" w:sz="0" w:space="0" w:color="auto"/>
        <w:left w:val="none" w:sz="0" w:space="0" w:color="auto"/>
        <w:bottom w:val="none" w:sz="0" w:space="0" w:color="auto"/>
        <w:right w:val="none" w:sz="0" w:space="0" w:color="auto"/>
      </w:divBdr>
    </w:div>
    <w:div w:id="1623417061">
      <w:bodyDiv w:val="1"/>
      <w:marLeft w:val="0"/>
      <w:marRight w:val="0"/>
      <w:marTop w:val="0"/>
      <w:marBottom w:val="0"/>
      <w:divBdr>
        <w:top w:val="none" w:sz="0" w:space="0" w:color="auto"/>
        <w:left w:val="none" w:sz="0" w:space="0" w:color="auto"/>
        <w:bottom w:val="none" w:sz="0" w:space="0" w:color="auto"/>
        <w:right w:val="none" w:sz="0" w:space="0" w:color="auto"/>
      </w:divBdr>
    </w:div>
    <w:div w:id="1636250914">
      <w:bodyDiv w:val="1"/>
      <w:marLeft w:val="0"/>
      <w:marRight w:val="0"/>
      <w:marTop w:val="0"/>
      <w:marBottom w:val="0"/>
      <w:divBdr>
        <w:top w:val="none" w:sz="0" w:space="0" w:color="auto"/>
        <w:left w:val="none" w:sz="0" w:space="0" w:color="auto"/>
        <w:bottom w:val="none" w:sz="0" w:space="0" w:color="auto"/>
        <w:right w:val="none" w:sz="0" w:space="0" w:color="auto"/>
      </w:divBdr>
    </w:div>
    <w:div w:id="1647973821">
      <w:bodyDiv w:val="1"/>
      <w:marLeft w:val="0"/>
      <w:marRight w:val="0"/>
      <w:marTop w:val="0"/>
      <w:marBottom w:val="0"/>
      <w:divBdr>
        <w:top w:val="none" w:sz="0" w:space="0" w:color="auto"/>
        <w:left w:val="none" w:sz="0" w:space="0" w:color="auto"/>
        <w:bottom w:val="none" w:sz="0" w:space="0" w:color="auto"/>
        <w:right w:val="none" w:sz="0" w:space="0" w:color="auto"/>
      </w:divBdr>
    </w:div>
    <w:div w:id="2002924468">
      <w:bodyDiv w:val="1"/>
      <w:marLeft w:val="0"/>
      <w:marRight w:val="0"/>
      <w:marTop w:val="0"/>
      <w:marBottom w:val="0"/>
      <w:divBdr>
        <w:top w:val="none" w:sz="0" w:space="0" w:color="auto"/>
        <w:left w:val="none" w:sz="0" w:space="0" w:color="auto"/>
        <w:bottom w:val="none" w:sz="0" w:space="0" w:color="auto"/>
        <w:right w:val="none" w:sz="0" w:space="0" w:color="auto"/>
      </w:divBdr>
    </w:div>
    <w:div w:id="2002931343">
      <w:bodyDiv w:val="1"/>
      <w:marLeft w:val="0"/>
      <w:marRight w:val="0"/>
      <w:marTop w:val="0"/>
      <w:marBottom w:val="0"/>
      <w:divBdr>
        <w:top w:val="none" w:sz="0" w:space="0" w:color="auto"/>
        <w:left w:val="none" w:sz="0" w:space="0" w:color="auto"/>
        <w:bottom w:val="none" w:sz="0" w:space="0" w:color="auto"/>
        <w:right w:val="none" w:sz="0" w:space="0" w:color="auto"/>
      </w:divBdr>
    </w:div>
    <w:div w:id="2013071774">
      <w:bodyDiv w:val="1"/>
      <w:marLeft w:val="0"/>
      <w:marRight w:val="0"/>
      <w:marTop w:val="0"/>
      <w:marBottom w:val="0"/>
      <w:divBdr>
        <w:top w:val="none" w:sz="0" w:space="0" w:color="auto"/>
        <w:left w:val="none" w:sz="0" w:space="0" w:color="auto"/>
        <w:bottom w:val="none" w:sz="0" w:space="0" w:color="auto"/>
        <w:right w:val="none" w:sz="0" w:space="0" w:color="auto"/>
      </w:divBdr>
    </w:div>
    <w:div w:id="2101292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8B4A3A8EC6811469925AAEACA274369"/>
        <w:category>
          <w:name w:val="General"/>
          <w:gallery w:val="placeholder"/>
        </w:category>
        <w:types>
          <w:type w:val="bbPlcHdr"/>
        </w:types>
        <w:behaviors>
          <w:behavior w:val="content"/>
        </w:behaviors>
        <w:guid w:val="{D016DB1A-FA98-F946-9B41-5FF228DFBB80}"/>
      </w:docPartPr>
      <w:docPartBody>
        <w:p w:rsidR="00000000" w:rsidRDefault="0085616D" w:rsidP="0085616D">
          <w:pPr>
            <w:pStyle w:val="08B4A3A8EC6811469925AAEACA274369"/>
          </w:pPr>
          <w:r>
            <w:rPr>
              <w:rFonts w:asciiTheme="majorHAnsi" w:eastAsiaTheme="majorEastAsia" w:hAnsiTheme="majorHAnsi" w:cstheme="majorBidi"/>
              <w:caps/>
              <w:color w:val="4472C4" w:themeColor="accent1"/>
              <w:sz w:val="80"/>
              <w:szCs w:val="80"/>
            </w:rPr>
            <w:t>[Document title]</w:t>
          </w:r>
        </w:p>
      </w:docPartBody>
    </w:docPart>
    <w:docPart>
      <w:docPartPr>
        <w:name w:val="72A0E55C5F92904D945CF8E4EF191236"/>
        <w:category>
          <w:name w:val="General"/>
          <w:gallery w:val="placeholder"/>
        </w:category>
        <w:types>
          <w:type w:val="bbPlcHdr"/>
        </w:types>
        <w:behaviors>
          <w:behavior w:val="content"/>
        </w:behaviors>
        <w:guid w:val="{905F97A4-4DAD-1648-9767-39E4C3A0CA1F}"/>
      </w:docPartPr>
      <w:docPartBody>
        <w:p w:rsidR="00000000" w:rsidRDefault="0085616D" w:rsidP="0085616D">
          <w:pPr>
            <w:pStyle w:val="72A0E55C5F92904D945CF8E4EF19123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16D"/>
    <w:rsid w:val="00240648"/>
    <w:rsid w:val="008561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8B4A3A8EC6811469925AAEACA274369">
    <w:name w:val="08B4A3A8EC6811469925AAEACA274369"/>
    <w:rsid w:val="0085616D"/>
  </w:style>
  <w:style w:type="paragraph" w:customStyle="1" w:styleId="72A0E55C5F92904D945CF8E4EF191236">
    <w:name w:val="72A0E55C5F92904D945CF8E4EF191236"/>
    <w:rsid w:val="0085616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Law091</b:Tag>
    <b:SourceType>Book</b:SourceType>
    <b:Guid>{F5EFD109-54E2-844A-BFDD-782F3C62959E}</b:Guid>
    <b:Title>Oxford Dictionary of Law</b:Title>
    <b:Year>2009</b:Year>
    <b:Author>
      <b:Author>
        <b:NameList>
          <b:Person>
            <b:Last>Law</b:Last>
            <b:First>Jonathan</b:First>
          </b:Person>
          <b:Person>
            <b:Last>Martin</b:Last>
            <b:First>Elizabeth</b:First>
          </b:Person>
        </b:NameList>
      </b:Author>
    </b:Author>
    <b:City>New York</b:City>
    <b:Publisher>Oxford University Press</b:Publisher>
    <b:Edition>7th Edition</b:Edition>
    <b:RefOrder>3</b:RefOrder>
  </b:Source>
  <b:Source>
    <b:Tag>Oxf22</b:Tag>
    <b:SourceType>InternetSite</b:SourceType>
    <b:Guid>{295B8FC9-337B-E449-8624-BFA5DC3D9E84}</b:Guid>
    <b:Title>Oxford Reference</b:Title>
    <b:Year>2022</b:Year>
    <b:Author>
      <b:Author>
        <b:Corporate>Oxford Reference</b:Corporate>
      </b:Author>
    </b:Author>
    <b:URL>https://www.oxfordreference.com/view/10.1093/oi/authority.20110803100529647</b:URL>
    <b:YearAccessed>2022</b:YearAccessed>
    <b:MonthAccessed>April</b:MonthAccessed>
    <b:DayAccessed>18</b:DayAccessed>
    <b:RefOrder>12</b:RefOrder>
  </b:Source>
  <b:Source>
    <b:Tag>Ell17</b:Tag>
    <b:SourceType>Book</b:SourceType>
    <b:Guid>{E77DCFF0-C005-0F4A-8C21-D27F3A7C510A}</b:Guid>
    <b:Title>English Legal System</b:Title>
    <b:Year>2017</b:Year>
    <b:BookTitle>English Legal System</b:BookTitle>
    <b:City>Edinburgh</b:City>
    <b:Publisher>Pearsons</b:Publisher>
    <b:Pages>54-</b:Pages>
    <b:Author>
      <b:Author>
        <b:NameList>
          <b:Person>
            <b:Last>Elliott</b:Last>
            <b:First>Catherine</b:First>
          </b:Person>
          <b:Person>
            <b:Last>Quinn</b:Last>
            <b:First>Frances</b:First>
          </b:Person>
        </b:NameList>
      </b:Author>
    </b:Author>
    <b:Edition>18</b:Edition>
    <b:RefOrder>1</b:RefOrder>
  </b:Source>
  <b:Source>
    <b:Tag>Ros21</b:Tag>
    <b:SourceType>InternetSite</b:SourceType>
    <b:Guid>{D62A94E0-B3F9-5F4A-87EE-F309CBD81020}</b:Guid>
    <b:Title>Statutory Interpretation Explained</b:Title>
    <b:Year>2021</b:Year>
    <b:Author>
      <b:Author>
        <b:NameList>
          <b:Person>
            <b:Last>Pey</b:Last>
            <b:First>Ross</b:First>
            <b:Middle>R-S</b:Middle>
          </b:Person>
        </b:NameList>
      </b:Author>
    </b:Author>
    <b:URL>https://www.culs.org.uk/per-incuriam/statutory-interpretation-explained</b:URL>
    <b:YearAccessed>2022</b:YearAccessed>
    <b:MonthAccessed>April</b:MonthAccessed>
    <b:DayAccessed>25</b:DayAccessed>
    <b:RefOrder>13</b:RefOrder>
  </b:Source>
  <b:Source>
    <b:Tag>Ros211</b:Tag>
    <b:SourceType>InternetSite</b:SourceType>
    <b:Guid>{890C368D-86DF-434F-B90A-AF00E0A2755D}</b:Guid>
    <b:Author>
      <b:Author>
        <b:NameList>
          <b:Person>
            <b:Last>Pey</b:Last>
            <b:First>Ross</b:First>
            <b:Middle>R-S</b:Middle>
          </b:Person>
        </b:NameList>
      </b:Author>
    </b:Author>
    <b:Title>Staturory Interpretation Explained</b:Title>
    <b:URL>https://www.culs.org.uk/per-incuriam/statutory-interpretation-explained</b:URL>
    <b:Year>2021</b:Year>
    <b:YearAccessed>2022</b:YearAccessed>
    <b:MonthAccessed>April</b:MonthAccessed>
    <b:DayAccessed>25</b:DayAccessed>
    <b:JournalName>Statutory Interpretation Explained  </b:JournalName>
    <b:RefOrder>14</b:RefOrder>
  </b:Source>
  <b:Source>
    <b:Tag>Nic22</b:Tag>
    <b:SourceType>InternetSite</b:SourceType>
    <b:Guid>{28B82375-4C4D-D744-9034-4F2E869210D7}</b:Guid>
    <b:Author>
      <b:Author>
        <b:NameList>
          <b:Person>
            <b:Last>LLB</b:Last>
            <b:First>Nicola</b:First>
            <b:Middle>Laver</b:Middle>
          </b:Person>
        </b:NameList>
      </b:Author>
    </b:Author>
    <b:Title>Statutory Interpretation</b:Title>
    <b:URL>https://www.inbrief.co.uk/legal-system/statutory-interpretation/</b:URL>
    <b:Year>2022</b:Year>
    <b:YearAccessed>2022</b:YearAccessed>
    <b:MonthAccessed>April</b:MonthAccessed>
    <b:DayAccessed>25</b:DayAccessed>
    <b:RefOrder>5</b:RefOrder>
  </b:Source>
  <b:Source>
    <b:Tag>UKP22</b:Tag>
    <b:SourceType>InternetSite</b:SourceType>
    <b:Guid>{CA88079D-8F5C-D946-90E1-247B22571401}</b:Guid>
    <b:Author>
      <b:Author>
        <b:Corporate>UK Parliament</b:Corporate>
      </b:Author>
    </b:Author>
    <b:Title>Statute</b:Title>
    <b:URL>https://www.parliament.uk/site-information/glossary/statutes/</b:URL>
    <b:Year>2022</b:Year>
    <b:YearAccessed>2022</b:YearAccessed>
    <b:MonthAccessed>April</b:MonthAccessed>
    <b:DayAccessed>26</b:DayAccessed>
    <b:RefOrder>4</b:RefOrder>
  </b:Source>
  <b:Source>
    <b:Tag>Mar12</b:Tag>
    <b:SourceType>Book</b:SourceType>
    <b:Guid>{0C12B54A-3BB5-5E4E-AD9C-963A83E475B1}</b:Guid>
    <b:Title>An Introduction to the English Legal System</b:Title>
    <b:Year>2012</b:Year>
    <b:Author>
      <b:Author>
        <b:NameList>
          <b:Person>
            <b:Last>Partington</b:Last>
            <b:First>Martin</b:First>
          </b:Person>
        </b:NameList>
      </b:Author>
    </b:Author>
    <b:City>Oxford</b:City>
    <b:Publisher>Oxford University Press</b:Publisher>
    <b:Edition>2012-2013</b:Edition>
    <b:RefOrder>6</b:RefOrder>
  </b:Source>
  <b:Source>
    <b:Tag>Pey21</b:Tag>
    <b:SourceType>InternetSite</b:SourceType>
    <b:Guid>{E0343807-6A8B-9940-ABB8-E14CB4FA197C}</b:Guid>
    <b:Title>Statutory Interpretation Explained</b:Title>
    <b:Publisher>Cambridge University</b:Publisher>
    <b:Year>2021</b:Year>
    <b:URL>https://www.culs.org.uk/per-incuriam/statutory-interpretation-explained</b:URL>
    <b:YearAccessed>2022</b:YearAccessed>
    <b:MonthAccessed>April</b:MonthAccessed>
    <b:DayAccessed>23</b:DayAccessed>
    <b:Author>
      <b:Author>
        <b:NameList>
          <b:Person>
            <b:Last>Pey</b:Last>
            <b:First>Ross</b:First>
            <b:Middle>R-S</b:Middle>
          </b:Person>
        </b:NameList>
      </b:Author>
    </b:Author>
    <b:RefOrder>8</b:RefOrder>
  </b:Source>
  <b:Source>
    <b:Tag>Ale20</b:Tag>
    <b:SourceType>InternetSite</b:SourceType>
    <b:Guid>{818F8169-D8F4-1848-8661-6EC7AC320A7E}</b:Guid>
    <b:Author>
      <b:Author>
        <b:NameList>
          <b:Person>
            <b:Last>Latham-Gambi</b:Last>
            <b:First>Alexander</b:First>
          </b:Person>
        </b:NameList>
      </b:Author>
    </b:Author>
    <b:Title>What is Parliament doing when it legislates? Legislative Intention and Parliamentary Sovereignty in Privacy International.</b:Title>
    <b:URL>https://ukconstitutionallaw.org/2020/04/20/alexander-latham-gambi-what-is-parliament-doing-when-it-legislates-legislative-intention-and-parliamentary-sovereignty-in-privacy-international/</b:URL>
    <b:Year>2020</b:Year>
    <b:YearAccessed>2022</b:YearAccessed>
    <b:MonthAccessed>April</b:MonthAccessed>
    <b:DayAccessed>28</b:DayAccessed>
    <b:RefOrder>2</b:RefOrder>
  </b:Source>
  <b:Source>
    <b:Tag>UKP221</b:Tag>
    <b:SourceType>InternetSite</b:SourceType>
    <b:Guid>{DAC1264A-07F7-3A43-8985-A79F11F4B452}</b:Guid>
    <b:Author>
      <b:Author>
        <b:Corporate>UK Parliament</b:Corporate>
      </b:Author>
    </b:Author>
    <b:Title>Primary legislation</b:Title>
    <b:URL>https://www.parliament.uk/site-information/glossary/primary-legislation/</b:URL>
    <b:Year>2022</b:Year>
    <b:YearAccessed>2022</b:YearAccessed>
    <b:MonthAccessed>April</b:MonthAccessed>
    <b:DayAccessed>29</b:DayAccessed>
    <b:RefOrder>7</b:RefOrder>
  </b:Source>
  <b:Source>
    <b:Tag>UKG69</b:Tag>
    <b:SourceType>DocumentFromInternetSite</b:SourceType>
    <b:Guid>{69F8F55A-1622-5E47-B3A6-83F7B81196EE}</b:Guid>
    <b:Title>The interpretation of Statutes</b:Title>
    <b:URL>https://assets.publishing.service.gov.uk/government/uploads/system/uploads/attachment_data/file/228894/0256.pdf</b:URL>
    <b:Year>1969</b:Year>
    <b:YearAccessed>2022</b:YearAccessed>
    <b:MonthAccessed>April</b:MonthAccessed>
    <b:DayAccessed>28</b:DayAccessed>
    <b:Author>
      <b:Author>
        <b:Corporate>Her Majesty's Stationary Office</b:Corporate>
      </b:Author>
    </b:Author>
    <b:Month>June</b:Month>
    <b:Day>9</b:Day>
    <b:RefOrder>10</b:RefOrder>
  </b:Source>
  <b:Source>
    <b:Tag>UKG88</b:Tag>
    <b:SourceType>InternetSite</b:SourceType>
    <b:Guid>{D83DC9A3-A446-4548-AAEE-209693514439}</b:Guid>
    <b:Title>UK Public General Acts from 1900-1909</b:Title>
    <b:URL>https://www.legislation.gov.uk/ukpga/1900-1909</b:URL>
    <b:Year>1988</b:Year>
    <b:YearAccessed>2022</b:YearAccessed>
    <b:MonthAccessed>April</b:MonthAccessed>
    <b:DayAccessed>28</b:DayAccessed>
    <b:Author>
      <b:Author>
        <b:Corporate>UK Government</b:Corporate>
      </b:Author>
    </b:Author>
    <b:City>London</b:City>
    <b:RefOrder>11</b:RefOrder>
  </b:Source>
  <b:Source>
    <b:Tag>Off13</b:Tag>
    <b:SourceType>Report</b:SourceType>
    <b:Guid>{15B55B48-B2F2-8A4B-8C64-7244BFE85CEF}</b:Guid>
    <b:Title>When Law becomes too complex</b:Title>
    <b:City>London</b:City>
    <b:Publisher>Cabinet Office</b:Publisher>
    <b:Year>2013</b:Year>
    <b:Author>
      <b:Author>
        <b:Corporate>Office of Parliamentary Counsel</b:Corporate>
      </b:Author>
    </b:Author>
    <b:RefOrder>9</b:RefOrder>
  </b:Source>
</b:Sources>
</file>

<file path=customXml/itemProps1.xml><?xml version="1.0" encoding="utf-8"?>
<ds:datastoreItem xmlns:ds="http://schemas.openxmlformats.org/officeDocument/2006/customXml" ds:itemID="{07CE9CC2-7897-3A4E-B3C7-39FA4DEF0C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737</TotalTime>
  <Pages>5</Pages>
  <Words>1808</Words>
  <Characters>10311</Characters>
  <Application>Microsoft Office Word</Application>
  <DocSecurity>0</DocSecurity>
  <Lines>85</Lines>
  <Paragraphs>24</Paragraphs>
  <ScaleCrop>false</ScaleCrop>
  <Company>By James Hudson</Company>
  <LinksUpToDate>false</LinksUpToDate>
  <CharactersWithSpaces>12095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dc:title>
  <dc:subject>Law and the Legal Process: Assignment 2</dc:subject>
  <dc:creator>Microsoft Office User</dc:creator>
  <cp:keywords/>
  <dc:description/>
  <cp:lastModifiedBy>Microsoft Office User</cp:lastModifiedBy>
  <cp:revision>1</cp:revision>
  <dcterms:created xsi:type="dcterms:W3CDTF">2022-04-25T13:43:00Z</dcterms:created>
  <dcterms:modified xsi:type="dcterms:W3CDTF">2022-05-03T20:21:00Z</dcterms:modified>
</cp:coreProperties>
</file>