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DB70CE" w14:textId="07307D2F" w:rsidR="001177B8" w:rsidRPr="00FF7ED4" w:rsidRDefault="001177B8">
      <w:pPr>
        <w:rPr>
          <w:b/>
          <w:sz w:val="22"/>
          <w:u w:val="single"/>
        </w:rPr>
      </w:pPr>
      <w:r w:rsidRPr="00FF7ED4">
        <w:rPr>
          <w:b/>
          <w:sz w:val="22"/>
          <w:u w:val="single"/>
        </w:rPr>
        <w:t>Studying the Medieval – Assignment 1</w:t>
      </w:r>
      <w:r w:rsidR="00A73D85">
        <w:rPr>
          <w:b/>
          <w:sz w:val="22"/>
          <w:u w:val="single"/>
        </w:rPr>
        <w:t>: Dating Exercise</w:t>
      </w:r>
    </w:p>
    <w:p w14:paraId="43838D8A" w14:textId="77777777" w:rsidR="001177B8" w:rsidRPr="00FF7ED4" w:rsidRDefault="001177B8">
      <w:pPr>
        <w:rPr>
          <w:sz w:val="22"/>
        </w:rPr>
      </w:pPr>
    </w:p>
    <w:p w14:paraId="28D9C6F8" w14:textId="77777777" w:rsidR="001177B8" w:rsidRPr="00FF7ED4" w:rsidRDefault="001177B8">
      <w:pPr>
        <w:rPr>
          <w:b/>
          <w:sz w:val="22"/>
        </w:rPr>
      </w:pPr>
      <w:r w:rsidRPr="00FF7ED4">
        <w:rPr>
          <w:b/>
          <w:sz w:val="22"/>
        </w:rPr>
        <w:t>Question 1:</w:t>
      </w:r>
    </w:p>
    <w:p w14:paraId="45B2D7C8" w14:textId="77777777" w:rsidR="001177B8" w:rsidRPr="00FF7ED4" w:rsidRDefault="001177B8">
      <w:pPr>
        <w:rPr>
          <w:sz w:val="22"/>
        </w:rPr>
      </w:pPr>
    </w:p>
    <w:p w14:paraId="790CFCA1" w14:textId="590EC6F6" w:rsidR="00EE6DBD" w:rsidRPr="00FF7ED4" w:rsidRDefault="00C15484">
      <w:pPr>
        <w:rPr>
          <w:sz w:val="22"/>
        </w:rPr>
      </w:pPr>
      <w:r w:rsidRPr="00FF7ED4">
        <w:rPr>
          <w:sz w:val="22"/>
        </w:rPr>
        <w:t>T</w:t>
      </w:r>
      <w:r w:rsidR="00EE6DBD" w:rsidRPr="00FF7ED4">
        <w:rPr>
          <w:sz w:val="22"/>
        </w:rPr>
        <w:t>he eigh</w:t>
      </w:r>
      <w:r w:rsidR="006025AB" w:rsidRPr="00FF7ED4">
        <w:rPr>
          <w:sz w:val="22"/>
        </w:rPr>
        <w:t>th regnal year of King Richard II began on 22 June 1384</w:t>
      </w:r>
      <w:r w:rsidR="007E77FC" w:rsidRPr="00FF7ED4">
        <w:rPr>
          <w:rFonts w:hint="eastAsia"/>
          <w:sz w:val="22"/>
        </w:rPr>
        <w:t xml:space="preserve">, </w:t>
      </w:r>
      <w:r w:rsidR="00833E33" w:rsidRPr="00FF7ED4">
        <w:rPr>
          <w:rFonts w:hint="eastAsia"/>
          <w:sz w:val="22"/>
        </w:rPr>
        <w:t>therefore</w:t>
      </w:r>
      <w:r w:rsidR="00833E33" w:rsidRPr="00FF7ED4">
        <w:rPr>
          <w:sz w:val="22"/>
        </w:rPr>
        <w:t xml:space="preserve"> spanning the years 1384-85</w:t>
      </w:r>
      <w:r w:rsidR="006025AB" w:rsidRPr="00FF7ED4">
        <w:rPr>
          <w:sz w:val="22"/>
        </w:rPr>
        <w:t>.</w:t>
      </w:r>
      <w:r w:rsidR="00BE3BF9" w:rsidRPr="00FF7ED4">
        <w:rPr>
          <w:rStyle w:val="a6"/>
          <w:sz w:val="22"/>
        </w:rPr>
        <w:footnoteReference w:id="1"/>
      </w:r>
      <w:r w:rsidRPr="00FF7ED4">
        <w:rPr>
          <w:sz w:val="22"/>
        </w:rPr>
        <w:t xml:space="preserve"> </w:t>
      </w:r>
      <w:r w:rsidR="00833E33" w:rsidRPr="00FF7ED4">
        <w:rPr>
          <w:sz w:val="22"/>
        </w:rPr>
        <w:t xml:space="preserve">However, since </w:t>
      </w:r>
      <w:r w:rsidRPr="00FF7ED4">
        <w:rPr>
          <w:sz w:val="22"/>
        </w:rPr>
        <w:t>The F</w:t>
      </w:r>
      <w:r w:rsidR="00EE6DBD" w:rsidRPr="00FF7ED4">
        <w:rPr>
          <w:sz w:val="22"/>
        </w:rPr>
        <w:t>east of the Assumption is held on the 15</w:t>
      </w:r>
      <w:r w:rsidR="00EE6DBD" w:rsidRPr="00FF7ED4">
        <w:rPr>
          <w:sz w:val="22"/>
          <w:vertAlign w:val="superscript"/>
        </w:rPr>
        <w:t>th</w:t>
      </w:r>
      <w:r w:rsidR="00EE6DBD" w:rsidRPr="00FF7ED4">
        <w:rPr>
          <w:sz w:val="22"/>
        </w:rPr>
        <w:t xml:space="preserve"> of August each year</w:t>
      </w:r>
      <w:r w:rsidR="00833E33" w:rsidRPr="00FF7ED4">
        <w:rPr>
          <w:sz w:val="22"/>
        </w:rPr>
        <w:t>, the year must be 1384</w:t>
      </w:r>
      <w:r w:rsidR="00EE6DBD" w:rsidRPr="00FF7ED4">
        <w:rPr>
          <w:sz w:val="22"/>
        </w:rPr>
        <w:t>. In 1384</w:t>
      </w:r>
      <w:r w:rsidRPr="00FF7ED4">
        <w:rPr>
          <w:sz w:val="22"/>
        </w:rPr>
        <w:t>,</w:t>
      </w:r>
      <w:r w:rsidR="00833E33" w:rsidRPr="00FF7ED4">
        <w:rPr>
          <w:sz w:val="22"/>
        </w:rPr>
        <w:t xml:space="preserve"> according to the Easter tables, Easter fell on </w:t>
      </w:r>
      <w:r w:rsidR="00A73D85">
        <w:rPr>
          <w:sz w:val="22"/>
        </w:rPr>
        <w:t xml:space="preserve">the </w:t>
      </w:r>
      <w:r w:rsidR="00833E33" w:rsidRPr="00FF7ED4">
        <w:rPr>
          <w:sz w:val="22"/>
        </w:rPr>
        <w:t>10</w:t>
      </w:r>
      <w:r w:rsidR="00A73D85" w:rsidRPr="00A73D85">
        <w:rPr>
          <w:sz w:val="22"/>
          <w:vertAlign w:val="superscript"/>
        </w:rPr>
        <w:t>th</w:t>
      </w:r>
      <w:r w:rsidR="00833E33" w:rsidRPr="00FF7ED4">
        <w:rPr>
          <w:sz w:val="22"/>
        </w:rPr>
        <w:t xml:space="preserve"> April.</w:t>
      </w:r>
      <w:r w:rsidR="007E77FC" w:rsidRPr="00FF7ED4">
        <w:rPr>
          <w:rStyle w:val="a6"/>
          <w:sz w:val="22"/>
        </w:rPr>
        <w:footnoteReference w:id="2"/>
      </w:r>
      <w:r w:rsidR="00833E33" w:rsidRPr="00FF7ED4">
        <w:rPr>
          <w:sz w:val="22"/>
        </w:rPr>
        <w:t xml:space="preserve"> In </w:t>
      </w:r>
      <w:r w:rsidR="007E77FC" w:rsidRPr="00FF7ED4">
        <w:rPr>
          <w:sz w:val="22"/>
        </w:rPr>
        <w:t xml:space="preserve">those </w:t>
      </w:r>
      <w:r w:rsidR="00833E33" w:rsidRPr="00FF7ED4">
        <w:rPr>
          <w:sz w:val="22"/>
        </w:rPr>
        <w:t>year</w:t>
      </w:r>
      <w:r w:rsidR="007E77FC" w:rsidRPr="00FF7ED4">
        <w:rPr>
          <w:sz w:val="22"/>
        </w:rPr>
        <w:t>s</w:t>
      </w:r>
      <w:r w:rsidR="00833E33" w:rsidRPr="00FF7ED4">
        <w:rPr>
          <w:sz w:val="22"/>
        </w:rPr>
        <w:t>,</w:t>
      </w:r>
      <w:r w:rsidR="00EE6DBD" w:rsidRPr="00FF7ED4">
        <w:rPr>
          <w:sz w:val="22"/>
        </w:rPr>
        <w:t xml:space="preserve"> the 15</w:t>
      </w:r>
      <w:r w:rsidR="00EE6DBD" w:rsidRPr="00FF7ED4">
        <w:rPr>
          <w:sz w:val="22"/>
          <w:vertAlign w:val="superscript"/>
        </w:rPr>
        <w:t>th</w:t>
      </w:r>
      <w:r w:rsidR="00EE6DBD" w:rsidRPr="00FF7ED4">
        <w:rPr>
          <w:sz w:val="22"/>
        </w:rPr>
        <w:t xml:space="preserve"> of August </w:t>
      </w:r>
      <w:r w:rsidR="00833E33" w:rsidRPr="00FF7ED4">
        <w:rPr>
          <w:sz w:val="22"/>
        </w:rPr>
        <w:t>fell on</w:t>
      </w:r>
      <w:r w:rsidR="00EE6DBD" w:rsidRPr="00FF7ED4">
        <w:rPr>
          <w:sz w:val="22"/>
        </w:rPr>
        <w:t xml:space="preserve"> a </w:t>
      </w:r>
      <w:r w:rsidR="00833E33" w:rsidRPr="00FF7ED4">
        <w:rPr>
          <w:sz w:val="22"/>
        </w:rPr>
        <w:t>Monday</w:t>
      </w:r>
      <w:r w:rsidR="00EE6DBD" w:rsidRPr="00FF7ED4">
        <w:rPr>
          <w:sz w:val="22"/>
        </w:rPr>
        <w:t>.</w:t>
      </w:r>
      <w:r w:rsidR="00BE3BF9" w:rsidRPr="00FF7ED4">
        <w:rPr>
          <w:rStyle w:val="a6"/>
          <w:sz w:val="22"/>
        </w:rPr>
        <w:footnoteReference w:id="3"/>
      </w:r>
      <w:r w:rsidR="00EE6DBD" w:rsidRPr="00FF7ED4">
        <w:rPr>
          <w:sz w:val="22"/>
        </w:rPr>
        <w:t xml:space="preserve"> We can therefore calculate that the Thursday after the</w:t>
      </w:r>
      <w:r w:rsidRPr="00FF7ED4">
        <w:rPr>
          <w:sz w:val="22"/>
        </w:rPr>
        <w:t xml:space="preserve"> Feast of the</w:t>
      </w:r>
      <w:r w:rsidR="00EE6DBD" w:rsidRPr="00FF7ED4">
        <w:rPr>
          <w:sz w:val="22"/>
        </w:rPr>
        <w:t xml:space="preserve"> Assumption must have been </w:t>
      </w:r>
      <w:r w:rsidR="00490084">
        <w:rPr>
          <w:sz w:val="22"/>
        </w:rPr>
        <w:t xml:space="preserve">on </w:t>
      </w:r>
      <w:r w:rsidR="00003C40" w:rsidRPr="00FF7ED4">
        <w:rPr>
          <w:sz w:val="22"/>
        </w:rPr>
        <w:t xml:space="preserve">the </w:t>
      </w:r>
      <w:r w:rsidR="00833E33" w:rsidRPr="00FF7ED4">
        <w:rPr>
          <w:sz w:val="22"/>
        </w:rPr>
        <w:t>18</w:t>
      </w:r>
      <w:r w:rsidR="00EE6DBD" w:rsidRPr="00FF7ED4">
        <w:rPr>
          <w:sz w:val="22"/>
          <w:vertAlign w:val="superscript"/>
        </w:rPr>
        <w:t>th</w:t>
      </w:r>
      <w:r w:rsidR="00EE6DBD" w:rsidRPr="00FF7ED4">
        <w:rPr>
          <w:sz w:val="22"/>
        </w:rPr>
        <w:t xml:space="preserve"> </w:t>
      </w:r>
      <w:r w:rsidR="00003C40" w:rsidRPr="00FF7ED4">
        <w:rPr>
          <w:sz w:val="22"/>
        </w:rPr>
        <w:t xml:space="preserve">of </w:t>
      </w:r>
      <w:r w:rsidR="00EE6DBD" w:rsidRPr="00FF7ED4">
        <w:rPr>
          <w:sz w:val="22"/>
        </w:rPr>
        <w:t>August.</w:t>
      </w:r>
    </w:p>
    <w:p w14:paraId="024498B0" w14:textId="06C172FC" w:rsidR="00EE6DBD" w:rsidRPr="00FF7ED4" w:rsidRDefault="00EE6DBD">
      <w:pPr>
        <w:rPr>
          <w:b/>
          <w:sz w:val="22"/>
        </w:rPr>
      </w:pPr>
      <w:r w:rsidRPr="00FF7ED4">
        <w:rPr>
          <w:b/>
          <w:sz w:val="22"/>
        </w:rPr>
        <w:t>Answer: August</w:t>
      </w:r>
      <w:r w:rsidR="00D2491D" w:rsidRPr="00FF7ED4">
        <w:rPr>
          <w:b/>
          <w:sz w:val="22"/>
        </w:rPr>
        <w:t xml:space="preserve"> 18</w:t>
      </w:r>
      <w:r w:rsidR="00003C40" w:rsidRPr="00FF7ED4">
        <w:rPr>
          <w:b/>
          <w:sz w:val="22"/>
        </w:rPr>
        <w:t>,</w:t>
      </w:r>
      <w:r w:rsidRPr="00FF7ED4">
        <w:rPr>
          <w:b/>
          <w:sz w:val="22"/>
        </w:rPr>
        <w:t xml:space="preserve"> 1384</w:t>
      </w:r>
    </w:p>
    <w:p w14:paraId="1CA25681" w14:textId="77777777" w:rsidR="001177B8" w:rsidRPr="00FF7ED4" w:rsidRDefault="001177B8">
      <w:pPr>
        <w:rPr>
          <w:sz w:val="22"/>
        </w:rPr>
      </w:pPr>
    </w:p>
    <w:p w14:paraId="1ADD600B" w14:textId="77777777" w:rsidR="001177B8" w:rsidRPr="00FF7ED4" w:rsidRDefault="001177B8">
      <w:pPr>
        <w:rPr>
          <w:b/>
          <w:sz w:val="22"/>
        </w:rPr>
      </w:pPr>
      <w:r w:rsidRPr="00FF7ED4">
        <w:rPr>
          <w:b/>
          <w:sz w:val="22"/>
        </w:rPr>
        <w:t>Question 2:</w:t>
      </w:r>
    </w:p>
    <w:p w14:paraId="39BA53EC" w14:textId="77777777" w:rsidR="001177B8" w:rsidRPr="00FF7ED4" w:rsidRDefault="001177B8">
      <w:pPr>
        <w:rPr>
          <w:sz w:val="22"/>
        </w:rPr>
      </w:pPr>
    </w:p>
    <w:p w14:paraId="3C325AFA" w14:textId="06B6551A" w:rsidR="001177B8" w:rsidRPr="00FF7ED4" w:rsidRDefault="00003C40">
      <w:pPr>
        <w:rPr>
          <w:sz w:val="22"/>
        </w:rPr>
      </w:pPr>
      <w:r w:rsidRPr="00FF7ED4">
        <w:rPr>
          <w:sz w:val="22"/>
        </w:rPr>
        <w:t>T</w:t>
      </w:r>
      <w:r w:rsidR="001B6F10" w:rsidRPr="00FF7ED4">
        <w:rPr>
          <w:sz w:val="22"/>
        </w:rPr>
        <w:t>here were two Bishop Anians of St Asaph.</w:t>
      </w:r>
      <w:r w:rsidR="00BE3BF9" w:rsidRPr="00FF7ED4">
        <w:rPr>
          <w:rStyle w:val="a6"/>
          <w:sz w:val="22"/>
        </w:rPr>
        <w:footnoteReference w:id="4"/>
      </w:r>
      <w:r w:rsidR="001B6F10" w:rsidRPr="00FF7ED4">
        <w:rPr>
          <w:sz w:val="22"/>
        </w:rPr>
        <w:t xml:space="preserve"> However, the </w:t>
      </w:r>
      <w:r w:rsidR="00BB4BF8" w:rsidRPr="00FF7ED4">
        <w:rPr>
          <w:sz w:val="22"/>
        </w:rPr>
        <w:t>charter</w:t>
      </w:r>
      <w:r w:rsidR="001B6F10" w:rsidRPr="00FF7ED4">
        <w:rPr>
          <w:sz w:val="22"/>
        </w:rPr>
        <w:t xml:space="preserve"> refers to three predecessors, Reiner, Abraham and Hugh. These three bishops held their positions before the ele</w:t>
      </w:r>
      <w:r w:rsidR="007132CE" w:rsidRPr="00FF7ED4">
        <w:rPr>
          <w:sz w:val="22"/>
        </w:rPr>
        <w:t>ction of the first Bishop Anian</w:t>
      </w:r>
      <w:r w:rsidR="00BE3BF9" w:rsidRPr="00FF7ED4">
        <w:rPr>
          <w:sz w:val="22"/>
        </w:rPr>
        <w:t>,</w:t>
      </w:r>
      <w:r w:rsidR="00BE3BF9" w:rsidRPr="00FF7ED4">
        <w:rPr>
          <w:rStyle w:val="a6"/>
          <w:sz w:val="22"/>
        </w:rPr>
        <w:footnoteReference w:id="5"/>
      </w:r>
      <w:r w:rsidR="006A41A6" w:rsidRPr="00FF7ED4">
        <w:rPr>
          <w:sz w:val="22"/>
        </w:rPr>
        <w:t xml:space="preserve"> which seems to suggest that Anian I is the man referred to in th</w:t>
      </w:r>
      <w:r w:rsidR="002D5E85" w:rsidRPr="00FF7ED4">
        <w:rPr>
          <w:sz w:val="22"/>
        </w:rPr>
        <w:t>e</w:t>
      </w:r>
      <w:r w:rsidR="006A41A6" w:rsidRPr="00FF7ED4">
        <w:rPr>
          <w:sz w:val="22"/>
        </w:rPr>
        <w:t xml:space="preserve"> </w:t>
      </w:r>
      <w:r w:rsidR="00BB4BF8" w:rsidRPr="00FF7ED4">
        <w:rPr>
          <w:sz w:val="22"/>
        </w:rPr>
        <w:t>text</w:t>
      </w:r>
      <w:r w:rsidR="007132CE" w:rsidRPr="00FF7ED4">
        <w:rPr>
          <w:sz w:val="22"/>
        </w:rPr>
        <w:t>.</w:t>
      </w:r>
      <w:r w:rsidR="001B6F10" w:rsidRPr="00FF7ED4">
        <w:rPr>
          <w:sz w:val="22"/>
        </w:rPr>
        <w:t xml:space="preserve"> </w:t>
      </w:r>
      <w:r w:rsidR="006A41A6" w:rsidRPr="00FF7ED4">
        <w:rPr>
          <w:sz w:val="22"/>
        </w:rPr>
        <w:t>Anian I was elected and confirmed</w:t>
      </w:r>
      <w:r w:rsidR="001D3DC9" w:rsidRPr="00FF7ED4">
        <w:rPr>
          <w:sz w:val="22"/>
        </w:rPr>
        <w:t xml:space="preserve"> in November</w:t>
      </w:r>
      <w:r w:rsidR="006A41A6" w:rsidRPr="00FF7ED4">
        <w:rPr>
          <w:sz w:val="22"/>
        </w:rPr>
        <w:t xml:space="preserve"> in the year 1249</w:t>
      </w:r>
      <w:r w:rsidR="008E2D75" w:rsidRPr="00FF7ED4">
        <w:rPr>
          <w:sz w:val="22"/>
        </w:rPr>
        <w:t xml:space="preserve">, so the correct date must come after </w:t>
      </w:r>
      <w:r w:rsidR="001D3DC9" w:rsidRPr="00FF7ED4">
        <w:rPr>
          <w:sz w:val="22"/>
        </w:rPr>
        <w:t>Mary Magdalene’s Saints Day in 1250</w:t>
      </w:r>
      <w:r w:rsidR="006A41A6" w:rsidRPr="00FF7ED4">
        <w:rPr>
          <w:sz w:val="22"/>
        </w:rPr>
        <w:t>.</w:t>
      </w:r>
      <w:r w:rsidR="00BE3BF9" w:rsidRPr="00FF7ED4">
        <w:rPr>
          <w:rStyle w:val="a6"/>
          <w:sz w:val="22"/>
        </w:rPr>
        <w:footnoteReference w:id="6"/>
      </w:r>
      <w:r w:rsidR="006A41A6" w:rsidRPr="00FF7ED4">
        <w:rPr>
          <w:sz w:val="22"/>
        </w:rPr>
        <w:t xml:space="preserve"> As </w:t>
      </w:r>
      <w:r w:rsidR="001D3DC9" w:rsidRPr="00FF7ED4">
        <w:rPr>
          <w:sz w:val="22"/>
        </w:rPr>
        <w:t>the festival</w:t>
      </w:r>
      <w:r w:rsidR="006A41A6" w:rsidRPr="00FF7ED4">
        <w:rPr>
          <w:sz w:val="22"/>
        </w:rPr>
        <w:t xml:space="preserve"> was celebrated on</w:t>
      </w:r>
      <w:r w:rsidR="00490084">
        <w:rPr>
          <w:sz w:val="22"/>
        </w:rPr>
        <w:t xml:space="preserve"> the </w:t>
      </w:r>
      <w:r w:rsidR="00490084">
        <w:rPr>
          <w:sz w:val="22"/>
        </w:rPr>
        <w:t>22</w:t>
      </w:r>
      <w:r w:rsidR="00490084">
        <w:rPr>
          <w:sz w:val="22"/>
          <w:vertAlign w:val="superscript"/>
        </w:rPr>
        <w:t>nd</w:t>
      </w:r>
      <w:r w:rsidR="006A41A6" w:rsidRPr="00FF7ED4">
        <w:rPr>
          <w:sz w:val="22"/>
        </w:rPr>
        <w:t xml:space="preserve"> </w:t>
      </w:r>
      <w:r w:rsidR="00490084">
        <w:rPr>
          <w:sz w:val="22"/>
        </w:rPr>
        <w:t xml:space="preserve">of </w:t>
      </w:r>
      <w:r w:rsidR="006A41A6" w:rsidRPr="00FF7ED4">
        <w:rPr>
          <w:sz w:val="22"/>
        </w:rPr>
        <w:t>July,</w:t>
      </w:r>
      <w:r w:rsidR="007B6208" w:rsidRPr="00FF7ED4">
        <w:rPr>
          <w:rStyle w:val="a6"/>
          <w:sz w:val="22"/>
        </w:rPr>
        <w:footnoteReference w:id="7"/>
      </w:r>
      <w:r w:rsidR="006A41A6" w:rsidRPr="00FF7ED4">
        <w:rPr>
          <w:sz w:val="22"/>
        </w:rPr>
        <w:t xml:space="preserve"> the day after would </w:t>
      </w:r>
      <w:r w:rsidR="00490084">
        <w:rPr>
          <w:sz w:val="22"/>
        </w:rPr>
        <w:t>have been</w:t>
      </w:r>
      <w:r w:rsidR="006A41A6" w:rsidRPr="00FF7ED4">
        <w:rPr>
          <w:sz w:val="22"/>
        </w:rPr>
        <w:t xml:space="preserve"> </w:t>
      </w:r>
      <w:r w:rsidR="00490084">
        <w:rPr>
          <w:sz w:val="22"/>
        </w:rPr>
        <w:t>the 2</w:t>
      </w:r>
      <w:r w:rsidR="00490084">
        <w:rPr>
          <w:sz w:val="22"/>
        </w:rPr>
        <w:t>3</w:t>
      </w:r>
      <w:r w:rsidR="00490084">
        <w:rPr>
          <w:sz w:val="22"/>
          <w:vertAlign w:val="superscript"/>
        </w:rPr>
        <w:t>rd</w:t>
      </w:r>
      <w:r w:rsidR="00562987">
        <w:rPr>
          <w:sz w:val="22"/>
        </w:rPr>
        <w:t xml:space="preserve"> of July.</w:t>
      </w:r>
    </w:p>
    <w:p w14:paraId="344E2307" w14:textId="42F4B03F" w:rsidR="006A41A6" w:rsidRPr="00FF7ED4" w:rsidRDefault="006A41A6">
      <w:pPr>
        <w:rPr>
          <w:b/>
          <w:sz w:val="22"/>
        </w:rPr>
      </w:pPr>
      <w:r w:rsidRPr="00FF7ED4">
        <w:rPr>
          <w:b/>
          <w:sz w:val="22"/>
        </w:rPr>
        <w:t>Answer: July 23</w:t>
      </w:r>
      <w:r w:rsidR="00003C40" w:rsidRPr="00FF7ED4">
        <w:rPr>
          <w:b/>
          <w:sz w:val="22"/>
        </w:rPr>
        <w:t>,</w:t>
      </w:r>
      <w:r w:rsidR="008E2D75" w:rsidRPr="00FF7ED4">
        <w:rPr>
          <w:b/>
          <w:sz w:val="22"/>
        </w:rPr>
        <w:t xml:space="preserve"> 1250</w:t>
      </w:r>
      <w:bookmarkStart w:id="0" w:name="_GoBack"/>
      <w:bookmarkEnd w:id="0"/>
    </w:p>
    <w:p w14:paraId="72D90547" w14:textId="77777777" w:rsidR="001177B8" w:rsidRPr="00FF7ED4" w:rsidRDefault="001177B8">
      <w:pPr>
        <w:rPr>
          <w:sz w:val="22"/>
        </w:rPr>
      </w:pPr>
    </w:p>
    <w:p w14:paraId="0AAC7A8B" w14:textId="77777777" w:rsidR="001177B8" w:rsidRPr="00FF7ED4" w:rsidRDefault="001177B8">
      <w:pPr>
        <w:rPr>
          <w:b/>
          <w:sz w:val="22"/>
        </w:rPr>
      </w:pPr>
      <w:r w:rsidRPr="00FF7ED4">
        <w:rPr>
          <w:b/>
          <w:sz w:val="22"/>
        </w:rPr>
        <w:t>Question 3:</w:t>
      </w:r>
    </w:p>
    <w:p w14:paraId="15E5E2D1" w14:textId="77777777" w:rsidR="001177B8" w:rsidRPr="00FF7ED4" w:rsidRDefault="001177B8">
      <w:pPr>
        <w:rPr>
          <w:sz w:val="22"/>
        </w:rPr>
      </w:pPr>
    </w:p>
    <w:p w14:paraId="2F3B27DF" w14:textId="5F0F91E8" w:rsidR="001177B8" w:rsidRPr="00FF7ED4" w:rsidRDefault="00F3652E">
      <w:pPr>
        <w:rPr>
          <w:sz w:val="22"/>
        </w:rPr>
      </w:pPr>
      <w:r w:rsidRPr="00FF7ED4">
        <w:rPr>
          <w:sz w:val="22"/>
        </w:rPr>
        <w:t>John Kee</w:t>
      </w:r>
      <w:r w:rsidR="00A82AE5" w:rsidRPr="00FF7ED4">
        <w:rPr>
          <w:sz w:val="22"/>
        </w:rPr>
        <w:t>ton became Bishop of Ely in March 1310.</w:t>
      </w:r>
      <w:r w:rsidR="007B6208" w:rsidRPr="00FF7ED4">
        <w:rPr>
          <w:rStyle w:val="a6"/>
          <w:sz w:val="22"/>
        </w:rPr>
        <w:footnoteReference w:id="8"/>
      </w:r>
      <w:r w:rsidR="00A82AE5" w:rsidRPr="00FF7ED4">
        <w:rPr>
          <w:sz w:val="22"/>
        </w:rPr>
        <w:t xml:space="preserve"> Ash Wednesday falls exactly 46 days before Easter,</w:t>
      </w:r>
      <w:r w:rsidR="00150DBC" w:rsidRPr="00FF7ED4">
        <w:rPr>
          <w:rStyle w:val="a6"/>
          <w:sz w:val="22"/>
        </w:rPr>
        <w:footnoteReference w:id="9"/>
      </w:r>
      <w:r w:rsidR="00A82AE5" w:rsidRPr="00FF7ED4">
        <w:rPr>
          <w:sz w:val="22"/>
        </w:rPr>
        <w:t xml:space="preserve"> so the date we are looking for must be in the following calendar year. This also tells us that the Edward mentioned must be King Edward II, because his fourth regnal year began on</w:t>
      </w:r>
      <w:r w:rsidR="00490084">
        <w:rPr>
          <w:sz w:val="22"/>
        </w:rPr>
        <w:t xml:space="preserve"> the</w:t>
      </w:r>
      <w:r w:rsidR="00A82AE5" w:rsidRPr="00FF7ED4">
        <w:rPr>
          <w:sz w:val="22"/>
        </w:rPr>
        <w:t xml:space="preserve"> </w:t>
      </w:r>
      <w:r w:rsidR="00490084">
        <w:rPr>
          <w:sz w:val="22"/>
        </w:rPr>
        <w:t>8</w:t>
      </w:r>
      <w:r w:rsidR="00490084" w:rsidRPr="00FF7ED4">
        <w:rPr>
          <w:sz w:val="22"/>
          <w:vertAlign w:val="superscript"/>
        </w:rPr>
        <w:t>th</w:t>
      </w:r>
      <w:r w:rsidR="00490084" w:rsidRPr="00FF7ED4">
        <w:rPr>
          <w:sz w:val="22"/>
        </w:rPr>
        <w:t xml:space="preserve"> </w:t>
      </w:r>
      <w:r w:rsidR="00562987">
        <w:rPr>
          <w:sz w:val="22"/>
        </w:rPr>
        <w:t xml:space="preserve">of </w:t>
      </w:r>
      <w:r w:rsidR="00A82AE5" w:rsidRPr="00FF7ED4">
        <w:rPr>
          <w:sz w:val="22"/>
        </w:rPr>
        <w:t>July 1310.</w:t>
      </w:r>
      <w:r w:rsidR="00150DBC" w:rsidRPr="00FF7ED4">
        <w:rPr>
          <w:rStyle w:val="a6"/>
          <w:sz w:val="22"/>
        </w:rPr>
        <w:footnoteReference w:id="10"/>
      </w:r>
      <w:r w:rsidR="002902C9" w:rsidRPr="00FF7ED4">
        <w:rPr>
          <w:sz w:val="22"/>
        </w:rPr>
        <w:t xml:space="preserve"> Easter fell on </w:t>
      </w:r>
      <w:r w:rsidR="00490084">
        <w:rPr>
          <w:sz w:val="22"/>
        </w:rPr>
        <w:t>the 11</w:t>
      </w:r>
      <w:r w:rsidR="00490084" w:rsidRPr="00FF7ED4">
        <w:rPr>
          <w:sz w:val="22"/>
          <w:vertAlign w:val="superscript"/>
        </w:rPr>
        <w:t>th</w:t>
      </w:r>
      <w:r w:rsidR="00490084">
        <w:rPr>
          <w:sz w:val="22"/>
        </w:rPr>
        <w:t xml:space="preserve"> of</w:t>
      </w:r>
      <w:r w:rsidR="00A82AE5" w:rsidRPr="00FF7ED4">
        <w:rPr>
          <w:sz w:val="22"/>
        </w:rPr>
        <w:t xml:space="preserve"> April in 1311</w:t>
      </w:r>
      <w:r w:rsidR="00F91C8C" w:rsidRPr="00FF7ED4">
        <w:rPr>
          <w:sz w:val="22"/>
        </w:rPr>
        <w:t>,</w:t>
      </w:r>
      <w:r w:rsidR="00150DBC" w:rsidRPr="00FF7ED4">
        <w:rPr>
          <w:rStyle w:val="a6"/>
          <w:sz w:val="22"/>
        </w:rPr>
        <w:footnoteReference w:id="11"/>
      </w:r>
      <w:r w:rsidR="00F91C8C" w:rsidRPr="00FF7ED4">
        <w:rPr>
          <w:sz w:val="22"/>
        </w:rPr>
        <w:t xml:space="preserve">which </w:t>
      </w:r>
      <w:r w:rsidR="00AB0CC6" w:rsidRPr="00FF7ED4">
        <w:rPr>
          <w:sz w:val="22"/>
        </w:rPr>
        <w:t>allows us to calculate that</w:t>
      </w:r>
      <w:r w:rsidR="00F91C8C" w:rsidRPr="00FF7ED4">
        <w:rPr>
          <w:sz w:val="22"/>
        </w:rPr>
        <w:t xml:space="preserve"> Ash Wednesday was</w:t>
      </w:r>
      <w:r w:rsidR="00B97D02" w:rsidRPr="00FF7ED4">
        <w:rPr>
          <w:sz w:val="22"/>
        </w:rPr>
        <w:t xml:space="preserve"> on </w:t>
      </w:r>
      <w:r w:rsidR="00490084">
        <w:rPr>
          <w:sz w:val="22"/>
        </w:rPr>
        <w:t>the</w:t>
      </w:r>
      <w:r w:rsidR="00490084" w:rsidRPr="00FF7ED4">
        <w:rPr>
          <w:sz w:val="22"/>
        </w:rPr>
        <w:t xml:space="preserve"> </w:t>
      </w:r>
      <w:r w:rsidR="00490084">
        <w:rPr>
          <w:sz w:val="22"/>
        </w:rPr>
        <w:t>24</w:t>
      </w:r>
      <w:r w:rsidR="00490084" w:rsidRPr="00FF7ED4">
        <w:rPr>
          <w:sz w:val="22"/>
          <w:vertAlign w:val="superscript"/>
        </w:rPr>
        <w:t>th</w:t>
      </w:r>
      <w:r w:rsidR="00490084">
        <w:rPr>
          <w:sz w:val="22"/>
        </w:rPr>
        <w:t xml:space="preserve"> of </w:t>
      </w:r>
      <w:r w:rsidR="002902C9" w:rsidRPr="00FF7ED4">
        <w:rPr>
          <w:sz w:val="22"/>
        </w:rPr>
        <w:t>February</w:t>
      </w:r>
      <w:r w:rsidR="00A82AE5" w:rsidRPr="00FF7ED4">
        <w:rPr>
          <w:sz w:val="22"/>
        </w:rPr>
        <w:t>. T</w:t>
      </w:r>
      <w:r w:rsidR="002902C9" w:rsidRPr="00FF7ED4">
        <w:rPr>
          <w:sz w:val="22"/>
        </w:rPr>
        <w:t xml:space="preserve">he next day would </w:t>
      </w:r>
      <w:r w:rsidR="00490084">
        <w:rPr>
          <w:sz w:val="22"/>
        </w:rPr>
        <w:t xml:space="preserve">have </w:t>
      </w:r>
      <w:r w:rsidR="002902C9" w:rsidRPr="00FF7ED4">
        <w:rPr>
          <w:sz w:val="22"/>
        </w:rPr>
        <w:t>be</w:t>
      </w:r>
      <w:r w:rsidR="00490084">
        <w:rPr>
          <w:sz w:val="22"/>
        </w:rPr>
        <w:t>en</w:t>
      </w:r>
      <w:r w:rsidR="002902C9" w:rsidRPr="00FF7ED4">
        <w:rPr>
          <w:sz w:val="22"/>
        </w:rPr>
        <w:t xml:space="preserve"> </w:t>
      </w:r>
      <w:r w:rsidR="00490084">
        <w:rPr>
          <w:sz w:val="22"/>
        </w:rPr>
        <w:t>the</w:t>
      </w:r>
      <w:r w:rsidR="00490084" w:rsidRPr="00FF7ED4">
        <w:rPr>
          <w:sz w:val="22"/>
        </w:rPr>
        <w:t xml:space="preserve"> </w:t>
      </w:r>
      <w:r w:rsidR="00490084">
        <w:rPr>
          <w:sz w:val="22"/>
        </w:rPr>
        <w:t>2</w:t>
      </w:r>
      <w:r w:rsidR="00490084">
        <w:rPr>
          <w:sz w:val="22"/>
        </w:rPr>
        <w:t>5</w:t>
      </w:r>
      <w:r w:rsidR="00490084" w:rsidRPr="00FF7ED4">
        <w:rPr>
          <w:sz w:val="22"/>
          <w:vertAlign w:val="superscript"/>
        </w:rPr>
        <w:t>th</w:t>
      </w:r>
      <w:r w:rsidR="00490084">
        <w:rPr>
          <w:sz w:val="22"/>
        </w:rPr>
        <w:t xml:space="preserve"> of </w:t>
      </w:r>
      <w:r w:rsidR="00490084" w:rsidRPr="00FF7ED4">
        <w:rPr>
          <w:sz w:val="22"/>
        </w:rPr>
        <w:t>February</w:t>
      </w:r>
      <w:r w:rsidR="00A82AE5" w:rsidRPr="00FF7ED4">
        <w:rPr>
          <w:sz w:val="22"/>
        </w:rPr>
        <w:t>.</w:t>
      </w:r>
    </w:p>
    <w:p w14:paraId="7DD18CB2" w14:textId="12E5854C" w:rsidR="00A82AE5" w:rsidRPr="00FF7ED4" w:rsidRDefault="00A82AE5">
      <w:pPr>
        <w:rPr>
          <w:b/>
          <w:sz w:val="22"/>
        </w:rPr>
      </w:pPr>
      <w:r w:rsidRPr="00FF7ED4">
        <w:rPr>
          <w:b/>
          <w:sz w:val="22"/>
        </w:rPr>
        <w:t>Answer: February 2</w:t>
      </w:r>
      <w:r w:rsidR="002902C9" w:rsidRPr="00FF7ED4">
        <w:rPr>
          <w:b/>
          <w:sz w:val="22"/>
        </w:rPr>
        <w:t>5</w:t>
      </w:r>
      <w:r w:rsidR="00003C40" w:rsidRPr="00FF7ED4">
        <w:rPr>
          <w:b/>
          <w:sz w:val="22"/>
        </w:rPr>
        <w:t>,</w:t>
      </w:r>
      <w:r w:rsidRPr="00FF7ED4">
        <w:rPr>
          <w:b/>
          <w:sz w:val="22"/>
        </w:rPr>
        <w:t xml:space="preserve"> 1311.</w:t>
      </w:r>
    </w:p>
    <w:p w14:paraId="0B75557B" w14:textId="77777777" w:rsidR="001177B8" w:rsidRPr="00FF7ED4" w:rsidRDefault="001177B8">
      <w:pPr>
        <w:rPr>
          <w:sz w:val="22"/>
        </w:rPr>
      </w:pPr>
    </w:p>
    <w:p w14:paraId="2F5CFD64" w14:textId="77777777" w:rsidR="001177B8" w:rsidRPr="00FF7ED4" w:rsidRDefault="001177B8">
      <w:pPr>
        <w:rPr>
          <w:b/>
          <w:sz w:val="22"/>
        </w:rPr>
      </w:pPr>
      <w:r w:rsidRPr="00FF7ED4">
        <w:rPr>
          <w:b/>
          <w:sz w:val="22"/>
        </w:rPr>
        <w:t>Question 4:</w:t>
      </w:r>
    </w:p>
    <w:p w14:paraId="1D71B787" w14:textId="77777777" w:rsidR="001177B8" w:rsidRPr="00FF7ED4" w:rsidRDefault="001177B8">
      <w:pPr>
        <w:rPr>
          <w:sz w:val="22"/>
        </w:rPr>
      </w:pPr>
    </w:p>
    <w:p w14:paraId="7AEE158B" w14:textId="03328AD9" w:rsidR="00152434" w:rsidRPr="00FF7ED4" w:rsidRDefault="0023159F">
      <w:pPr>
        <w:rPr>
          <w:sz w:val="22"/>
        </w:rPr>
      </w:pPr>
      <w:r w:rsidRPr="00FF7ED4">
        <w:rPr>
          <w:rFonts w:hint="eastAsia"/>
          <w:sz w:val="22"/>
        </w:rPr>
        <w:t>This</w:t>
      </w:r>
      <w:r w:rsidRPr="00FF7ED4">
        <w:rPr>
          <w:sz w:val="22"/>
        </w:rPr>
        <w:t xml:space="preserve"> charter focuses on the settlement of the estate of Geoffrey Ridel. We find two Geoffrey Ridels mentioned in the 12</w:t>
      </w:r>
      <w:r w:rsidRPr="00FF7ED4">
        <w:rPr>
          <w:sz w:val="22"/>
          <w:vertAlign w:val="superscript"/>
        </w:rPr>
        <w:t>th</w:t>
      </w:r>
      <w:r w:rsidRPr="00FF7ED4">
        <w:rPr>
          <w:sz w:val="22"/>
        </w:rPr>
        <w:t xml:space="preserve"> century, one in the reign of He</w:t>
      </w:r>
      <w:r w:rsidR="00E95BB2" w:rsidRPr="00FF7ED4">
        <w:rPr>
          <w:sz w:val="22"/>
        </w:rPr>
        <w:t xml:space="preserve">nry I, </w:t>
      </w:r>
      <w:r w:rsidRPr="00FF7ED4">
        <w:rPr>
          <w:sz w:val="22"/>
        </w:rPr>
        <w:t xml:space="preserve">and another in </w:t>
      </w:r>
      <w:r w:rsidR="00E95BB2" w:rsidRPr="00FF7ED4">
        <w:rPr>
          <w:sz w:val="22"/>
        </w:rPr>
        <w:lastRenderedPageBreak/>
        <w:t>the time</w:t>
      </w:r>
      <w:r w:rsidRPr="00FF7ED4">
        <w:rPr>
          <w:sz w:val="22"/>
        </w:rPr>
        <w:t xml:space="preserve"> of Henry II.</w:t>
      </w:r>
      <w:r w:rsidR="00820D05" w:rsidRPr="00FF7ED4">
        <w:rPr>
          <w:rStyle w:val="a6"/>
          <w:sz w:val="22"/>
        </w:rPr>
        <w:footnoteReference w:id="12"/>
      </w:r>
      <w:r w:rsidRPr="00FF7ED4">
        <w:rPr>
          <w:sz w:val="22"/>
        </w:rPr>
        <w:t xml:space="preserve"> However, a number of </w:t>
      </w:r>
      <w:r w:rsidR="00E95BB2" w:rsidRPr="00FF7ED4">
        <w:rPr>
          <w:sz w:val="22"/>
        </w:rPr>
        <w:t xml:space="preserve">other </w:t>
      </w:r>
      <w:r w:rsidRPr="00FF7ED4">
        <w:rPr>
          <w:sz w:val="22"/>
        </w:rPr>
        <w:t>people are mentioned in the document, which allows us to assign a probable</w:t>
      </w:r>
      <w:r w:rsidR="00CE2857" w:rsidRPr="00FF7ED4">
        <w:rPr>
          <w:rFonts w:hint="eastAsia"/>
          <w:sz w:val="22"/>
        </w:rPr>
        <w:t xml:space="preserve"> ap</w:t>
      </w:r>
      <w:r w:rsidR="00CE2857" w:rsidRPr="00FF7ED4">
        <w:rPr>
          <w:sz w:val="22"/>
        </w:rPr>
        <w:t>p</w:t>
      </w:r>
      <w:r w:rsidR="00CE2857" w:rsidRPr="00FF7ED4">
        <w:rPr>
          <w:rFonts w:hint="eastAsia"/>
          <w:sz w:val="22"/>
        </w:rPr>
        <w:t>r</w:t>
      </w:r>
      <w:r w:rsidR="00CE2857" w:rsidRPr="00FF7ED4">
        <w:rPr>
          <w:sz w:val="22"/>
        </w:rPr>
        <w:t>oximate</w:t>
      </w:r>
      <w:r w:rsidRPr="00FF7ED4">
        <w:rPr>
          <w:sz w:val="22"/>
        </w:rPr>
        <w:t xml:space="preserve"> date with a high degree of confidence. </w:t>
      </w:r>
    </w:p>
    <w:p w14:paraId="6E9045D8" w14:textId="77777777" w:rsidR="00152434" w:rsidRPr="00FF7ED4" w:rsidRDefault="00152434">
      <w:pPr>
        <w:rPr>
          <w:sz w:val="22"/>
        </w:rPr>
      </w:pPr>
    </w:p>
    <w:p w14:paraId="2E9A737C" w14:textId="62BBF7BD" w:rsidR="001177B8" w:rsidRPr="00FF7ED4" w:rsidRDefault="0023159F">
      <w:pPr>
        <w:rPr>
          <w:sz w:val="22"/>
        </w:rPr>
      </w:pPr>
      <w:r w:rsidRPr="00FF7ED4">
        <w:rPr>
          <w:sz w:val="22"/>
        </w:rPr>
        <w:t>First, Geof</w:t>
      </w:r>
      <w:r w:rsidR="00D127FE" w:rsidRPr="00FF7ED4">
        <w:rPr>
          <w:sz w:val="22"/>
        </w:rPr>
        <w:t xml:space="preserve">frey Ridel’s </w:t>
      </w:r>
      <w:r w:rsidRPr="00FF7ED4">
        <w:rPr>
          <w:sz w:val="22"/>
        </w:rPr>
        <w:t xml:space="preserve">son </w:t>
      </w:r>
      <w:r w:rsidR="00D127FE" w:rsidRPr="00FF7ED4">
        <w:rPr>
          <w:sz w:val="22"/>
        </w:rPr>
        <w:t xml:space="preserve">and wife </w:t>
      </w:r>
      <w:r w:rsidRPr="00FF7ED4">
        <w:rPr>
          <w:sz w:val="22"/>
        </w:rPr>
        <w:t xml:space="preserve">are </w:t>
      </w:r>
      <w:r w:rsidR="00D127FE" w:rsidRPr="00FF7ED4">
        <w:rPr>
          <w:sz w:val="22"/>
        </w:rPr>
        <w:t xml:space="preserve">prominently </w:t>
      </w:r>
      <w:r w:rsidRPr="00FF7ED4">
        <w:rPr>
          <w:sz w:val="22"/>
        </w:rPr>
        <w:t>mentioned</w:t>
      </w:r>
      <w:r w:rsidR="00D127FE" w:rsidRPr="00FF7ED4">
        <w:rPr>
          <w:sz w:val="22"/>
        </w:rPr>
        <w:t xml:space="preserve"> by name</w:t>
      </w:r>
      <w:r w:rsidR="007007D0" w:rsidRPr="00FF7ED4">
        <w:rPr>
          <w:sz w:val="22"/>
        </w:rPr>
        <w:t>, which helps us to establish the correct identity of the ‘Geoffrey Ridel’ referred to in the Charter</w:t>
      </w:r>
      <w:r w:rsidRPr="00FF7ED4">
        <w:rPr>
          <w:sz w:val="22"/>
        </w:rPr>
        <w:t>.</w:t>
      </w:r>
      <w:r w:rsidR="00D127FE" w:rsidRPr="00FF7ED4">
        <w:rPr>
          <w:sz w:val="22"/>
        </w:rPr>
        <w:t xml:space="preserve"> His daughter (unnamed) is also mentioned in the context of a marriage agreement with Richard Bassett. </w:t>
      </w:r>
      <w:r w:rsidR="00152434" w:rsidRPr="00FF7ED4">
        <w:rPr>
          <w:sz w:val="22"/>
        </w:rPr>
        <w:t>Since we know the marriage</w:t>
      </w:r>
      <w:r w:rsidR="00ED3159" w:rsidRPr="00FF7ED4">
        <w:rPr>
          <w:sz w:val="22"/>
        </w:rPr>
        <w:t xml:space="preserve"> of Geoffrey Ridel’s daughter Matilda to Richard Bassett</w:t>
      </w:r>
      <w:r w:rsidR="00152434" w:rsidRPr="00FF7ED4">
        <w:rPr>
          <w:sz w:val="22"/>
        </w:rPr>
        <w:t xml:space="preserve"> took place c. 1122,</w:t>
      </w:r>
      <w:r w:rsidR="00920D58" w:rsidRPr="00FF7ED4">
        <w:rPr>
          <w:rStyle w:val="a6"/>
          <w:sz w:val="22"/>
        </w:rPr>
        <w:footnoteReference w:id="13"/>
      </w:r>
      <w:r w:rsidR="00152434" w:rsidRPr="00FF7ED4">
        <w:rPr>
          <w:sz w:val="22"/>
        </w:rPr>
        <w:t xml:space="preserve"> the document must have been issued in or around </w:t>
      </w:r>
      <w:r w:rsidR="00B97D02" w:rsidRPr="00FF7ED4">
        <w:rPr>
          <w:sz w:val="22"/>
        </w:rPr>
        <w:t>that</w:t>
      </w:r>
      <w:r w:rsidR="00152434" w:rsidRPr="00FF7ED4">
        <w:rPr>
          <w:sz w:val="22"/>
        </w:rPr>
        <w:t xml:space="preserve"> year. We also know that Geoffrey Ridel died in the sinking of the White Ship in 1120,</w:t>
      </w:r>
      <w:r w:rsidR="00ED3159" w:rsidRPr="00FF7ED4">
        <w:rPr>
          <w:rStyle w:val="a6"/>
          <w:sz w:val="22"/>
        </w:rPr>
        <w:footnoteReference w:id="14"/>
      </w:r>
      <w:r w:rsidR="00152434" w:rsidRPr="00FF7ED4">
        <w:rPr>
          <w:sz w:val="22"/>
        </w:rPr>
        <w:t xml:space="preserve"> so the document must have been produced after that event</w:t>
      </w:r>
      <w:r w:rsidR="00B97D02" w:rsidRPr="00FF7ED4">
        <w:rPr>
          <w:sz w:val="22"/>
        </w:rPr>
        <w:t>, in the reign of Henry I</w:t>
      </w:r>
      <w:r w:rsidR="00152434" w:rsidRPr="00FF7ED4">
        <w:rPr>
          <w:sz w:val="22"/>
        </w:rPr>
        <w:t xml:space="preserve">. </w:t>
      </w:r>
      <w:r w:rsidR="00D127FE" w:rsidRPr="00FF7ED4">
        <w:rPr>
          <w:sz w:val="22"/>
        </w:rPr>
        <w:t>Another clue is the mention of Earl Rannulf of Chester. There were several Earl Rannulfs</w:t>
      </w:r>
      <w:r w:rsidR="00125994" w:rsidRPr="00FF7ED4">
        <w:rPr>
          <w:sz w:val="22"/>
        </w:rPr>
        <w:t>,</w:t>
      </w:r>
      <w:r w:rsidR="00E95BB2" w:rsidRPr="00FF7ED4">
        <w:rPr>
          <w:sz w:val="22"/>
        </w:rPr>
        <w:t xml:space="preserve"> but the mention of a brother, William, suggests that this is Ran</w:t>
      </w:r>
      <w:r w:rsidR="00490084">
        <w:rPr>
          <w:rFonts w:hint="eastAsia"/>
          <w:sz w:val="22"/>
        </w:rPr>
        <w:t>n</w:t>
      </w:r>
      <w:r w:rsidR="00E95BB2" w:rsidRPr="00FF7ED4">
        <w:rPr>
          <w:sz w:val="22"/>
        </w:rPr>
        <w:t>ulf Le Meschin, 3</w:t>
      </w:r>
      <w:r w:rsidR="00E95BB2" w:rsidRPr="00FF7ED4">
        <w:rPr>
          <w:sz w:val="22"/>
          <w:vertAlign w:val="superscript"/>
        </w:rPr>
        <w:t>rd</w:t>
      </w:r>
      <w:r w:rsidR="00E95BB2" w:rsidRPr="00FF7ED4">
        <w:rPr>
          <w:sz w:val="22"/>
        </w:rPr>
        <w:t xml:space="preserve"> Earl of Chester.</w:t>
      </w:r>
      <w:r w:rsidR="00ED3159" w:rsidRPr="00FF7ED4">
        <w:rPr>
          <w:rStyle w:val="a6"/>
          <w:sz w:val="22"/>
        </w:rPr>
        <w:footnoteReference w:id="15"/>
      </w:r>
      <w:r w:rsidR="00E95BB2" w:rsidRPr="00FF7ED4">
        <w:rPr>
          <w:sz w:val="22"/>
        </w:rPr>
        <w:t xml:space="preserve"> Le Me</w:t>
      </w:r>
      <w:r w:rsidR="00B97D02" w:rsidRPr="00FF7ED4">
        <w:rPr>
          <w:sz w:val="22"/>
        </w:rPr>
        <w:t>schin held this position from 11</w:t>
      </w:r>
      <w:r w:rsidR="00E95BB2" w:rsidRPr="00FF7ED4">
        <w:rPr>
          <w:sz w:val="22"/>
        </w:rPr>
        <w:t>20 to 1129,</w:t>
      </w:r>
      <w:r w:rsidR="00ED3159" w:rsidRPr="00FF7ED4">
        <w:rPr>
          <w:rStyle w:val="a6"/>
          <w:sz w:val="22"/>
        </w:rPr>
        <w:footnoteReference w:id="16"/>
      </w:r>
      <w:r w:rsidR="00E95BB2" w:rsidRPr="00FF7ED4">
        <w:rPr>
          <w:sz w:val="22"/>
        </w:rPr>
        <w:t xml:space="preserve"> so we know this document must fall between these dates. Many of the other Earls and religious office holders mentioned by name also place the document in the first half of the twelfth century, although are less helpful in narrowing the date down to </w:t>
      </w:r>
      <w:r w:rsidR="00152434" w:rsidRPr="00FF7ED4">
        <w:rPr>
          <w:sz w:val="22"/>
        </w:rPr>
        <w:t xml:space="preserve">a specific year or two. </w:t>
      </w:r>
    </w:p>
    <w:p w14:paraId="02B617DB" w14:textId="77777777" w:rsidR="00152434" w:rsidRPr="00FF7ED4" w:rsidRDefault="00152434">
      <w:pPr>
        <w:rPr>
          <w:sz w:val="22"/>
        </w:rPr>
      </w:pPr>
    </w:p>
    <w:p w14:paraId="38C4FD8A" w14:textId="73B0AEEC" w:rsidR="00152434" w:rsidRPr="00FF7ED4" w:rsidRDefault="00152434">
      <w:pPr>
        <w:rPr>
          <w:sz w:val="22"/>
        </w:rPr>
      </w:pPr>
      <w:r w:rsidRPr="00FF7ED4">
        <w:rPr>
          <w:sz w:val="22"/>
        </w:rPr>
        <w:t xml:space="preserve">On the existing evidence, </w:t>
      </w:r>
      <w:r w:rsidR="00B97D02" w:rsidRPr="00FF7ED4">
        <w:rPr>
          <w:sz w:val="22"/>
        </w:rPr>
        <w:t xml:space="preserve">we are unable to give a specific date for this document. However, </w:t>
      </w:r>
      <w:r w:rsidRPr="00FF7ED4">
        <w:rPr>
          <w:sz w:val="22"/>
        </w:rPr>
        <w:t xml:space="preserve">we can surmise that the document must have been issued </w:t>
      </w:r>
      <w:r w:rsidR="00B35D69">
        <w:rPr>
          <w:sz w:val="22"/>
        </w:rPr>
        <w:t>after the White S</w:t>
      </w:r>
      <w:r w:rsidR="00B97D02" w:rsidRPr="00FF7ED4">
        <w:rPr>
          <w:sz w:val="22"/>
        </w:rPr>
        <w:t>hip disaster and probably shortly before or after Geoffrey Ridel’s daughter’s marriage to Richard Bassett. A date between 1120 and 1124 seems a reasonable assumption.</w:t>
      </w:r>
    </w:p>
    <w:p w14:paraId="1EB0607B" w14:textId="77777777" w:rsidR="002916E2" w:rsidRPr="00FF7ED4" w:rsidRDefault="002916E2">
      <w:pPr>
        <w:rPr>
          <w:sz w:val="22"/>
        </w:rPr>
      </w:pPr>
    </w:p>
    <w:p w14:paraId="7076DC91" w14:textId="77777777" w:rsidR="002916E2" w:rsidRPr="00FF7ED4" w:rsidRDefault="002916E2" w:rsidP="002916E2">
      <w:pPr>
        <w:rPr>
          <w:b/>
          <w:sz w:val="22"/>
        </w:rPr>
      </w:pPr>
      <w:r w:rsidRPr="00FF7ED4">
        <w:rPr>
          <w:b/>
          <w:sz w:val="22"/>
        </w:rPr>
        <w:t>Probable Answer: 1120-1124</w:t>
      </w:r>
    </w:p>
    <w:p w14:paraId="6BF9FD49" w14:textId="77777777" w:rsidR="002916E2" w:rsidRPr="00FF7ED4" w:rsidRDefault="002916E2">
      <w:pPr>
        <w:rPr>
          <w:sz w:val="22"/>
        </w:rPr>
      </w:pPr>
    </w:p>
    <w:p w14:paraId="05731D6E" w14:textId="6E076ADF" w:rsidR="002916E2" w:rsidRPr="00FF7ED4" w:rsidRDefault="008761F3" w:rsidP="002916E2">
      <w:pPr>
        <w:rPr>
          <w:sz w:val="22"/>
          <w:u w:val="single"/>
        </w:rPr>
      </w:pPr>
      <w:r w:rsidRPr="00FF7ED4">
        <w:rPr>
          <w:sz w:val="22"/>
          <w:u w:val="single"/>
        </w:rPr>
        <w:t>List of Sources</w:t>
      </w:r>
    </w:p>
    <w:p w14:paraId="6A6846AE" w14:textId="77777777" w:rsidR="00BB4BF8" w:rsidRPr="00FF7ED4" w:rsidRDefault="00BB4BF8" w:rsidP="002916E2">
      <w:pPr>
        <w:rPr>
          <w:sz w:val="22"/>
          <w:u w:val="single"/>
        </w:rPr>
      </w:pPr>
    </w:p>
    <w:p w14:paraId="03075B37" w14:textId="4C42FCA2" w:rsidR="00BB4BF8" w:rsidRPr="00FF7ED4" w:rsidRDefault="00BB4BF8" w:rsidP="002916E2">
      <w:pPr>
        <w:rPr>
          <w:sz w:val="22"/>
          <w:u w:val="single"/>
        </w:rPr>
      </w:pPr>
      <w:r w:rsidRPr="00FF7ED4">
        <w:rPr>
          <w:sz w:val="22"/>
          <w:u w:val="single"/>
        </w:rPr>
        <w:t>Books</w:t>
      </w:r>
    </w:p>
    <w:p w14:paraId="2C3CBC09" w14:textId="77777777" w:rsidR="002916E2" w:rsidRPr="00FF7ED4" w:rsidRDefault="002916E2" w:rsidP="002916E2">
      <w:pPr>
        <w:rPr>
          <w:sz w:val="22"/>
        </w:rPr>
      </w:pPr>
    </w:p>
    <w:p w14:paraId="41323267" w14:textId="77777777" w:rsidR="00003C40" w:rsidRPr="00FF7ED4" w:rsidRDefault="002916E2" w:rsidP="002916E2">
      <w:pPr>
        <w:tabs>
          <w:tab w:val="left" w:pos="-720"/>
          <w:tab w:val="left" w:pos="0"/>
        </w:tabs>
        <w:suppressAutoHyphens/>
        <w:spacing w:line="240" w:lineRule="atLeast"/>
        <w:ind w:left="720" w:hanging="720"/>
        <w:rPr>
          <w:spacing w:val="-3"/>
          <w:sz w:val="22"/>
          <w:lang w:val="en-GB"/>
        </w:rPr>
      </w:pPr>
      <w:r w:rsidRPr="00FF7ED4">
        <w:rPr>
          <w:spacing w:val="-3"/>
          <w:sz w:val="22"/>
          <w:lang w:val="en-GB"/>
        </w:rPr>
        <w:t xml:space="preserve">Cheney, C. R., </w:t>
      </w:r>
      <w:r w:rsidRPr="00FF7ED4">
        <w:rPr>
          <w:i/>
          <w:iCs/>
          <w:spacing w:val="-3"/>
          <w:sz w:val="22"/>
          <w:lang w:val="en-GB"/>
        </w:rPr>
        <w:t>Handbook of Dates for Students of British History</w:t>
      </w:r>
      <w:r w:rsidR="00003C40" w:rsidRPr="00FF7ED4">
        <w:rPr>
          <w:spacing w:val="-3"/>
          <w:sz w:val="22"/>
          <w:lang w:val="en-GB"/>
        </w:rPr>
        <w:t xml:space="preserve">, Royal Historical </w:t>
      </w:r>
    </w:p>
    <w:p w14:paraId="31066C27" w14:textId="76B69480" w:rsidR="002916E2" w:rsidRPr="00FF7ED4" w:rsidRDefault="002916E2" w:rsidP="006667EB">
      <w:pPr>
        <w:tabs>
          <w:tab w:val="left" w:pos="-720"/>
          <w:tab w:val="left" w:pos="0"/>
        </w:tabs>
        <w:suppressAutoHyphens/>
        <w:spacing w:line="240" w:lineRule="atLeast"/>
        <w:ind w:left="720" w:hanging="720"/>
        <w:rPr>
          <w:spacing w:val="-3"/>
          <w:sz w:val="22"/>
          <w:lang w:val="en-GB"/>
        </w:rPr>
      </w:pPr>
      <w:r w:rsidRPr="00FF7ED4">
        <w:rPr>
          <w:spacing w:val="-3"/>
          <w:sz w:val="22"/>
          <w:lang w:val="en-GB"/>
        </w:rPr>
        <w:t>Society Guides and Handbooks, 4 (</w:t>
      </w:r>
      <w:r w:rsidR="006667EB" w:rsidRPr="00FF7ED4">
        <w:rPr>
          <w:spacing w:val="-3"/>
          <w:sz w:val="22"/>
          <w:lang w:val="en-GB"/>
        </w:rPr>
        <w:t>Cambridge: Cambridge University Press,</w:t>
      </w:r>
      <w:r w:rsidRPr="00FF7ED4">
        <w:rPr>
          <w:spacing w:val="-3"/>
          <w:sz w:val="22"/>
          <w:lang w:val="en-GB"/>
        </w:rPr>
        <w:t xml:space="preserve"> 2000)</w:t>
      </w:r>
    </w:p>
    <w:p w14:paraId="5E6FE790" w14:textId="77777777" w:rsidR="002916E2" w:rsidRPr="00FF7ED4" w:rsidRDefault="002916E2" w:rsidP="002916E2">
      <w:pPr>
        <w:rPr>
          <w:sz w:val="22"/>
        </w:rPr>
      </w:pPr>
    </w:p>
    <w:p w14:paraId="32FF8E3D" w14:textId="0F21EA08" w:rsidR="00003C40" w:rsidRPr="00FF7ED4" w:rsidRDefault="002916E2" w:rsidP="002916E2">
      <w:pPr>
        <w:tabs>
          <w:tab w:val="left" w:pos="-720"/>
          <w:tab w:val="left" w:pos="0"/>
        </w:tabs>
        <w:suppressAutoHyphens/>
        <w:spacing w:line="240" w:lineRule="atLeast"/>
        <w:ind w:left="720" w:hanging="720"/>
        <w:rPr>
          <w:spacing w:val="-3"/>
          <w:sz w:val="22"/>
          <w:lang w:val="en-GB"/>
        </w:rPr>
      </w:pPr>
      <w:r w:rsidRPr="00FF7ED4">
        <w:rPr>
          <w:spacing w:val="-3"/>
          <w:sz w:val="22"/>
          <w:lang w:val="en-GB"/>
        </w:rPr>
        <w:t>Fryde, E</w:t>
      </w:r>
      <w:r w:rsidR="006C0275" w:rsidRPr="00FF7ED4">
        <w:rPr>
          <w:spacing w:val="-3"/>
          <w:sz w:val="22"/>
          <w:lang w:val="en-GB"/>
        </w:rPr>
        <w:t>.</w:t>
      </w:r>
      <w:r w:rsidRPr="00FF7ED4">
        <w:rPr>
          <w:spacing w:val="-3"/>
          <w:sz w:val="22"/>
          <w:lang w:val="en-GB"/>
        </w:rPr>
        <w:t>, Greenway, D. E., Porter, S., and Roy,</w:t>
      </w:r>
      <w:r w:rsidR="006C0275" w:rsidRPr="00FF7ED4">
        <w:rPr>
          <w:spacing w:val="-3"/>
          <w:sz w:val="22"/>
          <w:lang w:val="en-GB"/>
        </w:rPr>
        <w:t xml:space="preserve"> I.,</w:t>
      </w:r>
      <w:r w:rsidRPr="00FF7ED4">
        <w:rPr>
          <w:spacing w:val="-3"/>
          <w:sz w:val="22"/>
          <w:lang w:val="en-GB"/>
        </w:rPr>
        <w:t xml:space="preserve"> </w:t>
      </w:r>
      <w:r w:rsidRPr="00FF7ED4">
        <w:rPr>
          <w:i/>
          <w:iCs/>
          <w:spacing w:val="-3"/>
          <w:sz w:val="22"/>
          <w:lang w:val="en-GB"/>
        </w:rPr>
        <w:t>Handbook of British Chronology</w:t>
      </w:r>
      <w:r w:rsidRPr="00FF7ED4">
        <w:rPr>
          <w:spacing w:val="-3"/>
          <w:sz w:val="22"/>
          <w:lang w:val="en-GB"/>
        </w:rPr>
        <w:t xml:space="preserve">, </w:t>
      </w:r>
    </w:p>
    <w:p w14:paraId="534C6A8F" w14:textId="77777777" w:rsidR="006667EB" w:rsidRPr="00FF7ED4" w:rsidRDefault="002916E2" w:rsidP="006667EB">
      <w:pPr>
        <w:tabs>
          <w:tab w:val="left" w:pos="-720"/>
          <w:tab w:val="left" w:pos="0"/>
        </w:tabs>
        <w:suppressAutoHyphens/>
        <w:spacing w:line="240" w:lineRule="atLeast"/>
        <w:ind w:left="720" w:hanging="720"/>
        <w:rPr>
          <w:spacing w:val="-3"/>
          <w:sz w:val="22"/>
          <w:lang w:val="en-GB"/>
        </w:rPr>
      </w:pPr>
      <w:r w:rsidRPr="00FF7ED4">
        <w:rPr>
          <w:spacing w:val="-3"/>
          <w:sz w:val="22"/>
          <w:lang w:val="en-GB"/>
        </w:rPr>
        <w:t>Royal Historical Society Guides and Handbooks, 2 (</w:t>
      </w:r>
      <w:r w:rsidR="006667EB" w:rsidRPr="00FF7ED4">
        <w:rPr>
          <w:spacing w:val="-3"/>
          <w:sz w:val="22"/>
          <w:lang w:val="en-GB"/>
        </w:rPr>
        <w:t xml:space="preserve">London: Royal Historical </w:t>
      </w:r>
    </w:p>
    <w:p w14:paraId="06135F86" w14:textId="74223F49" w:rsidR="002916E2" w:rsidRPr="00FF7ED4" w:rsidRDefault="00003C40" w:rsidP="006667EB">
      <w:pPr>
        <w:tabs>
          <w:tab w:val="left" w:pos="-720"/>
          <w:tab w:val="left" w:pos="0"/>
        </w:tabs>
        <w:suppressAutoHyphens/>
        <w:spacing w:line="240" w:lineRule="atLeast"/>
        <w:ind w:left="720" w:hanging="720"/>
        <w:rPr>
          <w:spacing w:val="-3"/>
          <w:sz w:val="22"/>
          <w:lang w:val="en-GB"/>
        </w:rPr>
      </w:pPr>
      <w:r w:rsidRPr="00FF7ED4">
        <w:rPr>
          <w:spacing w:val="-3"/>
          <w:sz w:val="22"/>
          <w:lang w:val="en-GB"/>
        </w:rPr>
        <w:t>Society,</w:t>
      </w:r>
      <w:r w:rsidR="006667EB" w:rsidRPr="00FF7ED4">
        <w:rPr>
          <w:spacing w:val="-3"/>
          <w:sz w:val="22"/>
          <w:lang w:val="en-GB"/>
        </w:rPr>
        <w:t xml:space="preserve"> </w:t>
      </w:r>
      <w:r w:rsidR="002916E2" w:rsidRPr="00FF7ED4">
        <w:rPr>
          <w:spacing w:val="-3"/>
          <w:sz w:val="22"/>
          <w:lang w:val="en-GB"/>
        </w:rPr>
        <w:t>1986)</w:t>
      </w:r>
    </w:p>
    <w:p w14:paraId="304453D9" w14:textId="77777777" w:rsidR="002916E2" w:rsidRPr="00FF7ED4" w:rsidRDefault="002916E2" w:rsidP="002916E2">
      <w:pPr>
        <w:rPr>
          <w:sz w:val="22"/>
        </w:rPr>
      </w:pPr>
    </w:p>
    <w:p w14:paraId="4D073630" w14:textId="3CDBF405" w:rsidR="00682AC6" w:rsidRPr="00FF7ED4" w:rsidRDefault="00682AC6" w:rsidP="002916E2">
      <w:pPr>
        <w:rPr>
          <w:sz w:val="22"/>
        </w:rPr>
      </w:pPr>
      <w:r w:rsidRPr="00FF7ED4">
        <w:rPr>
          <w:rFonts w:hint="eastAsia"/>
          <w:sz w:val="22"/>
        </w:rPr>
        <w:t>Ha</w:t>
      </w:r>
      <w:r w:rsidRPr="00FF7ED4">
        <w:rPr>
          <w:sz w:val="22"/>
        </w:rPr>
        <w:t xml:space="preserve">rrison, B., Matthew, H.C.G., </w:t>
      </w:r>
      <w:r w:rsidRPr="00FF7ED4">
        <w:rPr>
          <w:i/>
          <w:sz w:val="22"/>
        </w:rPr>
        <w:t>Oxford Dictionary of National Biography</w:t>
      </w:r>
      <w:r w:rsidRPr="00FF7ED4">
        <w:rPr>
          <w:sz w:val="22"/>
        </w:rPr>
        <w:t>, Vol. 46 (Oxford:</w:t>
      </w:r>
      <w:r w:rsidR="00903E72" w:rsidRPr="00FF7ED4">
        <w:rPr>
          <w:sz w:val="22"/>
        </w:rPr>
        <w:t xml:space="preserve"> Oxford University Press, 2004)</w:t>
      </w:r>
    </w:p>
    <w:p w14:paraId="51137E76" w14:textId="77777777" w:rsidR="00A73D85" w:rsidRDefault="00A73D85" w:rsidP="004447ED">
      <w:pPr>
        <w:tabs>
          <w:tab w:val="left" w:pos="-720"/>
          <w:tab w:val="left" w:pos="0"/>
        </w:tabs>
        <w:suppressAutoHyphens/>
        <w:spacing w:line="240" w:lineRule="atLeast"/>
        <w:rPr>
          <w:spacing w:val="-3"/>
          <w:sz w:val="22"/>
          <w:lang w:val="en-GB"/>
        </w:rPr>
      </w:pPr>
    </w:p>
    <w:p w14:paraId="5BEA7050" w14:textId="54113D2B" w:rsidR="00003C40" w:rsidRPr="00FF7ED4" w:rsidRDefault="002916E2" w:rsidP="004447ED">
      <w:pPr>
        <w:tabs>
          <w:tab w:val="left" w:pos="-720"/>
          <w:tab w:val="left" w:pos="0"/>
        </w:tabs>
        <w:suppressAutoHyphens/>
        <w:spacing w:line="240" w:lineRule="atLeast"/>
        <w:rPr>
          <w:spacing w:val="-3"/>
          <w:sz w:val="22"/>
          <w:lang w:val="en-GB"/>
        </w:rPr>
      </w:pPr>
      <w:r w:rsidRPr="00FF7ED4">
        <w:rPr>
          <w:spacing w:val="-3"/>
          <w:sz w:val="22"/>
          <w:lang w:val="en-GB"/>
        </w:rPr>
        <w:t>Knowles, D., and Hadcock,</w:t>
      </w:r>
      <w:r w:rsidR="006C0275" w:rsidRPr="00FF7ED4">
        <w:rPr>
          <w:spacing w:val="-3"/>
          <w:sz w:val="22"/>
          <w:lang w:val="en-GB"/>
        </w:rPr>
        <w:t xml:space="preserve"> R. N.,</w:t>
      </w:r>
      <w:r w:rsidRPr="00FF7ED4">
        <w:rPr>
          <w:spacing w:val="-3"/>
          <w:sz w:val="22"/>
          <w:lang w:val="en-GB"/>
        </w:rPr>
        <w:t xml:space="preserve"> </w:t>
      </w:r>
      <w:r w:rsidRPr="00FF7ED4">
        <w:rPr>
          <w:i/>
          <w:iCs/>
          <w:spacing w:val="-3"/>
          <w:sz w:val="22"/>
          <w:lang w:val="en-GB"/>
        </w:rPr>
        <w:t>Medieval Religious Houses: England and Wales</w:t>
      </w:r>
      <w:r w:rsidRPr="00FF7ED4">
        <w:rPr>
          <w:spacing w:val="-3"/>
          <w:sz w:val="22"/>
          <w:lang w:val="en-GB"/>
        </w:rPr>
        <w:t xml:space="preserve">, 2nd </w:t>
      </w:r>
    </w:p>
    <w:p w14:paraId="48518033" w14:textId="556BD8DA" w:rsidR="002916E2" w:rsidRPr="00FF7ED4" w:rsidRDefault="002916E2" w:rsidP="002916E2">
      <w:pPr>
        <w:tabs>
          <w:tab w:val="left" w:pos="-720"/>
          <w:tab w:val="left" w:pos="0"/>
        </w:tabs>
        <w:suppressAutoHyphens/>
        <w:spacing w:line="240" w:lineRule="atLeast"/>
        <w:ind w:left="720" w:hanging="720"/>
        <w:rPr>
          <w:spacing w:val="-3"/>
          <w:sz w:val="22"/>
          <w:lang w:val="en-GB"/>
        </w:rPr>
      </w:pPr>
      <w:r w:rsidRPr="00FF7ED4">
        <w:rPr>
          <w:spacing w:val="-3"/>
          <w:sz w:val="22"/>
          <w:lang w:val="en-GB"/>
        </w:rPr>
        <w:t>ed</w:t>
      </w:r>
      <w:r w:rsidR="006667EB" w:rsidRPr="00FF7ED4">
        <w:rPr>
          <w:spacing w:val="-3"/>
          <w:sz w:val="22"/>
          <w:lang w:val="en-GB"/>
        </w:rPr>
        <w:t>itio</w:t>
      </w:r>
      <w:r w:rsidRPr="00FF7ED4">
        <w:rPr>
          <w:spacing w:val="-3"/>
          <w:sz w:val="22"/>
          <w:lang w:val="en-GB"/>
        </w:rPr>
        <w:t>n (London: Longman, 1971)</w:t>
      </w:r>
    </w:p>
    <w:p w14:paraId="79B01298" w14:textId="77777777" w:rsidR="002916E2" w:rsidRPr="00FF7ED4" w:rsidRDefault="002916E2" w:rsidP="002916E2">
      <w:pPr>
        <w:rPr>
          <w:sz w:val="22"/>
        </w:rPr>
      </w:pPr>
    </w:p>
    <w:p w14:paraId="72C64AE6" w14:textId="65AA1FCC" w:rsidR="002916E2" w:rsidRPr="00FF7ED4" w:rsidRDefault="002916E2" w:rsidP="002916E2">
      <w:pPr>
        <w:tabs>
          <w:tab w:val="left" w:pos="-720"/>
        </w:tabs>
        <w:suppressAutoHyphens/>
        <w:spacing w:line="240" w:lineRule="atLeast"/>
        <w:rPr>
          <w:spacing w:val="-3"/>
          <w:sz w:val="22"/>
          <w:lang w:val="en-GB"/>
        </w:rPr>
      </w:pPr>
      <w:r w:rsidRPr="00FF7ED4">
        <w:rPr>
          <w:spacing w:val="-3"/>
          <w:sz w:val="22"/>
          <w:lang w:val="en-GB"/>
        </w:rPr>
        <w:t xml:space="preserve">Poole, R. L., </w:t>
      </w:r>
      <w:r w:rsidRPr="00FF7ED4">
        <w:rPr>
          <w:i/>
          <w:iCs/>
          <w:spacing w:val="-3"/>
          <w:sz w:val="22"/>
          <w:lang w:val="en-GB"/>
        </w:rPr>
        <w:t>Medieval Reckonings of Time</w:t>
      </w:r>
      <w:r w:rsidRPr="00FF7ED4">
        <w:rPr>
          <w:spacing w:val="-3"/>
          <w:sz w:val="22"/>
          <w:lang w:val="en-GB"/>
        </w:rPr>
        <w:t xml:space="preserve"> (London: S</w:t>
      </w:r>
      <w:r w:rsidR="006667EB" w:rsidRPr="00FF7ED4">
        <w:rPr>
          <w:spacing w:val="-3"/>
          <w:sz w:val="22"/>
          <w:lang w:val="en-GB"/>
        </w:rPr>
        <w:t>.</w:t>
      </w:r>
      <w:r w:rsidRPr="00FF7ED4">
        <w:rPr>
          <w:spacing w:val="-3"/>
          <w:sz w:val="22"/>
          <w:lang w:val="en-GB"/>
        </w:rPr>
        <w:t>P</w:t>
      </w:r>
      <w:r w:rsidR="006667EB" w:rsidRPr="00FF7ED4">
        <w:rPr>
          <w:spacing w:val="-3"/>
          <w:sz w:val="22"/>
          <w:lang w:val="en-GB"/>
        </w:rPr>
        <w:t>.</w:t>
      </w:r>
      <w:r w:rsidRPr="00FF7ED4">
        <w:rPr>
          <w:spacing w:val="-3"/>
          <w:sz w:val="22"/>
          <w:lang w:val="en-GB"/>
        </w:rPr>
        <w:t>C</w:t>
      </w:r>
      <w:r w:rsidR="006667EB" w:rsidRPr="00FF7ED4">
        <w:rPr>
          <w:spacing w:val="-3"/>
          <w:sz w:val="22"/>
          <w:lang w:val="en-GB"/>
        </w:rPr>
        <w:t>.</w:t>
      </w:r>
      <w:r w:rsidRPr="00FF7ED4">
        <w:rPr>
          <w:spacing w:val="-3"/>
          <w:sz w:val="22"/>
          <w:lang w:val="en-GB"/>
        </w:rPr>
        <w:t>K</w:t>
      </w:r>
      <w:r w:rsidR="006667EB" w:rsidRPr="00FF7ED4">
        <w:rPr>
          <w:spacing w:val="-3"/>
          <w:sz w:val="22"/>
          <w:lang w:val="en-GB"/>
        </w:rPr>
        <w:t>.</w:t>
      </w:r>
      <w:r w:rsidRPr="00FF7ED4">
        <w:rPr>
          <w:spacing w:val="-3"/>
          <w:sz w:val="22"/>
          <w:lang w:val="en-GB"/>
        </w:rPr>
        <w:t>, 1921)</w:t>
      </w:r>
    </w:p>
    <w:p w14:paraId="3C345928" w14:textId="77777777" w:rsidR="002916E2" w:rsidRPr="00FF7ED4" w:rsidRDefault="002916E2" w:rsidP="002916E2">
      <w:pPr>
        <w:rPr>
          <w:sz w:val="22"/>
        </w:rPr>
      </w:pPr>
    </w:p>
    <w:p w14:paraId="3F4D3A42" w14:textId="38642758" w:rsidR="002916E2" w:rsidRPr="00FF7ED4" w:rsidRDefault="00BB4BF8" w:rsidP="002916E2">
      <w:pPr>
        <w:rPr>
          <w:sz w:val="22"/>
          <w:u w:val="single"/>
        </w:rPr>
      </w:pPr>
      <w:r w:rsidRPr="00FF7ED4">
        <w:rPr>
          <w:sz w:val="22"/>
          <w:u w:val="single"/>
        </w:rPr>
        <w:t>Websites</w:t>
      </w:r>
    </w:p>
    <w:p w14:paraId="10C0D0F1" w14:textId="77777777" w:rsidR="002916E2" w:rsidRPr="00FF7ED4" w:rsidRDefault="002916E2" w:rsidP="002916E2">
      <w:pPr>
        <w:rPr>
          <w:sz w:val="22"/>
        </w:rPr>
      </w:pPr>
    </w:p>
    <w:p w14:paraId="501C74A8" w14:textId="77777777" w:rsidR="002916E2" w:rsidRPr="00FF7ED4" w:rsidRDefault="002916E2" w:rsidP="002916E2">
      <w:pPr>
        <w:rPr>
          <w:sz w:val="22"/>
        </w:rPr>
      </w:pPr>
      <w:r w:rsidRPr="00FF7ED4">
        <w:rPr>
          <w:sz w:val="22"/>
        </w:rPr>
        <w:t>Linguistics and English Language (University of Edinburgh): Regnal Years List</w:t>
      </w:r>
    </w:p>
    <w:p w14:paraId="6EB43954" w14:textId="77777777" w:rsidR="002916E2" w:rsidRPr="00FF7ED4" w:rsidRDefault="00562987" w:rsidP="002916E2">
      <w:pPr>
        <w:rPr>
          <w:sz w:val="22"/>
        </w:rPr>
      </w:pPr>
      <w:hyperlink r:id="rId7" w:history="1">
        <w:r w:rsidR="002916E2" w:rsidRPr="00FF7ED4">
          <w:rPr>
            <w:rStyle w:val="a3"/>
            <w:sz w:val="22"/>
          </w:rPr>
          <w:t>http://www.lel.ed.ac.uk/ihd/elalme/intros/regnal_years.html</w:t>
        </w:r>
      </w:hyperlink>
    </w:p>
    <w:p w14:paraId="130845BA" w14:textId="77777777" w:rsidR="002916E2" w:rsidRPr="00FF7ED4" w:rsidRDefault="002916E2" w:rsidP="002916E2">
      <w:pPr>
        <w:rPr>
          <w:sz w:val="22"/>
        </w:rPr>
      </w:pPr>
    </w:p>
    <w:p w14:paraId="3F67ADF0" w14:textId="77777777" w:rsidR="002916E2" w:rsidRPr="00FF7ED4" w:rsidRDefault="002916E2" w:rsidP="002916E2">
      <w:pPr>
        <w:rPr>
          <w:sz w:val="22"/>
        </w:rPr>
      </w:pPr>
      <w:r w:rsidRPr="00FF7ED4">
        <w:rPr>
          <w:sz w:val="22"/>
        </w:rPr>
        <w:t>Project Pluto: Easter Dates Calculator</w:t>
      </w:r>
    </w:p>
    <w:p w14:paraId="0788A0F7" w14:textId="77777777" w:rsidR="002916E2" w:rsidRPr="00FF7ED4" w:rsidRDefault="00562987" w:rsidP="002916E2">
      <w:pPr>
        <w:rPr>
          <w:sz w:val="22"/>
        </w:rPr>
      </w:pPr>
      <w:hyperlink r:id="rId8" w:anchor="Mar26" w:history="1">
        <w:r w:rsidR="002916E2" w:rsidRPr="00FF7ED4">
          <w:rPr>
            <w:rStyle w:val="a3"/>
            <w:sz w:val="22"/>
          </w:rPr>
          <w:t>https://www.projectpluto.com/easter.htm#Mar26</w:t>
        </w:r>
      </w:hyperlink>
    </w:p>
    <w:p w14:paraId="1F93CFDE" w14:textId="77777777" w:rsidR="002916E2" w:rsidRPr="00FF7ED4" w:rsidRDefault="002916E2" w:rsidP="002916E2">
      <w:pPr>
        <w:rPr>
          <w:sz w:val="22"/>
        </w:rPr>
      </w:pPr>
    </w:p>
    <w:p w14:paraId="049A2A9B" w14:textId="77777777" w:rsidR="002916E2" w:rsidRPr="00FF7ED4" w:rsidRDefault="002916E2" w:rsidP="002916E2">
      <w:pPr>
        <w:rPr>
          <w:sz w:val="22"/>
        </w:rPr>
      </w:pPr>
      <w:r w:rsidRPr="00FF7ED4">
        <w:rPr>
          <w:sz w:val="22"/>
        </w:rPr>
        <w:t>The Medieval Combat Society: Medieval Calendar and Feast Days</w:t>
      </w:r>
    </w:p>
    <w:p w14:paraId="29611D34" w14:textId="77777777" w:rsidR="002916E2" w:rsidRPr="00FF7ED4" w:rsidRDefault="00562987" w:rsidP="002916E2">
      <w:pPr>
        <w:rPr>
          <w:sz w:val="22"/>
        </w:rPr>
      </w:pPr>
      <w:hyperlink r:id="rId9" w:history="1">
        <w:r w:rsidR="002916E2" w:rsidRPr="00FF7ED4">
          <w:rPr>
            <w:rStyle w:val="a3"/>
            <w:sz w:val="22"/>
          </w:rPr>
          <w:t>http://www.themcs.org/calendar.htm</w:t>
        </w:r>
      </w:hyperlink>
    </w:p>
    <w:p w14:paraId="0DAA23C5" w14:textId="77777777" w:rsidR="002916E2" w:rsidRPr="00FF7ED4" w:rsidRDefault="002916E2" w:rsidP="002916E2">
      <w:pPr>
        <w:rPr>
          <w:sz w:val="22"/>
        </w:rPr>
      </w:pPr>
    </w:p>
    <w:p w14:paraId="6F720D3F" w14:textId="77777777" w:rsidR="002916E2" w:rsidRPr="00FF7ED4" w:rsidRDefault="002916E2">
      <w:pPr>
        <w:rPr>
          <w:sz w:val="22"/>
        </w:rPr>
      </w:pPr>
    </w:p>
    <w:p w14:paraId="100DDD46" w14:textId="2F25803E" w:rsidR="002916E2" w:rsidRPr="00FF7ED4" w:rsidRDefault="002916E2">
      <w:pPr>
        <w:rPr>
          <w:b/>
          <w:sz w:val="22"/>
        </w:rPr>
      </w:pPr>
    </w:p>
    <w:sectPr w:rsidR="002916E2" w:rsidRPr="00FF7ED4" w:rsidSect="00BB34F2">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C3F4DC" w14:textId="77777777" w:rsidR="00FF7ED4" w:rsidRDefault="00FF7ED4" w:rsidP="00BE3BF9">
      <w:r>
        <w:separator/>
      </w:r>
    </w:p>
  </w:endnote>
  <w:endnote w:type="continuationSeparator" w:id="0">
    <w:p w14:paraId="5DB07774" w14:textId="77777777" w:rsidR="00FF7ED4" w:rsidRDefault="00FF7ED4" w:rsidP="00BE3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4E0F05" w14:textId="77777777" w:rsidR="00FF7ED4" w:rsidRDefault="00FF7ED4" w:rsidP="00BE3BF9">
      <w:r>
        <w:separator/>
      </w:r>
    </w:p>
  </w:footnote>
  <w:footnote w:type="continuationSeparator" w:id="0">
    <w:p w14:paraId="541E557B" w14:textId="77777777" w:rsidR="00FF7ED4" w:rsidRDefault="00FF7ED4" w:rsidP="00BE3BF9">
      <w:r>
        <w:continuationSeparator/>
      </w:r>
    </w:p>
  </w:footnote>
  <w:footnote w:id="1">
    <w:p w14:paraId="4CE8CCC6" w14:textId="1998DD5A" w:rsidR="00FF7ED4" w:rsidRPr="003E5DA0" w:rsidRDefault="00FF7ED4" w:rsidP="00150DBC">
      <w:pPr>
        <w:pStyle w:val="a4"/>
        <w:rPr>
          <w:sz w:val="14"/>
        </w:rPr>
      </w:pPr>
      <w:r w:rsidRPr="003E5DA0">
        <w:rPr>
          <w:rStyle w:val="a6"/>
          <w:sz w:val="14"/>
        </w:rPr>
        <w:footnoteRef/>
      </w:r>
      <w:r w:rsidRPr="003E5DA0">
        <w:rPr>
          <w:sz w:val="14"/>
        </w:rPr>
        <w:t xml:space="preserve"> Edmund Fryde et al, </w:t>
      </w:r>
      <w:r w:rsidRPr="003E5DA0">
        <w:rPr>
          <w:i/>
          <w:sz w:val="14"/>
        </w:rPr>
        <w:t>Handbook of British Chronology</w:t>
      </w:r>
      <w:r w:rsidRPr="003E5DA0">
        <w:rPr>
          <w:sz w:val="14"/>
        </w:rPr>
        <w:t>, Royal Historical Society Guides and Handbooks, 2 (London: Royal Historical Society, 1986), p.39</w:t>
      </w:r>
    </w:p>
  </w:footnote>
  <w:footnote w:id="2">
    <w:p w14:paraId="4AAC325B" w14:textId="601C06AB" w:rsidR="00FF7ED4" w:rsidRPr="00FF7ED4" w:rsidRDefault="00FF7ED4">
      <w:pPr>
        <w:pStyle w:val="a4"/>
        <w:rPr>
          <w:sz w:val="16"/>
        </w:rPr>
      </w:pPr>
      <w:r w:rsidRPr="003E5DA0">
        <w:rPr>
          <w:rStyle w:val="a6"/>
          <w:sz w:val="14"/>
        </w:rPr>
        <w:footnoteRef/>
      </w:r>
      <w:r w:rsidRPr="003E5DA0">
        <w:rPr>
          <w:sz w:val="14"/>
        </w:rPr>
        <w:t xml:space="preserve"> C</w:t>
      </w:r>
      <w:r w:rsidR="00A73D85">
        <w:rPr>
          <w:sz w:val="14"/>
        </w:rPr>
        <w:t>hristopher</w:t>
      </w:r>
      <w:r w:rsidRPr="003E5DA0">
        <w:rPr>
          <w:sz w:val="14"/>
        </w:rPr>
        <w:t xml:space="preserve"> Cheney et al, </w:t>
      </w:r>
      <w:r w:rsidRPr="003E5DA0">
        <w:rPr>
          <w:i/>
          <w:sz w:val="14"/>
        </w:rPr>
        <w:t>Handbook of Dates for Students of British History,</w:t>
      </w:r>
      <w:r w:rsidRPr="003E5DA0">
        <w:rPr>
          <w:sz w:val="14"/>
        </w:rPr>
        <w:t xml:space="preserve"> Royal Historical Society Guides and Handbooks, 4 (Cambridge: Cambridge University Press, 2000), p.</w:t>
      </w:r>
      <w:r w:rsidR="00B35D69">
        <w:rPr>
          <w:sz w:val="14"/>
        </w:rPr>
        <w:t xml:space="preserve"> 198</w:t>
      </w:r>
    </w:p>
  </w:footnote>
  <w:footnote w:id="3">
    <w:p w14:paraId="26540B97" w14:textId="2ED9B3AA" w:rsidR="00FF7ED4" w:rsidRPr="003E5DA0" w:rsidRDefault="00FF7ED4">
      <w:pPr>
        <w:pStyle w:val="a4"/>
        <w:rPr>
          <w:sz w:val="14"/>
        </w:rPr>
      </w:pPr>
      <w:r w:rsidRPr="003E5DA0">
        <w:rPr>
          <w:rStyle w:val="a6"/>
          <w:sz w:val="14"/>
        </w:rPr>
        <w:footnoteRef/>
      </w:r>
      <w:r w:rsidRPr="003E5DA0">
        <w:rPr>
          <w:sz w:val="14"/>
        </w:rPr>
        <w:t xml:space="preserve"> Reginald Poole, </w:t>
      </w:r>
      <w:r w:rsidRPr="003E5DA0">
        <w:rPr>
          <w:i/>
          <w:sz w:val="14"/>
        </w:rPr>
        <w:t>Medieval Reckonings of Time</w:t>
      </w:r>
      <w:r w:rsidRPr="003E5DA0">
        <w:rPr>
          <w:sz w:val="14"/>
        </w:rPr>
        <w:t xml:space="preserve"> (London: S.P.C.K., 1921), p. 14</w:t>
      </w:r>
    </w:p>
  </w:footnote>
  <w:footnote w:id="4">
    <w:p w14:paraId="070E4B33" w14:textId="53B9620F" w:rsidR="00FF7ED4" w:rsidRPr="003E5DA0" w:rsidRDefault="00FF7ED4">
      <w:pPr>
        <w:pStyle w:val="a4"/>
        <w:rPr>
          <w:sz w:val="14"/>
        </w:rPr>
      </w:pPr>
      <w:r w:rsidRPr="003E5DA0">
        <w:rPr>
          <w:rStyle w:val="a6"/>
          <w:sz w:val="14"/>
        </w:rPr>
        <w:footnoteRef/>
      </w:r>
      <w:r w:rsidRPr="003E5DA0">
        <w:rPr>
          <w:sz w:val="14"/>
        </w:rPr>
        <w:t xml:space="preserve"> Fryde et al, p.201</w:t>
      </w:r>
    </w:p>
  </w:footnote>
  <w:footnote w:id="5">
    <w:p w14:paraId="30E9D23B" w14:textId="5AA67C12" w:rsidR="00FF7ED4" w:rsidRPr="003E5DA0" w:rsidRDefault="00FF7ED4">
      <w:pPr>
        <w:pStyle w:val="a4"/>
        <w:rPr>
          <w:sz w:val="14"/>
        </w:rPr>
      </w:pPr>
      <w:r w:rsidRPr="003E5DA0">
        <w:rPr>
          <w:rStyle w:val="a6"/>
          <w:sz w:val="14"/>
        </w:rPr>
        <w:footnoteRef/>
      </w:r>
      <w:r w:rsidR="005905D1">
        <w:rPr>
          <w:sz w:val="14"/>
        </w:rPr>
        <w:t xml:space="preserve"> Ibid</w:t>
      </w:r>
    </w:p>
  </w:footnote>
  <w:footnote w:id="6">
    <w:p w14:paraId="6E5BAA83" w14:textId="589035A0" w:rsidR="00FF7ED4" w:rsidRPr="003E5DA0" w:rsidRDefault="00FF7ED4">
      <w:pPr>
        <w:pStyle w:val="a4"/>
        <w:rPr>
          <w:sz w:val="14"/>
        </w:rPr>
      </w:pPr>
      <w:r w:rsidRPr="003E5DA0">
        <w:rPr>
          <w:rStyle w:val="a6"/>
          <w:sz w:val="14"/>
        </w:rPr>
        <w:footnoteRef/>
      </w:r>
      <w:r w:rsidR="005905D1">
        <w:rPr>
          <w:sz w:val="14"/>
        </w:rPr>
        <w:t xml:space="preserve"> Ibid</w:t>
      </w:r>
    </w:p>
  </w:footnote>
  <w:footnote w:id="7">
    <w:p w14:paraId="790C5B0C" w14:textId="450B9CBE" w:rsidR="00FF7ED4" w:rsidRPr="003E5DA0" w:rsidRDefault="00FF7ED4">
      <w:pPr>
        <w:pStyle w:val="a4"/>
        <w:rPr>
          <w:sz w:val="14"/>
        </w:rPr>
      </w:pPr>
      <w:r w:rsidRPr="003E5DA0">
        <w:rPr>
          <w:rStyle w:val="a6"/>
          <w:sz w:val="14"/>
        </w:rPr>
        <w:footnoteRef/>
      </w:r>
      <w:r w:rsidRPr="003E5DA0">
        <w:rPr>
          <w:sz w:val="14"/>
        </w:rPr>
        <w:t xml:space="preserve"> Poole, p. 15</w:t>
      </w:r>
    </w:p>
  </w:footnote>
  <w:footnote w:id="8">
    <w:p w14:paraId="14F93AAC" w14:textId="13320B8E" w:rsidR="00FF7ED4" w:rsidRPr="003E5DA0" w:rsidRDefault="00FF7ED4">
      <w:pPr>
        <w:pStyle w:val="a4"/>
        <w:rPr>
          <w:sz w:val="14"/>
        </w:rPr>
      </w:pPr>
      <w:r w:rsidRPr="003E5DA0">
        <w:rPr>
          <w:rStyle w:val="a6"/>
          <w:sz w:val="14"/>
        </w:rPr>
        <w:footnoteRef/>
      </w:r>
      <w:r w:rsidRPr="003E5DA0">
        <w:rPr>
          <w:sz w:val="14"/>
        </w:rPr>
        <w:t xml:space="preserve"> Fryde et al, p.145 </w:t>
      </w:r>
    </w:p>
  </w:footnote>
  <w:footnote w:id="9">
    <w:p w14:paraId="0418694A" w14:textId="01F2102B" w:rsidR="00FF7ED4" w:rsidRPr="003E5DA0" w:rsidRDefault="00FF7ED4">
      <w:pPr>
        <w:pStyle w:val="a4"/>
        <w:rPr>
          <w:sz w:val="14"/>
        </w:rPr>
      </w:pPr>
      <w:r w:rsidRPr="003E5DA0">
        <w:rPr>
          <w:rStyle w:val="a6"/>
          <w:sz w:val="14"/>
        </w:rPr>
        <w:footnoteRef/>
      </w:r>
      <w:r w:rsidRPr="003E5DA0">
        <w:rPr>
          <w:sz w:val="14"/>
        </w:rPr>
        <w:t xml:space="preserve"> Poole, p.12, p.32</w:t>
      </w:r>
    </w:p>
  </w:footnote>
  <w:footnote w:id="10">
    <w:p w14:paraId="58961513" w14:textId="34BEB3A6" w:rsidR="00FF7ED4" w:rsidRPr="003E5DA0" w:rsidRDefault="00FF7ED4">
      <w:pPr>
        <w:pStyle w:val="a4"/>
        <w:rPr>
          <w:sz w:val="14"/>
        </w:rPr>
      </w:pPr>
      <w:r w:rsidRPr="003E5DA0">
        <w:rPr>
          <w:rStyle w:val="a6"/>
          <w:sz w:val="14"/>
        </w:rPr>
        <w:footnoteRef/>
      </w:r>
      <w:r w:rsidRPr="003E5DA0">
        <w:rPr>
          <w:sz w:val="14"/>
        </w:rPr>
        <w:t xml:space="preserve"> </w:t>
      </w:r>
      <w:r w:rsidR="00B35D69">
        <w:rPr>
          <w:sz w:val="14"/>
        </w:rPr>
        <w:t>Fryde</w:t>
      </w:r>
      <w:r w:rsidRPr="003E5DA0">
        <w:rPr>
          <w:sz w:val="14"/>
        </w:rPr>
        <w:t xml:space="preserve"> et al, p.38</w:t>
      </w:r>
    </w:p>
  </w:footnote>
  <w:footnote w:id="11">
    <w:p w14:paraId="51E804D6" w14:textId="4E6ACFB2" w:rsidR="00FF7ED4" w:rsidRPr="00FF7ED4" w:rsidRDefault="00FF7ED4">
      <w:pPr>
        <w:pStyle w:val="a4"/>
        <w:rPr>
          <w:sz w:val="16"/>
        </w:rPr>
      </w:pPr>
      <w:r w:rsidRPr="003E5DA0">
        <w:rPr>
          <w:rStyle w:val="a6"/>
          <w:sz w:val="14"/>
        </w:rPr>
        <w:footnoteRef/>
      </w:r>
      <w:r w:rsidRPr="003E5DA0">
        <w:rPr>
          <w:sz w:val="14"/>
        </w:rPr>
        <w:t xml:space="preserve"> </w:t>
      </w:r>
      <w:r w:rsidR="00B35D69">
        <w:rPr>
          <w:sz w:val="14"/>
        </w:rPr>
        <w:t>Cheney et al, p. 192</w:t>
      </w:r>
    </w:p>
  </w:footnote>
  <w:footnote w:id="12">
    <w:p w14:paraId="43FAD859" w14:textId="203DD052" w:rsidR="00FF7ED4" w:rsidRDefault="00FF7ED4" w:rsidP="00820D05">
      <w:pPr>
        <w:pStyle w:val="a4"/>
      </w:pPr>
      <w:r w:rsidRPr="003E5DA0">
        <w:rPr>
          <w:rStyle w:val="a6"/>
          <w:sz w:val="16"/>
        </w:rPr>
        <w:footnoteRef/>
      </w:r>
      <w:r w:rsidRPr="003E5DA0">
        <w:rPr>
          <w:sz w:val="16"/>
        </w:rPr>
        <w:t xml:space="preserve"> </w:t>
      </w:r>
      <w:r w:rsidRPr="003E5DA0">
        <w:rPr>
          <w:sz w:val="14"/>
        </w:rPr>
        <w:t>Fryde et al, p.299</w:t>
      </w:r>
    </w:p>
  </w:footnote>
  <w:footnote w:id="13">
    <w:p w14:paraId="7544D6BE" w14:textId="64FA8E9C" w:rsidR="00FF7ED4" w:rsidRPr="003E5DA0" w:rsidRDefault="00FF7ED4">
      <w:pPr>
        <w:pStyle w:val="a4"/>
        <w:rPr>
          <w:sz w:val="14"/>
        </w:rPr>
      </w:pPr>
      <w:r w:rsidRPr="003E5DA0">
        <w:rPr>
          <w:rStyle w:val="a6"/>
          <w:sz w:val="14"/>
        </w:rPr>
        <w:footnoteRef/>
      </w:r>
      <w:r w:rsidRPr="003E5DA0">
        <w:rPr>
          <w:sz w:val="14"/>
        </w:rPr>
        <w:t xml:space="preserve"> Brian Harrison et al, </w:t>
      </w:r>
      <w:r w:rsidRPr="003E5DA0">
        <w:rPr>
          <w:i/>
          <w:sz w:val="14"/>
        </w:rPr>
        <w:t>Oxford Dictionary of National Biography</w:t>
      </w:r>
      <w:r w:rsidRPr="003E5DA0">
        <w:rPr>
          <w:sz w:val="14"/>
        </w:rPr>
        <w:t xml:space="preserve"> Vol. 46 (Oxford: Oxford University Press, 2004), p. 392</w:t>
      </w:r>
    </w:p>
  </w:footnote>
  <w:footnote w:id="14">
    <w:p w14:paraId="7030643E" w14:textId="2E8FD8AC" w:rsidR="00FF7ED4" w:rsidRPr="003E5DA0" w:rsidRDefault="00FF7ED4">
      <w:pPr>
        <w:pStyle w:val="a4"/>
        <w:rPr>
          <w:sz w:val="14"/>
        </w:rPr>
      </w:pPr>
      <w:r w:rsidRPr="003E5DA0">
        <w:rPr>
          <w:rStyle w:val="a6"/>
          <w:sz w:val="14"/>
        </w:rPr>
        <w:footnoteRef/>
      </w:r>
      <w:r w:rsidRPr="003E5DA0">
        <w:rPr>
          <w:sz w:val="14"/>
        </w:rPr>
        <w:t xml:space="preserve"> Ibid</w:t>
      </w:r>
    </w:p>
  </w:footnote>
  <w:footnote w:id="15">
    <w:p w14:paraId="044C06B3" w14:textId="63D78066" w:rsidR="00FF7ED4" w:rsidRPr="003E5DA0" w:rsidRDefault="00FF7ED4">
      <w:pPr>
        <w:pStyle w:val="a4"/>
        <w:rPr>
          <w:sz w:val="14"/>
        </w:rPr>
      </w:pPr>
      <w:r w:rsidRPr="003E5DA0">
        <w:rPr>
          <w:rStyle w:val="a6"/>
          <w:sz w:val="14"/>
        </w:rPr>
        <w:footnoteRef/>
      </w:r>
      <w:r w:rsidRPr="003E5DA0">
        <w:rPr>
          <w:sz w:val="14"/>
        </w:rPr>
        <w:t xml:space="preserve"> Ibid</w:t>
      </w:r>
    </w:p>
  </w:footnote>
  <w:footnote w:id="16">
    <w:p w14:paraId="3436070C" w14:textId="495A574F" w:rsidR="00FF7ED4" w:rsidRDefault="00FF7ED4">
      <w:pPr>
        <w:pStyle w:val="a4"/>
      </w:pPr>
      <w:r w:rsidRPr="003E5DA0">
        <w:rPr>
          <w:rStyle w:val="a6"/>
          <w:sz w:val="14"/>
        </w:rPr>
        <w:footnoteRef/>
      </w:r>
      <w:r w:rsidRPr="003E5DA0">
        <w:rPr>
          <w:sz w:val="14"/>
        </w:rPr>
        <w:t xml:space="preserve"> Fryde et al, p.</w:t>
      </w:r>
      <w:r w:rsidRPr="003E5DA0">
        <w:rPr>
          <w:rFonts w:hint="eastAsia"/>
          <w:sz w:val="14"/>
        </w:rPr>
        <w:t xml:space="preserve"> </w:t>
      </w:r>
      <w:r w:rsidRPr="003E5DA0">
        <w:rPr>
          <w:sz w:val="14"/>
        </w:rPr>
        <w:t>299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7B8"/>
    <w:rsid w:val="00003C40"/>
    <w:rsid w:val="001177B8"/>
    <w:rsid w:val="00125994"/>
    <w:rsid w:val="00150DBC"/>
    <w:rsid w:val="00152434"/>
    <w:rsid w:val="001B6F10"/>
    <w:rsid w:val="001D3DC9"/>
    <w:rsid w:val="001E67D6"/>
    <w:rsid w:val="00222AF1"/>
    <w:rsid w:val="0023159F"/>
    <w:rsid w:val="002902C9"/>
    <w:rsid w:val="002916E2"/>
    <w:rsid w:val="002D5E85"/>
    <w:rsid w:val="00367447"/>
    <w:rsid w:val="003930A6"/>
    <w:rsid w:val="003E5DA0"/>
    <w:rsid w:val="004447ED"/>
    <w:rsid w:val="00490084"/>
    <w:rsid w:val="00524AA8"/>
    <w:rsid w:val="00562987"/>
    <w:rsid w:val="0056467A"/>
    <w:rsid w:val="005905D1"/>
    <w:rsid w:val="006025AB"/>
    <w:rsid w:val="00630348"/>
    <w:rsid w:val="006667EB"/>
    <w:rsid w:val="00682AC6"/>
    <w:rsid w:val="006A41A6"/>
    <w:rsid w:val="006C0275"/>
    <w:rsid w:val="007007D0"/>
    <w:rsid w:val="007132CE"/>
    <w:rsid w:val="00735FD8"/>
    <w:rsid w:val="007B6208"/>
    <w:rsid w:val="007E77FC"/>
    <w:rsid w:val="00820D05"/>
    <w:rsid w:val="00833E33"/>
    <w:rsid w:val="008761F3"/>
    <w:rsid w:val="008B477A"/>
    <w:rsid w:val="008E2D75"/>
    <w:rsid w:val="00903E72"/>
    <w:rsid w:val="00920D58"/>
    <w:rsid w:val="00A73D85"/>
    <w:rsid w:val="00A82AE5"/>
    <w:rsid w:val="00AB0CC6"/>
    <w:rsid w:val="00B35D69"/>
    <w:rsid w:val="00B97D02"/>
    <w:rsid w:val="00BB34F2"/>
    <w:rsid w:val="00BB4BF8"/>
    <w:rsid w:val="00BE3BF9"/>
    <w:rsid w:val="00C15484"/>
    <w:rsid w:val="00CB4891"/>
    <w:rsid w:val="00CE2857"/>
    <w:rsid w:val="00D127FE"/>
    <w:rsid w:val="00D2491D"/>
    <w:rsid w:val="00DD007D"/>
    <w:rsid w:val="00E95BB2"/>
    <w:rsid w:val="00ED3159"/>
    <w:rsid w:val="00EE6DBD"/>
    <w:rsid w:val="00F3652E"/>
    <w:rsid w:val="00F91C8C"/>
    <w:rsid w:val="00FE6D6A"/>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E5DE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916E2"/>
    <w:rPr>
      <w:color w:val="0000FF" w:themeColor="hyperlink"/>
      <w:u w:val="single"/>
    </w:rPr>
  </w:style>
  <w:style w:type="paragraph" w:styleId="a4">
    <w:name w:val="footnote text"/>
    <w:basedOn w:val="a"/>
    <w:link w:val="a5"/>
    <w:uiPriority w:val="99"/>
    <w:unhideWhenUsed/>
    <w:rsid w:val="00BE3BF9"/>
    <w:pPr>
      <w:snapToGrid w:val="0"/>
      <w:jc w:val="left"/>
    </w:pPr>
    <w:rPr>
      <w:sz w:val="18"/>
      <w:szCs w:val="18"/>
    </w:rPr>
  </w:style>
  <w:style w:type="character" w:customStyle="1" w:styleId="a5">
    <w:name w:val="脚注文本字符"/>
    <w:basedOn w:val="a0"/>
    <w:link w:val="a4"/>
    <w:uiPriority w:val="99"/>
    <w:rsid w:val="00BE3BF9"/>
    <w:rPr>
      <w:sz w:val="18"/>
      <w:szCs w:val="18"/>
    </w:rPr>
  </w:style>
  <w:style w:type="character" w:styleId="a6">
    <w:name w:val="footnote reference"/>
    <w:basedOn w:val="a0"/>
    <w:uiPriority w:val="99"/>
    <w:unhideWhenUsed/>
    <w:rsid w:val="00BE3BF9"/>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916E2"/>
    <w:rPr>
      <w:color w:val="0000FF" w:themeColor="hyperlink"/>
      <w:u w:val="single"/>
    </w:rPr>
  </w:style>
  <w:style w:type="paragraph" w:styleId="a4">
    <w:name w:val="footnote text"/>
    <w:basedOn w:val="a"/>
    <w:link w:val="a5"/>
    <w:uiPriority w:val="99"/>
    <w:unhideWhenUsed/>
    <w:rsid w:val="00BE3BF9"/>
    <w:pPr>
      <w:snapToGrid w:val="0"/>
      <w:jc w:val="left"/>
    </w:pPr>
    <w:rPr>
      <w:sz w:val="18"/>
      <w:szCs w:val="18"/>
    </w:rPr>
  </w:style>
  <w:style w:type="character" w:customStyle="1" w:styleId="a5">
    <w:name w:val="脚注文本字符"/>
    <w:basedOn w:val="a0"/>
    <w:link w:val="a4"/>
    <w:uiPriority w:val="99"/>
    <w:rsid w:val="00BE3BF9"/>
    <w:rPr>
      <w:sz w:val="18"/>
      <w:szCs w:val="18"/>
    </w:rPr>
  </w:style>
  <w:style w:type="character" w:styleId="a6">
    <w:name w:val="footnote reference"/>
    <w:basedOn w:val="a0"/>
    <w:uiPriority w:val="99"/>
    <w:unhideWhenUsed/>
    <w:rsid w:val="00BE3BF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el.ed.ac.uk/ihd/elalme/intros/regnal_years.html" TargetMode="External"/><Relationship Id="rId8" Type="http://schemas.openxmlformats.org/officeDocument/2006/relationships/hyperlink" Target="https://www.projectpluto.com/easter.htm" TargetMode="External"/><Relationship Id="rId9" Type="http://schemas.openxmlformats.org/officeDocument/2006/relationships/hyperlink" Target="http://www.themcs.org/calendar.htm"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209</TotalTime>
  <Pages>3</Pages>
  <Words>769</Words>
  <Characters>3896</Characters>
  <Application>Microsoft Macintosh Word</Application>
  <DocSecurity>0</DocSecurity>
  <Lines>79</Lines>
  <Paragraphs>16</Paragraphs>
  <ScaleCrop>false</ScaleCrop>
  <Company/>
  <LinksUpToDate>false</LinksUpToDate>
  <CharactersWithSpaces>4649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dc:creator>
  <cp:keywords/>
  <dc:description/>
  <cp:lastModifiedBy>Gina</cp:lastModifiedBy>
  <cp:revision>40</cp:revision>
  <dcterms:created xsi:type="dcterms:W3CDTF">2019-03-13T01:38:00Z</dcterms:created>
  <dcterms:modified xsi:type="dcterms:W3CDTF">2020-05-21T06:59:00Z</dcterms:modified>
</cp:coreProperties>
</file>